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431382" w14:textId="77777777" w:rsidR="00773C1D" w:rsidRPr="00B457F5" w:rsidRDefault="00773C1D" w:rsidP="00773C1D">
      <w:pPr>
        <w:spacing w:before="0" w:after="0"/>
        <w:ind w:firstLine="284"/>
        <w:contextualSpacing/>
        <w:jc w:val="center"/>
        <w:rPr>
          <w:rFonts w:ascii="Garamond" w:eastAsia="Times New Roman" w:hAnsi="Garamond" w:cs="Times New Roman"/>
          <w:b/>
          <w:szCs w:val="24"/>
        </w:rPr>
      </w:pPr>
      <w:r w:rsidRPr="00B457F5">
        <w:rPr>
          <w:rFonts w:ascii="Garamond" w:eastAsia="Times New Roman" w:hAnsi="Garamond" w:cs="Times New Roman"/>
          <w:b/>
          <w:szCs w:val="24"/>
        </w:rPr>
        <w:t>VENDIM</w:t>
      </w:r>
    </w:p>
    <w:p w14:paraId="31501C4C" w14:textId="39CC494F" w:rsidR="00773C1D" w:rsidRPr="00B457F5" w:rsidRDefault="00773C1D" w:rsidP="00773C1D">
      <w:pPr>
        <w:spacing w:before="0" w:after="0"/>
        <w:ind w:firstLine="284"/>
        <w:contextualSpacing/>
        <w:jc w:val="center"/>
        <w:rPr>
          <w:rFonts w:ascii="Garamond" w:eastAsia="Times New Roman" w:hAnsi="Garamond" w:cs="Times New Roman"/>
          <w:b/>
          <w:szCs w:val="24"/>
        </w:rPr>
      </w:pPr>
      <w:r w:rsidRPr="00B457F5">
        <w:rPr>
          <w:rFonts w:ascii="Garamond" w:eastAsia="Times New Roman" w:hAnsi="Garamond" w:cs="Times New Roman"/>
          <w:b/>
          <w:szCs w:val="24"/>
        </w:rPr>
        <w:t>Nr.</w:t>
      </w:r>
      <w:r w:rsidR="00A313AE" w:rsidRPr="00B457F5">
        <w:rPr>
          <w:rFonts w:ascii="Garamond" w:eastAsia="Times New Roman" w:hAnsi="Garamond" w:cs="Times New Roman"/>
          <w:b/>
          <w:szCs w:val="24"/>
        </w:rPr>
        <w:t xml:space="preserve"> </w:t>
      </w:r>
      <w:r w:rsidRPr="00B457F5">
        <w:rPr>
          <w:rFonts w:ascii="Garamond" w:eastAsia="Times New Roman" w:hAnsi="Garamond" w:cs="Times New Roman"/>
          <w:b/>
          <w:szCs w:val="24"/>
        </w:rPr>
        <w:t>271, datë 2.5.2024</w:t>
      </w:r>
    </w:p>
    <w:p w14:paraId="695A60AE" w14:textId="77777777" w:rsidR="00773C1D" w:rsidRPr="00B457F5" w:rsidRDefault="00773C1D" w:rsidP="00773C1D">
      <w:pPr>
        <w:spacing w:before="0" w:after="0"/>
        <w:ind w:firstLine="284"/>
        <w:contextualSpacing/>
        <w:jc w:val="center"/>
        <w:rPr>
          <w:rFonts w:ascii="Garamond" w:hAnsi="Garamond"/>
          <w:b/>
          <w:bCs/>
          <w:szCs w:val="24"/>
        </w:rPr>
      </w:pPr>
    </w:p>
    <w:p w14:paraId="4B3BE194" w14:textId="77777777" w:rsidR="00773C1D" w:rsidRPr="00B457F5" w:rsidRDefault="00773C1D" w:rsidP="00773C1D">
      <w:pPr>
        <w:pStyle w:val="Default"/>
        <w:ind w:firstLine="284"/>
        <w:contextualSpacing/>
        <w:jc w:val="center"/>
        <w:rPr>
          <w:rFonts w:ascii="Garamond" w:hAnsi="Garamond"/>
          <w:lang w:val="sq-AL"/>
        </w:rPr>
      </w:pPr>
      <w:r w:rsidRPr="00B457F5">
        <w:rPr>
          <w:rFonts w:ascii="Garamond" w:hAnsi="Garamond"/>
          <w:b/>
          <w:bCs/>
          <w:lang w:val="sq-AL"/>
        </w:rPr>
        <w:t xml:space="preserve">PËR </w:t>
      </w:r>
      <w:r w:rsidRPr="00B457F5">
        <w:rPr>
          <w:rStyle w:val="contentpasted1"/>
          <w:rFonts w:ascii="Garamond" w:eastAsia="Garamond" w:hAnsi="Garamond"/>
          <w:b/>
          <w:bCs/>
          <w:lang w:val="sq-AL"/>
        </w:rPr>
        <w:t>MIRATIMIN E STRATEGJISË KOMBËTARE PËR MIGRACIONIN 2024-2030 DHE TË PLANIT TË SAJ TË VEPRIMIT 2024–2026</w:t>
      </w:r>
    </w:p>
    <w:p w14:paraId="5349D9F5" w14:textId="77777777" w:rsidR="00773C1D" w:rsidRPr="00B457F5" w:rsidRDefault="00773C1D" w:rsidP="00773C1D">
      <w:pPr>
        <w:spacing w:before="0" w:after="0"/>
        <w:ind w:firstLine="284"/>
        <w:contextualSpacing/>
        <w:rPr>
          <w:rFonts w:ascii="Garamond" w:hAnsi="Garamond" w:cs="Times New Roman"/>
          <w:color w:val="000000"/>
          <w:szCs w:val="24"/>
        </w:rPr>
      </w:pPr>
      <w:r w:rsidRPr="00B457F5">
        <w:rPr>
          <w:rFonts w:ascii="Garamond" w:eastAsia="Garamond" w:hAnsi="Garamond" w:cs="Times New Roman"/>
          <w:b/>
          <w:bCs/>
          <w:color w:val="000000"/>
          <w:szCs w:val="24"/>
        </w:rPr>
        <w:t> </w:t>
      </w:r>
    </w:p>
    <w:p w14:paraId="533B7B1F" w14:textId="77777777" w:rsidR="00773C1D" w:rsidRPr="00B457F5" w:rsidRDefault="00773C1D" w:rsidP="00773C1D">
      <w:pPr>
        <w:pStyle w:val="BodyText"/>
        <w:spacing w:before="0" w:after="0" w:line="240" w:lineRule="auto"/>
        <w:ind w:firstLine="284"/>
        <w:contextualSpacing/>
        <w:rPr>
          <w:rStyle w:val="contentpasted1"/>
          <w:rFonts w:ascii="Garamond" w:hAnsi="Garamond" w:cs="Times New Roman"/>
        </w:rPr>
      </w:pPr>
      <w:r w:rsidRPr="00B457F5">
        <w:rPr>
          <w:rFonts w:ascii="Garamond" w:hAnsi="Garamond" w:cs="Times New Roman"/>
          <w:color w:val="000000"/>
        </w:rPr>
        <w:t>Në</w:t>
      </w:r>
      <w:r w:rsidRPr="00B457F5">
        <w:rPr>
          <w:rStyle w:val="contentpasted1"/>
          <w:rFonts w:ascii="Garamond" w:hAnsi="Garamond" w:cs="Times New Roman"/>
          <w:color w:val="000000"/>
        </w:rPr>
        <w:t xml:space="preserve"> mbështetje </w:t>
      </w:r>
      <w:r w:rsidRPr="00B457F5">
        <w:rPr>
          <w:rFonts w:ascii="Garamond" w:hAnsi="Garamond" w:cs="Times New Roman"/>
          <w:color w:val="000000"/>
        </w:rPr>
        <w:t>të</w:t>
      </w:r>
      <w:r w:rsidRPr="00B457F5">
        <w:rPr>
          <w:rStyle w:val="contentpasted1"/>
          <w:rFonts w:ascii="Garamond" w:hAnsi="Garamond" w:cs="Times New Roman"/>
          <w:color w:val="000000"/>
        </w:rPr>
        <w:t xml:space="preserve"> nenit </w:t>
      </w:r>
      <w:r w:rsidRPr="00B457F5">
        <w:rPr>
          <w:rFonts w:ascii="Garamond" w:hAnsi="Garamond" w:cs="Times New Roman"/>
          <w:color w:val="000000"/>
        </w:rPr>
        <w:t>100</w:t>
      </w:r>
      <w:r w:rsidRPr="00B457F5">
        <w:rPr>
          <w:rStyle w:val="contentpasted1"/>
          <w:rFonts w:ascii="Garamond" w:hAnsi="Garamond" w:cs="Times New Roman"/>
          <w:color w:val="000000"/>
        </w:rPr>
        <w:t xml:space="preserve"> </w:t>
      </w:r>
      <w:r w:rsidRPr="00B457F5">
        <w:rPr>
          <w:rFonts w:ascii="Garamond" w:hAnsi="Garamond" w:cs="Times New Roman"/>
          <w:color w:val="000000"/>
        </w:rPr>
        <w:t>të</w:t>
      </w:r>
      <w:r w:rsidRPr="00B457F5">
        <w:rPr>
          <w:rStyle w:val="contentpasted1"/>
          <w:rFonts w:ascii="Garamond" w:hAnsi="Garamond" w:cs="Times New Roman"/>
          <w:color w:val="000000"/>
        </w:rPr>
        <w:t xml:space="preserve"> Kushtetutës, </w:t>
      </w:r>
      <w:r w:rsidRPr="00B457F5">
        <w:rPr>
          <w:rFonts w:ascii="Garamond" w:hAnsi="Garamond" w:cs="Times New Roman"/>
          <w:color w:val="000000"/>
        </w:rPr>
        <w:t>me</w:t>
      </w:r>
      <w:r w:rsidRPr="00B457F5">
        <w:rPr>
          <w:rStyle w:val="contentpasted1"/>
          <w:rFonts w:ascii="Garamond" w:hAnsi="Garamond" w:cs="Times New Roman"/>
          <w:color w:val="000000"/>
        </w:rPr>
        <w:t xml:space="preserve"> propozimin </w:t>
      </w:r>
      <w:r w:rsidRPr="00B457F5">
        <w:rPr>
          <w:rFonts w:ascii="Garamond" w:hAnsi="Garamond" w:cs="Times New Roman"/>
          <w:color w:val="000000"/>
        </w:rPr>
        <w:t>e</w:t>
      </w:r>
      <w:r w:rsidRPr="00B457F5">
        <w:rPr>
          <w:rStyle w:val="contentpasted1"/>
          <w:rFonts w:ascii="Garamond" w:hAnsi="Garamond" w:cs="Times New Roman"/>
          <w:color w:val="000000"/>
        </w:rPr>
        <w:t xml:space="preserve"> ministrit </w:t>
      </w:r>
      <w:r w:rsidRPr="00B457F5">
        <w:rPr>
          <w:rFonts w:ascii="Garamond" w:hAnsi="Garamond" w:cs="Times New Roman"/>
          <w:color w:val="000000"/>
        </w:rPr>
        <w:t>të</w:t>
      </w:r>
      <w:r w:rsidRPr="00B457F5">
        <w:rPr>
          <w:rStyle w:val="contentpasted1"/>
          <w:rFonts w:ascii="Garamond" w:hAnsi="Garamond" w:cs="Times New Roman"/>
          <w:color w:val="000000"/>
        </w:rPr>
        <w:t xml:space="preserve"> Brendshëm, Këshilli </w:t>
      </w:r>
      <w:r w:rsidRPr="00B457F5">
        <w:rPr>
          <w:rFonts w:ascii="Garamond" w:hAnsi="Garamond" w:cs="Times New Roman"/>
          <w:color w:val="000000"/>
        </w:rPr>
        <w:t>i</w:t>
      </w:r>
      <w:r w:rsidRPr="00B457F5">
        <w:rPr>
          <w:rStyle w:val="contentpasted1"/>
          <w:rFonts w:ascii="Garamond" w:hAnsi="Garamond" w:cs="Times New Roman"/>
          <w:color w:val="000000"/>
        </w:rPr>
        <w:t xml:space="preserve"> Ministrave</w:t>
      </w:r>
    </w:p>
    <w:p w14:paraId="2BEF3C6A" w14:textId="77777777" w:rsidR="00773C1D" w:rsidRPr="00B457F5" w:rsidRDefault="00773C1D" w:rsidP="00773C1D">
      <w:pPr>
        <w:pStyle w:val="BodyText"/>
        <w:spacing w:before="0" w:after="0" w:line="240" w:lineRule="auto"/>
        <w:ind w:firstLine="284"/>
        <w:contextualSpacing/>
        <w:rPr>
          <w:rFonts w:ascii="Garamond" w:hAnsi="Garamond" w:cs="Times New Roman"/>
        </w:rPr>
      </w:pPr>
    </w:p>
    <w:p w14:paraId="13ED746B" w14:textId="77777777" w:rsidR="00773C1D" w:rsidRPr="00B457F5" w:rsidRDefault="00773C1D" w:rsidP="00773C1D">
      <w:pPr>
        <w:pStyle w:val="Default"/>
        <w:ind w:firstLine="284"/>
        <w:contextualSpacing/>
        <w:jc w:val="center"/>
        <w:rPr>
          <w:rFonts w:ascii="Garamond" w:hAnsi="Garamond"/>
          <w:bCs/>
          <w:lang w:val="sq-AL"/>
        </w:rPr>
      </w:pPr>
      <w:r w:rsidRPr="00B457F5">
        <w:rPr>
          <w:rFonts w:ascii="Garamond" w:hAnsi="Garamond"/>
          <w:bCs/>
          <w:lang w:val="sq-AL"/>
        </w:rPr>
        <w:t>VENDOSI:</w:t>
      </w:r>
    </w:p>
    <w:p w14:paraId="1797F268" w14:textId="77777777" w:rsidR="00773C1D" w:rsidRPr="00B457F5" w:rsidRDefault="00773C1D" w:rsidP="00773C1D">
      <w:pPr>
        <w:spacing w:before="0" w:after="0"/>
        <w:ind w:firstLine="284"/>
        <w:contextualSpacing/>
        <w:rPr>
          <w:rFonts w:ascii="Garamond" w:hAnsi="Garamond" w:cs="Times New Roman"/>
          <w:color w:val="000000"/>
          <w:szCs w:val="24"/>
        </w:rPr>
      </w:pPr>
      <w:r w:rsidRPr="00B457F5">
        <w:rPr>
          <w:rFonts w:ascii="Garamond" w:eastAsia="Garamond" w:hAnsi="Garamond" w:cs="Times New Roman"/>
          <w:color w:val="000000"/>
          <w:szCs w:val="24"/>
        </w:rPr>
        <w:t> </w:t>
      </w:r>
    </w:p>
    <w:p w14:paraId="3B3B48D6" w14:textId="4A715D52" w:rsidR="00773C1D" w:rsidRPr="00B457F5" w:rsidRDefault="00773C1D" w:rsidP="00773C1D">
      <w:pPr>
        <w:pStyle w:val="NoSpacing"/>
        <w:ind w:firstLine="284"/>
        <w:contextualSpacing/>
        <w:jc w:val="both"/>
        <w:rPr>
          <w:rFonts w:ascii="Garamond" w:hAnsi="Garamond" w:cs="Times New Roman"/>
          <w:sz w:val="24"/>
          <w:szCs w:val="24"/>
          <w:lang w:val="sq-AL"/>
        </w:rPr>
      </w:pPr>
      <w:r w:rsidRPr="00B457F5">
        <w:rPr>
          <w:rStyle w:val="contentpasted1"/>
          <w:rFonts w:ascii="Garamond" w:hAnsi="Garamond" w:cs="Times New Roman"/>
          <w:color w:val="000000"/>
          <w:lang w:val="sq-AL"/>
        </w:rPr>
        <w:t>1. Miratimin </w:t>
      </w:r>
      <w:r w:rsidRPr="00B457F5">
        <w:rPr>
          <w:rFonts w:ascii="Garamond" w:hAnsi="Garamond" w:cs="Times New Roman"/>
          <w:sz w:val="24"/>
          <w:szCs w:val="24"/>
          <w:lang w:val="sq-AL"/>
        </w:rPr>
        <w:t>e</w:t>
      </w:r>
      <w:r w:rsidRPr="00B457F5">
        <w:rPr>
          <w:rStyle w:val="contentpasted1"/>
          <w:rFonts w:ascii="Garamond" w:hAnsi="Garamond" w:cs="Times New Roman"/>
          <w:color w:val="000000"/>
          <w:lang w:val="sq-AL"/>
        </w:rPr>
        <w:t xml:space="preserve"> Strategjisë Kombëtare për Migracionin 2024</w:t>
      </w:r>
      <w:r w:rsidR="00A313AE" w:rsidRPr="00B457F5">
        <w:rPr>
          <w:rStyle w:val="contentpasted1"/>
          <w:rFonts w:ascii="Garamond" w:hAnsi="Garamond" w:cs="Times New Roman"/>
          <w:color w:val="000000"/>
          <w:lang w:val="sq-AL"/>
        </w:rPr>
        <w:t>–</w:t>
      </w:r>
      <w:r w:rsidRPr="00B457F5">
        <w:rPr>
          <w:rStyle w:val="contentpasted1"/>
          <w:rFonts w:ascii="Garamond" w:hAnsi="Garamond" w:cs="Times New Roman"/>
          <w:color w:val="000000"/>
          <w:lang w:val="sq-AL"/>
        </w:rPr>
        <w:t xml:space="preserve">2030 </w:t>
      </w:r>
      <w:r w:rsidRPr="00B457F5">
        <w:rPr>
          <w:rFonts w:ascii="Garamond" w:hAnsi="Garamond" w:cs="Times New Roman"/>
          <w:sz w:val="24"/>
          <w:szCs w:val="24"/>
          <w:lang w:val="sq-AL"/>
        </w:rPr>
        <w:t>dhe</w:t>
      </w:r>
      <w:r w:rsidRPr="00B457F5">
        <w:rPr>
          <w:rStyle w:val="contentpasted1"/>
          <w:rFonts w:ascii="Garamond" w:hAnsi="Garamond" w:cs="Times New Roman"/>
          <w:color w:val="000000"/>
          <w:lang w:val="sq-AL"/>
        </w:rPr>
        <w:t xml:space="preserve"> </w:t>
      </w:r>
      <w:r w:rsidRPr="00B457F5">
        <w:rPr>
          <w:rStyle w:val="contentpasted1"/>
          <w:rFonts w:ascii="Garamond" w:eastAsia="Garamond" w:hAnsi="Garamond" w:cs="Times New Roman"/>
          <w:bCs/>
          <w:color w:val="000000"/>
          <w:lang w:val="sq-AL"/>
        </w:rPr>
        <w:t>të</w:t>
      </w:r>
      <w:r w:rsidRPr="00B457F5">
        <w:rPr>
          <w:rStyle w:val="contentpasted1"/>
          <w:rFonts w:ascii="Garamond" w:hAnsi="Garamond" w:cs="Times New Roman"/>
          <w:color w:val="000000"/>
          <w:lang w:val="sq-AL"/>
        </w:rPr>
        <w:t xml:space="preserve"> planit </w:t>
      </w:r>
      <w:r w:rsidRPr="00B457F5">
        <w:rPr>
          <w:rFonts w:ascii="Garamond" w:hAnsi="Garamond" w:cs="Times New Roman"/>
          <w:sz w:val="24"/>
          <w:szCs w:val="24"/>
          <w:lang w:val="sq-AL"/>
        </w:rPr>
        <w:t>të saj të</w:t>
      </w:r>
      <w:r w:rsidRPr="00B457F5">
        <w:rPr>
          <w:rStyle w:val="contentpasted1"/>
          <w:rFonts w:ascii="Garamond" w:hAnsi="Garamond" w:cs="Times New Roman"/>
          <w:color w:val="000000"/>
          <w:lang w:val="sq-AL"/>
        </w:rPr>
        <w:t xml:space="preserve"> veprimit </w:t>
      </w:r>
      <w:r w:rsidRPr="00B457F5">
        <w:rPr>
          <w:rFonts w:ascii="Garamond" w:hAnsi="Garamond" w:cs="Times New Roman"/>
          <w:sz w:val="24"/>
          <w:szCs w:val="24"/>
          <w:lang w:val="sq-AL"/>
        </w:rPr>
        <w:t>2024</w:t>
      </w:r>
      <w:r w:rsidR="00A313AE" w:rsidRPr="00B457F5">
        <w:rPr>
          <w:rStyle w:val="contentpasted1"/>
          <w:rFonts w:ascii="Garamond" w:hAnsi="Garamond" w:cs="Times New Roman"/>
          <w:color w:val="000000"/>
          <w:lang w:val="sq-AL"/>
        </w:rPr>
        <w:t>–</w:t>
      </w:r>
      <w:r w:rsidRPr="00B457F5">
        <w:rPr>
          <w:rFonts w:ascii="Garamond" w:hAnsi="Garamond" w:cs="Times New Roman"/>
          <w:sz w:val="24"/>
          <w:szCs w:val="24"/>
          <w:lang w:val="sq-AL"/>
        </w:rPr>
        <w:t>2026,</w:t>
      </w:r>
      <w:r w:rsidRPr="00B457F5">
        <w:rPr>
          <w:rStyle w:val="contentpasted1"/>
          <w:rFonts w:ascii="Garamond" w:hAnsi="Garamond" w:cs="Times New Roman"/>
          <w:color w:val="000000"/>
          <w:lang w:val="sq-AL"/>
        </w:rPr>
        <w:t xml:space="preserve"> sipas tekstit që </w:t>
      </w:r>
      <w:r w:rsidRPr="00B457F5">
        <w:rPr>
          <w:rFonts w:ascii="Garamond" w:hAnsi="Garamond" w:cs="Times New Roman"/>
          <w:sz w:val="24"/>
          <w:szCs w:val="24"/>
          <w:lang w:val="sq-AL"/>
        </w:rPr>
        <w:t>i</w:t>
      </w:r>
      <w:r w:rsidRPr="00B457F5">
        <w:rPr>
          <w:rStyle w:val="contentpasted1"/>
          <w:rFonts w:ascii="Garamond" w:hAnsi="Garamond" w:cs="Times New Roman"/>
          <w:color w:val="000000"/>
          <w:lang w:val="sq-AL"/>
        </w:rPr>
        <w:t xml:space="preserve"> bashkëlidhet </w:t>
      </w:r>
      <w:r w:rsidRPr="00B457F5">
        <w:rPr>
          <w:rFonts w:ascii="Garamond" w:hAnsi="Garamond" w:cs="Times New Roman"/>
          <w:sz w:val="24"/>
          <w:szCs w:val="24"/>
          <w:lang w:val="sq-AL"/>
        </w:rPr>
        <w:t>këtij</w:t>
      </w:r>
      <w:r w:rsidRPr="00B457F5">
        <w:rPr>
          <w:rStyle w:val="contentpasted1"/>
          <w:rFonts w:ascii="Garamond" w:hAnsi="Garamond" w:cs="Times New Roman"/>
          <w:color w:val="000000"/>
          <w:lang w:val="sq-AL"/>
        </w:rPr>
        <w:t xml:space="preserve"> vendimi </w:t>
      </w:r>
      <w:r w:rsidRPr="00B457F5">
        <w:rPr>
          <w:rFonts w:ascii="Garamond" w:hAnsi="Garamond" w:cs="Times New Roman"/>
          <w:sz w:val="24"/>
          <w:szCs w:val="24"/>
          <w:lang w:val="sq-AL"/>
        </w:rPr>
        <w:t>dhe</w:t>
      </w:r>
      <w:r w:rsidRPr="00B457F5">
        <w:rPr>
          <w:rStyle w:val="contentpasted1"/>
          <w:rFonts w:ascii="Garamond" w:hAnsi="Garamond" w:cs="Times New Roman"/>
          <w:color w:val="000000"/>
          <w:lang w:val="sq-AL"/>
        </w:rPr>
        <w:t xml:space="preserve"> është pjesë përbërëse </w:t>
      </w:r>
      <w:r w:rsidRPr="00B457F5">
        <w:rPr>
          <w:rFonts w:ascii="Garamond" w:hAnsi="Garamond" w:cs="Times New Roman"/>
          <w:sz w:val="24"/>
          <w:szCs w:val="24"/>
          <w:lang w:val="sq-AL"/>
        </w:rPr>
        <w:t>e</w:t>
      </w:r>
      <w:r w:rsidRPr="00B457F5">
        <w:rPr>
          <w:rStyle w:val="contentpasted1"/>
          <w:rFonts w:ascii="Garamond" w:hAnsi="Garamond" w:cs="Times New Roman"/>
          <w:color w:val="000000"/>
          <w:lang w:val="sq-AL"/>
        </w:rPr>
        <w:t xml:space="preserve"> </w:t>
      </w:r>
      <w:r w:rsidRPr="00B457F5">
        <w:rPr>
          <w:rFonts w:ascii="Garamond" w:hAnsi="Garamond" w:cs="Times New Roman"/>
          <w:sz w:val="24"/>
          <w:szCs w:val="24"/>
          <w:lang w:val="sq-AL"/>
        </w:rPr>
        <w:t>tij.</w:t>
      </w:r>
    </w:p>
    <w:p w14:paraId="6C661766" w14:textId="77777777" w:rsidR="00773C1D" w:rsidRPr="00B457F5" w:rsidRDefault="00773C1D" w:rsidP="00773C1D">
      <w:pPr>
        <w:pStyle w:val="NoSpacing"/>
        <w:ind w:firstLine="284"/>
        <w:contextualSpacing/>
        <w:jc w:val="both"/>
        <w:rPr>
          <w:rStyle w:val="contentpasted1"/>
          <w:rFonts w:ascii="Garamond" w:hAnsi="Garamond" w:cs="Times New Roman"/>
          <w:lang w:val="sq-AL"/>
        </w:rPr>
      </w:pPr>
      <w:r w:rsidRPr="00B457F5">
        <w:rPr>
          <w:rStyle w:val="contentpasted1"/>
          <w:rFonts w:ascii="Garamond" w:hAnsi="Garamond" w:cs="Times New Roman"/>
          <w:color w:val="000000"/>
          <w:lang w:val="sq-AL"/>
        </w:rPr>
        <w:t xml:space="preserve">2. Ngarkohen </w:t>
      </w:r>
      <w:r w:rsidRPr="00B457F5">
        <w:rPr>
          <w:rFonts w:ascii="Garamond" w:hAnsi="Garamond" w:cs="Times New Roman"/>
          <w:sz w:val="24"/>
          <w:szCs w:val="24"/>
          <w:lang w:val="sq-AL"/>
        </w:rPr>
        <w:t>të</w:t>
      </w:r>
      <w:r w:rsidRPr="00B457F5">
        <w:rPr>
          <w:rStyle w:val="contentpasted1"/>
          <w:rFonts w:ascii="Garamond" w:hAnsi="Garamond" w:cs="Times New Roman"/>
          <w:color w:val="000000"/>
          <w:lang w:val="sq-AL"/>
        </w:rPr>
        <w:t xml:space="preserve"> </w:t>
      </w:r>
      <w:r w:rsidRPr="00B457F5">
        <w:rPr>
          <w:rFonts w:ascii="Garamond" w:hAnsi="Garamond" w:cs="Times New Roman"/>
          <w:sz w:val="24"/>
          <w:szCs w:val="24"/>
          <w:lang w:val="sq-AL"/>
        </w:rPr>
        <w:t>gjitha</w:t>
      </w:r>
      <w:r w:rsidRPr="00B457F5">
        <w:rPr>
          <w:rStyle w:val="contentpasted1"/>
          <w:rFonts w:ascii="Garamond" w:hAnsi="Garamond" w:cs="Times New Roman"/>
          <w:color w:val="000000"/>
          <w:lang w:val="sq-AL"/>
        </w:rPr>
        <w:t xml:space="preserve"> ministritë </w:t>
      </w:r>
      <w:r w:rsidRPr="00B457F5">
        <w:rPr>
          <w:rFonts w:ascii="Garamond" w:hAnsi="Garamond" w:cs="Times New Roman"/>
          <w:sz w:val="24"/>
          <w:szCs w:val="24"/>
          <w:lang w:val="sq-AL"/>
        </w:rPr>
        <w:t>e</w:t>
      </w:r>
      <w:r w:rsidRPr="00B457F5">
        <w:rPr>
          <w:rStyle w:val="contentpasted1"/>
          <w:rFonts w:ascii="Garamond" w:hAnsi="Garamond" w:cs="Times New Roman"/>
          <w:color w:val="000000"/>
          <w:lang w:val="sq-AL"/>
        </w:rPr>
        <w:t xml:space="preserve"> </w:t>
      </w:r>
      <w:r w:rsidRPr="00B457F5">
        <w:rPr>
          <w:rFonts w:ascii="Garamond" w:hAnsi="Garamond" w:cs="Times New Roman"/>
          <w:sz w:val="24"/>
          <w:szCs w:val="24"/>
          <w:lang w:val="sq-AL"/>
        </w:rPr>
        <w:t>linjës</w:t>
      </w:r>
      <w:r w:rsidRPr="00B457F5">
        <w:rPr>
          <w:rStyle w:val="contentpasted1"/>
          <w:rFonts w:ascii="Garamond" w:hAnsi="Garamond" w:cs="Times New Roman"/>
          <w:color w:val="000000"/>
          <w:lang w:val="sq-AL"/>
        </w:rPr>
        <w:t xml:space="preserve"> </w:t>
      </w:r>
      <w:r w:rsidRPr="00B457F5">
        <w:rPr>
          <w:rFonts w:ascii="Garamond" w:hAnsi="Garamond" w:cs="Times New Roman"/>
          <w:sz w:val="24"/>
          <w:szCs w:val="24"/>
          <w:lang w:val="sq-AL"/>
        </w:rPr>
        <w:t>dhe</w:t>
      </w:r>
      <w:r w:rsidRPr="00B457F5">
        <w:rPr>
          <w:rStyle w:val="contentpasted1"/>
          <w:rFonts w:ascii="Garamond" w:hAnsi="Garamond" w:cs="Times New Roman"/>
          <w:color w:val="000000"/>
          <w:lang w:val="sq-AL"/>
        </w:rPr>
        <w:t xml:space="preserve"> institucionet qendrore, për </w:t>
      </w:r>
      <w:r w:rsidRPr="00B457F5">
        <w:rPr>
          <w:rFonts w:ascii="Garamond" w:hAnsi="Garamond" w:cs="Times New Roman"/>
          <w:sz w:val="24"/>
          <w:szCs w:val="24"/>
          <w:lang w:val="sq-AL"/>
        </w:rPr>
        <w:t>të</w:t>
      </w:r>
      <w:r w:rsidRPr="00B457F5">
        <w:rPr>
          <w:rStyle w:val="contentpasted1"/>
          <w:rFonts w:ascii="Garamond" w:hAnsi="Garamond" w:cs="Times New Roman"/>
          <w:color w:val="000000"/>
          <w:lang w:val="sq-AL"/>
        </w:rPr>
        <w:t xml:space="preserve"> cilat në strategji </w:t>
      </w:r>
      <w:r w:rsidRPr="00B457F5">
        <w:rPr>
          <w:rFonts w:ascii="Garamond" w:hAnsi="Garamond" w:cs="Times New Roman"/>
          <w:sz w:val="24"/>
          <w:szCs w:val="24"/>
          <w:lang w:val="sq-AL"/>
        </w:rPr>
        <w:t>dhe</w:t>
      </w:r>
      <w:r w:rsidRPr="00B457F5">
        <w:rPr>
          <w:rStyle w:val="contentpasted1"/>
          <w:rFonts w:ascii="Garamond" w:hAnsi="Garamond" w:cs="Times New Roman"/>
          <w:color w:val="000000"/>
          <w:lang w:val="sq-AL"/>
        </w:rPr>
        <w:t xml:space="preserve"> në planin</w:t>
      </w:r>
      <w:r w:rsidRPr="00B457F5">
        <w:rPr>
          <w:rFonts w:ascii="Garamond" w:hAnsi="Garamond" w:cs="Times New Roman"/>
          <w:sz w:val="24"/>
          <w:szCs w:val="24"/>
          <w:lang w:val="sq-AL"/>
        </w:rPr>
        <w:t xml:space="preserve"> e </w:t>
      </w:r>
      <w:r w:rsidRPr="00B457F5">
        <w:rPr>
          <w:rStyle w:val="contentpasted1"/>
          <w:rFonts w:ascii="Garamond" w:hAnsi="Garamond" w:cs="Times New Roman"/>
          <w:color w:val="000000"/>
          <w:lang w:val="sq-AL"/>
        </w:rPr>
        <w:t xml:space="preserve">veprimit janë përcaktuar detyra </w:t>
      </w:r>
      <w:r w:rsidRPr="00B457F5">
        <w:rPr>
          <w:rFonts w:ascii="Garamond" w:hAnsi="Garamond" w:cs="Times New Roman"/>
          <w:sz w:val="24"/>
          <w:szCs w:val="24"/>
          <w:lang w:val="sq-AL"/>
        </w:rPr>
        <w:t>të</w:t>
      </w:r>
      <w:r w:rsidRPr="00B457F5">
        <w:rPr>
          <w:rStyle w:val="contentpasted1"/>
          <w:rFonts w:ascii="Garamond" w:hAnsi="Garamond" w:cs="Times New Roman"/>
          <w:color w:val="000000"/>
          <w:lang w:val="sq-AL"/>
        </w:rPr>
        <w:t xml:space="preserve"> veçanta, për zbatimin </w:t>
      </w:r>
      <w:r w:rsidRPr="00B457F5">
        <w:rPr>
          <w:rFonts w:ascii="Garamond" w:hAnsi="Garamond" w:cs="Times New Roman"/>
          <w:sz w:val="24"/>
          <w:szCs w:val="24"/>
          <w:lang w:val="sq-AL"/>
        </w:rPr>
        <w:t>e</w:t>
      </w:r>
      <w:r w:rsidRPr="00B457F5">
        <w:rPr>
          <w:rStyle w:val="contentpasted1"/>
          <w:rFonts w:ascii="Garamond" w:hAnsi="Garamond" w:cs="Times New Roman"/>
          <w:color w:val="000000"/>
          <w:lang w:val="sq-AL"/>
        </w:rPr>
        <w:t xml:space="preserve"> këtij vendimi.</w:t>
      </w:r>
    </w:p>
    <w:p w14:paraId="239CA635" w14:textId="77777777" w:rsidR="00773C1D" w:rsidRPr="00B457F5" w:rsidRDefault="00773C1D" w:rsidP="00773C1D">
      <w:pPr>
        <w:pStyle w:val="NoSpacing"/>
        <w:ind w:firstLine="284"/>
        <w:contextualSpacing/>
        <w:jc w:val="both"/>
        <w:rPr>
          <w:rStyle w:val="contentpasted1"/>
          <w:rFonts w:ascii="Garamond" w:hAnsi="Garamond" w:cs="Times New Roman"/>
          <w:lang w:val="sq-AL"/>
        </w:rPr>
      </w:pPr>
      <w:r w:rsidRPr="00B457F5">
        <w:rPr>
          <w:rFonts w:ascii="Garamond" w:hAnsi="Garamond" w:cs="Times New Roman"/>
          <w:sz w:val="24"/>
          <w:szCs w:val="24"/>
          <w:lang w:val="sq-AL"/>
        </w:rPr>
        <w:t>Ky</w:t>
      </w:r>
      <w:r w:rsidRPr="00B457F5">
        <w:rPr>
          <w:rStyle w:val="contentpasted1"/>
          <w:rFonts w:ascii="Garamond" w:hAnsi="Garamond" w:cs="Times New Roman"/>
          <w:color w:val="000000"/>
          <w:lang w:val="sq-AL"/>
        </w:rPr>
        <w:t xml:space="preserve"> vendim </w:t>
      </w:r>
      <w:r w:rsidRPr="00B457F5">
        <w:rPr>
          <w:rFonts w:ascii="Garamond" w:hAnsi="Garamond" w:cs="Times New Roman"/>
          <w:sz w:val="24"/>
          <w:szCs w:val="24"/>
          <w:lang w:val="sq-AL"/>
        </w:rPr>
        <w:t>hyn</w:t>
      </w:r>
      <w:r w:rsidRPr="00B457F5">
        <w:rPr>
          <w:rStyle w:val="contentpasted1"/>
          <w:rFonts w:ascii="Garamond" w:hAnsi="Garamond" w:cs="Times New Roman"/>
          <w:color w:val="000000"/>
          <w:lang w:val="sq-AL"/>
        </w:rPr>
        <w:t xml:space="preserve"> në </w:t>
      </w:r>
      <w:r w:rsidRPr="00B457F5">
        <w:rPr>
          <w:rFonts w:ascii="Garamond" w:hAnsi="Garamond" w:cs="Times New Roman"/>
          <w:sz w:val="24"/>
          <w:szCs w:val="24"/>
          <w:lang w:val="sq-AL"/>
        </w:rPr>
        <w:t>fuqi</w:t>
      </w:r>
      <w:r w:rsidRPr="00B457F5">
        <w:rPr>
          <w:rStyle w:val="contentpasted1"/>
          <w:rFonts w:ascii="Garamond" w:hAnsi="Garamond" w:cs="Times New Roman"/>
          <w:color w:val="000000"/>
          <w:lang w:val="sq-AL"/>
        </w:rPr>
        <w:t xml:space="preserve"> pas botimit në Fletoren Zyrtare.</w:t>
      </w:r>
    </w:p>
    <w:p w14:paraId="4BA1065C" w14:textId="77777777" w:rsidR="00773C1D" w:rsidRPr="00B457F5" w:rsidRDefault="00773C1D" w:rsidP="00773C1D">
      <w:pPr>
        <w:spacing w:before="0" w:after="0"/>
        <w:ind w:firstLine="284"/>
        <w:jc w:val="right"/>
        <w:rPr>
          <w:rFonts w:ascii="Garamond" w:eastAsia="Times New Roman" w:hAnsi="Garamond" w:cs="Times New Roman"/>
          <w:b/>
          <w:bCs/>
          <w:szCs w:val="24"/>
          <w:lang w:bidi="en-US"/>
        </w:rPr>
      </w:pPr>
    </w:p>
    <w:p w14:paraId="7B7DDFB8" w14:textId="77777777" w:rsidR="00773C1D" w:rsidRPr="00B457F5" w:rsidRDefault="00773C1D" w:rsidP="00773C1D">
      <w:pPr>
        <w:spacing w:before="0" w:after="0"/>
        <w:ind w:firstLine="284"/>
        <w:jc w:val="right"/>
        <w:rPr>
          <w:rFonts w:ascii="Garamond" w:eastAsia="Times New Roman" w:hAnsi="Garamond" w:cs="Times New Roman"/>
          <w:bCs/>
          <w:szCs w:val="24"/>
          <w:lang w:bidi="en-US"/>
        </w:rPr>
      </w:pPr>
      <w:r w:rsidRPr="00B457F5">
        <w:rPr>
          <w:rFonts w:ascii="Garamond" w:eastAsia="Times New Roman" w:hAnsi="Garamond" w:cs="Times New Roman"/>
          <w:bCs/>
          <w:szCs w:val="24"/>
          <w:lang w:bidi="en-US"/>
        </w:rPr>
        <w:t>ZËVENDËSKRYEMINISTËR</w:t>
      </w:r>
    </w:p>
    <w:p w14:paraId="26FC900E" w14:textId="77777777" w:rsidR="00773C1D" w:rsidRPr="00B457F5" w:rsidRDefault="00773C1D" w:rsidP="00773C1D">
      <w:pPr>
        <w:spacing w:before="0" w:after="0"/>
        <w:ind w:firstLine="284"/>
        <w:jc w:val="right"/>
        <w:rPr>
          <w:rFonts w:ascii="Garamond" w:hAnsi="Garamond" w:cs="Times New Roman"/>
          <w:szCs w:val="24"/>
        </w:rPr>
      </w:pPr>
      <w:r w:rsidRPr="00B457F5">
        <w:rPr>
          <w:rFonts w:ascii="Garamond" w:eastAsia="Times New Roman" w:hAnsi="Garamond" w:cs="Times New Roman"/>
          <w:b/>
          <w:bCs/>
          <w:szCs w:val="24"/>
          <w:lang w:bidi="en-US"/>
        </w:rPr>
        <w:t>Belinda Balluku</w:t>
      </w:r>
    </w:p>
    <w:p w14:paraId="19927A31" w14:textId="77777777" w:rsidR="00773C1D" w:rsidRPr="00B457F5" w:rsidRDefault="00773C1D" w:rsidP="00773C1D">
      <w:pPr>
        <w:spacing w:before="0" w:after="0"/>
        <w:ind w:firstLine="284"/>
        <w:rPr>
          <w:rFonts w:ascii="Garamond" w:hAnsi="Garamond" w:cs="Times New Roman"/>
          <w:szCs w:val="24"/>
        </w:rPr>
      </w:pPr>
    </w:p>
    <w:p w14:paraId="0FEB9532" w14:textId="080A993C" w:rsidR="002E693B" w:rsidRPr="00B457F5" w:rsidRDefault="002E693B" w:rsidP="002E693B">
      <w:pPr>
        <w:spacing w:before="0" w:after="0"/>
        <w:ind w:firstLine="284"/>
        <w:rPr>
          <w:rFonts w:ascii="Garamond" w:hAnsi="Garamond" w:cs="Times New Roman"/>
          <w:szCs w:val="24"/>
        </w:rPr>
      </w:pPr>
      <w:r w:rsidRPr="00B457F5">
        <w:rPr>
          <w:rFonts w:ascii="Garamond" w:hAnsi="Garamond" w:cs="Times New Roman"/>
          <w:szCs w:val="24"/>
        </w:rPr>
        <w:t xml:space="preserve">PASQYRA E LËNDËS </w:t>
      </w:r>
    </w:p>
    <w:p w14:paraId="5BC7576F" w14:textId="5FDD277D" w:rsidR="002E693B" w:rsidRPr="00B457F5" w:rsidRDefault="002E693B" w:rsidP="002E693B">
      <w:pPr>
        <w:spacing w:before="0" w:after="0"/>
        <w:ind w:firstLine="284"/>
        <w:rPr>
          <w:rFonts w:ascii="Garamond" w:hAnsi="Garamond" w:cs="Times New Roman"/>
          <w:szCs w:val="24"/>
        </w:rPr>
      </w:pPr>
      <w:r w:rsidRPr="00B457F5">
        <w:rPr>
          <w:rFonts w:ascii="Garamond" w:hAnsi="Garamond" w:cs="Times New Roman"/>
          <w:szCs w:val="24"/>
        </w:rPr>
        <w:t>PJESA I</w:t>
      </w:r>
      <w:r w:rsidR="00A313AE" w:rsidRPr="00B457F5">
        <w:rPr>
          <w:rFonts w:ascii="Garamond" w:hAnsi="Garamond" w:cs="Times New Roman"/>
          <w:szCs w:val="24"/>
        </w:rPr>
        <w:t xml:space="preserve"> </w:t>
      </w:r>
      <w:r w:rsidR="00A313AE" w:rsidRPr="00B457F5">
        <w:rPr>
          <w:rStyle w:val="contentpasted1"/>
          <w:rFonts w:ascii="Garamond" w:hAnsi="Garamond" w:cs="Times New Roman"/>
          <w:color w:val="000000"/>
        </w:rPr>
        <w:t xml:space="preserve">– </w:t>
      </w:r>
      <w:r w:rsidRPr="00B457F5">
        <w:rPr>
          <w:rFonts w:ascii="Garamond" w:hAnsi="Garamond" w:cs="Times New Roman"/>
          <w:szCs w:val="24"/>
        </w:rPr>
        <w:t>KONTEKSTI STRATEGJIK</w:t>
      </w:r>
    </w:p>
    <w:p w14:paraId="097226FA" w14:textId="79A1911B" w:rsidR="002E693B" w:rsidRPr="00B457F5" w:rsidRDefault="002E693B" w:rsidP="002E693B">
      <w:pPr>
        <w:spacing w:before="0" w:after="0"/>
        <w:ind w:firstLine="284"/>
        <w:rPr>
          <w:rFonts w:ascii="Garamond" w:hAnsi="Garamond" w:cs="Times New Roman"/>
          <w:szCs w:val="24"/>
        </w:rPr>
      </w:pPr>
      <w:r w:rsidRPr="00B457F5">
        <w:rPr>
          <w:rFonts w:ascii="Garamond" w:hAnsi="Garamond" w:cs="Times New Roman"/>
          <w:szCs w:val="24"/>
        </w:rPr>
        <w:t xml:space="preserve">Hyrja dhe </w:t>
      </w:r>
      <w:r w:rsidR="00A313AE" w:rsidRPr="00B457F5">
        <w:rPr>
          <w:rFonts w:ascii="Garamond" w:hAnsi="Garamond" w:cs="Times New Roman"/>
          <w:szCs w:val="24"/>
        </w:rPr>
        <w:t>qëllimi i dokumentit</w:t>
      </w:r>
    </w:p>
    <w:p w14:paraId="7B4DFCA3" w14:textId="4D9F0588" w:rsidR="002E693B" w:rsidRPr="00B457F5" w:rsidRDefault="002E693B" w:rsidP="002E693B">
      <w:pPr>
        <w:spacing w:before="0" w:after="0"/>
        <w:ind w:firstLine="284"/>
        <w:rPr>
          <w:rFonts w:ascii="Garamond" w:hAnsi="Garamond" w:cs="Times New Roman"/>
          <w:szCs w:val="24"/>
        </w:rPr>
      </w:pPr>
      <w:r w:rsidRPr="00B457F5">
        <w:rPr>
          <w:rFonts w:ascii="Garamond" w:hAnsi="Garamond" w:cs="Times New Roman"/>
          <w:szCs w:val="24"/>
        </w:rPr>
        <w:t xml:space="preserve">Kuadri </w:t>
      </w:r>
      <w:r w:rsidR="00A313AE" w:rsidRPr="00B457F5">
        <w:rPr>
          <w:rFonts w:ascii="Garamond" w:hAnsi="Garamond" w:cs="Times New Roman"/>
          <w:szCs w:val="24"/>
        </w:rPr>
        <w:t>ligjor dhe institucional, arritjet, dhe mësimet e nxjerra</w:t>
      </w:r>
    </w:p>
    <w:p w14:paraId="79E205C7" w14:textId="4BB60607" w:rsidR="002E693B" w:rsidRPr="00B457F5" w:rsidRDefault="002E693B" w:rsidP="002E693B">
      <w:pPr>
        <w:spacing w:before="0" w:after="0"/>
        <w:ind w:firstLine="284"/>
        <w:rPr>
          <w:rFonts w:ascii="Garamond" w:hAnsi="Garamond" w:cs="Times New Roman"/>
          <w:szCs w:val="24"/>
        </w:rPr>
      </w:pPr>
      <w:r w:rsidRPr="00B457F5">
        <w:rPr>
          <w:rFonts w:ascii="Garamond" w:hAnsi="Garamond" w:cs="Times New Roman"/>
          <w:szCs w:val="24"/>
        </w:rPr>
        <w:t xml:space="preserve">Kuadri </w:t>
      </w:r>
      <w:r w:rsidR="00A313AE" w:rsidRPr="00B457F5">
        <w:rPr>
          <w:rFonts w:ascii="Garamond" w:hAnsi="Garamond" w:cs="Times New Roman"/>
          <w:szCs w:val="24"/>
        </w:rPr>
        <w:t>strategjik kombëtar</w:t>
      </w:r>
    </w:p>
    <w:p w14:paraId="6F049A34" w14:textId="1BABBD44" w:rsidR="002E693B" w:rsidRPr="00B457F5" w:rsidRDefault="002E693B" w:rsidP="002E693B">
      <w:pPr>
        <w:spacing w:before="0" w:after="0"/>
        <w:ind w:firstLine="284"/>
        <w:rPr>
          <w:rFonts w:ascii="Garamond" w:hAnsi="Garamond" w:cs="Times New Roman"/>
          <w:szCs w:val="24"/>
        </w:rPr>
      </w:pPr>
      <w:r w:rsidRPr="00B457F5">
        <w:rPr>
          <w:rFonts w:ascii="Garamond" w:hAnsi="Garamond" w:cs="Times New Roman"/>
          <w:szCs w:val="24"/>
        </w:rPr>
        <w:t xml:space="preserve">Kuadri ndërkombëtar dhe </w:t>
      </w:r>
      <w:r w:rsidR="00A313AE" w:rsidRPr="00B457F5">
        <w:rPr>
          <w:rFonts w:ascii="Garamond" w:hAnsi="Garamond" w:cs="Times New Roman"/>
          <w:szCs w:val="24"/>
        </w:rPr>
        <w:t>dokumente</w:t>
      </w:r>
      <w:r w:rsidRPr="00B457F5">
        <w:rPr>
          <w:rFonts w:ascii="Garamond" w:hAnsi="Garamond" w:cs="Times New Roman"/>
          <w:szCs w:val="24"/>
        </w:rPr>
        <w:t xml:space="preserve"> kryesore strategjike për Shqipërinë</w:t>
      </w:r>
    </w:p>
    <w:p w14:paraId="1E9CA0EC" w14:textId="01711C83" w:rsidR="002E693B" w:rsidRPr="00B457F5" w:rsidRDefault="002E693B" w:rsidP="002E693B">
      <w:pPr>
        <w:spacing w:before="0" w:after="0"/>
        <w:ind w:firstLine="284"/>
        <w:rPr>
          <w:rFonts w:ascii="Garamond" w:hAnsi="Garamond" w:cs="Times New Roman"/>
          <w:szCs w:val="24"/>
        </w:rPr>
      </w:pPr>
      <w:r w:rsidRPr="00B457F5">
        <w:rPr>
          <w:rFonts w:ascii="Garamond" w:hAnsi="Garamond" w:cs="Times New Roman"/>
          <w:szCs w:val="24"/>
        </w:rPr>
        <w:t xml:space="preserve">Kuadri </w:t>
      </w:r>
      <w:r w:rsidR="00A313AE" w:rsidRPr="00B457F5">
        <w:rPr>
          <w:rFonts w:ascii="Garamond" w:hAnsi="Garamond" w:cs="Times New Roman"/>
          <w:szCs w:val="24"/>
        </w:rPr>
        <w:t>ins</w:t>
      </w:r>
      <w:r w:rsidRPr="00B457F5">
        <w:rPr>
          <w:rFonts w:ascii="Garamond" w:hAnsi="Garamond" w:cs="Times New Roman"/>
          <w:szCs w:val="24"/>
        </w:rPr>
        <w:t xml:space="preserve">titucional </w:t>
      </w:r>
    </w:p>
    <w:p w14:paraId="79D64417" w14:textId="6DE045FE" w:rsidR="002E693B" w:rsidRPr="00B457F5" w:rsidRDefault="002E693B" w:rsidP="002E693B">
      <w:pPr>
        <w:spacing w:before="0" w:after="0"/>
        <w:ind w:firstLine="284"/>
        <w:rPr>
          <w:rFonts w:ascii="Garamond" w:hAnsi="Garamond" w:cs="Times New Roman"/>
          <w:szCs w:val="24"/>
        </w:rPr>
      </w:pPr>
      <w:r w:rsidRPr="00B457F5">
        <w:rPr>
          <w:rFonts w:ascii="Garamond" w:hAnsi="Garamond" w:cs="Times New Roman"/>
          <w:szCs w:val="24"/>
        </w:rPr>
        <w:t>Arritjet dhe mësimet e nxjerra për periudhën 2019</w:t>
      </w:r>
      <w:r w:rsidR="00A313AE" w:rsidRPr="00B457F5">
        <w:rPr>
          <w:rStyle w:val="contentpasted1"/>
          <w:rFonts w:ascii="Garamond" w:hAnsi="Garamond" w:cs="Times New Roman"/>
          <w:color w:val="000000"/>
        </w:rPr>
        <w:t>–</w:t>
      </w:r>
      <w:r w:rsidRPr="00B457F5">
        <w:rPr>
          <w:rFonts w:ascii="Garamond" w:hAnsi="Garamond" w:cs="Times New Roman"/>
          <w:szCs w:val="24"/>
        </w:rPr>
        <w:t xml:space="preserve">2022 </w:t>
      </w:r>
    </w:p>
    <w:p w14:paraId="2BFF15B3" w14:textId="10BFD985" w:rsidR="002E693B" w:rsidRPr="00B457F5" w:rsidRDefault="002E693B" w:rsidP="002E693B">
      <w:pPr>
        <w:spacing w:before="0" w:after="0"/>
        <w:ind w:firstLine="284"/>
        <w:rPr>
          <w:rFonts w:ascii="Garamond" w:hAnsi="Garamond" w:cs="Times New Roman"/>
          <w:szCs w:val="24"/>
        </w:rPr>
      </w:pPr>
      <w:r w:rsidRPr="00B457F5">
        <w:rPr>
          <w:rFonts w:ascii="Garamond" w:hAnsi="Garamond" w:cs="Times New Roman"/>
          <w:szCs w:val="24"/>
        </w:rPr>
        <w:t xml:space="preserve">Përmirësimi i </w:t>
      </w:r>
      <w:r w:rsidR="00A313AE" w:rsidRPr="00B457F5">
        <w:rPr>
          <w:rFonts w:ascii="Garamond" w:hAnsi="Garamond" w:cs="Times New Roman"/>
          <w:szCs w:val="24"/>
        </w:rPr>
        <w:t xml:space="preserve">cilësisë së të dhënave të migracionit </w:t>
      </w:r>
    </w:p>
    <w:p w14:paraId="73F04ADE" w14:textId="6E94308D" w:rsidR="002E693B" w:rsidRPr="00B457F5" w:rsidRDefault="002E693B" w:rsidP="002E693B">
      <w:pPr>
        <w:spacing w:before="0" w:after="0"/>
        <w:ind w:firstLine="284"/>
        <w:rPr>
          <w:rFonts w:ascii="Garamond" w:hAnsi="Garamond" w:cs="Times New Roman"/>
          <w:szCs w:val="24"/>
        </w:rPr>
      </w:pPr>
      <w:r w:rsidRPr="00B457F5">
        <w:rPr>
          <w:rFonts w:ascii="Garamond" w:hAnsi="Garamond" w:cs="Times New Roman"/>
          <w:szCs w:val="24"/>
        </w:rPr>
        <w:t xml:space="preserve">Zhvillimi </w:t>
      </w:r>
      <w:r w:rsidR="00A313AE" w:rsidRPr="00B457F5">
        <w:rPr>
          <w:rFonts w:ascii="Garamond" w:hAnsi="Garamond" w:cs="Times New Roman"/>
          <w:szCs w:val="24"/>
        </w:rPr>
        <w:t xml:space="preserve">i kuadrit ligjor </w:t>
      </w:r>
    </w:p>
    <w:p w14:paraId="6475147E" w14:textId="33DD515B" w:rsidR="002E693B" w:rsidRPr="00B457F5" w:rsidRDefault="002E693B" w:rsidP="002E693B">
      <w:pPr>
        <w:spacing w:before="0" w:after="0"/>
        <w:ind w:firstLine="284"/>
        <w:rPr>
          <w:rFonts w:ascii="Garamond" w:hAnsi="Garamond" w:cs="Times New Roman"/>
          <w:szCs w:val="24"/>
        </w:rPr>
      </w:pPr>
      <w:r w:rsidRPr="00B457F5">
        <w:rPr>
          <w:rFonts w:ascii="Garamond" w:hAnsi="Garamond" w:cs="Times New Roman"/>
          <w:szCs w:val="24"/>
        </w:rPr>
        <w:t xml:space="preserve">Qeverisja </w:t>
      </w:r>
      <w:r w:rsidR="00A313AE" w:rsidRPr="00B457F5">
        <w:rPr>
          <w:rFonts w:ascii="Garamond" w:hAnsi="Garamond" w:cs="Times New Roman"/>
          <w:szCs w:val="24"/>
        </w:rPr>
        <w:t xml:space="preserve">institucionale e migracionit </w:t>
      </w:r>
    </w:p>
    <w:p w14:paraId="7AA00AB3" w14:textId="260AF66A" w:rsidR="002E693B" w:rsidRPr="00B457F5" w:rsidRDefault="002E693B" w:rsidP="002E693B">
      <w:pPr>
        <w:spacing w:before="0" w:after="0"/>
        <w:ind w:firstLine="284"/>
        <w:rPr>
          <w:rFonts w:ascii="Garamond" w:hAnsi="Garamond" w:cs="Times New Roman"/>
          <w:szCs w:val="24"/>
        </w:rPr>
      </w:pPr>
      <w:r w:rsidRPr="00B457F5">
        <w:rPr>
          <w:rFonts w:ascii="Garamond" w:hAnsi="Garamond" w:cs="Times New Roman"/>
          <w:szCs w:val="24"/>
        </w:rPr>
        <w:t xml:space="preserve">Bashkëpunimet </w:t>
      </w:r>
      <w:r w:rsidR="00A313AE" w:rsidRPr="00B457F5">
        <w:rPr>
          <w:rFonts w:ascii="Garamond" w:hAnsi="Garamond" w:cs="Times New Roman"/>
          <w:szCs w:val="24"/>
        </w:rPr>
        <w:t xml:space="preserve">rajonale dhe ndërkombëtare </w:t>
      </w:r>
    </w:p>
    <w:p w14:paraId="68C76891" w14:textId="1330EDFF" w:rsidR="002E693B" w:rsidRPr="00B457F5" w:rsidRDefault="002E693B" w:rsidP="002E693B">
      <w:pPr>
        <w:spacing w:before="0" w:after="0"/>
        <w:ind w:firstLine="284"/>
        <w:rPr>
          <w:rFonts w:ascii="Garamond" w:hAnsi="Garamond" w:cs="Times New Roman"/>
          <w:szCs w:val="24"/>
        </w:rPr>
      </w:pPr>
      <w:r w:rsidRPr="00B457F5">
        <w:rPr>
          <w:rFonts w:ascii="Garamond" w:hAnsi="Garamond" w:cs="Times New Roman"/>
          <w:szCs w:val="24"/>
        </w:rPr>
        <w:t xml:space="preserve">Mësimet e </w:t>
      </w:r>
      <w:r w:rsidR="00A313AE" w:rsidRPr="00B457F5">
        <w:rPr>
          <w:rFonts w:ascii="Garamond" w:hAnsi="Garamond" w:cs="Times New Roman"/>
          <w:szCs w:val="24"/>
        </w:rPr>
        <w:t>nx</w:t>
      </w:r>
      <w:r w:rsidRPr="00B457F5">
        <w:rPr>
          <w:rFonts w:ascii="Garamond" w:hAnsi="Garamond" w:cs="Times New Roman"/>
          <w:szCs w:val="24"/>
        </w:rPr>
        <w:t xml:space="preserve">jerra </w:t>
      </w:r>
    </w:p>
    <w:p w14:paraId="4503601D" w14:textId="23BD0D29" w:rsidR="002E693B" w:rsidRPr="00B457F5" w:rsidRDefault="002E693B" w:rsidP="002E693B">
      <w:pPr>
        <w:spacing w:before="0" w:after="0"/>
        <w:ind w:firstLine="284"/>
        <w:rPr>
          <w:rFonts w:ascii="Garamond" w:hAnsi="Garamond" w:cs="Times New Roman"/>
          <w:szCs w:val="24"/>
        </w:rPr>
      </w:pPr>
      <w:r w:rsidRPr="00B457F5">
        <w:rPr>
          <w:rFonts w:ascii="Garamond" w:hAnsi="Garamond" w:cs="Times New Roman"/>
          <w:szCs w:val="24"/>
        </w:rPr>
        <w:t xml:space="preserve">Forcimi i sistemit të </w:t>
      </w:r>
      <w:r w:rsidR="00A313AE" w:rsidRPr="00B457F5">
        <w:rPr>
          <w:rFonts w:ascii="Garamond" w:hAnsi="Garamond" w:cs="Times New Roman"/>
          <w:szCs w:val="24"/>
        </w:rPr>
        <w:t>az</w:t>
      </w:r>
      <w:r w:rsidRPr="00B457F5">
        <w:rPr>
          <w:rFonts w:ascii="Garamond" w:hAnsi="Garamond" w:cs="Times New Roman"/>
          <w:szCs w:val="24"/>
        </w:rPr>
        <w:t xml:space="preserve">ilit </w:t>
      </w:r>
    </w:p>
    <w:p w14:paraId="2D8AFF6B" w14:textId="687444DC" w:rsidR="002E693B" w:rsidRPr="00B457F5" w:rsidRDefault="002E693B" w:rsidP="002E693B">
      <w:pPr>
        <w:spacing w:before="0" w:after="0"/>
        <w:ind w:firstLine="284"/>
        <w:rPr>
          <w:rFonts w:ascii="Garamond" w:hAnsi="Garamond" w:cs="Times New Roman"/>
          <w:szCs w:val="24"/>
        </w:rPr>
      </w:pPr>
      <w:r w:rsidRPr="00B457F5">
        <w:rPr>
          <w:rFonts w:ascii="Garamond" w:hAnsi="Garamond" w:cs="Times New Roman"/>
          <w:szCs w:val="24"/>
        </w:rPr>
        <w:t xml:space="preserve">Prespektiva </w:t>
      </w:r>
      <w:r w:rsidR="00A313AE" w:rsidRPr="00B457F5">
        <w:rPr>
          <w:rFonts w:ascii="Garamond" w:hAnsi="Garamond" w:cs="Times New Roman"/>
          <w:szCs w:val="24"/>
        </w:rPr>
        <w:t>gjinore</w:t>
      </w:r>
    </w:p>
    <w:p w14:paraId="48757F44" w14:textId="4F828E27" w:rsidR="002E693B" w:rsidRPr="00B457F5" w:rsidRDefault="002E693B" w:rsidP="002E693B">
      <w:pPr>
        <w:spacing w:before="0" w:after="0"/>
        <w:ind w:firstLine="284"/>
        <w:rPr>
          <w:rFonts w:ascii="Garamond" w:hAnsi="Garamond" w:cs="Times New Roman"/>
          <w:szCs w:val="24"/>
        </w:rPr>
      </w:pPr>
      <w:r w:rsidRPr="00B457F5">
        <w:rPr>
          <w:rFonts w:ascii="Garamond" w:hAnsi="Garamond" w:cs="Times New Roman"/>
          <w:szCs w:val="24"/>
        </w:rPr>
        <w:t xml:space="preserve">Vizioni i </w:t>
      </w:r>
      <w:r w:rsidR="00A313AE" w:rsidRPr="00B457F5">
        <w:rPr>
          <w:rFonts w:ascii="Garamond" w:hAnsi="Garamond" w:cs="Times New Roman"/>
          <w:szCs w:val="24"/>
        </w:rPr>
        <w:t>strategjisë</w:t>
      </w:r>
    </w:p>
    <w:p w14:paraId="5EA033E9" w14:textId="5E944D07" w:rsidR="002E693B" w:rsidRPr="00B457F5" w:rsidRDefault="002E693B" w:rsidP="002E693B">
      <w:pPr>
        <w:spacing w:before="0" w:after="0"/>
        <w:ind w:firstLine="284"/>
        <w:rPr>
          <w:rFonts w:ascii="Garamond" w:hAnsi="Garamond" w:cs="Times New Roman"/>
          <w:szCs w:val="24"/>
        </w:rPr>
      </w:pPr>
      <w:r w:rsidRPr="00B457F5">
        <w:rPr>
          <w:rFonts w:ascii="Garamond" w:hAnsi="Garamond" w:cs="Times New Roman"/>
          <w:szCs w:val="24"/>
        </w:rPr>
        <w:t>Vizioni</w:t>
      </w:r>
    </w:p>
    <w:p w14:paraId="42F4542D" w14:textId="43A92D04" w:rsidR="002E693B" w:rsidRPr="00B457F5" w:rsidRDefault="002E693B" w:rsidP="002E693B">
      <w:pPr>
        <w:spacing w:before="0" w:after="0"/>
        <w:ind w:firstLine="284"/>
        <w:rPr>
          <w:rFonts w:ascii="Garamond" w:hAnsi="Garamond" w:cs="Times New Roman"/>
          <w:szCs w:val="24"/>
        </w:rPr>
      </w:pPr>
      <w:r w:rsidRPr="00B457F5">
        <w:rPr>
          <w:rFonts w:ascii="Garamond" w:hAnsi="Garamond" w:cs="Times New Roman"/>
          <w:szCs w:val="24"/>
        </w:rPr>
        <w:t xml:space="preserve">Treguesit e </w:t>
      </w:r>
      <w:r w:rsidR="00A313AE" w:rsidRPr="00B457F5">
        <w:rPr>
          <w:rFonts w:ascii="Garamond" w:hAnsi="Garamond" w:cs="Times New Roman"/>
          <w:szCs w:val="24"/>
        </w:rPr>
        <w:t>ndikimit dhe treguesit e rezultateve</w:t>
      </w:r>
    </w:p>
    <w:p w14:paraId="324E16B8" w14:textId="4AABB6F2" w:rsidR="002E693B" w:rsidRPr="00B457F5" w:rsidRDefault="002E693B" w:rsidP="002E693B">
      <w:pPr>
        <w:spacing w:before="0" w:after="0"/>
        <w:ind w:firstLine="284"/>
        <w:rPr>
          <w:rFonts w:ascii="Garamond" w:hAnsi="Garamond" w:cs="Times New Roman"/>
          <w:szCs w:val="24"/>
        </w:rPr>
      </w:pPr>
      <w:r w:rsidRPr="00B457F5">
        <w:rPr>
          <w:rFonts w:ascii="Garamond" w:hAnsi="Garamond" w:cs="Times New Roman"/>
          <w:szCs w:val="24"/>
        </w:rPr>
        <w:t>PJESA II – QËLLIMI I POLITIKAVE DHE OBJEKTIVAT SPECIFIK</w:t>
      </w:r>
      <w:r w:rsidR="00A313AE" w:rsidRPr="00B457F5">
        <w:rPr>
          <w:rFonts w:ascii="Garamond" w:hAnsi="Garamond" w:cs="Times New Roman"/>
          <w:szCs w:val="24"/>
        </w:rPr>
        <w:t>Ë</w:t>
      </w:r>
      <w:r w:rsidRPr="00B457F5">
        <w:rPr>
          <w:rFonts w:ascii="Garamond" w:hAnsi="Garamond" w:cs="Times New Roman"/>
          <w:szCs w:val="24"/>
        </w:rPr>
        <w:t xml:space="preserve"> TË STRATEGJISË </w:t>
      </w:r>
    </w:p>
    <w:p w14:paraId="78CA588C" w14:textId="0ECB9C67" w:rsidR="002E693B" w:rsidRPr="00B457F5" w:rsidRDefault="002E693B" w:rsidP="002E693B">
      <w:pPr>
        <w:spacing w:before="0" w:after="0"/>
        <w:ind w:firstLine="284"/>
        <w:rPr>
          <w:rFonts w:ascii="Garamond" w:hAnsi="Garamond" w:cs="Times New Roman"/>
          <w:szCs w:val="24"/>
        </w:rPr>
      </w:pPr>
      <w:r w:rsidRPr="00B457F5">
        <w:rPr>
          <w:rFonts w:ascii="Garamond" w:hAnsi="Garamond" w:cs="Times New Roman"/>
          <w:szCs w:val="24"/>
        </w:rPr>
        <w:t xml:space="preserve">Qëllimi i </w:t>
      </w:r>
      <w:r w:rsidR="00A313AE" w:rsidRPr="00B457F5">
        <w:rPr>
          <w:rFonts w:ascii="Garamond" w:hAnsi="Garamond" w:cs="Times New Roman"/>
          <w:szCs w:val="24"/>
        </w:rPr>
        <w:t xml:space="preserve">politikës </w:t>
      </w:r>
      <w:r w:rsidRPr="00B457F5">
        <w:rPr>
          <w:rFonts w:ascii="Garamond" w:hAnsi="Garamond" w:cs="Times New Roman"/>
          <w:szCs w:val="24"/>
        </w:rPr>
        <w:t xml:space="preserve">I: Garantimi i qeverisjes strategjike të migracionit në Shqipëri </w:t>
      </w:r>
    </w:p>
    <w:p w14:paraId="05B3EC8C" w14:textId="3156471F" w:rsidR="002E693B" w:rsidRPr="00B457F5" w:rsidRDefault="002E693B" w:rsidP="002E693B">
      <w:pPr>
        <w:spacing w:before="0" w:after="0"/>
        <w:ind w:firstLine="284"/>
        <w:rPr>
          <w:rFonts w:ascii="Garamond" w:hAnsi="Garamond" w:cs="Times New Roman"/>
          <w:szCs w:val="24"/>
        </w:rPr>
      </w:pPr>
      <w:r w:rsidRPr="00B457F5">
        <w:rPr>
          <w:rFonts w:ascii="Garamond" w:hAnsi="Garamond" w:cs="Times New Roman"/>
          <w:szCs w:val="24"/>
        </w:rPr>
        <w:t xml:space="preserve">Qëllimi i </w:t>
      </w:r>
      <w:r w:rsidR="00A313AE" w:rsidRPr="00B457F5">
        <w:rPr>
          <w:rFonts w:ascii="Garamond" w:hAnsi="Garamond" w:cs="Times New Roman"/>
          <w:szCs w:val="24"/>
        </w:rPr>
        <w:t xml:space="preserve">politikës </w:t>
      </w:r>
      <w:r w:rsidRPr="00B457F5">
        <w:rPr>
          <w:rFonts w:ascii="Garamond" w:hAnsi="Garamond" w:cs="Times New Roman"/>
          <w:szCs w:val="24"/>
        </w:rPr>
        <w:t>II: Zhvillimi i politikave efektive për migracionin për arsye punësimi, duke rritur ndikimin pozitiv të migracionit në zhvillimin social-ekonomik kombëtar/vendor</w:t>
      </w:r>
    </w:p>
    <w:p w14:paraId="628669BC" w14:textId="749CC2F3" w:rsidR="002E693B" w:rsidRPr="00B457F5" w:rsidRDefault="002E693B" w:rsidP="002E693B">
      <w:pPr>
        <w:spacing w:before="0" w:after="0"/>
        <w:ind w:firstLine="284"/>
        <w:rPr>
          <w:rFonts w:ascii="Garamond" w:hAnsi="Garamond" w:cs="Times New Roman"/>
          <w:szCs w:val="24"/>
        </w:rPr>
      </w:pPr>
      <w:r w:rsidRPr="00B457F5">
        <w:rPr>
          <w:rFonts w:ascii="Garamond" w:hAnsi="Garamond" w:cs="Times New Roman"/>
          <w:szCs w:val="24"/>
        </w:rPr>
        <w:t xml:space="preserve">Qëllimi i </w:t>
      </w:r>
      <w:r w:rsidR="00A313AE" w:rsidRPr="00B457F5">
        <w:rPr>
          <w:rFonts w:ascii="Garamond" w:hAnsi="Garamond" w:cs="Times New Roman"/>
          <w:szCs w:val="24"/>
        </w:rPr>
        <w:t xml:space="preserve">politikës </w:t>
      </w:r>
      <w:r w:rsidRPr="00B457F5">
        <w:rPr>
          <w:rFonts w:ascii="Garamond" w:hAnsi="Garamond" w:cs="Times New Roman"/>
          <w:szCs w:val="24"/>
        </w:rPr>
        <w:t>III: Promovimi i migracionit të rregullt, mbrojtja e të drejtave të migrantëve dhe integrimi i tyre në shoqërinë shqiptare</w:t>
      </w:r>
    </w:p>
    <w:p w14:paraId="599337F3" w14:textId="5679BE55" w:rsidR="002E693B" w:rsidRPr="00B457F5" w:rsidRDefault="002E693B" w:rsidP="002E693B">
      <w:pPr>
        <w:spacing w:before="0" w:after="0"/>
        <w:ind w:firstLine="284"/>
        <w:rPr>
          <w:rFonts w:ascii="Garamond" w:hAnsi="Garamond" w:cs="Times New Roman"/>
          <w:szCs w:val="24"/>
        </w:rPr>
      </w:pPr>
      <w:r w:rsidRPr="00B457F5">
        <w:rPr>
          <w:rFonts w:ascii="Garamond" w:hAnsi="Garamond" w:cs="Times New Roman"/>
          <w:szCs w:val="24"/>
        </w:rPr>
        <w:t xml:space="preserve">Qëllimi i </w:t>
      </w:r>
      <w:r w:rsidR="00A313AE" w:rsidRPr="00B457F5">
        <w:rPr>
          <w:rFonts w:ascii="Garamond" w:hAnsi="Garamond" w:cs="Times New Roman"/>
          <w:szCs w:val="24"/>
        </w:rPr>
        <w:t xml:space="preserve">politikës </w:t>
      </w:r>
      <w:r w:rsidRPr="00B457F5">
        <w:rPr>
          <w:rFonts w:ascii="Garamond" w:hAnsi="Garamond" w:cs="Times New Roman"/>
          <w:szCs w:val="24"/>
        </w:rPr>
        <w:t>IV: Forcimi i sistemit të mbrojtjes ndërkombëtare, garantimi i të drejtave të azilkërkuesve dhe refugjatëve dhe ofrimi i zgjidhjeve të qëndrueshme</w:t>
      </w:r>
    </w:p>
    <w:p w14:paraId="7FD63945" w14:textId="1F175717" w:rsidR="002E693B" w:rsidRPr="00B457F5" w:rsidRDefault="002E693B" w:rsidP="002E693B">
      <w:pPr>
        <w:spacing w:before="0" w:after="0"/>
        <w:ind w:firstLine="284"/>
        <w:rPr>
          <w:rFonts w:ascii="Garamond" w:hAnsi="Garamond" w:cs="Times New Roman"/>
          <w:szCs w:val="24"/>
        </w:rPr>
      </w:pPr>
      <w:r w:rsidRPr="00B457F5">
        <w:rPr>
          <w:rFonts w:ascii="Garamond" w:hAnsi="Garamond" w:cs="Times New Roman"/>
          <w:szCs w:val="24"/>
        </w:rPr>
        <w:t xml:space="preserve">PJESA III </w:t>
      </w:r>
      <w:r w:rsidR="00A313AE" w:rsidRPr="00B457F5">
        <w:rPr>
          <w:rStyle w:val="contentpasted1"/>
          <w:rFonts w:ascii="Garamond" w:hAnsi="Garamond" w:cs="Times New Roman"/>
          <w:color w:val="000000"/>
        </w:rPr>
        <w:t xml:space="preserve">– </w:t>
      </w:r>
      <w:r w:rsidRPr="00B457F5">
        <w:rPr>
          <w:rFonts w:ascii="Garamond" w:hAnsi="Garamond" w:cs="Times New Roman"/>
          <w:szCs w:val="24"/>
        </w:rPr>
        <w:t>MEKANIZMAT KOORDINUES, ZBATUES DHE MONITORUES</w:t>
      </w:r>
    </w:p>
    <w:p w14:paraId="585FFDA8" w14:textId="29EA5DA5" w:rsidR="002E693B" w:rsidRPr="00B457F5" w:rsidRDefault="002E693B" w:rsidP="002E693B">
      <w:pPr>
        <w:spacing w:before="0" w:after="0"/>
        <w:ind w:firstLine="284"/>
        <w:rPr>
          <w:rFonts w:ascii="Garamond" w:hAnsi="Garamond" w:cs="Times New Roman"/>
          <w:szCs w:val="24"/>
        </w:rPr>
      </w:pPr>
      <w:r w:rsidRPr="00B457F5">
        <w:rPr>
          <w:rFonts w:ascii="Garamond" w:hAnsi="Garamond" w:cs="Times New Roman"/>
          <w:szCs w:val="24"/>
        </w:rPr>
        <w:t>PJESA IV – PLANI I VEPRIMIT DHE ZBATIMI I BURIMEVE FINANCIARE</w:t>
      </w:r>
    </w:p>
    <w:p w14:paraId="7592FDF4" w14:textId="208E85B1" w:rsidR="002E693B" w:rsidRPr="00B457F5" w:rsidRDefault="002E693B" w:rsidP="002E693B">
      <w:pPr>
        <w:spacing w:before="0" w:after="0"/>
        <w:ind w:firstLine="284"/>
        <w:rPr>
          <w:rFonts w:ascii="Garamond" w:hAnsi="Garamond" w:cs="Times New Roman"/>
          <w:szCs w:val="24"/>
        </w:rPr>
      </w:pPr>
      <w:r w:rsidRPr="00B457F5">
        <w:rPr>
          <w:rFonts w:ascii="Garamond" w:hAnsi="Garamond" w:cs="Times New Roman"/>
          <w:szCs w:val="24"/>
        </w:rPr>
        <w:t>Shtojca 1</w:t>
      </w:r>
      <w:r w:rsidR="000F5B87" w:rsidRPr="00B457F5">
        <w:rPr>
          <w:rFonts w:ascii="Garamond" w:hAnsi="Garamond" w:cs="Times New Roman"/>
          <w:szCs w:val="24"/>
        </w:rPr>
        <w:t>:</w:t>
      </w:r>
      <w:r w:rsidRPr="00B457F5">
        <w:rPr>
          <w:rFonts w:ascii="Garamond" w:hAnsi="Garamond" w:cs="Times New Roman"/>
          <w:szCs w:val="24"/>
        </w:rPr>
        <w:t xml:space="preserve"> Formati i </w:t>
      </w:r>
      <w:r w:rsidR="00A313AE" w:rsidRPr="00B457F5">
        <w:rPr>
          <w:rFonts w:ascii="Garamond" w:hAnsi="Garamond" w:cs="Times New Roman"/>
          <w:szCs w:val="24"/>
        </w:rPr>
        <w:t>përmbledhur i planit të veprimit</w:t>
      </w:r>
    </w:p>
    <w:p w14:paraId="2325775F" w14:textId="201C6324" w:rsidR="002E693B" w:rsidRPr="00B457F5" w:rsidRDefault="002E693B" w:rsidP="002E693B">
      <w:pPr>
        <w:spacing w:before="0" w:after="0"/>
        <w:ind w:firstLine="284"/>
        <w:rPr>
          <w:rFonts w:ascii="Garamond" w:hAnsi="Garamond" w:cs="Times New Roman"/>
          <w:szCs w:val="24"/>
        </w:rPr>
      </w:pPr>
      <w:r w:rsidRPr="00B457F5">
        <w:rPr>
          <w:rFonts w:ascii="Garamond" w:hAnsi="Garamond" w:cs="Times New Roman"/>
          <w:szCs w:val="24"/>
        </w:rPr>
        <w:t xml:space="preserve">Shtojca 2: Formati i </w:t>
      </w:r>
      <w:r w:rsidR="00A313AE" w:rsidRPr="00B457F5">
        <w:rPr>
          <w:rFonts w:ascii="Garamond" w:hAnsi="Garamond" w:cs="Times New Roman"/>
          <w:szCs w:val="24"/>
        </w:rPr>
        <w:t>kostuar dhe i detajuar i planit të veprimit</w:t>
      </w:r>
    </w:p>
    <w:p w14:paraId="6F61498E" w14:textId="0F8FF0FA" w:rsidR="002E693B" w:rsidRPr="00B457F5" w:rsidRDefault="002E693B" w:rsidP="002E693B">
      <w:pPr>
        <w:spacing w:before="0" w:after="0"/>
        <w:ind w:firstLine="284"/>
        <w:rPr>
          <w:rFonts w:ascii="Garamond" w:hAnsi="Garamond" w:cs="Times New Roman"/>
          <w:szCs w:val="24"/>
        </w:rPr>
      </w:pPr>
      <w:r w:rsidRPr="00B457F5">
        <w:rPr>
          <w:rFonts w:ascii="Garamond" w:hAnsi="Garamond" w:cs="Times New Roman"/>
          <w:szCs w:val="24"/>
        </w:rPr>
        <w:t xml:space="preserve">Shtojca 3: Formatet e </w:t>
      </w:r>
      <w:r w:rsidR="00A313AE" w:rsidRPr="00B457F5">
        <w:rPr>
          <w:rFonts w:ascii="Garamond" w:hAnsi="Garamond" w:cs="Times New Roman"/>
          <w:szCs w:val="24"/>
        </w:rPr>
        <w:t>pasaportave të indikatorëve</w:t>
      </w:r>
    </w:p>
    <w:p w14:paraId="024FC8D2" w14:textId="35802172" w:rsidR="002E693B" w:rsidRPr="00B457F5" w:rsidRDefault="002E693B" w:rsidP="002E693B">
      <w:pPr>
        <w:spacing w:before="0" w:after="0"/>
        <w:ind w:firstLine="284"/>
        <w:rPr>
          <w:rFonts w:ascii="Garamond" w:hAnsi="Garamond" w:cs="Times New Roman"/>
          <w:szCs w:val="24"/>
        </w:rPr>
      </w:pPr>
      <w:r w:rsidRPr="00B457F5">
        <w:rPr>
          <w:rFonts w:ascii="Garamond" w:hAnsi="Garamond" w:cs="Times New Roman"/>
          <w:szCs w:val="24"/>
        </w:rPr>
        <w:t>Shtojca 4</w:t>
      </w:r>
      <w:r w:rsidR="00A313AE" w:rsidRPr="00B457F5">
        <w:rPr>
          <w:rFonts w:ascii="Garamond" w:hAnsi="Garamond" w:cs="Times New Roman"/>
          <w:szCs w:val="24"/>
        </w:rPr>
        <w:t>:</w:t>
      </w:r>
      <w:r w:rsidRPr="00B457F5">
        <w:rPr>
          <w:rFonts w:ascii="Garamond" w:hAnsi="Garamond" w:cs="Times New Roman"/>
          <w:szCs w:val="24"/>
        </w:rPr>
        <w:t xml:space="preserve"> Formatet e </w:t>
      </w:r>
      <w:r w:rsidR="00A313AE" w:rsidRPr="00B457F5">
        <w:rPr>
          <w:rFonts w:ascii="Garamond" w:hAnsi="Garamond" w:cs="Times New Roman"/>
          <w:szCs w:val="24"/>
        </w:rPr>
        <w:t>masave prioritare</w:t>
      </w:r>
    </w:p>
    <w:p w14:paraId="1478DDE0" w14:textId="2DFB95F0" w:rsidR="002E693B" w:rsidRPr="00B457F5" w:rsidRDefault="002E693B" w:rsidP="002E693B">
      <w:pPr>
        <w:spacing w:before="0" w:after="0"/>
        <w:ind w:firstLine="284"/>
        <w:rPr>
          <w:rFonts w:ascii="Garamond" w:hAnsi="Garamond" w:cs="Times New Roman"/>
          <w:szCs w:val="24"/>
        </w:rPr>
      </w:pPr>
      <w:r w:rsidRPr="00B457F5">
        <w:rPr>
          <w:rFonts w:ascii="Garamond" w:hAnsi="Garamond" w:cs="Times New Roman"/>
          <w:szCs w:val="24"/>
        </w:rPr>
        <w:lastRenderedPageBreak/>
        <w:t>PJESA I</w:t>
      </w:r>
      <w:r w:rsidR="00A313AE" w:rsidRPr="00B457F5">
        <w:rPr>
          <w:rFonts w:ascii="Garamond" w:hAnsi="Garamond" w:cs="Times New Roman"/>
          <w:szCs w:val="24"/>
        </w:rPr>
        <w:t xml:space="preserve"> </w:t>
      </w:r>
      <w:r w:rsidR="00A313AE" w:rsidRPr="00B457F5">
        <w:rPr>
          <w:rStyle w:val="contentpasted1"/>
          <w:rFonts w:ascii="Garamond" w:hAnsi="Garamond" w:cs="Times New Roman"/>
          <w:color w:val="000000"/>
        </w:rPr>
        <w:t xml:space="preserve">– </w:t>
      </w:r>
      <w:r w:rsidRPr="00B457F5">
        <w:rPr>
          <w:rFonts w:ascii="Garamond" w:hAnsi="Garamond" w:cs="Times New Roman"/>
          <w:szCs w:val="24"/>
        </w:rPr>
        <w:t>KONTEKSTI STRATEGJIK</w:t>
      </w:r>
    </w:p>
    <w:p w14:paraId="536D0D79" w14:textId="790AA237" w:rsidR="003F42F9" w:rsidRPr="00B457F5" w:rsidRDefault="006A7BD2" w:rsidP="002E693B">
      <w:pPr>
        <w:pStyle w:val="BodyText"/>
        <w:spacing w:before="0" w:after="0" w:line="240" w:lineRule="auto"/>
        <w:ind w:firstLine="284"/>
        <w:rPr>
          <w:rStyle w:val="Heading2Char"/>
          <w:rFonts w:ascii="Garamond" w:hAnsi="Garamond" w:cs="Times New Roman"/>
          <w:b w:val="0"/>
          <w:color w:val="auto"/>
          <w:sz w:val="24"/>
          <w:szCs w:val="24"/>
        </w:rPr>
      </w:pPr>
      <w:bookmarkStart w:id="0" w:name="_bookmark1"/>
      <w:bookmarkStart w:id="1" w:name="_Toc155620715"/>
      <w:bookmarkEnd w:id="0"/>
      <w:r w:rsidRPr="00B457F5">
        <w:rPr>
          <w:rStyle w:val="Heading2Char"/>
          <w:rFonts w:ascii="Garamond" w:hAnsi="Garamond" w:cs="Times New Roman"/>
          <w:b w:val="0"/>
          <w:color w:val="auto"/>
          <w:sz w:val="24"/>
          <w:szCs w:val="24"/>
        </w:rPr>
        <w:t>HYRJA DHE Q</w:t>
      </w:r>
      <w:r w:rsidR="00B0743F" w:rsidRPr="00B457F5">
        <w:rPr>
          <w:rStyle w:val="Heading2Char"/>
          <w:rFonts w:ascii="Garamond" w:hAnsi="Garamond" w:cs="Times New Roman"/>
          <w:b w:val="0"/>
          <w:color w:val="auto"/>
          <w:sz w:val="24"/>
          <w:szCs w:val="24"/>
        </w:rPr>
        <w:t>Ë</w:t>
      </w:r>
      <w:r w:rsidRPr="00B457F5">
        <w:rPr>
          <w:rStyle w:val="Heading2Char"/>
          <w:rFonts w:ascii="Garamond" w:hAnsi="Garamond" w:cs="Times New Roman"/>
          <w:b w:val="0"/>
          <w:color w:val="auto"/>
          <w:sz w:val="24"/>
          <w:szCs w:val="24"/>
        </w:rPr>
        <w:t>LLIMI I DOKUMENTIT</w:t>
      </w:r>
      <w:bookmarkEnd w:id="1"/>
    </w:p>
    <w:p w14:paraId="388FAFC3" w14:textId="59C93A0B" w:rsidR="00CF33C3" w:rsidRPr="00B457F5" w:rsidRDefault="00CF33C3" w:rsidP="002E693B">
      <w:pPr>
        <w:widowControl w:val="0"/>
        <w:autoSpaceDE w:val="0"/>
        <w:autoSpaceDN w:val="0"/>
        <w:spacing w:before="0" w:after="0"/>
        <w:ind w:firstLine="284"/>
        <w:rPr>
          <w:rFonts w:ascii="Garamond" w:eastAsia="Times New Roman" w:hAnsi="Garamond" w:cs="Times New Roman"/>
          <w:iCs/>
          <w:color w:val="000000" w:themeColor="text1"/>
          <w:szCs w:val="24"/>
        </w:rPr>
      </w:pPr>
      <w:bookmarkStart w:id="2" w:name="_bookmark2"/>
      <w:bookmarkEnd w:id="2"/>
      <w:r w:rsidRPr="00B457F5">
        <w:rPr>
          <w:rFonts w:ascii="Garamond" w:eastAsia="Times New Roman" w:hAnsi="Garamond" w:cs="Times New Roman"/>
          <w:iCs/>
          <w:color w:val="000000" w:themeColor="text1"/>
          <w:szCs w:val="24"/>
        </w:rPr>
        <w:t>Strategjia Kombëtare për Migracionin dhe Plani i Veprimit 2024</w:t>
      </w:r>
      <w:r w:rsidR="00A313AE" w:rsidRPr="00B457F5">
        <w:rPr>
          <w:rStyle w:val="contentpasted1"/>
          <w:rFonts w:ascii="Garamond" w:hAnsi="Garamond" w:cs="Times New Roman"/>
          <w:color w:val="000000"/>
        </w:rPr>
        <w:t>–</w:t>
      </w:r>
      <w:r w:rsidR="00B72A29" w:rsidRPr="00B457F5">
        <w:rPr>
          <w:rFonts w:ascii="Garamond" w:eastAsia="Times New Roman" w:hAnsi="Garamond" w:cs="Times New Roman"/>
          <w:iCs/>
          <w:color w:val="000000" w:themeColor="text1"/>
          <w:szCs w:val="24"/>
        </w:rPr>
        <w:t>20</w:t>
      </w:r>
      <w:r w:rsidRPr="00B457F5">
        <w:rPr>
          <w:rFonts w:ascii="Garamond" w:eastAsia="Times New Roman" w:hAnsi="Garamond" w:cs="Times New Roman"/>
          <w:iCs/>
          <w:color w:val="000000" w:themeColor="text1"/>
          <w:szCs w:val="24"/>
        </w:rPr>
        <w:t xml:space="preserve">30 </w:t>
      </w:r>
      <w:r w:rsidR="008F2467" w:rsidRPr="00B457F5">
        <w:rPr>
          <w:rFonts w:ascii="Garamond" w:eastAsia="Times New Roman" w:hAnsi="Garamond" w:cs="Times New Roman"/>
          <w:iCs/>
          <w:szCs w:val="24"/>
        </w:rPr>
        <w:t xml:space="preserve">pasqyron </w:t>
      </w:r>
      <w:r w:rsidRPr="00B457F5">
        <w:rPr>
          <w:rFonts w:ascii="Garamond" w:eastAsia="Times New Roman" w:hAnsi="Garamond" w:cs="Times New Roman"/>
          <w:iCs/>
          <w:szCs w:val="24"/>
        </w:rPr>
        <w:t xml:space="preserve">prioritetet e </w:t>
      </w:r>
      <w:r w:rsidR="00A313AE" w:rsidRPr="00B457F5">
        <w:rPr>
          <w:rFonts w:ascii="Garamond" w:eastAsia="Times New Roman" w:hAnsi="Garamond" w:cs="Times New Roman"/>
          <w:iCs/>
          <w:szCs w:val="24"/>
        </w:rPr>
        <w:t>q</w:t>
      </w:r>
      <w:r w:rsidRPr="00B457F5">
        <w:rPr>
          <w:rFonts w:ascii="Garamond" w:eastAsia="Times New Roman" w:hAnsi="Garamond" w:cs="Times New Roman"/>
          <w:iCs/>
          <w:szCs w:val="24"/>
        </w:rPr>
        <w:t>everisë së Shqipërisë për menaxhimin efektiv të migracionit.</w:t>
      </w:r>
      <w:r w:rsidRPr="00B457F5">
        <w:rPr>
          <w:rFonts w:ascii="Garamond" w:eastAsia="Times New Roman" w:hAnsi="Garamond" w:cs="Times New Roman"/>
          <w:iCs/>
          <w:color w:val="000000" w:themeColor="text1"/>
          <w:szCs w:val="24"/>
        </w:rPr>
        <w:t xml:space="preserve"> </w:t>
      </w:r>
      <w:r w:rsidRPr="00B457F5">
        <w:rPr>
          <w:rFonts w:ascii="Garamond" w:eastAsia="Times New Roman" w:hAnsi="Garamond" w:cs="Times New Roman"/>
          <w:iCs/>
          <w:szCs w:val="24"/>
        </w:rPr>
        <w:t xml:space="preserve">Ky dokument strategjik është shprehje konkrete e zotimit dhe angazhimit të </w:t>
      </w:r>
      <w:r w:rsidR="0041461C" w:rsidRPr="00B457F5">
        <w:rPr>
          <w:rFonts w:ascii="Garamond" w:eastAsia="Times New Roman" w:hAnsi="Garamond" w:cs="Times New Roman"/>
          <w:iCs/>
          <w:szCs w:val="24"/>
        </w:rPr>
        <w:t>q</w:t>
      </w:r>
      <w:r w:rsidRPr="00B457F5">
        <w:rPr>
          <w:rFonts w:ascii="Garamond" w:eastAsia="Times New Roman" w:hAnsi="Garamond" w:cs="Times New Roman"/>
          <w:iCs/>
          <w:szCs w:val="24"/>
        </w:rPr>
        <w:t xml:space="preserve">everisë </w:t>
      </w:r>
      <w:r w:rsidR="0041461C" w:rsidRPr="00B457F5">
        <w:rPr>
          <w:rFonts w:ascii="Garamond" w:eastAsia="Times New Roman" w:hAnsi="Garamond" w:cs="Times New Roman"/>
          <w:iCs/>
          <w:szCs w:val="24"/>
        </w:rPr>
        <w:t>s</w:t>
      </w:r>
      <w:r w:rsidRPr="00B457F5">
        <w:rPr>
          <w:rFonts w:ascii="Garamond" w:eastAsia="Times New Roman" w:hAnsi="Garamond" w:cs="Times New Roman"/>
          <w:iCs/>
          <w:szCs w:val="24"/>
        </w:rPr>
        <w:t xml:space="preserve">hqiptare për të </w:t>
      </w:r>
      <w:r w:rsidR="0041461C" w:rsidRPr="00B457F5">
        <w:rPr>
          <w:rFonts w:ascii="Garamond" w:eastAsia="Times New Roman" w:hAnsi="Garamond" w:cs="Times New Roman"/>
          <w:iCs/>
          <w:szCs w:val="24"/>
        </w:rPr>
        <w:t>trajtuar</w:t>
      </w:r>
      <w:r w:rsidRPr="00B457F5">
        <w:rPr>
          <w:rFonts w:ascii="Garamond" w:eastAsia="Times New Roman" w:hAnsi="Garamond" w:cs="Times New Roman"/>
          <w:iCs/>
          <w:szCs w:val="24"/>
        </w:rPr>
        <w:t xml:space="preserve"> sfidat</w:t>
      </w:r>
      <w:r w:rsidR="00A313AE" w:rsidRPr="00B457F5">
        <w:rPr>
          <w:rFonts w:ascii="Garamond" w:eastAsia="Times New Roman" w:hAnsi="Garamond" w:cs="Times New Roman"/>
          <w:iCs/>
          <w:szCs w:val="24"/>
        </w:rPr>
        <w:t>,</w:t>
      </w:r>
      <w:r w:rsidRPr="00B457F5">
        <w:rPr>
          <w:rFonts w:ascii="Garamond" w:eastAsia="Times New Roman" w:hAnsi="Garamond" w:cs="Times New Roman"/>
          <w:iCs/>
          <w:szCs w:val="24"/>
        </w:rPr>
        <w:t xml:space="preserve"> në lidhje </w:t>
      </w:r>
      <w:r w:rsidR="0041461C" w:rsidRPr="00B457F5">
        <w:rPr>
          <w:rFonts w:ascii="Garamond" w:eastAsia="Times New Roman" w:hAnsi="Garamond" w:cs="Times New Roman"/>
          <w:iCs/>
          <w:szCs w:val="24"/>
        </w:rPr>
        <w:t xml:space="preserve">me </w:t>
      </w:r>
      <w:r w:rsidRPr="00B457F5">
        <w:rPr>
          <w:rFonts w:ascii="Garamond" w:eastAsia="Times New Roman" w:hAnsi="Garamond" w:cs="Times New Roman"/>
          <w:iCs/>
          <w:szCs w:val="24"/>
        </w:rPr>
        <w:t>menaxhimin e flukseve migratore,</w:t>
      </w:r>
      <w:r w:rsidRPr="00B457F5">
        <w:rPr>
          <w:rFonts w:ascii="Garamond" w:hAnsi="Garamond" w:cs="Times New Roman"/>
          <w:szCs w:val="24"/>
        </w:rPr>
        <w:t xml:space="preserve"> </w:t>
      </w:r>
      <w:r w:rsidRPr="00B457F5">
        <w:rPr>
          <w:rFonts w:ascii="Garamond" w:eastAsia="Times New Roman" w:hAnsi="Garamond" w:cs="Times New Roman"/>
          <w:iCs/>
          <w:szCs w:val="24"/>
        </w:rPr>
        <w:t>identifikimin</w:t>
      </w:r>
      <w:r w:rsidR="0006016F" w:rsidRPr="00B457F5">
        <w:rPr>
          <w:rFonts w:ascii="Garamond" w:eastAsia="Times New Roman" w:hAnsi="Garamond" w:cs="Times New Roman"/>
          <w:iCs/>
          <w:szCs w:val="24"/>
        </w:rPr>
        <w:t xml:space="preserve"> </w:t>
      </w:r>
      <w:r w:rsidRPr="00B457F5">
        <w:rPr>
          <w:rFonts w:ascii="Garamond" w:eastAsia="Times New Roman" w:hAnsi="Garamond" w:cs="Times New Roman"/>
          <w:iCs/>
          <w:szCs w:val="24"/>
        </w:rPr>
        <w:t>e mundësive që ofrojnë mbrojtje dhe zgjidhje të qëndrueshme për migrantët</w:t>
      </w:r>
      <w:r w:rsidR="00A313AE" w:rsidRPr="00B457F5">
        <w:rPr>
          <w:rFonts w:ascii="Garamond" w:eastAsia="Times New Roman" w:hAnsi="Garamond" w:cs="Times New Roman"/>
          <w:iCs/>
          <w:szCs w:val="24"/>
        </w:rPr>
        <w:t>,</w:t>
      </w:r>
      <w:r w:rsidRPr="00B457F5">
        <w:rPr>
          <w:rFonts w:ascii="Garamond" w:eastAsia="Times New Roman" w:hAnsi="Garamond" w:cs="Times New Roman"/>
          <w:iCs/>
          <w:szCs w:val="24"/>
        </w:rPr>
        <w:t xml:space="preserve"> si dhe maksimizimin e ndikimit të migracionit në zhvillimin e vendit.</w:t>
      </w:r>
      <w:r w:rsidRPr="00B457F5">
        <w:rPr>
          <w:rFonts w:ascii="Garamond" w:eastAsia="Times New Roman" w:hAnsi="Garamond" w:cs="Times New Roman"/>
          <w:iCs/>
          <w:color w:val="000000" w:themeColor="text1"/>
          <w:szCs w:val="24"/>
        </w:rPr>
        <w:t xml:space="preserve"> </w:t>
      </w:r>
      <w:r w:rsidRPr="00B457F5">
        <w:rPr>
          <w:rFonts w:ascii="Garamond" w:eastAsia="Times New Roman" w:hAnsi="Garamond" w:cs="Times New Roman"/>
          <w:iCs/>
          <w:szCs w:val="24"/>
        </w:rPr>
        <w:t xml:space="preserve">Hartimi i këtij dokumenti strategjik </w:t>
      </w:r>
      <w:r w:rsidR="0041461C" w:rsidRPr="00B457F5">
        <w:rPr>
          <w:rFonts w:ascii="Garamond" w:eastAsia="Times New Roman" w:hAnsi="Garamond" w:cs="Times New Roman"/>
          <w:iCs/>
          <w:szCs w:val="24"/>
        </w:rPr>
        <w:t>pasqyron</w:t>
      </w:r>
      <w:r w:rsidRPr="00B457F5">
        <w:rPr>
          <w:rFonts w:ascii="Garamond" w:eastAsia="Times New Roman" w:hAnsi="Garamond" w:cs="Times New Roman"/>
          <w:iCs/>
          <w:szCs w:val="24"/>
        </w:rPr>
        <w:t xml:space="preserve"> njëkohësisht përpjekjet e përbashkëta të institucioneve për të bashkërenduar punën ndërmjet tyre, me qëllim gjetjen e zgjidhjeve efektive për</w:t>
      </w:r>
      <w:r w:rsidR="0006016F" w:rsidRPr="00B457F5">
        <w:rPr>
          <w:rFonts w:ascii="Garamond" w:eastAsia="Times New Roman" w:hAnsi="Garamond" w:cs="Times New Roman"/>
          <w:iCs/>
          <w:szCs w:val="24"/>
        </w:rPr>
        <w:t xml:space="preserve"> </w:t>
      </w:r>
      <w:r w:rsidRPr="00B457F5">
        <w:rPr>
          <w:rFonts w:ascii="Garamond" w:eastAsia="Times New Roman" w:hAnsi="Garamond" w:cs="Times New Roman"/>
          <w:iCs/>
          <w:szCs w:val="24"/>
        </w:rPr>
        <w:t>promovimin e të drejtave të migrantëve</w:t>
      </w:r>
      <w:r w:rsidR="00A313AE" w:rsidRPr="00B457F5">
        <w:rPr>
          <w:rFonts w:ascii="Garamond" w:eastAsia="Times New Roman" w:hAnsi="Garamond" w:cs="Times New Roman"/>
          <w:iCs/>
          <w:szCs w:val="24"/>
        </w:rPr>
        <w:t>,</w:t>
      </w:r>
      <w:r w:rsidRPr="00B457F5">
        <w:rPr>
          <w:rFonts w:ascii="Garamond" w:eastAsia="Times New Roman" w:hAnsi="Garamond" w:cs="Times New Roman"/>
          <w:iCs/>
          <w:szCs w:val="24"/>
        </w:rPr>
        <w:t xml:space="preserve"> si dhe integrimin e tyre në shoqërinë shqiptare. </w:t>
      </w:r>
      <w:r w:rsidRPr="00B457F5">
        <w:rPr>
          <w:rFonts w:ascii="Garamond" w:hAnsi="Garamond" w:cs="Times New Roman"/>
          <w:szCs w:val="24"/>
        </w:rPr>
        <w:t>Strategjia është konceptuar si një udhërrëfyes vizionar që përshkruan qasjen strategjike drejt mirëqeverisjes së migracionit.</w:t>
      </w:r>
    </w:p>
    <w:p w14:paraId="418247AC" w14:textId="5FD5C8D5" w:rsidR="002E693B" w:rsidRPr="00B457F5" w:rsidRDefault="00CF33C3" w:rsidP="002E693B">
      <w:pPr>
        <w:autoSpaceDE w:val="0"/>
        <w:autoSpaceDN w:val="0"/>
        <w:adjustRightInd w:val="0"/>
        <w:spacing w:before="0" w:after="0"/>
        <w:ind w:firstLine="284"/>
        <w:rPr>
          <w:rFonts w:ascii="Garamond" w:eastAsiaTheme="minorHAnsi" w:hAnsi="Garamond" w:cs="Times New Roman"/>
          <w:szCs w:val="24"/>
        </w:rPr>
      </w:pPr>
      <w:r w:rsidRPr="00B457F5">
        <w:rPr>
          <w:rFonts w:ascii="Garamond" w:hAnsi="Garamond" w:cs="Times New Roman"/>
          <w:szCs w:val="24"/>
        </w:rPr>
        <w:t>N</w:t>
      </w:r>
      <w:r w:rsidR="00994216" w:rsidRPr="00B457F5">
        <w:rPr>
          <w:rFonts w:ascii="Garamond" w:hAnsi="Garamond" w:cs="Times New Roman"/>
          <w:szCs w:val="24"/>
        </w:rPr>
        <w:t>ë</w:t>
      </w:r>
      <w:r w:rsidRPr="00B457F5">
        <w:rPr>
          <w:rFonts w:ascii="Garamond" w:hAnsi="Garamond" w:cs="Times New Roman"/>
          <w:szCs w:val="24"/>
        </w:rPr>
        <w:t xml:space="preserve"> k</w:t>
      </w:r>
      <w:r w:rsidR="00994216" w:rsidRPr="00B457F5">
        <w:rPr>
          <w:rFonts w:ascii="Garamond" w:hAnsi="Garamond" w:cs="Times New Roman"/>
          <w:szCs w:val="24"/>
        </w:rPr>
        <w:t>ë</w:t>
      </w:r>
      <w:r w:rsidRPr="00B457F5">
        <w:rPr>
          <w:rFonts w:ascii="Garamond" w:hAnsi="Garamond" w:cs="Times New Roman"/>
          <w:szCs w:val="24"/>
        </w:rPr>
        <w:t>t</w:t>
      </w:r>
      <w:r w:rsidR="00994216" w:rsidRPr="00B457F5">
        <w:rPr>
          <w:rFonts w:ascii="Garamond" w:hAnsi="Garamond" w:cs="Times New Roman"/>
          <w:szCs w:val="24"/>
        </w:rPr>
        <w:t>ë</w:t>
      </w:r>
      <w:r w:rsidRPr="00B457F5">
        <w:rPr>
          <w:rFonts w:ascii="Garamond" w:hAnsi="Garamond" w:cs="Times New Roman"/>
          <w:szCs w:val="24"/>
        </w:rPr>
        <w:t xml:space="preserve"> dokument pasqyrohen aspiratat e </w:t>
      </w:r>
      <w:r w:rsidR="00C14ED2" w:rsidRPr="00B457F5">
        <w:rPr>
          <w:rFonts w:ascii="Garamond" w:hAnsi="Garamond" w:cs="Times New Roman"/>
          <w:szCs w:val="24"/>
        </w:rPr>
        <w:t>q</w:t>
      </w:r>
      <w:r w:rsidRPr="00B457F5">
        <w:rPr>
          <w:rFonts w:ascii="Garamond" w:hAnsi="Garamond" w:cs="Times New Roman"/>
          <w:szCs w:val="24"/>
        </w:rPr>
        <w:t>everis</w:t>
      </w:r>
      <w:r w:rsidR="00994216" w:rsidRPr="00B457F5">
        <w:rPr>
          <w:rFonts w:ascii="Garamond" w:hAnsi="Garamond" w:cs="Times New Roman"/>
          <w:szCs w:val="24"/>
        </w:rPr>
        <w:t>ë</w:t>
      </w:r>
      <w:r w:rsidRPr="00B457F5">
        <w:rPr>
          <w:rFonts w:ascii="Garamond" w:hAnsi="Garamond" w:cs="Times New Roman"/>
          <w:szCs w:val="24"/>
        </w:rPr>
        <w:t xml:space="preserve"> </w:t>
      </w:r>
      <w:r w:rsidR="00C14ED2" w:rsidRPr="00B457F5">
        <w:rPr>
          <w:rFonts w:ascii="Garamond" w:hAnsi="Garamond" w:cs="Times New Roman"/>
          <w:szCs w:val="24"/>
        </w:rPr>
        <w:t>s</w:t>
      </w:r>
      <w:r w:rsidRPr="00B457F5">
        <w:rPr>
          <w:rFonts w:ascii="Garamond" w:hAnsi="Garamond" w:cs="Times New Roman"/>
          <w:szCs w:val="24"/>
        </w:rPr>
        <w:t>hqiptare p</w:t>
      </w:r>
      <w:r w:rsidR="00994216" w:rsidRPr="00B457F5">
        <w:rPr>
          <w:rFonts w:ascii="Garamond" w:hAnsi="Garamond" w:cs="Times New Roman"/>
          <w:szCs w:val="24"/>
        </w:rPr>
        <w:t>ë</w:t>
      </w:r>
      <w:r w:rsidRPr="00B457F5">
        <w:rPr>
          <w:rFonts w:ascii="Garamond" w:hAnsi="Garamond" w:cs="Times New Roman"/>
          <w:szCs w:val="24"/>
        </w:rPr>
        <w:t>r</w:t>
      </w:r>
      <w:r w:rsidR="0009653B" w:rsidRPr="00B457F5">
        <w:rPr>
          <w:rFonts w:ascii="Garamond" w:hAnsi="Garamond" w:cs="Times New Roman"/>
          <w:szCs w:val="24"/>
        </w:rPr>
        <w:t xml:space="preserve"> t’iu </w:t>
      </w:r>
      <w:r w:rsidRPr="00B457F5">
        <w:rPr>
          <w:rFonts w:ascii="Garamond" w:hAnsi="Garamond" w:cs="Times New Roman"/>
          <w:szCs w:val="24"/>
        </w:rPr>
        <w:t>p</w:t>
      </w:r>
      <w:r w:rsidR="00994216" w:rsidRPr="00B457F5">
        <w:rPr>
          <w:rFonts w:ascii="Garamond" w:hAnsi="Garamond" w:cs="Times New Roman"/>
          <w:szCs w:val="24"/>
        </w:rPr>
        <w:t>ë</w:t>
      </w:r>
      <w:r w:rsidRPr="00B457F5">
        <w:rPr>
          <w:rFonts w:ascii="Garamond" w:hAnsi="Garamond" w:cs="Times New Roman"/>
          <w:szCs w:val="24"/>
        </w:rPr>
        <w:t>rgjigjur detyrimeve</w:t>
      </w:r>
      <w:r w:rsidR="00A313AE" w:rsidRPr="00B457F5">
        <w:rPr>
          <w:rFonts w:ascii="Garamond" w:hAnsi="Garamond" w:cs="Times New Roman"/>
          <w:szCs w:val="24"/>
        </w:rPr>
        <w:t>,</w:t>
      </w:r>
      <w:r w:rsidRPr="00B457F5">
        <w:rPr>
          <w:rFonts w:ascii="Garamond" w:hAnsi="Garamond" w:cs="Times New Roman"/>
          <w:szCs w:val="24"/>
        </w:rPr>
        <w:t xml:space="preserve"> n</w:t>
      </w:r>
      <w:r w:rsidR="00C73D80" w:rsidRPr="00B457F5">
        <w:rPr>
          <w:rFonts w:ascii="Garamond" w:hAnsi="Garamond" w:cs="Times New Roman"/>
          <w:szCs w:val="24"/>
        </w:rPr>
        <w:t>ë</w:t>
      </w:r>
      <w:r w:rsidRPr="00B457F5">
        <w:rPr>
          <w:rFonts w:ascii="Garamond" w:hAnsi="Garamond" w:cs="Times New Roman"/>
          <w:szCs w:val="24"/>
        </w:rPr>
        <w:t xml:space="preserve"> ku</w:t>
      </w:r>
      <w:r w:rsidR="00C73D80" w:rsidRPr="00B457F5">
        <w:rPr>
          <w:rFonts w:ascii="Garamond" w:hAnsi="Garamond" w:cs="Times New Roman"/>
          <w:szCs w:val="24"/>
        </w:rPr>
        <w:t>a</w:t>
      </w:r>
      <w:r w:rsidRPr="00B457F5">
        <w:rPr>
          <w:rFonts w:ascii="Garamond" w:hAnsi="Garamond" w:cs="Times New Roman"/>
          <w:szCs w:val="24"/>
        </w:rPr>
        <w:t>d</w:t>
      </w:r>
      <w:r w:rsidR="00C73D80" w:rsidRPr="00B457F5">
        <w:rPr>
          <w:rFonts w:ascii="Garamond" w:hAnsi="Garamond" w:cs="Times New Roman"/>
          <w:szCs w:val="24"/>
        </w:rPr>
        <w:t>ë</w:t>
      </w:r>
      <w:r w:rsidRPr="00B457F5">
        <w:rPr>
          <w:rFonts w:ascii="Garamond" w:hAnsi="Garamond" w:cs="Times New Roman"/>
          <w:szCs w:val="24"/>
        </w:rPr>
        <w:t>r t</w:t>
      </w:r>
      <w:r w:rsidR="00994216" w:rsidRPr="00B457F5">
        <w:rPr>
          <w:rFonts w:ascii="Garamond" w:hAnsi="Garamond" w:cs="Times New Roman"/>
          <w:szCs w:val="24"/>
        </w:rPr>
        <w:t>ë</w:t>
      </w:r>
      <w:r w:rsidRPr="00B457F5">
        <w:rPr>
          <w:rFonts w:ascii="Garamond" w:hAnsi="Garamond" w:cs="Times New Roman"/>
          <w:szCs w:val="24"/>
        </w:rPr>
        <w:t xml:space="preserve"> a</w:t>
      </w:r>
      <w:r w:rsidR="00C73D80" w:rsidRPr="00B457F5">
        <w:rPr>
          <w:rFonts w:ascii="Garamond" w:hAnsi="Garamond" w:cs="Times New Roman"/>
          <w:szCs w:val="24"/>
        </w:rPr>
        <w:t>gj</w:t>
      </w:r>
      <w:r w:rsidRPr="00B457F5">
        <w:rPr>
          <w:rFonts w:ascii="Garamond" w:hAnsi="Garamond" w:cs="Times New Roman"/>
          <w:szCs w:val="24"/>
        </w:rPr>
        <w:t>endës kombëtare të integrimit në BE</w:t>
      </w:r>
      <w:r w:rsidR="00A313AE" w:rsidRPr="00B457F5">
        <w:rPr>
          <w:rFonts w:ascii="Garamond" w:hAnsi="Garamond" w:cs="Times New Roman"/>
          <w:szCs w:val="24"/>
        </w:rPr>
        <w:t>,</w:t>
      </w:r>
      <w:r w:rsidRPr="00B457F5">
        <w:rPr>
          <w:rFonts w:ascii="Garamond" w:hAnsi="Garamond" w:cs="Times New Roman"/>
          <w:szCs w:val="24"/>
        </w:rPr>
        <w:t xml:space="preserve"> që ka të bëjë kryesisht me përmbushjen e detyrimeve të </w:t>
      </w:r>
      <w:r w:rsidR="00A313AE" w:rsidRPr="00B457F5">
        <w:rPr>
          <w:rFonts w:ascii="Garamond" w:hAnsi="Garamond" w:cs="Times New Roman"/>
          <w:szCs w:val="24"/>
        </w:rPr>
        <w:t>k</w:t>
      </w:r>
      <w:r w:rsidRPr="00B457F5">
        <w:rPr>
          <w:rFonts w:ascii="Garamond" w:hAnsi="Garamond" w:cs="Times New Roman"/>
          <w:szCs w:val="24"/>
        </w:rPr>
        <w:t xml:space="preserve">apitullit 24 në fushën </w:t>
      </w:r>
      <w:r w:rsidR="00A313AE" w:rsidRPr="00B457F5">
        <w:rPr>
          <w:rFonts w:ascii="Garamond" w:hAnsi="Garamond" w:cs="Times New Roman"/>
          <w:szCs w:val="24"/>
        </w:rPr>
        <w:t xml:space="preserve">e </w:t>
      </w:r>
      <w:r w:rsidRPr="00B457F5">
        <w:rPr>
          <w:rFonts w:ascii="Garamond" w:hAnsi="Garamond" w:cs="Times New Roman"/>
          <w:szCs w:val="24"/>
        </w:rPr>
        <w:t>azilit dhe migracionit</w:t>
      </w:r>
      <w:r w:rsidR="00A313AE" w:rsidRPr="00B457F5">
        <w:rPr>
          <w:rFonts w:ascii="Garamond" w:hAnsi="Garamond" w:cs="Times New Roman"/>
          <w:szCs w:val="24"/>
        </w:rPr>
        <w:t>,</w:t>
      </w:r>
      <w:r w:rsidR="00B72A29" w:rsidRPr="00B457F5">
        <w:rPr>
          <w:rFonts w:ascii="Garamond" w:hAnsi="Garamond" w:cs="Times New Roman"/>
          <w:szCs w:val="24"/>
        </w:rPr>
        <w:t xml:space="preserve"> dhe </w:t>
      </w:r>
      <w:r w:rsidR="00A313AE" w:rsidRPr="00B457F5">
        <w:rPr>
          <w:rFonts w:ascii="Garamond" w:hAnsi="Garamond" w:cs="Times New Roman"/>
          <w:szCs w:val="24"/>
        </w:rPr>
        <w:t>k</w:t>
      </w:r>
      <w:r w:rsidR="00B72A29" w:rsidRPr="00B457F5">
        <w:rPr>
          <w:rFonts w:ascii="Garamond" w:hAnsi="Garamond" w:cs="Times New Roman"/>
          <w:szCs w:val="24"/>
        </w:rPr>
        <w:t>apitullit 23 p</w:t>
      </w:r>
      <w:r w:rsidR="0094079E" w:rsidRPr="00B457F5">
        <w:rPr>
          <w:rFonts w:ascii="Garamond" w:hAnsi="Garamond" w:cs="Times New Roman"/>
          <w:szCs w:val="24"/>
        </w:rPr>
        <w:t>ë</w:t>
      </w:r>
      <w:r w:rsidR="00B72A29" w:rsidRPr="00B457F5">
        <w:rPr>
          <w:rFonts w:ascii="Garamond" w:hAnsi="Garamond" w:cs="Times New Roman"/>
          <w:szCs w:val="24"/>
        </w:rPr>
        <w:t>r l</w:t>
      </w:r>
      <w:r w:rsidR="0094079E" w:rsidRPr="00B457F5">
        <w:rPr>
          <w:rFonts w:ascii="Garamond" w:hAnsi="Garamond" w:cs="Times New Roman"/>
          <w:szCs w:val="24"/>
        </w:rPr>
        <w:t>ë</w:t>
      </w:r>
      <w:r w:rsidR="00B72A29" w:rsidRPr="00B457F5">
        <w:rPr>
          <w:rFonts w:ascii="Garamond" w:hAnsi="Garamond" w:cs="Times New Roman"/>
          <w:szCs w:val="24"/>
        </w:rPr>
        <w:t>vizjen e lir</w:t>
      </w:r>
      <w:r w:rsidR="0094079E" w:rsidRPr="00B457F5">
        <w:rPr>
          <w:rFonts w:ascii="Garamond" w:hAnsi="Garamond" w:cs="Times New Roman"/>
          <w:szCs w:val="24"/>
        </w:rPr>
        <w:t>ë</w:t>
      </w:r>
      <w:r w:rsidR="009140C3" w:rsidRPr="00B457F5">
        <w:rPr>
          <w:rFonts w:ascii="Garamond" w:hAnsi="Garamond" w:cs="Times New Roman"/>
          <w:szCs w:val="24"/>
        </w:rPr>
        <w:t xml:space="preserve">, </w:t>
      </w:r>
      <w:r w:rsidRPr="00B457F5">
        <w:rPr>
          <w:rFonts w:ascii="Garamond" w:eastAsiaTheme="minorHAnsi" w:hAnsi="Garamond" w:cs="Times New Roman"/>
          <w:szCs w:val="24"/>
        </w:rPr>
        <w:t>si dhe detyrimet ndërkombëtare që rrjedhin nga</w:t>
      </w:r>
      <w:r w:rsidRPr="00B457F5">
        <w:rPr>
          <w:rFonts w:ascii="Garamond" w:eastAsiaTheme="minorHAnsi" w:hAnsi="Garamond" w:cs="Times New Roman"/>
          <w:color w:val="FF0000"/>
          <w:szCs w:val="24"/>
        </w:rPr>
        <w:t xml:space="preserve"> </w:t>
      </w:r>
      <w:r w:rsidRPr="00B457F5">
        <w:rPr>
          <w:rFonts w:ascii="Garamond" w:eastAsiaTheme="minorHAnsi" w:hAnsi="Garamond" w:cs="Times New Roman"/>
          <w:szCs w:val="24"/>
        </w:rPr>
        <w:t>konventat dhe marrëveshjet e ratifikuara në këtë fushë.</w:t>
      </w:r>
      <w:r w:rsidR="002A283E" w:rsidRPr="00B457F5">
        <w:rPr>
          <w:rFonts w:ascii="Garamond" w:hAnsi="Garamond"/>
          <w:szCs w:val="24"/>
        </w:rPr>
        <w:t xml:space="preserve"> </w:t>
      </w:r>
      <w:r w:rsidR="002A283E" w:rsidRPr="00B457F5">
        <w:rPr>
          <w:rFonts w:ascii="Garamond" w:eastAsiaTheme="minorHAnsi" w:hAnsi="Garamond" w:cs="Times New Roman"/>
          <w:szCs w:val="24"/>
        </w:rPr>
        <w:t>Për më tepër, formulimi i objektivave specifik</w:t>
      </w:r>
      <w:r w:rsidR="00A74515" w:rsidRPr="00B457F5">
        <w:rPr>
          <w:rFonts w:ascii="Garamond" w:eastAsiaTheme="minorHAnsi" w:hAnsi="Garamond" w:cs="Times New Roman"/>
          <w:szCs w:val="24"/>
        </w:rPr>
        <w:t>ë</w:t>
      </w:r>
      <w:r w:rsidR="002A283E" w:rsidRPr="00B457F5">
        <w:rPr>
          <w:rFonts w:ascii="Garamond" w:eastAsiaTheme="minorHAnsi" w:hAnsi="Garamond" w:cs="Times New Roman"/>
          <w:szCs w:val="24"/>
        </w:rPr>
        <w:t xml:space="preserve"> dhe masave prioritare është në përputhje me pesë shtyllat e </w:t>
      </w:r>
      <w:r w:rsidR="00A313AE" w:rsidRPr="00B457F5">
        <w:rPr>
          <w:rFonts w:ascii="Garamond" w:eastAsiaTheme="minorHAnsi" w:hAnsi="Garamond" w:cs="Times New Roman"/>
          <w:szCs w:val="24"/>
        </w:rPr>
        <w:t xml:space="preserve">planit të veprimit </w:t>
      </w:r>
      <w:r w:rsidR="002A283E" w:rsidRPr="00B457F5">
        <w:rPr>
          <w:rFonts w:ascii="Garamond" w:eastAsiaTheme="minorHAnsi" w:hAnsi="Garamond" w:cs="Times New Roman"/>
          <w:szCs w:val="24"/>
        </w:rPr>
        <w:t xml:space="preserve">të BE-së për Ballkanin Perëndimor. Në këtë kontekst, </w:t>
      </w:r>
      <w:r w:rsidR="00A74515" w:rsidRPr="00B457F5">
        <w:rPr>
          <w:rFonts w:ascii="Garamond" w:eastAsiaTheme="minorHAnsi" w:hAnsi="Garamond" w:cs="Times New Roman"/>
          <w:szCs w:val="24"/>
        </w:rPr>
        <w:t>s</w:t>
      </w:r>
      <w:r w:rsidR="002A283E" w:rsidRPr="00B457F5">
        <w:rPr>
          <w:rFonts w:ascii="Garamond" w:eastAsiaTheme="minorHAnsi" w:hAnsi="Garamond" w:cs="Times New Roman"/>
          <w:szCs w:val="24"/>
        </w:rPr>
        <w:t>trategjia plotësohet edhe nga Strategjia Ndërsektoriale e Menaxhimit të Integruar të Kufirit (2021</w:t>
      </w:r>
      <w:r w:rsidR="00A313AE" w:rsidRPr="00B457F5">
        <w:rPr>
          <w:rStyle w:val="contentpasted1"/>
          <w:rFonts w:ascii="Garamond" w:hAnsi="Garamond" w:cs="Times New Roman"/>
          <w:color w:val="000000"/>
        </w:rPr>
        <w:t>–</w:t>
      </w:r>
      <w:r w:rsidR="002A283E" w:rsidRPr="00B457F5">
        <w:rPr>
          <w:rFonts w:ascii="Garamond" w:eastAsiaTheme="minorHAnsi" w:hAnsi="Garamond" w:cs="Times New Roman"/>
          <w:szCs w:val="24"/>
        </w:rPr>
        <w:t>2027) dhe, për sa i përket luftës kundër kontrabandës së migrantëve, nga Strategjia Kombëtare Kundër Krimit të Organizuar dhe Krimeve të Rënda, si dhe nga angazhimi sipas një Aleanc</w:t>
      </w:r>
      <w:r w:rsidR="00A74515" w:rsidRPr="00B457F5">
        <w:rPr>
          <w:rFonts w:ascii="Garamond" w:eastAsiaTheme="minorHAnsi" w:hAnsi="Garamond" w:cs="Times New Roman"/>
          <w:szCs w:val="24"/>
        </w:rPr>
        <w:t>e</w:t>
      </w:r>
      <w:r w:rsidR="002A283E" w:rsidRPr="00B457F5">
        <w:rPr>
          <w:rFonts w:ascii="Garamond" w:eastAsiaTheme="minorHAnsi" w:hAnsi="Garamond" w:cs="Times New Roman"/>
          <w:szCs w:val="24"/>
        </w:rPr>
        <w:t xml:space="preserve"> Globale</w:t>
      </w:r>
      <w:r w:rsidR="009936AF">
        <w:rPr>
          <w:rFonts w:ascii="Garamond" w:eastAsiaTheme="minorHAnsi" w:hAnsi="Garamond" w:cs="Times New Roman"/>
          <w:szCs w:val="24"/>
        </w:rPr>
        <w:t xml:space="preserve"> </w:t>
      </w:r>
      <w:r w:rsidR="002A283E" w:rsidRPr="00B457F5">
        <w:rPr>
          <w:rFonts w:ascii="Garamond" w:eastAsiaTheme="minorHAnsi" w:hAnsi="Garamond" w:cs="Times New Roman"/>
          <w:szCs w:val="24"/>
        </w:rPr>
        <w:t>Kundër Kontrabandës së Migrantëve</w:t>
      </w:r>
      <w:r w:rsidR="00A313AE" w:rsidRPr="00B457F5">
        <w:rPr>
          <w:rFonts w:ascii="Garamond" w:eastAsiaTheme="minorHAnsi" w:hAnsi="Garamond" w:cs="Times New Roman"/>
          <w:szCs w:val="24"/>
        </w:rPr>
        <w:t>,</w:t>
      </w:r>
      <w:r w:rsidR="002A283E" w:rsidRPr="00B457F5">
        <w:rPr>
          <w:rFonts w:ascii="Garamond" w:eastAsiaTheme="minorHAnsi" w:hAnsi="Garamond" w:cs="Times New Roman"/>
          <w:szCs w:val="24"/>
        </w:rPr>
        <w:t xml:space="preserve"> e nisur nga Komisioni Evropian në nëntor 2023</w:t>
      </w:r>
      <w:r w:rsidR="002E693B" w:rsidRPr="00B457F5">
        <w:rPr>
          <w:rFonts w:ascii="Garamond" w:eastAsiaTheme="minorHAnsi" w:hAnsi="Garamond" w:cs="Times New Roman"/>
          <w:szCs w:val="24"/>
        </w:rPr>
        <w:t>.</w:t>
      </w:r>
    </w:p>
    <w:p w14:paraId="1225F616" w14:textId="738EDE88" w:rsidR="00CF33C3" w:rsidRPr="00B457F5" w:rsidRDefault="00CF33C3" w:rsidP="002E693B">
      <w:pPr>
        <w:autoSpaceDE w:val="0"/>
        <w:autoSpaceDN w:val="0"/>
        <w:adjustRightInd w:val="0"/>
        <w:spacing w:before="0" w:after="0"/>
        <w:ind w:firstLine="284"/>
        <w:rPr>
          <w:rFonts w:ascii="Garamond" w:eastAsiaTheme="minorHAnsi" w:hAnsi="Garamond" w:cs="Times New Roman"/>
          <w:szCs w:val="24"/>
        </w:rPr>
      </w:pPr>
      <w:r w:rsidRPr="00B457F5">
        <w:rPr>
          <w:rFonts w:ascii="Garamond" w:eastAsiaTheme="minorHAnsi" w:hAnsi="Garamond" w:cs="Times New Roman"/>
          <w:szCs w:val="24"/>
        </w:rPr>
        <w:t xml:space="preserve">Për sa i përket harmonizimit me politikat kombëtare, objektivat dhe masat e parashikuara në strategjinë e re janë të ndërlidhura me </w:t>
      </w:r>
      <w:r w:rsidR="00E47A10" w:rsidRPr="00B457F5">
        <w:rPr>
          <w:rFonts w:ascii="Garamond" w:eastAsiaTheme="minorHAnsi" w:hAnsi="Garamond" w:cs="Times New Roman"/>
          <w:szCs w:val="24"/>
        </w:rPr>
        <w:t xml:space="preserve">programin e qeverisë </w:t>
      </w:r>
      <w:r w:rsidRPr="00B457F5">
        <w:rPr>
          <w:rFonts w:ascii="Garamond" w:eastAsiaTheme="minorHAnsi" w:hAnsi="Garamond" w:cs="Times New Roman"/>
          <w:szCs w:val="24"/>
        </w:rPr>
        <w:t>2021</w:t>
      </w:r>
      <w:r w:rsidR="00A313AE" w:rsidRPr="00B457F5">
        <w:rPr>
          <w:rStyle w:val="contentpasted1"/>
          <w:rFonts w:ascii="Garamond" w:hAnsi="Garamond" w:cs="Times New Roman"/>
          <w:color w:val="000000"/>
        </w:rPr>
        <w:t>–</w:t>
      </w:r>
      <w:r w:rsidRPr="00B457F5">
        <w:rPr>
          <w:rFonts w:ascii="Garamond" w:eastAsiaTheme="minorHAnsi" w:hAnsi="Garamond" w:cs="Times New Roman"/>
          <w:szCs w:val="24"/>
        </w:rPr>
        <w:t>2025, ku një ndër prioritetet kryesore</w:t>
      </w:r>
      <w:r w:rsidR="0006016F" w:rsidRPr="00B457F5">
        <w:rPr>
          <w:rFonts w:ascii="Garamond" w:eastAsiaTheme="minorHAnsi" w:hAnsi="Garamond" w:cs="Times New Roman"/>
          <w:szCs w:val="24"/>
        </w:rPr>
        <w:t xml:space="preserve"> </w:t>
      </w:r>
      <w:r w:rsidRPr="00B457F5">
        <w:rPr>
          <w:rFonts w:ascii="Garamond" w:eastAsiaTheme="minorHAnsi" w:hAnsi="Garamond" w:cs="Times New Roman"/>
          <w:szCs w:val="24"/>
        </w:rPr>
        <w:t>është vëmendja</w:t>
      </w:r>
      <w:r w:rsidR="0006016F" w:rsidRPr="00B457F5">
        <w:rPr>
          <w:rFonts w:ascii="Garamond" w:eastAsiaTheme="minorHAnsi" w:hAnsi="Garamond" w:cs="Times New Roman"/>
          <w:szCs w:val="24"/>
        </w:rPr>
        <w:t xml:space="preserve"> </w:t>
      </w:r>
      <w:r w:rsidRPr="00B457F5">
        <w:rPr>
          <w:rFonts w:ascii="Garamond" w:eastAsiaTheme="minorHAnsi" w:hAnsi="Garamond" w:cs="Times New Roman"/>
          <w:szCs w:val="24"/>
        </w:rPr>
        <w:t xml:space="preserve">e shtuar ndaj promovimit të politikave për të </w:t>
      </w:r>
      <w:r w:rsidR="0094079E" w:rsidRPr="00B457F5">
        <w:rPr>
          <w:rFonts w:ascii="Garamond" w:eastAsiaTheme="minorHAnsi" w:hAnsi="Garamond" w:cs="Times New Roman"/>
          <w:szCs w:val="24"/>
        </w:rPr>
        <w:t>maksimizuar</w:t>
      </w:r>
      <w:r w:rsidRPr="00B457F5">
        <w:rPr>
          <w:rFonts w:ascii="Garamond" w:eastAsiaTheme="minorHAnsi" w:hAnsi="Garamond" w:cs="Times New Roman"/>
          <w:szCs w:val="24"/>
        </w:rPr>
        <w:t xml:space="preserve"> përfitimet e migracionit për migrantët dhe shoqërinë shqiptare. </w:t>
      </w:r>
      <w:r w:rsidRPr="00B457F5">
        <w:rPr>
          <w:rFonts w:ascii="Garamond" w:eastAsia="Times New Roman" w:hAnsi="Garamond" w:cs="Times New Roman"/>
          <w:iCs/>
          <w:color w:val="000000" w:themeColor="text1"/>
          <w:szCs w:val="24"/>
        </w:rPr>
        <w:t>Strategjia Kombëtare për Migracionin dhe Plani i Veprimit 2024</w:t>
      </w:r>
      <w:r w:rsidR="00A74515" w:rsidRPr="00B457F5">
        <w:rPr>
          <w:rStyle w:val="contentpasted1"/>
          <w:rFonts w:ascii="Garamond" w:hAnsi="Garamond" w:cs="Times New Roman"/>
          <w:color w:val="000000"/>
        </w:rPr>
        <w:t>–</w:t>
      </w:r>
      <w:r w:rsidRPr="00B457F5">
        <w:rPr>
          <w:rFonts w:ascii="Garamond" w:eastAsia="Times New Roman" w:hAnsi="Garamond" w:cs="Times New Roman"/>
          <w:iCs/>
          <w:color w:val="000000" w:themeColor="text1"/>
          <w:szCs w:val="24"/>
        </w:rPr>
        <w:t>2030</w:t>
      </w:r>
      <w:r w:rsidRPr="00B457F5">
        <w:rPr>
          <w:rFonts w:ascii="Garamond" w:eastAsiaTheme="minorHAnsi" w:hAnsi="Garamond" w:cs="Times New Roman"/>
          <w:szCs w:val="24"/>
        </w:rPr>
        <w:t xml:space="preserve"> </w:t>
      </w:r>
      <w:r w:rsidRPr="00B457F5">
        <w:rPr>
          <w:rFonts w:ascii="Garamond" w:eastAsia="Times New Roman" w:hAnsi="Garamond" w:cs="Times New Roman"/>
          <w:iCs/>
          <w:szCs w:val="24"/>
        </w:rPr>
        <w:t>bazohet gjithashtu në Strategjinë Kombëtare për Zhvillim dhe Integrimin Evropian</w:t>
      </w:r>
      <w:r w:rsidR="0006016F" w:rsidRPr="00B457F5">
        <w:rPr>
          <w:rFonts w:ascii="Garamond" w:eastAsia="Times New Roman" w:hAnsi="Garamond" w:cs="Times New Roman"/>
          <w:iCs/>
          <w:szCs w:val="24"/>
        </w:rPr>
        <w:t xml:space="preserve"> </w:t>
      </w:r>
      <w:r w:rsidRPr="00B457F5">
        <w:rPr>
          <w:rFonts w:ascii="Garamond" w:eastAsia="Times New Roman" w:hAnsi="Garamond" w:cs="Times New Roman"/>
          <w:iCs/>
          <w:szCs w:val="24"/>
        </w:rPr>
        <w:t>(SKZHIE), e cila është një ndër dokumentet ombrellë të politikave që siguron zhvillimin e vendit në të gjitha fushat, në përputhje me drejtimet strategjike dhe në kuadër të integrimit të tij në BE.</w:t>
      </w:r>
      <w:r w:rsidRPr="00B457F5">
        <w:rPr>
          <w:rFonts w:ascii="Garamond" w:hAnsi="Garamond" w:cs="Times New Roman"/>
          <w:szCs w:val="24"/>
        </w:rPr>
        <w:t xml:space="preserve"> </w:t>
      </w:r>
      <w:r w:rsidRPr="00B457F5">
        <w:rPr>
          <w:rFonts w:ascii="Garamond" w:eastAsia="Times New Roman" w:hAnsi="Garamond" w:cs="Times New Roman"/>
          <w:iCs/>
          <w:szCs w:val="24"/>
        </w:rPr>
        <w:t>SKZHIE</w:t>
      </w:r>
      <w:r w:rsidR="00F17D22" w:rsidRPr="00B457F5">
        <w:rPr>
          <w:rFonts w:ascii="Garamond" w:eastAsia="Times New Roman" w:hAnsi="Garamond" w:cs="Times New Roman"/>
          <w:iCs/>
          <w:szCs w:val="24"/>
        </w:rPr>
        <w:t>-ja</w:t>
      </w:r>
      <w:r w:rsidRPr="00B457F5">
        <w:rPr>
          <w:rFonts w:ascii="Garamond" w:eastAsia="Times New Roman" w:hAnsi="Garamond" w:cs="Times New Roman"/>
          <w:iCs/>
          <w:szCs w:val="24"/>
        </w:rPr>
        <w:t xml:space="preserve"> e konsideron migracionin si një aspekt të rëndësishëm </w:t>
      </w:r>
      <w:r w:rsidR="00F310EA" w:rsidRPr="00B457F5">
        <w:rPr>
          <w:rFonts w:ascii="Garamond" w:eastAsia="Times New Roman" w:hAnsi="Garamond" w:cs="Times New Roman"/>
          <w:iCs/>
          <w:szCs w:val="24"/>
        </w:rPr>
        <w:t>për</w:t>
      </w:r>
      <w:r w:rsidRPr="00B457F5">
        <w:rPr>
          <w:rFonts w:ascii="Garamond" w:eastAsia="Times New Roman" w:hAnsi="Garamond" w:cs="Times New Roman"/>
          <w:iCs/>
          <w:szCs w:val="24"/>
        </w:rPr>
        <w:t xml:space="preserve"> zhvillimin social dhe ekonomik të Shqipërisë.</w:t>
      </w:r>
    </w:p>
    <w:p w14:paraId="1F54605B" w14:textId="3F4739AB" w:rsidR="00CF33C3" w:rsidRPr="00B457F5" w:rsidRDefault="00CF33C3" w:rsidP="002E693B">
      <w:pPr>
        <w:widowControl w:val="0"/>
        <w:autoSpaceDE w:val="0"/>
        <w:autoSpaceDN w:val="0"/>
        <w:spacing w:before="0" w:after="0"/>
        <w:ind w:firstLine="284"/>
        <w:rPr>
          <w:rFonts w:ascii="Garamond" w:eastAsia="Times New Roman" w:hAnsi="Garamond" w:cs="Times New Roman"/>
          <w:iCs/>
          <w:szCs w:val="24"/>
        </w:rPr>
      </w:pPr>
      <w:r w:rsidRPr="00B457F5">
        <w:rPr>
          <w:rFonts w:ascii="Garamond" w:eastAsia="Times New Roman" w:hAnsi="Garamond" w:cs="Times New Roman"/>
          <w:iCs/>
          <w:szCs w:val="24"/>
        </w:rPr>
        <w:t>Hartimi i këtij dokumentit të ri strategjik shënjon gjithashtu një moment të rëndësishëm në rrugëtimin e Shqipërisë drejt Bashkimit Evropian, prioritetit i cili udhëheq a</w:t>
      </w:r>
      <w:r w:rsidR="0094601D" w:rsidRPr="00B457F5">
        <w:rPr>
          <w:rFonts w:ascii="Garamond" w:eastAsia="Times New Roman" w:hAnsi="Garamond" w:cs="Times New Roman"/>
          <w:iCs/>
          <w:szCs w:val="24"/>
        </w:rPr>
        <w:t>gj</w:t>
      </w:r>
      <w:r w:rsidRPr="00B457F5">
        <w:rPr>
          <w:rFonts w:ascii="Garamond" w:eastAsia="Times New Roman" w:hAnsi="Garamond" w:cs="Times New Roman"/>
          <w:iCs/>
          <w:szCs w:val="24"/>
        </w:rPr>
        <w:t>endën qeverisëse të vendit. Vlen të theksohet se në frymën e proceseve globale të migracionit dhe integrimit të vendit në BE, ofrimi i një përgjigje</w:t>
      </w:r>
      <w:r w:rsidR="00A74515" w:rsidRPr="00B457F5">
        <w:rPr>
          <w:rFonts w:ascii="Garamond" w:eastAsia="Times New Roman" w:hAnsi="Garamond" w:cs="Times New Roman"/>
          <w:iCs/>
          <w:szCs w:val="24"/>
        </w:rPr>
        <w:t>je</w:t>
      </w:r>
      <w:r w:rsidRPr="00B457F5">
        <w:rPr>
          <w:rFonts w:ascii="Garamond" w:eastAsia="Times New Roman" w:hAnsi="Garamond" w:cs="Times New Roman"/>
          <w:iCs/>
          <w:szCs w:val="24"/>
        </w:rPr>
        <w:t xml:space="preserve"> të plotë ndaj sfidave dhe mundësive të migracionit paraqet vizionin e qeverisë shqiptare në fushën e m</w:t>
      </w:r>
      <w:r w:rsidR="009140C3" w:rsidRPr="00B457F5">
        <w:rPr>
          <w:rFonts w:ascii="Garamond" w:eastAsia="Times New Roman" w:hAnsi="Garamond" w:cs="Times New Roman"/>
          <w:iCs/>
          <w:szCs w:val="24"/>
        </w:rPr>
        <w:t xml:space="preserve">igracionit deri në vitin 2030. </w:t>
      </w:r>
      <w:r w:rsidRPr="00B457F5">
        <w:rPr>
          <w:rFonts w:ascii="Garamond" w:eastAsia="Times New Roman" w:hAnsi="Garamond" w:cs="Times New Roman"/>
          <w:iCs/>
          <w:szCs w:val="24"/>
        </w:rPr>
        <w:t>Si i tillë, vizioni i strat</w:t>
      </w:r>
      <w:r w:rsidR="009140C3" w:rsidRPr="00B457F5">
        <w:rPr>
          <w:rFonts w:ascii="Garamond" w:eastAsia="Times New Roman" w:hAnsi="Garamond" w:cs="Times New Roman"/>
          <w:iCs/>
          <w:szCs w:val="24"/>
        </w:rPr>
        <w:t xml:space="preserve">egjisë është fryt i frymëzimit </w:t>
      </w:r>
      <w:r w:rsidRPr="00B457F5">
        <w:rPr>
          <w:rFonts w:ascii="Garamond" w:eastAsia="Times New Roman" w:hAnsi="Garamond" w:cs="Times New Roman"/>
          <w:iCs/>
          <w:szCs w:val="24"/>
        </w:rPr>
        <w:t>të lëvizjeve dhe trendeve globale migratore</w:t>
      </w:r>
      <w:r w:rsidR="0094601D" w:rsidRPr="00B457F5">
        <w:rPr>
          <w:rFonts w:ascii="Garamond" w:eastAsia="Times New Roman" w:hAnsi="Garamond" w:cs="Times New Roman"/>
          <w:iCs/>
          <w:szCs w:val="24"/>
        </w:rPr>
        <w:t xml:space="preserve">, të </w:t>
      </w:r>
      <w:r w:rsidRPr="00B457F5">
        <w:rPr>
          <w:rFonts w:ascii="Garamond" w:eastAsia="Times New Roman" w:hAnsi="Garamond" w:cs="Times New Roman"/>
          <w:iCs/>
          <w:szCs w:val="24"/>
        </w:rPr>
        <w:t>kombinuar</w:t>
      </w:r>
      <w:r w:rsidR="0094601D" w:rsidRPr="00B457F5">
        <w:rPr>
          <w:rFonts w:ascii="Garamond" w:eastAsia="Times New Roman" w:hAnsi="Garamond" w:cs="Times New Roman"/>
          <w:iCs/>
          <w:szCs w:val="24"/>
        </w:rPr>
        <w:t>a</w:t>
      </w:r>
      <w:r w:rsidRPr="00B457F5">
        <w:rPr>
          <w:rFonts w:ascii="Garamond" w:eastAsia="Times New Roman" w:hAnsi="Garamond" w:cs="Times New Roman"/>
          <w:iCs/>
          <w:szCs w:val="24"/>
        </w:rPr>
        <w:t xml:space="preserve"> me procese reformuese të vendit në përmbushje të standardeve ndërkombëtare dhe integrimit të Shqipërisë në BE. Në këtë drejtim, qëllimi strategjik është qeverisja efektive e migracionit </w:t>
      </w:r>
      <w:r w:rsidR="005154B5" w:rsidRPr="00B457F5">
        <w:rPr>
          <w:rFonts w:ascii="Garamond" w:eastAsia="Times New Roman" w:hAnsi="Garamond" w:cs="Times New Roman"/>
          <w:iCs/>
          <w:szCs w:val="24"/>
        </w:rPr>
        <w:t>përmes trajtimit</w:t>
      </w:r>
      <w:r w:rsidRPr="00B457F5">
        <w:rPr>
          <w:rFonts w:ascii="Garamond" w:eastAsia="Times New Roman" w:hAnsi="Garamond" w:cs="Times New Roman"/>
          <w:iCs/>
          <w:szCs w:val="24"/>
        </w:rPr>
        <w:t xml:space="preserve"> dhe menaxh</w:t>
      </w:r>
      <w:r w:rsidR="005154B5" w:rsidRPr="00B457F5">
        <w:rPr>
          <w:rFonts w:ascii="Garamond" w:eastAsia="Times New Roman" w:hAnsi="Garamond" w:cs="Times New Roman"/>
          <w:iCs/>
          <w:szCs w:val="24"/>
        </w:rPr>
        <w:t>imit të</w:t>
      </w:r>
      <w:r w:rsidRPr="00B457F5">
        <w:rPr>
          <w:rFonts w:ascii="Garamond" w:eastAsia="Times New Roman" w:hAnsi="Garamond" w:cs="Times New Roman"/>
          <w:iCs/>
          <w:szCs w:val="24"/>
        </w:rPr>
        <w:t xml:space="preserve"> çështje</w:t>
      </w:r>
      <w:r w:rsidR="005154B5" w:rsidRPr="00B457F5">
        <w:rPr>
          <w:rFonts w:ascii="Garamond" w:eastAsia="Times New Roman" w:hAnsi="Garamond" w:cs="Times New Roman"/>
          <w:iCs/>
          <w:szCs w:val="24"/>
        </w:rPr>
        <w:t>ve</w:t>
      </w:r>
      <w:r w:rsidRPr="00B457F5">
        <w:rPr>
          <w:rFonts w:ascii="Garamond" w:eastAsia="Times New Roman" w:hAnsi="Garamond" w:cs="Times New Roman"/>
          <w:iCs/>
          <w:szCs w:val="24"/>
        </w:rPr>
        <w:t xml:space="preserve"> dhe sfida</w:t>
      </w:r>
      <w:r w:rsidR="005154B5" w:rsidRPr="00B457F5">
        <w:rPr>
          <w:rFonts w:ascii="Garamond" w:eastAsia="Times New Roman" w:hAnsi="Garamond" w:cs="Times New Roman"/>
          <w:iCs/>
          <w:szCs w:val="24"/>
        </w:rPr>
        <w:t>ve</w:t>
      </w:r>
      <w:r w:rsidRPr="00B457F5">
        <w:rPr>
          <w:rFonts w:ascii="Garamond" w:eastAsia="Times New Roman" w:hAnsi="Garamond" w:cs="Times New Roman"/>
          <w:iCs/>
          <w:szCs w:val="24"/>
        </w:rPr>
        <w:t xml:space="preserve"> që dalin nga lëvizjet migratore, me synimin për të rritur ndikimin e migracionit në zhvillimin e migrantëve dhe shoqërisë.</w:t>
      </w:r>
    </w:p>
    <w:p w14:paraId="62B25F20" w14:textId="36D253EB" w:rsidR="00CF33C3" w:rsidRPr="00B457F5" w:rsidRDefault="00CF33C3" w:rsidP="002E693B">
      <w:pPr>
        <w:widowControl w:val="0"/>
        <w:autoSpaceDE w:val="0"/>
        <w:autoSpaceDN w:val="0"/>
        <w:spacing w:before="0" w:after="0"/>
        <w:ind w:firstLine="284"/>
        <w:rPr>
          <w:rFonts w:ascii="Garamond" w:eastAsia="Times New Roman" w:hAnsi="Garamond" w:cs="Times New Roman"/>
          <w:iCs/>
          <w:szCs w:val="24"/>
        </w:rPr>
      </w:pPr>
      <w:r w:rsidRPr="00B457F5">
        <w:rPr>
          <w:rFonts w:ascii="Garamond" w:eastAsia="Times New Roman" w:hAnsi="Garamond" w:cs="Times New Roman"/>
          <w:iCs/>
          <w:szCs w:val="24"/>
        </w:rPr>
        <w:t xml:space="preserve">Vlen të përmendet se, zbatimi i strategjisë do të konsiderohet i lidhur ngushtësisht me realizimin e angazhimeve të </w:t>
      </w:r>
      <w:r w:rsidR="008E1E75" w:rsidRPr="00B457F5">
        <w:rPr>
          <w:rFonts w:ascii="Garamond" w:eastAsia="Times New Roman" w:hAnsi="Garamond" w:cs="Times New Roman"/>
          <w:iCs/>
          <w:szCs w:val="24"/>
        </w:rPr>
        <w:t>q</w:t>
      </w:r>
      <w:r w:rsidRPr="00B457F5">
        <w:rPr>
          <w:rFonts w:ascii="Garamond" w:eastAsia="Times New Roman" w:hAnsi="Garamond" w:cs="Times New Roman"/>
          <w:iCs/>
          <w:szCs w:val="24"/>
        </w:rPr>
        <w:t xml:space="preserve">everisë </w:t>
      </w:r>
      <w:r w:rsidR="008E1E75" w:rsidRPr="00B457F5">
        <w:rPr>
          <w:rFonts w:ascii="Garamond" w:eastAsia="Times New Roman" w:hAnsi="Garamond" w:cs="Times New Roman"/>
          <w:iCs/>
          <w:szCs w:val="24"/>
        </w:rPr>
        <w:t>s</w:t>
      </w:r>
      <w:r w:rsidRPr="00B457F5">
        <w:rPr>
          <w:rFonts w:ascii="Garamond" w:eastAsia="Times New Roman" w:hAnsi="Garamond" w:cs="Times New Roman"/>
          <w:iCs/>
          <w:szCs w:val="24"/>
        </w:rPr>
        <w:t>hqiptare</w:t>
      </w:r>
      <w:r w:rsidR="00A74515" w:rsidRPr="00B457F5">
        <w:rPr>
          <w:rFonts w:ascii="Garamond" w:eastAsia="Times New Roman" w:hAnsi="Garamond" w:cs="Times New Roman"/>
          <w:iCs/>
          <w:szCs w:val="24"/>
        </w:rPr>
        <w:t>,</w:t>
      </w:r>
      <w:r w:rsidRPr="00B457F5">
        <w:rPr>
          <w:rFonts w:ascii="Garamond" w:eastAsia="Times New Roman" w:hAnsi="Garamond" w:cs="Times New Roman"/>
          <w:iCs/>
          <w:szCs w:val="24"/>
        </w:rPr>
        <w:t xml:space="preserve"> në kuadër të zbatimit të nismave ndërkombëtare dhe forcimit të partneriteteve me vendet e rajonit dhe të botës.</w:t>
      </w:r>
      <w:r w:rsidRPr="00B457F5">
        <w:rPr>
          <w:rFonts w:ascii="Garamond" w:hAnsi="Garamond" w:cs="Times New Roman"/>
          <w:szCs w:val="24"/>
        </w:rPr>
        <w:t xml:space="preserve"> </w:t>
      </w:r>
      <w:r w:rsidRPr="00B457F5">
        <w:rPr>
          <w:rFonts w:ascii="Garamond" w:eastAsia="Times New Roman" w:hAnsi="Garamond" w:cs="Times New Roman"/>
          <w:iCs/>
          <w:szCs w:val="24"/>
        </w:rPr>
        <w:t>Nevoja për të rritur në maksimum mundësitë që sjell lëvizshmëria dhe për</w:t>
      </w:r>
      <w:r w:rsidR="00A313AE" w:rsidRPr="00B457F5">
        <w:rPr>
          <w:rFonts w:ascii="Garamond" w:eastAsia="Times New Roman" w:hAnsi="Garamond" w:cs="Times New Roman"/>
          <w:iCs/>
          <w:szCs w:val="24"/>
        </w:rPr>
        <w:t xml:space="preserve"> t’u </w:t>
      </w:r>
      <w:r w:rsidRPr="00B457F5">
        <w:rPr>
          <w:rFonts w:ascii="Garamond" w:eastAsia="Times New Roman" w:hAnsi="Garamond" w:cs="Times New Roman"/>
          <w:iCs/>
          <w:szCs w:val="24"/>
        </w:rPr>
        <w:t>përballur me sfidat e saj është pranuar si e tillë me përfshirjen e migracionit në Agjendën 2030 për Zhvillimin e Qëndrueshëm dhe me miratimin e Paktit Global për Migracion të Sigurt, të Organizuar dhe të Rregullt</w:t>
      </w:r>
      <w:r w:rsidR="00A74515" w:rsidRPr="00B457F5">
        <w:rPr>
          <w:rFonts w:ascii="Garamond" w:eastAsia="Times New Roman" w:hAnsi="Garamond" w:cs="Times New Roman"/>
          <w:iCs/>
          <w:szCs w:val="24"/>
        </w:rPr>
        <w:t>,</w:t>
      </w:r>
      <w:r w:rsidR="002A283E" w:rsidRPr="00B457F5">
        <w:rPr>
          <w:rFonts w:ascii="Garamond" w:eastAsia="Times New Roman" w:hAnsi="Garamond" w:cs="Times New Roman"/>
          <w:iCs/>
          <w:szCs w:val="24"/>
        </w:rPr>
        <w:t xml:space="preserve"> dhe Paktit Global për Refugjatët</w:t>
      </w:r>
      <w:r w:rsidRPr="00B457F5">
        <w:rPr>
          <w:rFonts w:ascii="Garamond" w:eastAsia="Times New Roman" w:hAnsi="Garamond" w:cs="Times New Roman"/>
          <w:iCs/>
          <w:szCs w:val="24"/>
        </w:rPr>
        <w:t>.</w:t>
      </w:r>
      <w:r w:rsidRPr="00B457F5">
        <w:rPr>
          <w:rFonts w:ascii="Garamond" w:hAnsi="Garamond" w:cs="Times New Roman"/>
          <w:szCs w:val="24"/>
        </w:rPr>
        <w:t xml:space="preserve"> </w:t>
      </w:r>
      <w:r w:rsidRPr="00B457F5">
        <w:rPr>
          <w:rFonts w:ascii="Garamond" w:eastAsia="Times New Roman" w:hAnsi="Garamond" w:cs="Times New Roman"/>
          <w:iCs/>
          <w:szCs w:val="24"/>
        </w:rPr>
        <w:t>Në këtë këndvështrim, ky dokument strategjik është hartuar në përputhje të plotë me Objektivat e Zhvillimit të Qëndrueshëm (</w:t>
      </w:r>
      <w:r w:rsidR="001A6DC6" w:rsidRPr="00B457F5">
        <w:rPr>
          <w:rFonts w:ascii="Garamond" w:eastAsia="Times New Roman" w:hAnsi="Garamond" w:cs="Times New Roman"/>
          <w:iCs/>
          <w:szCs w:val="24"/>
        </w:rPr>
        <w:t>OZHQ</w:t>
      </w:r>
      <w:r w:rsidRPr="00B457F5">
        <w:rPr>
          <w:rFonts w:ascii="Garamond" w:eastAsia="Times New Roman" w:hAnsi="Garamond" w:cs="Times New Roman"/>
          <w:iCs/>
          <w:szCs w:val="24"/>
        </w:rPr>
        <w:t xml:space="preserve">) dhe më konkretisht </w:t>
      </w:r>
      <w:r w:rsidR="001A6DC6" w:rsidRPr="00B457F5">
        <w:rPr>
          <w:rFonts w:ascii="Garamond" w:eastAsia="Times New Roman" w:hAnsi="Garamond" w:cs="Times New Roman"/>
          <w:iCs/>
          <w:szCs w:val="24"/>
        </w:rPr>
        <w:t xml:space="preserve">me </w:t>
      </w:r>
      <w:r w:rsidRPr="00B457F5">
        <w:rPr>
          <w:rFonts w:ascii="Garamond" w:eastAsia="Times New Roman" w:hAnsi="Garamond" w:cs="Times New Roman"/>
          <w:iCs/>
          <w:szCs w:val="24"/>
        </w:rPr>
        <w:t xml:space="preserve">objektivin 10.7 për zhvillimin e </w:t>
      </w:r>
      <w:r w:rsidR="00A313AE" w:rsidRPr="00B457F5">
        <w:rPr>
          <w:rFonts w:ascii="Garamond" w:eastAsia="Times New Roman" w:hAnsi="Garamond" w:cs="Times New Roman"/>
          <w:iCs/>
          <w:szCs w:val="24"/>
        </w:rPr>
        <w:t>“</w:t>
      </w:r>
      <w:r w:rsidRPr="00B457F5">
        <w:rPr>
          <w:rFonts w:ascii="Garamond" w:eastAsia="Times New Roman" w:hAnsi="Garamond" w:cs="Times New Roman"/>
          <w:iCs/>
          <w:szCs w:val="24"/>
        </w:rPr>
        <w:t>Politikave të mirëmenaxhuara të migracionit</w:t>
      </w:r>
      <w:r w:rsidR="00A313AE" w:rsidRPr="00B457F5">
        <w:rPr>
          <w:rFonts w:ascii="Garamond" w:eastAsia="Times New Roman" w:hAnsi="Garamond" w:cs="Times New Roman"/>
          <w:iCs/>
          <w:szCs w:val="24"/>
        </w:rPr>
        <w:t>”</w:t>
      </w:r>
      <w:r w:rsidR="00A74515" w:rsidRPr="00B457F5">
        <w:rPr>
          <w:rFonts w:ascii="Garamond" w:eastAsia="Times New Roman" w:hAnsi="Garamond" w:cs="Times New Roman"/>
          <w:iCs/>
          <w:szCs w:val="24"/>
        </w:rPr>
        <w:t>,</w:t>
      </w:r>
      <w:r w:rsidRPr="00B457F5">
        <w:rPr>
          <w:rFonts w:ascii="Garamond" w:eastAsia="Times New Roman" w:hAnsi="Garamond" w:cs="Times New Roman"/>
          <w:iCs/>
          <w:szCs w:val="24"/>
        </w:rPr>
        <w:t xml:space="preserve"> si dhe objektivat e Paktit Global për Migracionin (</w:t>
      </w:r>
      <w:r w:rsidR="001A6DC6" w:rsidRPr="00B457F5">
        <w:rPr>
          <w:rFonts w:ascii="Garamond" w:eastAsia="Times New Roman" w:hAnsi="Garamond" w:cs="Times New Roman"/>
          <w:iCs/>
          <w:szCs w:val="24"/>
        </w:rPr>
        <w:t>PGM</w:t>
      </w:r>
      <w:r w:rsidRPr="00B457F5">
        <w:rPr>
          <w:rFonts w:ascii="Garamond" w:eastAsia="Times New Roman" w:hAnsi="Garamond" w:cs="Times New Roman"/>
          <w:iCs/>
          <w:szCs w:val="24"/>
        </w:rPr>
        <w:t>)</w:t>
      </w:r>
      <w:r w:rsidR="001A6DC6" w:rsidRPr="00B457F5">
        <w:rPr>
          <w:rFonts w:ascii="Garamond" w:eastAsia="Times New Roman" w:hAnsi="Garamond" w:cs="Times New Roman"/>
          <w:iCs/>
          <w:szCs w:val="24"/>
        </w:rPr>
        <w:t>,</w:t>
      </w:r>
      <w:r w:rsidRPr="00B457F5">
        <w:rPr>
          <w:rFonts w:ascii="Garamond" w:eastAsia="Times New Roman" w:hAnsi="Garamond" w:cs="Times New Roman"/>
          <w:iCs/>
          <w:szCs w:val="24"/>
        </w:rPr>
        <w:t xml:space="preserve"> të cilat kontribuojnë drejtpërdrejt </w:t>
      </w:r>
      <w:r w:rsidR="001A6DC6" w:rsidRPr="00B457F5">
        <w:rPr>
          <w:rFonts w:ascii="Garamond" w:eastAsia="Times New Roman" w:hAnsi="Garamond" w:cs="Times New Roman"/>
          <w:iCs/>
          <w:szCs w:val="24"/>
        </w:rPr>
        <w:t>për</w:t>
      </w:r>
      <w:r w:rsidRPr="00B457F5">
        <w:rPr>
          <w:rFonts w:ascii="Garamond" w:eastAsia="Times New Roman" w:hAnsi="Garamond" w:cs="Times New Roman"/>
          <w:iCs/>
          <w:szCs w:val="24"/>
        </w:rPr>
        <w:t xml:space="preserve"> përmbushjen e objektivave të SKZHIE</w:t>
      </w:r>
      <w:r w:rsidR="001A6DC6" w:rsidRPr="00B457F5">
        <w:rPr>
          <w:rFonts w:ascii="Garamond" w:eastAsia="Times New Roman" w:hAnsi="Garamond" w:cs="Times New Roman"/>
          <w:iCs/>
          <w:szCs w:val="24"/>
        </w:rPr>
        <w:t>-së</w:t>
      </w:r>
      <w:r w:rsidR="00A74515" w:rsidRPr="00B457F5">
        <w:rPr>
          <w:rFonts w:ascii="Garamond" w:eastAsia="Times New Roman" w:hAnsi="Garamond" w:cs="Times New Roman"/>
          <w:iCs/>
          <w:szCs w:val="24"/>
        </w:rPr>
        <w:t>,</w:t>
      </w:r>
      <w:r w:rsidRPr="00B457F5">
        <w:rPr>
          <w:rFonts w:ascii="Garamond" w:eastAsia="Times New Roman" w:hAnsi="Garamond" w:cs="Times New Roman"/>
          <w:iCs/>
          <w:szCs w:val="24"/>
        </w:rPr>
        <w:t xml:space="preserve"> në lidhje me qeverisjen e migracionit. Shqipëria ka votuar </w:t>
      </w:r>
      <w:r w:rsidR="004D3051" w:rsidRPr="00B457F5">
        <w:rPr>
          <w:rFonts w:ascii="Garamond" w:eastAsia="Times New Roman" w:hAnsi="Garamond" w:cs="Times New Roman"/>
          <w:iCs/>
          <w:szCs w:val="24"/>
        </w:rPr>
        <w:t xml:space="preserve">pro </w:t>
      </w:r>
      <w:r w:rsidRPr="00B457F5">
        <w:rPr>
          <w:rFonts w:ascii="Garamond" w:eastAsia="Times New Roman" w:hAnsi="Garamond" w:cs="Times New Roman"/>
          <w:iCs/>
          <w:szCs w:val="24"/>
        </w:rPr>
        <w:t xml:space="preserve">miratimit të </w:t>
      </w:r>
      <w:r w:rsidR="004D3051" w:rsidRPr="00B457F5">
        <w:rPr>
          <w:rFonts w:ascii="Garamond" w:eastAsia="Times New Roman" w:hAnsi="Garamond" w:cs="Times New Roman"/>
          <w:iCs/>
          <w:szCs w:val="24"/>
        </w:rPr>
        <w:t>PGM</w:t>
      </w:r>
      <w:r w:rsidRPr="00B457F5">
        <w:rPr>
          <w:rFonts w:ascii="Garamond" w:eastAsia="Times New Roman" w:hAnsi="Garamond" w:cs="Times New Roman"/>
          <w:iCs/>
          <w:szCs w:val="24"/>
        </w:rPr>
        <w:t>-së dhe është angazhuar në mënyrë aktive në procesin e zhvillimit të tij, duke përfshirë disa takime konsultimi në nivel kombëtar dhe rajonal.</w:t>
      </w:r>
      <w:r w:rsidRPr="00B457F5">
        <w:rPr>
          <w:rFonts w:ascii="Garamond" w:hAnsi="Garamond" w:cs="Times New Roman"/>
          <w:szCs w:val="24"/>
        </w:rPr>
        <w:t xml:space="preserve"> </w:t>
      </w:r>
      <w:r w:rsidRPr="00B457F5">
        <w:rPr>
          <w:rFonts w:ascii="Garamond" w:eastAsia="Times New Roman" w:hAnsi="Garamond" w:cs="Times New Roman"/>
          <w:iCs/>
          <w:szCs w:val="24"/>
        </w:rPr>
        <w:t xml:space="preserve">Për këtë arsye, </w:t>
      </w:r>
      <w:r w:rsidRPr="00B457F5">
        <w:rPr>
          <w:rFonts w:ascii="Garamond" w:eastAsia="Times New Roman" w:hAnsi="Garamond" w:cs="Times New Roman"/>
          <w:iCs/>
          <w:szCs w:val="24"/>
        </w:rPr>
        <w:lastRenderedPageBreak/>
        <w:t xml:space="preserve">përzgjedhja dhe formulimi i objektivave të </w:t>
      </w:r>
      <w:r w:rsidR="00A313AE" w:rsidRPr="00B457F5">
        <w:rPr>
          <w:rFonts w:ascii="Garamond" w:eastAsia="Times New Roman" w:hAnsi="Garamond" w:cs="Times New Roman"/>
          <w:iCs/>
          <w:szCs w:val="24"/>
        </w:rPr>
        <w:t>Strategjisë</w:t>
      </w:r>
      <w:r w:rsidR="009140C3" w:rsidRPr="00B457F5">
        <w:rPr>
          <w:rFonts w:ascii="Garamond" w:eastAsia="Times New Roman" w:hAnsi="Garamond" w:cs="Times New Roman"/>
          <w:iCs/>
          <w:szCs w:val="24"/>
        </w:rPr>
        <w:t xml:space="preserve"> </w:t>
      </w:r>
      <w:r w:rsidR="00A313AE" w:rsidRPr="00B457F5">
        <w:rPr>
          <w:rFonts w:ascii="Garamond" w:eastAsia="Times New Roman" w:hAnsi="Garamond" w:cs="Times New Roman"/>
          <w:iCs/>
          <w:szCs w:val="24"/>
        </w:rPr>
        <w:t xml:space="preserve">Kombëtare </w:t>
      </w:r>
      <w:r w:rsidR="009140C3" w:rsidRPr="00B457F5">
        <w:rPr>
          <w:rFonts w:ascii="Garamond" w:eastAsia="Times New Roman" w:hAnsi="Garamond" w:cs="Times New Roman"/>
          <w:iCs/>
          <w:szCs w:val="24"/>
        </w:rPr>
        <w:t>të</w:t>
      </w:r>
      <w:r w:rsidR="00186022" w:rsidRPr="00B457F5">
        <w:rPr>
          <w:rFonts w:ascii="Garamond" w:eastAsia="Times New Roman" w:hAnsi="Garamond" w:cs="Times New Roman"/>
          <w:iCs/>
          <w:szCs w:val="24"/>
        </w:rPr>
        <w:t xml:space="preserve"> Migracionit</w:t>
      </w:r>
      <w:r w:rsidRPr="00B457F5">
        <w:rPr>
          <w:rFonts w:ascii="Garamond" w:eastAsia="Times New Roman" w:hAnsi="Garamond" w:cs="Times New Roman"/>
          <w:iCs/>
          <w:szCs w:val="24"/>
        </w:rPr>
        <w:t xml:space="preserve"> është bazuar në prior</w:t>
      </w:r>
      <w:r w:rsidR="009140C3" w:rsidRPr="00B457F5">
        <w:rPr>
          <w:rFonts w:ascii="Garamond" w:eastAsia="Times New Roman" w:hAnsi="Garamond" w:cs="Times New Roman"/>
          <w:iCs/>
          <w:szCs w:val="24"/>
        </w:rPr>
        <w:t>itizimin e objektivave të Paktit</w:t>
      </w:r>
      <w:r w:rsidRPr="00B457F5">
        <w:rPr>
          <w:rFonts w:ascii="Garamond" w:eastAsia="Times New Roman" w:hAnsi="Garamond" w:cs="Times New Roman"/>
          <w:iCs/>
          <w:szCs w:val="24"/>
        </w:rPr>
        <w:t xml:space="preserve"> Global për Migracionin.</w:t>
      </w:r>
    </w:p>
    <w:p w14:paraId="22C45167" w14:textId="5A8FE2EA" w:rsidR="00CF33C3" w:rsidRPr="00B457F5" w:rsidRDefault="00CF33C3" w:rsidP="002E693B">
      <w:pPr>
        <w:widowControl w:val="0"/>
        <w:autoSpaceDE w:val="0"/>
        <w:autoSpaceDN w:val="0"/>
        <w:spacing w:before="0" w:after="0"/>
        <w:ind w:firstLine="284"/>
        <w:rPr>
          <w:rFonts w:ascii="Garamond" w:eastAsia="Times New Roman" w:hAnsi="Garamond" w:cs="Times New Roman"/>
          <w:iCs/>
          <w:szCs w:val="24"/>
        </w:rPr>
      </w:pPr>
      <w:r w:rsidRPr="00B457F5">
        <w:rPr>
          <w:rFonts w:ascii="Garamond" w:eastAsia="Times New Roman" w:hAnsi="Garamond" w:cs="Times New Roman"/>
          <w:iCs/>
          <w:szCs w:val="24"/>
        </w:rPr>
        <w:t>Për sa i përket ndërlidhjes me proceset dhe dokumentet strategjik</w:t>
      </w:r>
      <w:r w:rsidR="006551F4" w:rsidRPr="00B457F5">
        <w:rPr>
          <w:rFonts w:ascii="Garamond" w:eastAsia="Times New Roman" w:hAnsi="Garamond" w:cs="Times New Roman"/>
          <w:iCs/>
          <w:szCs w:val="24"/>
        </w:rPr>
        <w:t>e</w:t>
      </w:r>
      <w:r w:rsidRPr="00B457F5">
        <w:rPr>
          <w:rFonts w:ascii="Garamond" w:eastAsia="Times New Roman" w:hAnsi="Garamond" w:cs="Times New Roman"/>
          <w:iCs/>
          <w:szCs w:val="24"/>
        </w:rPr>
        <w:t xml:space="preserve"> ndërkombëtar</w:t>
      </w:r>
      <w:r w:rsidR="00A74515" w:rsidRPr="00B457F5">
        <w:rPr>
          <w:rFonts w:ascii="Garamond" w:eastAsia="Times New Roman" w:hAnsi="Garamond" w:cs="Times New Roman"/>
          <w:iCs/>
          <w:szCs w:val="24"/>
        </w:rPr>
        <w:t>e</w:t>
      </w:r>
      <w:r w:rsidRPr="00B457F5">
        <w:rPr>
          <w:rFonts w:ascii="Garamond" w:eastAsia="Times New Roman" w:hAnsi="Garamond" w:cs="Times New Roman"/>
          <w:iCs/>
          <w:szCs w:val="24"/>
        </w:rPr>
        <w:t xml:space="preserve">, </w:t>
      </w:r>
      <w:r w:rsidR="00F76E21" w:rsidRPr="00B457F5">
        <w:rPr>
          <w:rFonts w:ascii="Garamond" w:eastAsiaTheme="minorHAnsi" w:hAnsi="Garamond" w:cs="Times New Roman"/>
          <w:szCs w:val="24"/>
        </w:rPr>
        <w:t xml:space="preserve">për </w:t>
      </w:r>
      <w:r w:rsidRPr="00B457F5">
        <w:rPr>
          <w:rFonts w:ascii="Garamond" w:eastAsiaTheme="minorHAnsi" w:hAnsi="Garamond" w:cs="Times New Roman"/>
          <w:szCs w:val="24"/>
        </w:rPr>
        <w:t xml:space="preserve">hartimin e këtij dokumenti, janë marrë </w:t>
      </w:r>
      <w:r w:rsidR="00F76E21" w:rsidRPr="00B457F5">
        <w:rPr>
          <w:rFonts w:ascii="Garamond" w:eastAsiaTheme="minorHAnsi" w:hAnsi="Garamond" w:cs="Times New Roman"/>
          <w:szCs w:val="24"/>
        </w:rPr>
        <w:t>parasysh</w:t>
      </w:r>
      <w:r w:rsidRPr="00B457F5">
        <w:rPr>
          <w:rFonts w:ascii="Garamond" w:eastAsiaTheme="minorHAnsi" w:hAnsi="Garamond" w:cs="Times New Roman"/>
          <w:szCs w:val="24"/>
        </w:rPr>
        <w:t xml:space="preserve"> të gjitha konventat dhe marrëveshjet </w:t>
      </w:r>
      <w:r w:rsidR="00E71B95" w:rsidRPr="00B457F5">
        <w:rPr>
          <w:rFonts w:ascii="Garamond" w:eastAsiaTheme="minorHAnsi" w:hAnsi="Garamond" w:cs="Times New Roman"/>
          <w:szCs w:val="24"/>
        </w:rPr>
        <w:t>që mbrojnë të drejtat e migrantë</w:t>
      </w:r>
      <w:r w:rsidRPr="00B457F5">
        <w:rPr>
          <w:rFonts w:ascii="Garamond" w:eastAsiaTheme="minorHAnsi" w:hAnsi="Garamond" w:cs="Times New Roman"/>
          <w:szCs w:val="24"/>
        </w:rPr>
        <w:t xml:space="preserve">ve dhe promovojnë </w:t>
      </w:r>
      <w:r w:rsidRPr="00B457F5">
        <w:rPr>
          <w:rFonts w:ascii="Garamond" w:hAnsi="Garamond" w:cs="Times New Roman"/>
          <w:color w:val="000000"/>
          <w:szCs w:val="24"/>
        </w:rPr>
        <w:t>zhvillimi</w:t>
      </w:r>
      <w:r w:rsidR="00F76E21" w:rsidRPr="00B457F5">
        <w:rPr>
          <w:rFonts w:ascii="Garamond" w:hAnsi="Garamond" w:cs="Times New Roman"/>
          <w:color w:val="000000"/>
          <w:szCs w:val="24"/>
        </w:rPr>
        <w:t>n</w:t>
      </w:r>
      <w:r w:rsidRPr="00B457F5">
        <w:rPr>
          <w:rFonts w:ascii="Garamond" w:hAnsi="Garamond" w:cs="Times New Roman"/>
          <w:color w:val="000000"/>
          <w:szCs w:val="24"/>
        </w:rPr>
        <w:t xml:space="preserve"> e qëndrueshëm.</w:t>
      </w:r>
    </w:p>
    <w:p w14:paraId="1077B72C" w14:textId="5F8F30D8" w:rsidR="00CF33C3" w:rsidRPr="00B457F5" w:rsidRDefault="00CF33C3" w:rsidP="002E693B">
      <w:pPr>
        <w:widowControl w:val="0"/>
        <w:autoSpaceDE w:val="0"/>
        <w:autoSpaceDN w:val="0"/>
        <w:spacing w:before="0" w:after="0"/>
        <w:ind w:firstLine="284"/>
        <w:rPr>
          <w:rFonts w:ascii="Garamond" w:eastAsia="Times New Roman" w:hAnsi="Garamond" w:cs="Times New Roman"/>
          <w:iCs/>
          <w:szCs w:val="24"/>
        </w:rPr>
      </w:pPr>
      <w:r w:rsidRPr="00B457F5">
        <w:rPr>
          <w:rFonts w:ascii="Garamond" w:eastAsia="Times New Roman" w:hAnsi="Garamond" w:cs="Times New Roman"/>
          <w:iCs/>
          <w:szCs w:val="24"/>
        </w:rPr>
        <w:t>Strategjia Kombët</w:t>
      </w:r>
      <w:r w:rsidR="009331F5" w:rsidRPr="00B457F5">
        <w:rPr>
          <w:rFonts w:ascii="Garamond" w:eastAsia="Times New Roman" w:hAnsi="Garamond" w:cs="Times New Roman"/>
          <w:iCs/>
          <w:szCs w:val="24"/>
        </w:rPr>
        <w:t xml:space="preserve">are për Migracionin dhe Plani i </w:t>
      </w:r>
      <w:r w:rsidRPr="00B457F5">
        <w:rPr>
          <w:rFonts w:ascii="Garamond" w:eastAsia="Times New Roman" w:hAnsi="Garamond" w:cs="Times New Roman"/>
          <w:iCs/>
          <w:szCs w:val="24"/>
        </w:rPr>
        <w:t>Veprimit 2024</w:t>
      </w:r>
      <w:r w:rsidR="00A313AE" w:rsidRPr="00B457F5">
        <w:rPr>
          <w:rStyle w:val="contentpasted1"/>
          <w:rFonts w:ascii="Garamond" w:hAnsi="Garamond" w:cs="Times New Roman"/>
          <w:color w:val="000000"/>
        </w:rPr>
        <w:t>–</w:t>
      </w:r>
      <w:r w:rsidRPr="00B457F5">
        <w:rPr>
          <w:rFonts w:ascii="Garamond" w:eastAsia="Times New Roman" w:hAnsi="Garamond" w:cs="Times New Roman"/>
          <w:iCs/>
          <w:szCs w:val="24"/>
        </w:rPr>
        <w:t xml:space="preserve">2030 janë </w:t>
      </w:r>
      <w:r w:rsidR="008266B2" w:rsidRPr="00B457F5">
        <w:rPr>
          <w:rFonts w:ascii="Garamond" w:eastAsia="Times New Roman" w:hAnsi="Garamond" w:cs="Times New Roman"/>
          <w:iCs/>
          <w:szCs w:val="24"/>
        </w:rPr>
        <w:t>hartuar</w:t>
      </w:r>
      <w:r w:rsidRPr="00B457F5">
        <w:rPr>
          <w:rFonts w:ascii="Garamond" w:eastAsia="Times New Roman" w:hAnsi="Garamond" w:cs="Times New Roman"/>
          <w:iCs/>
          <w:szCs w:val="24"/>
        </w:rPr>
        <w:t xml:space="preserve"> nga grupi </w:t>
      </w:r>
      <w:r w:rsidR="00A313AE" w:rsidRPr="00B457F5">
        <w:rPr>
          <w:rFonts w:ascii="Garamond" w:eastAsia="Times New Roman" w:hAnsi="Garamond" w:cs="Times New Roman"/>
          <w:iCs/>
          <w:szCs w:val="24"/>
        </w:rPr>
        <w:t>ndërinstitucional</w:t>
      </w:r>
      <w:r w:rsidRPr="00B457F5">
        <w:rPr>
          <w:rFonts w:ascii="Garamond" w:eastAsia="Times New Roman" w:hAnsi="Garamond" w:cs="Times New Roman"/>
          <w:iCs/>
          <w:szCs w:val="24"/>
        </w:rPr>
        <w:t xml:space="preserve"> i pun</w:t>
      </w:r>
      <w:r w:rsidR="008266B2" w:rsidRPr="00B457F5">
        <w:rPr>
          <w:rFonts w:ascii="Garamond" w:eastAsia="Times New Roman" w:hAnsi="Garamond" w:cs="Times New Roman"/>
          <w:iCs/>
          <w:szCs w:val="24"/>
        </w:rPr>
        <w:t>ë</w:t>
      </w:r>
      <w:r w:rsidRPr="00B457F5">
        <w:rPr>
          <w:rFonts w:ascii="Garamond" w:eastAsia="Times New Roman" w:hAnsi="Garamond" w:cs="Times New Roman"/>
          <w:iCs/>
          <w:szCs w:val="24"/>
        </w:rPr>
        <w:t>s</w:t>
      </w:r>
      <w:r w:rsidR="00A74515" w:rsidRPr="00B457F5">
        <w:rPr>
          <w:rFonts w:ascii="Garamond" w:eastAsia="Times New Roman" w:hAnsi="Garamond" w:cs="Times New Roman"/>
          <w:iCs/>
          <w:szCs w:val="24"/>
        </w:rPr>
        <w:t>,</w:t>
      </w:r>
      <w:r w:rsidRPr="00B457F5">
        <w:rPr>
          <w:rFonts w:ascii="Garamond" w:eastAsia="Times New Roman" w:hAnsi="Garamond" w:cs="Times New Roman"/>
          <w:iCs/>
          <w:szCs w:val="24"/>
        </w:rPr>
        <w:t xml:space="preserve"> i ngritur me </w:t>
      </w:r>
      <w:r w:rsidR="00A313AE" w:rsidRPr="00B457F5">
        <w:rPr>
          <w:rFonts w:ascii="Garamond" w:eastAsia="Times New Roman" w:hAnsi="Garamond" w:cs="Times New Roman"/>
          <w:iCs/>
          <w:szCs w:val="24"/>
        </w:rPr>
        <w:t>urdhrin e kryeministrit nr</w:t>
      </w:r>
      <w:r w:rsidRPr="00B457F5">
        <w:rPr>
          <w:rFonts w:ascii="Garamond" w:eastAsia="Times New Roman" w:hAnsi="Garamond" w:cs="Times New Roman"/>
          <w:iCs/>
          <w:szCs w:val="24"/>
        </w:rPr>
        <w:t>.</w:t>
      </w:r>
      <w:r w:rsidR="00E71B95" w:rsidRPr="00B457F5">
        <w:rPr>
          <w:rFonts w:ascii="Garamond" w:eastAsia="Times New Roman" w:hAnsi="Garamond" w:cs="Times New Roman"/>
          <w:iCs/>
          <w:szCs w:val="24"/>
        </w:rPr>
        <w:t xml:space="preserve"> 9</w:t>
      </w:r>
      <w:r w:rsidR="00A313AE" w:rsidRPr="00B457F5">
        <w:rPr>
          <w:rFonts w:ascii="Garamond" w:eastAsia="Times New Roman" w:hAnsi="Garamond" w:cs="Times New Roman"/>
          <w:iCs/>
          <w:szCs w:val="24"/>
        </w:rPr>
        <w:t>,</w:t>
      </w:r>
      <w:r w:rsidR="00E71B95" w:rsidRPr="00B457F5">
        <w:rPr>
          <w:rFonts w:ascii="Garamond" w:eastAsia="Times New Roman" w:hAnsi="Garamond" w:cs="Times New Roman"/>
          <w:iCs/>
          <w:szCs w:val="24"/>
        </w:rPr>
        <w:t xml:space="preserve"> datë</w:t>
      </w:r>
      <w:r w:rsidR="00701542" w:rsidRPr="00B457F5">
        <w:rPr>
          <w:rFonts w:ascii="Garamond" w:eastAsia="Times New Roman" w:hAnsi="Garamond" w:cs="Times New Roman"/>
          <w:iCs/>
          <w:szCs w:val="24"/>
        </w:rPr>
        <w:t xml:space="preserve"> 26.1.2023</w:t>
      </w:r>
      <w:r w:rsidR="00E71B95" w:rsidRPr="00B457F5">
        <w:rPr>
          <w:rFonts w:ascii="Garamond" w:eastAsia="Times New Roman" w:hAnsi="Garamond" w:cs="Times New Roman"/>
          <w:iCs/>
          <w:szCs w:val="24"/>
        </w:rPr>
        <w:t>,</w:t>
      </w:r>
      <w:r w:rsidR="00701542" w:rsidRPr="00B457F5">
        <w:rPr>
          <w:rFonts w:ascii="Garamond" w:eastAsia="Times New Roman" w:hAnsi="Garamond" w:cs="Times New Roman"/>
          <w:iCs/>
          <w:szCs w:val="24"/>
        </w:rPr>
        <w:t xml:space="preserve"> </w:t>
      </w:r>
      <w:r w:rsidRPr="00B457F5">
        <w:rPr>
          <w:rFonts w:ascii="Garamond" w:eastAsia="Times New Roman" w:hAnsi="Garamond" w:cs="Times New Roman"/>
          <w:iCs/>
          <w:szCs w:val="24"/>
        </w:rPr>
        <w:t>si dhe n</w:t>
      </w:r>
      <w:r w:rsidR="00994216" w:rsidRPr="00B457F5">
        <w:rPr>
          <w:rFonts w:ascii="Garamond" w:eastAsia="Times New Roman" w:hAnsi="Garamond" w:cs="Times New Roman"/>
          <w:iCs/>
          <w:szCs w:val="24"/>
        </w:rPr>
        <w:t>ë</w:t>
      </w:r>
      <w:r w:rsidRPr="00B457F5">
        <w:rPr>
          <w:rFonts w:ascii="Garamond" w:eastAsia="Times New Roman" w:hAnsi="Garamond" w:cs="Times New Roman"/>
          <w:iCs/>
          <w:szCs w:val="24"/>
        </w:rPr>
        <w:t xml:space="preserve"> bashkëpunim m</w:t>
      </w:r>
      <w:r w:rsidR="00A74515" w:rsidRPr="00B457F5">
        <w:rPr>
          <w:rFonts w:ascii="Garamond" w:eastAsia="Times New Roman" w:hAnsi="Garamond" w:cs="Times New Roman"/>
          <w:iCs/>
          <w:szCs w:val="24"/>
        </w:rPr>
        <w:t>e</w:t>
      </w:r>
      <w:r w:rsidRPr="00B457F5">
        <w:rPr>
          <w:rFonts w:ascii="Garamond" w:eastAsia="Times New Roman" w:hAnsi="Garamond" w:cs="Times New Roman"/>
          <w:iCs/>
          <w:szCs w:val="24"/>
        </w:rPr>
        <w:t xml:space="preserve"> inst</w:t>
      </w:r>
      <w:r w:rsidR="00A313AE" w:rsidRPr="00B457F5">
        <w:rPr>
          <w:rFonts w:ascii="Garamond" w:eastAsia="Times New Roman" w:hAnsi="Garamond" w:cs="Times New Roman"/>
          <w:iCs/>
          <w:szCs w:val="24"/>
        </w:rPr>
        <w:t>it</w:t>
      </w:r>
      <w:r w:rsidRPr="00B457F5">
        <w:rPr>
          <w:rFonts w:ascii="Garamond" w:eastAsia="Times New Roman" w:hAnsi="Garamond" w:cs="Times New Roman"/>
          <w:iCs/>
          <w:szCs w:val="24"/>
        </w:rPr>
        <w:t>ucionet e përfshira në zbatimin e politikave dhe dokumenteve strategjik</w:t>
      </w:r>
      <w:r w:rsidR="007355C9" w:rsidRPr="00B457F5">
        <w:rPr>
          <w:rFonts w:ascii="Garamond" w:eastAsia="Times New Roman" w:hAnsi="Garamond" w:cs="Times New Roman"/>
          <w:iCs/>
          <w:szCs w:val="24"/>
        </w:rPr>
        <w:t>e</w:t>
      </w:r>
      <w:r w:rsidRPr="00B457F5">
        <w:rPr>
          <w:rFonts w:ascii="Garamond" w:eastAsia="Times New Roman" w:hAnsi="Garamond" w:cs="Times New Roman"/>
          <w:iCs/>
          <w:szCs w:val="24"/>
        </w:rPr>
        <w:t xml:space="preserve"> në fushën e migracionit. Procesi i hartimit t</w:t>
      </w:r>
      <w:r w:rsidR="00994216" w:rsidRPr="00B457F5">
        <w:rPr>
          <w:rFonts w:ascii="Garamond" w:eastAsia="Times New Roman" w:hAnsi="Garamond" w:cs="Times New Roman"/>
          <w:iCs/>
          <w:szCs w:val="24"/>
        </w:rPr>
        <w:t>ë</w:t>
      </w:r>
      <w:r w:rsidRPr="00B457F5">
        <w:rPr>
          <w:rFonts w:ascii="Garamond" w:eastAsia="Times New Roman" w:hAnsi="Garamond" w:cs="Times New Roman"/>
          <w:iCs/>
          <w:szCs w:val="24"/>
        </w:rPr>
        <w:t xml:space="preserve"> strategjis</w:t>
      </w:r>
      <w:r w:rsidR="00994216" w:rsidRPr="00B457F5">
        <w:rPr>
          <w:rFonts w:ascii="Garamond" w:eastAsia="Times New Roman" w:hAnsi="Garamond" w:cs="Times New Roman"/>
          <w:iCs/>
          <w:szCs w:val="24"/>
        </w:rPr>
        <w:t>ë</w:t>
      </w:r>
      <w:r w:rsidRPr="00B457F5">
        <w:rPr>
          <w:rFonts w:ascii="Garamond" w:eastAsia="Times New Roman" w:hAnsi="Garamond" w:cs="Times New Roman"/>
          <w:iCs/>
          <w:szCs w:val="24"/>
        </w:rPr>
        <w:t xml:space="preserve"> </w:t>
      </w:r>
      <w:r w:rsidR="00994216" w:rsidRPr="00B457F5">
        <w:rPr>
          <w:rFonts w:ascii="Garamond" w:eastAsia="Times New Roman" w:hAnsi="Garamond" w:cs="Times New Roman"/>
          <w:iCs/>
          <w:szCs w:val="24"/>
        </w:rPr>
        <w:t>ë</w:t>
      </w:r>
      <w:r w:rsidRPr="00B457F5">
        <w:rPr>
          <w:rFonts w:ascii="Garamond" w:eastAsia="Times New Roman" w:hAnsi="Garamond" w:cs="Times New Roman"/>
          <w:iCs/>
          <w:szCs w:val="24"/>
        </w:rPr>
        <w:t>sht</w:t>
      </w:r>
      <w:r w:rsidR="00994216" w:rsidRPr="00B457F5">
        <w:rPr>
          <w:rFonts w:ascii="Garamond" w:eastAsia="Times New Roman" w:hAnsi="Garamond" w:cs="Times New Roman"/>
          <w:iCs/>
          <w:szCs w:val="24"/>
        </w:rPr>
        <w:t>ë</w:t>
      </w:r>
      <w:r w:rsidRPr="00B457F5">
        <w:rPr>
          <w:rFonts w:ascii="Garamond" w:eastAsia="Times New Roman" w:hAnsi="Garamond" w:cs="Times New Roman"/>
          <w:iCs/>
          <w:szCs w:val="24"/>
        </w:rPr>
        <w:t xml:space="preserve"> mb</w:t>
      </w:r>
      <w:r w:rsidR="00994216" w:rsidRPr="00B457F5">
        <w:rPr>
          <w:rFonts w:ascii="Garamond" w:eastAsia="Times New Roman" w:hAnsi="Garamond" w:cs="Times New Roman"/>
          <w:iCs/>
          <w:szCs w:val="24"/>
        </w:rPr>
        <w:t>ë</w:t>
      </w:r>
      <w:r w:rsidRPr="00B457F5">
        <w:rPr>
          <w:rFonts w:ascii="Garamond" w:eastAsia="Times New Roman" w:hAnsi="Garamond" w:cs="Times New Roman"/>
          <w:iCs/>
          <w:szCs w:val="24"/>
        </w:rPr>
        <w:t>shtetur me ekspertiz</w:t>
      </w:r>
      <w:r w:rsidR="00994216" w:rsidRPr="00B457F5">
        <w:rPr>
          <w:rFonts w:ascii="Garamond" w:eastAsia="Times New Roman" w:hAnsi="Garamond" w:cs="Times New Roman"/>
          <w:iCs/>
          <w:szCs w:val="24"/>
        </w:rPr>
        <w:t>ë</w:t>
      </w:r>
      <w:r w:rsidRPr="00B457F5">
        <w:rPr>
          <w:rFonts w:ascii="Garamond" w:eastAsia="Times New Roman" w:hAnsi="Garamond" w:cs="Times New Roman"/>
          <w:iCs/>
          <w:szCs w:val="24"/>
        </w:rPr>
        <w:t xml:space="preserve"> komb</w:t>
      </w:r>
      <w:r w:rsidR="00994216" w:rsidRPr="00B457F5">
        <w:rPr>
          <w:rFonts w:ascii="Garamond" w:eastAsia="Times New Roman" w:hAnsi="Garamond" w:cs="Times New Roman"/>
          <w:iCs/>
          <w:szCs w:val="24"/>
        </w:rPr>
        <w:t>ë</w:t>
      </w:r>
      <w:r w:rsidRPr="00B457F5">
        <w:rPr>
          <w:rFonts w:ascii="Garamond" w:eastAsia="Times New Roman" w:hAnsi="Garamond" w:cs="Times New Roman"/>
          <w:iCs/>
          <w:szCs w:val="24"/>
        </w:rPr>
        <w:t xml:space="preserve">tare dhe </w:t>
      </w:r>
      <w:r w:rsidR="007355C9" w:rsidRPr="00B457F5">
        <w:rPr>
          <w:rFonts w:ascii="Garamond" w:eastAsia="Times New Roman" w:hAnsi="Garamond" w:cs="Times New Roman"/>
          <w:iCs/>
          <w:szCs w:val="24"/>
        </w:rPr>
        <w:t xml:space="preserve">me ekspertizë </w:t>
      </w:r>
      <w:r w:rsidRPr="00B457F5">
        <w:rPr>
          <w:rFonts w:ascii="Garamond" w:eastAsia="Times New Roman" w:hAnsi="Garamond" w:cs="Times New Roman"/>
          <w:iCs/>
          <w:szCs w:val="24"/>
        </w:rPr>
        <w:t>nd</w:t>
      </w:r>
      <w:r w:rsidR="00994216" w:rsidRPr="00B457F5">
        <w:rPr>
          <w:rFonts w:ascii="Garamond" w:eastAsia="Times New Roman" w:hAnsi="Garamond" w:cs="Times New Roman"/>
          <w:iCs/>
          <w:szCs w:val="24"/>
        </w:rPr>
        <w:t>ë</w:t>
      </w:r>
      <w:r w:rsidRPr="00B457F5">
        <w:rPr>
          <w:rFonts w:ascii="Garamond" w:eastAsia="Times New Roman" w:hAnsi="Garamond" w:cs="Times New Roman"/>
          <w:iCs/>
          <w:szCs w:val="24"/>
        </w:rPr>
        <w:t>rkomb</w:t>
      </w:r>
      <w:r w:rsidR="00994216" w:rsidRPr="00B457F5">
        <w:rPr>
          <w:rFonts w:ascii="Garamond" w:eastAsia="Times New Roman" w:hAnsi="Garamond" w:cs="Times New Roman"/>
          <w:iCs/>
          <w:szCs w:val="24"/>
        </w:rPr>
        <w:t>ë</w:t>
      </w:r>
      <w:r w:rsidRPr="00B457F5">
        <w:rPr>
          <w:rFonts w:ascii="Garamond" w:eastAsia="Times New Roman" w:hAnsi="Garamond" w:cs="Times New Roman"/>
          <w:iCs/>
          <w:szCs w:val="24"/>
        </w:rPr>
        <w:t>tare, nga Organizata Nd</w:t>
      </w:r>
      <w:r w:rsidR="00994216" w:rsidRPr="00B457F5">
        <w:rPr>
          <w:rFonts w:ascii="Garamond" w:eastAsia="Times New Roman" w:hAnsi="Garamond" w:cs="Times New Roman"/>
          <w:iCs/>
          <w:szCs w:val="24"/>
        </w:rPr>
        <w:t>ë</w:t>
      </w:r>
      <w:r w:rsidRPr="00B457F5">
        <w:rPr>
          <w:rFonts w:ascii="Garamond" w:eastAsia="Times New Roman" w:hAnsi="Garamond" w:cs="Times New Roman"/>
          <w:iCs/>
          <w:szCs w:val="24"/>
        </w:rPr>
        <w:t>rkomb</w:t>
      </w:r>
      <w:r w:rsidR="00994216" w:rsidRPr="00B457F5">
        <w:rPr>
          <w:rFonts w:ascii="Garamond" w:eastAsia="Times New Roman" w:hAnsi="Garamond" w:cs="Times New Roman"/>
          <w:iCs/>
          <w:szCs w:val="24"/>
        </w:rPr>
        <w:t>ë</w:t>
      </w:r>
      <w:r w:rsidRPr="00B457F5">
        <w:rPr>
          <w:rFonts w:ascii="Garamond" w:eastAsia="Times New Roman" w:hAnsi="Garamond" w:cs="Times New Roman"/>
          <w:iCs/>
          <w:szCs w:val="24"/>
        </w:rPr>
        <w:t xml:space="preserve">tare e Migracionit (IOM). </w:t>
      </w:r>
    </w:p>
    <w:p w14:paraId="4D330C8D" w14:textId="28722B70" w:rsidR="00CF33C3" w:rsidRPr="00B457F5" w:rsidRDefault="00CF33C3" w:rsidP="002E693B">
      <w:pPr>
        <w:widowControl w:val="0"/>
        <w:autoSpaceDE w:val="0"/>
        <w:autoSpaceDN w:val="0"/>
        <w:spacing w:before="0" w:after="0"/>
        <w:ind w:firstLine="284"/>
        <w:rPr>
          <w:rFonts w:ascii="Garamond" w:eastAsia="Times New Roman" w:hAnsi="Garamond" w:cs="Times New Roman"/>
          <w:iCs/>
          <w:szCs w:val="24"/>
        </w:rPr>
      </w:pPr>
      <w:r w:rsidRPr="00B457F5">
        <w:rPr>
          <w:rFonts w:ascii="Garamond" w:eastAsia="Times New Roman" w:hAnsi="Garamond" w:cs="Times New Roman"/>
          <w:iCs/>
          <w:szCs w:val="24"/>
        </w:rPr>
        <w:t xml:space="preserve">Ky dokument politik do të </w:t>
      </w:r>
      <w:r w:rsidR="00E1470A" w:rsidRPr="00B457F5">
        <w:rPr>
          <w:rFonts w:ascii="Garamond" w:eastAsia="Times New Roman" w:hAnsi="Garamond" w:cs="Times New Roman"/>
          <w:iCs/>
          <w:szCs w:val="24"/>
        </w:rPr>
        <w:t xml:space="preserve">shërbejë si instrumenti kryesor </w:t>
      </w:r>
      <w:r w:rsidRPr="00B457F5">
        <w:rPr>
          <w:rFonts w:ascii="Garamond" w:eastAsia="Times New Roman" w:hAnsi="Garamond" w:cs="Times New Roman"/>
          <w:iCs/>
          <w:szCs w:val="24"/>
        </w:rPr>
        <w:t>operacional për të bashkërenduar ndërveprimin institucional</w:t>
      </w:r>
      <w:r w:rsidR="009C2F43" w:rsidRPr="00B457F5">
        <w:rPr>
          <w:rFonts w:ascii="Garamond" w:eastAsia="Times New Roman" w:hAnsi="Garamond" w:cs="Times New Roman"/>
          <w:iCs/>
          <w:szCs w:val="24"/>
        </w:rPr>
        <w:t xml:space="preserve"> për</w:t>
      </w:r>
      <w:r w:rsidRPr="00B457F5">
        <w:rPr>
          <w:rFonts w:ascii="Garamond" w:eastAsia="Times New Roman" w:hAnsi="Garamond" w:cs="Times New Roman"/>
          <w:iCs/>
          <w:szCs w:val="24"/>
        </w:rPr>
        <w:t xml:space="preserve"> arritjen e </w:t>
      </w:r>
      <w:r w:rsidR="00770B4C" w:rsidRPr="00B457F5">
        <w:rPr>
          <w:rFonts w:ascii="Garamond" w:eastAsia="Times New Roman" w:hAnsi="Garamond" w:cs="Times New Roman"/>
          <w:iCs/>
          <w:szCs w:val="24"/>
        </w:rPr>
        <w:t>kat</w:t>
      </w:r>
      <w:r w:rsidR="000C4383" w:rsidRPr="00B457F5">
        <w:rPr>
          <w:rFonts w:ascii="Garamond" w:eastAsia="Times New Roman" w:hAnsi="Garamond" w:cs="Times New Roman"/>
          <w:iCs/>
          <w:szCs w:val="24"/>
        </w:rPr>
        <w:t>ë</w:t>
      </w:r>
      <w:r w:rsidR="00770B4C" w:rsidRPr="00B457F5">
        <w:rPr>
          <w:rFonts w:ascii="Garamond" w:eastAsia="Times New Roman" w:hAnsi="Garamond" w:cs="Times New Roman"/>
          <w:iCs/>
          <w:szCs w:val="24"/>
        </w:rPr>
        <w:t>r</w:t>
      </w:r>
      <w:r w:rsidRPr="00B457F5">
        <w:rPr>
          <w:rFonts w:ascii="Garamond" w:eastAsia="Times New Roman" w:hAnsi="Garamond" w:cs="Times New Roman"/>
          <w:iCs/>
          <w:szCs w:val="24"/>
        </w:rPr>
        <w:t xml:space="preserve"> objektivave strategjik</w:t>
      </w:r>
      <w:r w:rsidR="009C2F43" w:rsidRPr="00B457F5">
        <w:rPr>
          <w:rFonts w:ascii="Garamond" w:eastAsia="Times New Roman" w:hAnsi="Garamond" w:cs="Times New Roman"/>
          <w:iCs/>
          <w:szCs w:val="24"/>
        </w:rPr>
        <w:t>ë</w:t>
      </w:r>
      <w:r w:rsidRPr="00B457F5">
        <w:rPr>
          <w:rFonts w:ascii="Garamond" w:eastAsia="Times New Roman" w:hAnsi="Garamond" w:cs="Times New Roman"/>
          <w:iCs/>
          <w:szCs w:val="24"/>
        </w:rPr>
        <w:t xml:space="preserve">. Strategia ka përcaktuar detyrat kryesore të të gjitha institucioneve të përfshira për realizimin e masave konkrete, dhe e përcakton Ministrinë e Brendshme si një institucion lider në drejtim të menaxhimit të migracionit. Si e tillë, strategjia promovon qasjen e bashkëpunimit dhe gjithëpërfshirjes </w:t>
      </w:r>
      <w:r w:rsidR="00B209D1" w:rsidRPr="00B457F5">
        <w:rPr>
          <w:rFonts w:ascii="Garamond" w:eastAsia="Times New Roman" w:hAnsi="Garamond" w:cs="Times New Roman"/>
          <w:iCs/>
          <w:szCs w:val="24"/>
        </w:rPr>
        <w:t>s</w:t>
      </w:r>
      <w:r w:rsidRPr="00B457F5">
        <w:rPr>
          <w:rFonts w:ascii="Garamond" w:eastAsia="Times New Roman" w:hAnsi="Garamond" w:cs="Times New Roman"/>
          <w:iCs/>
          <w:szCs w:val="24"/>
        </w:rPr>
        <w:t xml:space="preserve">ë të gjithë aktorëve që mund të kontribuojnë </w:t>
      </w:r>
      <w:r w:rsidR="00B209D1" w:rsidRPr="00B457F5">
        <w:rPr>
          <w:rFonts w:ascii="Garamond" w:eastAsia="Times New Roman" w:hAnsi="Garamond" w:cs="Times New Roman"/>
          <w:iCs/>
          <w:szCs w:val="24"/>
        </w:rPr>
        <w:t>për</w:t>
      </w:r>
      <w:r w:rsidRPr="00B457F5">
        <w:rPr>
          <w:rFonts w:ascii="Garamond" w:eastAsia="Times New Roman" w:hAnsi="Garamond" w:cs="Times New Roman"/>
          <w:iCs/>
          <w:szCs w:val="24"/>
        </w:rPr>
        <w:t xml:space="preserve"> arritjen e objektivave strategjikë. Kjo qasje nënkupton gjithashtu krijimin e një sinergjie midis institucioneve shtetërore, institucioneve të pavarura, shoqërisë civile</w:t>
      </w:r>
      <w:r w:rsidR="00A74515" w:rsidRPr="00B457F5">
        <w:rPr>
          <w:rFonts w:ascii="Garamond" w:eastAsia="Times New Roman" w:hAnsi="Garamond" w:cs="Times New Roman"/>
          <w:iCs/>
          <w:szCs w:val="24"/>
        </w:rPr>
        <w:t>,</w:t>
      </w:r>
      <w:r w:rsidRPr="00B457F5">
        <w:rPr>
          <w:rFonts w:ascii="Garamond" w:eastAsia="Times New Roman" w:hAnsi="Garamond" w:cs="Times New Roman"/>
          <w:iCs/>
          <w:szCs w:val="24"/>
        </w:rPr>
        <w:t xml:space="preserve"> si dhe partnerë</w:t>
      </w:r>
      <w:r w:rsidR="00A74515" w:rsidRPr="00B457F5">
        <w:rPr>
          <w:rFonts w:ascii="Garamond" w:eastAsia="Times New Roman" w:hAnsi="Garamond" w:cs="Times New Roman"/>
          <w:iCs/>
          <w:szCs w:val="24"/>
        </w:rPr>
        <w:t>ve</w:t>
      </w:r>
      <w:r w:rsidRPr="00B457F5">
        <w:rPr>
          <w:rFonts w:ascii="Garamond" w:eastAsia="Times New Roman" w:hAnsi="Garamond" w:cs="Times New Roman"/>
          <w:iCs/>
          <w:szCs w:val="24"/>
        </w:rPr>
        <w:t xml:space="preserve"> ndërkombëtarë për të </w:t>
      </w:r>
      <w:r w:rsidR="00B209D1" w:rsidRPr="00B457F5">
        <w:rPr>
          <w:rFonts w:ascii="Garamond" w:eastAsia="Times New Roman" w:hAnsi="Garamond" w:cs="Times New Roman"/>
          <w:iCs/>
          <w:szCs w:val="24"/>
        </w:rPr>
        <w:t>trajtuar</w:t>
      </w:r>
      <w:r w:rsidRPr="00B457F5">
        <w:rPr>
          <w:rFonts w:ascii="Garamond" w:eastAsia="Times New Roman" w:hAnsi="Garamond" w:cs="Times New Roman"/>
          <w:iCs/>
          <w:szCs w:val="24"/>
        </w:rPr>
        <w:t xml:space="preserve"> sfidat e migracionit dhe për të kapitalizuar mundësitë e paraqitura nga migr</w:t>
      </w:r>
      <w:r w:rsidR="00AF1DB4" w:rsidRPr="00B457F5">
        <w:rPr>
          <w:rFonts w:ascii="Garamond" w:eastAsia="Times New Roman" w:hAnsi="Garamond" w:cs="Times New Roman"/>
          <w:iCs/>
          <w:szCs w:val="24"/>
        </w:rPr>
        <w:t>acioni</w:t>
      </w:r>
      <w:r w:rsidR="00A74515" w:rsidRPr="00B457F5">
        <w:rPr>
          <w:rFonts w:ascii="Garamond" w:eastAsia="Times New Roman" w:hAnsi="Garamond" w:cs="Times New Roman"/>
          <w:iCs/>
          <w:szCs w:val="24"/>
        </w:rPr>
        <w:t>,</w:t>
      </w:r>
      <w:r w:rsidRPr="00B457F5">
        <w:rPr>
          <w:rFonts w:ascii="Garamond" w:hAnsi="Garamond" w:cs="Times New Roman"/>
          <w:szCs w:val="24"/>
        </w:rPr>
        <w:t xml:space="preserve"> </w:t>
      </w:r>
      <w:r w:rsidR="00B209D1" w:rsidRPr="00B457F5">
        <w:rPr>
          <w:rFonts w:ascii="Garamond" w:eastAsia="Times New Roman" w:hAnsi="Garamond" w:cs="Times New Roman"/>
          <w:iCs/>
          <w:szCs w:val="24"/>
        </w:rPr>
        <w:t>duke u përqendrua</w:t>
      </w:r>
      <w:r w:rsidR="00D02C1C" w:rsidRPr="00B457F5">
        <w:rPr>
          <w:rFonts w:ascii="Garamond" w:eastAsia="Times New Roman" w:hAnsi="Garamond" w:cs="Times New Roman"/>
          <w:iCs/>
          <w:szCs w:val="24"/>
        </w:rPr>
        <w:t>r te</w:t>
      </w:r>
      <w:r w:rsidR="00164C66" w:rsidRPr="00B457F5">
        <w:rPr>
          <w:rFonts w:ascii="Garamond" w:eastAsia="Times New Roman" w:hAnsi="Garamond" w:cs="Times New Roman"/>
          <w:iCs/>
          <w:szCs w:val="24"/>
        </w:rPr>
        <w:t>k</w:t>
      </w:r>
      <w:r w:rsidRPr="00B457F5">
        <w:rPr>
          <w:rFonts w:ascii="Garamond" w:eastAsia="Times New Roman" w:hAnsi="Garamond" w:cs="Times New Roman"/>
          <w:iCs/>
          <w:szCs w:val="24"/>
        </w:rPr>
        <w:t xml:space="preserve"> zhvillimi ekonomik, integrimi social dhe mbrojtj</w:t>
      </w:r>
      <w:r w:rsidR="00D02C1C" w:rsidRPr="00B457F5">
        <w:rPr>
          <w:rFonts w:ascii="Garamond" w:eastAsia="Times New Roman" w:hAnsi="Garamond" w:cs="Times New Roman"/>
          <w:iCs/>
          <w:szCs w:val="24"/>
        </w:rPr>
        <w:t>a</w:t>
      </w:r>
      <w:r w:rsidRPr="00B457F5">
        <w:rPr>
          <w:rFonts w:ascii="Garamond" w:eastAsia="Times New Roman" w:hAnsi="Garamond" w:cs="Times New Roman"/>
          <w:iCs/>
          <w:szCs w:val="24"/>
        </w:rPr>
        <w:t xml:space="preserve"> e të drejtave të migrantëve.</w:t>
      </w:r>
    </w:p>
    <w:p w14:paraId="35FDC893" w14:textId="3EF93563" w:rsidR="00E71B95" w:rsidRPr="00B457F5" w:rsidRDefault="006A7BD2" w:rsidP="002E693B">
      <w:pPr>
        <w:pStyle w:val="Heading1"/>
        <w:spacing w:before="0" w:after="0"/>
        <w:ind w:left="0" w:firstLine="284"/>
        <w:rPr>
          <w:rFonts w:ascii="Garamond" w:hAnsi="Garamond" w:cs="Times New Roman"/>
          <w:b w:val="0"/>
          <w:bCs/>
          <w:color w:val="auto"/>
          <w:sz w:val="24"/>
          <w:szCs w:val="24"/>
        </w:rPr>
      </w:pPr>
      <w:bookmarkStart w:id="3" w:name="_Toc155620716"/>
      <w:r w:rsidRPr="00B457F5">
        <w:rPr>
          <w:rFonts w:ascii="Garamond" w:hAnsi="Garamond" w:cs="Times New Roman"/>
          <w:b w:val="0"/>
          <w:bCs/>
          <w:color w:val="auto"/>
          <w:spacing w:val="-2"/>
          <w:sz w:val="24"/>
          <w:szCs w:val="24"/>
        </w:rPr>
        <w:t>KUADRI</w:t>
      </w:r>
      <w:r w:rsidRPr="00B457F5">
        <w:rPr>
          <w:rFonts w:ascii="Garamond" w:hAnsi="Garamond" w:cs="Times New Roman"/>
          <w:b w:val="0"/>
          <w:bCs/>
          <w:color w:val="auto"/>
          <w:spacing w:val="-11"/>
          <w:sz w:val="24"/>
          <w:szCs w:val="24"/>
        </w:rPr>
        <w:t xml:space="preserve"> </w:t>
      </w:r>
      <w:r w:rsidRPr="00B457F5">
        <w:rPr>
          <w:rFonts w:ascii="Garamond" w:hAnsi="Garamond" w:cs="Times New Roman"/>
          <w:b w:val="0"/>
          <w:bCs/>
          <w:color w:val="auto"/>
          <w:spacing w:val="-2"/>
          <w:sz w:val="24"/>
          <w:szCs w:val="24"/>
        </w:rPr>
        <w:t>LIGJOR</w:t>
      </w:r>
      <w:r w:rsidRPr="00B457F5">
        <w:rPr>
          <w:rFonts w:ascii="Garamond" w:hAnsi="Garamond" w:cs="Times New Roman"/>
          <w:b w:val="0"/>
          <w:bCs/>
          <w:color w:val="auto"/>
          <w:spacing w:val="-10"/>
          <w:sz w:val="24"/>
          <w:szCs w:val="24"/>
        </w:rPr>
        <w:t xml:space="preserve"> </w:t>
      </w:r>
      <w:r w:rsidRPr="00B457F5">
        <w:rPr>
          <w:rFonts w:ascii="Garamond" w:hAnsi="Garamond" w:cs="Times New Roman"/>
          <w:b w:val="0"/>
          <w:bCs/>
          <w:color w:val="auto"/>
          <w:sz w:val="24"/>
          <w:szCs w:val="24"/>
        </w:rPr>
        <w:t>DHE</w:t>
      </w:r>
      <w:r w:rsidRPr="00B457F5">
        <w:rPr>
          <w:rFonts w:ascii="Garamond" w:hAnsi="Garamond" w:cs="Times New Roman"/>
          <w:b w:val="0"/>
          <w:bCs/>
          <w:color w:val="auto"/>
          <w:spacing w:val="-13"/>
          <w:sz w:val="24"/>
          <w:szCs w:val="24"/>
        </w:rPr>
        <w:t xml:space="preserve"> </w:t>
      </w:r>
      <w:r w:rsidRPr="00B457F5">
        <w:rPr>
          <w:rFonts w:ascii="Garamond" w:hAnsi="Garamond" w:cs="Times New Roman"/>
          <w:b w:val="0"/>
          <w:bCs/>
          <w:color w:val="auto"/>
          <w:sz w:val="24"/>
          <w:szCs w:val="24"/>
        </w:rPr>
        <w:t>INSTITUCIONAL,</w:t>
      </w:r>
      <w:r w:rsidRPr="00B457F5">
        <w:rPr>
          <w:rFonts w:ascii="Garamond" w:hAnsi="Garamond" w:cs="Times New Roman"/>
          <w:b w:val="0"/>
          <w:bCs/>
          <w:color w:val="auto"/>
          <w:spacing w:val="-12"/>
          <w:sz w:val="24"/>
          <w:szCs w:val="24"/>
        </w:rPr>
        <w:t xml:space="preserve"> </w:t>
      </w:r>
      <w:r w:rsidRPr="00B457F5">
        <w:rPr>
          <w:rFonts w:ascii="Garamond" w:hAnsi="Garamond" w:cs="Times New Roman"/>
          <w:b w:val="0"/>
          <w:bCs/>
          <w:color w:val="auto"/>
          <w:sz w:val="24"/>
          <w:szCs w:val="24"/>
        </w:rPr>
        <w:t>ARRITJET</w:t>
      </w:r>
      <w:r w:rsidRPr="00B457F5">
        <w:rPr>
          <w:rFonts w:ascii="Garamond" w:hAnsi="Garamond" w:cs="Times New Roman"/>
          <w:b w:val="0"/>
          <w:bCs/>
          <w:color w:val="auto"/>
          <w:spacing w:val="-11"/>
          <w:sz w:val="24"/>
          <w:szCs w:val="24"/>
        </w:rPr>
        <w:t xml:space="preserve"> </w:t>
      </w:r>
      <w:r w:rsidR="00D02C1C" w:rsidRPr="00B457F5">
        <w:rPr>
          <w:rFonts w:ascii="Garamond" w:hAnsi="Garamond" w:cs="Times New Roman"/>
          <w:b w:val="0"/>
          <w:bCs/>
          <w:color w:val="auto"/>
          <w:spacing w:val="-11"/>
          <w:sz w:val="24"/>
          <w:szCs w:val="24"/>
        </w:rPr>
        <w:t xml:space="preserve">DHE </w:t>
      </w:r>
      <w:r w:rsidRPr="00B457F5">
        <w:rPr>
          <w:rFonts w:ascii="Garamond" w:hAnsi="Garamond" w:cs="Times New Roman"/>
          <w:b w:val="0"/>
          <w:bCs/>
          <w:color w:val="auto"/>
          <w:sz w:val="24"/>
          <w:szCs w:val="24"/>
        </w:rPr>
        <w:t>M</w:t>
      </w:r>
      <w:r w:rsidR="00B0743F" w:rsidRPr="00B457F5">
        <w:rPr>
          <w:rFonts w:ascii="Garamond" w:hAnsi="Garamond" w:cs="Times New Roman"/>
          <w:b w:val="0"/>
          <w:bCs/>
          <w:color w:val="auto"/>
          <w:sz w:val="24"/>
          <w:szCs w:val="24"/>
        </w:rPr>
        <w:t>Ë</w:t>
      </w:r>
      <w:r w:rsidRPr="00B457F5">
        <w:rPr>
          <w:rFonts w:ascii="Garamond" w:hAnsi="Garamond" w:cs="Times New Roman"/>
          <w:b w:val="0"/>
          <w:bCs/>
          <w:color w:val="auto"/>
          <w:sz w:val="24"/>
          <w:szCs w:val="24"/>
        </w:rPr>
        <w:t>SIMET</w:t>
      </w:r>
      <w:r w:rsidR="00D02C1C" w:rsidRPr="00B457F5">
        <w:rPr>
          <w:rFonts w:ascii="Garamond" w:hAnsi="Garamond" w:cs="Times New Roman"/>
          <w:b w:val="0"/>
          <w:bCs/>
          <w:color w:val="auto"/>
          <w:sz w:val="24"/>
          <w:szCs w:val="24"/>
        </w:rPr>
        <w:t xml:space="preserve"> E NXJERRA</w:t>
      </w:r>
      <w:bookmarkStart w:id="4" w:name="_Toc148097428"/>
      <w:bookmarkEnd w:id="3"/>
    </w:p>
    <w:p w14:paraId="19C04F40" w14:textId="0B13A896" w:rsidR="00A619CA" w:rsidRPr="00B457F5" w:rsidRDefault="006D79C9" w:rsidP="002E693B">
      <w:pPr>
        <w:pStyle w:val="BodyText1"/>
        <w:spacing w:before="0" w:after="0"/>
        <w:ind w:firstLine="284"/>
        <w:rPr>
          <w:rFonts w:ascii="Garamond" w:hAnsi="Garamond"/>
          <w:b/>
          <w:sz w:val="24"/>
          <w:szCs w:val="24"/>
          <w:lang w:val="sq-AL"/>
        </w:rPr>
      </w:pPr>
      <w:r w:rsidRPr="00B457F5">
        <w:rPr>
          <w:rFonts w:ascii="Garamond" w:hAnsi="Garamond"/>
          <w:b/>
          <w:sz w:val="24"/>
          <w:szCs w:val="24"/>
          <w:lang w:val="sq-AL"/>
        </w:rPr>
        <w:t xml:space="preserve">Kuadri </w:t>
      </w:r>
      <w:r w:rsidR="00A74515" w:rsidRPr="00B457F5">
        <w:rPr>
          <w:rFonts w:ascii="Garamond" w:hAnsi="Garamond"/>
          <w:b/>
          <w:sz w:val="24"/>
          <w:szCs w:val="24"/>
          <w:lang w:val="sq-AL"/>
        </w:rPr>
        <w:t>l</w:t>
      </w:r>
      <w:r w:rsidRPr="00B457F5">
        <w:rPr>
          <w:rFonts w:ascii="Garamond" w:hAnsi="Garamond"/>
          <w:b/>
          <w:sz w:val="24"/>
          <w:szCs w:val="24"/>
          <w:lang w:val="sq-AL"/>
        </w:rPr>
        <w:t>igjor</w:t>
      </w:r>
      <w:bookmarkEnd w:id="4"/>
    </w:p>
    <w:p w14:paraId="67404CFA" w14:textId="0C373A78" w:rsidR="00FF4096" w:rsidRPr="00B457F5" w:rsidRDefault="00FF4096" w:rsidP="002E693B">
      <w:pPr>
        <w:spacing w:before="0" w:after="0"/>
        <w:ind w:firstLine="284"/>
        <w:rPr>
          <w:rFonts w:ascii="Garamond" w:eastAsia="Times New Roman" w:hAnsi="Garamond" w:cs="Times New Roman"/>
          <w:bCs/>
          <w:szCs w:val="24"/>
        </w:rPr>
      </w:pPr>
      <w:r w:rsidRPr="00B457F5">
        <w:rPr>
          <w:rFonts w:ascii="Garamond" w:eastAsia="Times New Roman" w:hAnsi="Garamond" w:cs="Times New Roman"/>
          <w:bCs/>
          <w:szCs w:val="24"/>
        </w:rPr>
        <w:t xml:space="preserve">Shqipëria ka një </w:t>
      </w:r>
      <w:r w:rsidR="005D71A0" w:rsidRPr="00B457F5">
        <w:rPr>
          <w:rFonts w:ascii="Garamond" w:eastAsia="Times New Roman" w:hAnsi="Garamond" w:cs="Times New Roman"/>
          <w:bCs/>
          <w:szCs w:val="24"/>
        </w:rPr>
        <w:t xml:space="preserve">kuadër </w:t>
      </w:r>
      <w:r w:rsidRPr="00B457F5">
        <w:rPr>
          <w:rFonts w:ascii="Garamond" w:eastAsia="Times New Roman" w:hAnsi="Garamond" w:cs="Times New Roman"/>
          <w:bCs/>
          <w:szCs w:val="24"/>
        </w:rPr>
        <w:t xml:space="preserve">ligjor të plotë </w:t>
      </w:r>
      <w:r w:rsidR="00566AC3" w:rsidRPr="00B457F5">
        <w:rPr>
          <w:rFonts w:ascii="Garamond" w:eastAsia="Times New Roman" w:hAnsi="Garamond" w:cs="Times New Roman"/>
          <w:bCs/>
          <w:szCs w:val="24"/>
        </w:rPr>
        <w:t>sa i takon</w:t>
      </w:r>
      <w:r w:rsidRPr="00B457F5">
        <w:rPr>
          <w:rFonts w:ascii="Garamond" w:eastAsia="Times New Roman" w:hAnsi="Garamond" w:cs="Times New Roman"/>
          <w:bCs/>
          <w:szCs w:val="24"/>
        </w:rPr>
        <w:t xml:space="preserve"> garantimit të të drejtave të migrantëve, ku përfshihet dhe zbatimi i të drejtave themelore për punëtorët migrantë dhe anëtarët e familjeve të tyre, të cilat mbrohen nëpërmjet dispozitave të kuadrit ligjor kombëtar dhe konventave ndërkombëtare të ratifikuara nga Shqipëria, veçanërisht instrumenteve</w:t>
      </w:r>
      <w:r w:rsidR="00A74515" w:rsidRPr="00B457F5">
        <w:rPr>
          <w:rFonts w:ascii="Garamond" w:eastAsia="Times New Roman" w:hAnsi="Garamond" w:cs="Times New Roman"/>
          <w:bCs/>
          <w:szCs w:val="24"/>
        </w:rPr>
        <w:t>,</w:t>
      </w:r>
      <w:r w:rsidRPr="00B457F5">
        <w:rPr>
          <w:rFonts w:ascii="Garamond" w:eastAsia="Times New Roman" w:hAnsi="Garamond" w:cs="Times New Roman"/>
          <w:bCs/>
          <w:szCs w:val="24"/>
        </w:rPr>
        <w:t xml:space="preserve"> </w:t>
      </w:r>
      <w:r w:rsidR="00B603E4" w:rsidRPr="00B457F5">
        <w:rPr>
          <w:rFonts w:ascii="Garamond" w:eastAsia="Times New Roman" w:hAnsi="Garamond" w:cs="Times New Roman"/>
          <w:bCs/>
          <w:szCs w:val="24"/>
        </w:rPr>
        <w:t xml:space="preserve">të tilla </w:t>
      </w:r>
      <w:r w:rsidR="00B31E13" w:rsidRPr="00B457F5">
        <w:rPr>
          <w:rFonts w:ascii="Garamond" w:eastAsia="Times New Roman" w:hAnsi="Garamond" w:cs="Times New Roman"/>
          <w:bCs/>
          <w:szCs w:val="24"/>
        </w:rPr>
        <w:t>si:</w:t>
      </w:r>
    </w:p>
    <w:p w14:paraId="6B087DC9" w14:textId="73BD0D98" w:rsidR="00151C91" w:rsidRPr="00B457F5" w:rsidRDefault="00A74515" w:rsidP="00A74515">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Times New Roman"/>
          <w:color w:val="000000"/>
          <w:szCs w:val="24"/>
        </w:rPr>
        <w:t xml:space="preserve">- </w:t>
      </w:r>
      <w:r w:rsidR="00151C91" w:rsidRPr="00B457F5">
        <w:rPr>
          <w:rFonts w:ascii="Garamond" w:eastAsiaTheme="minorHAnsi" w:hAnsi="Garamond" w:cs="Times New Roman"/>
          <w:color w:val="000000"/>
          <w:szCs w:val="24"/>
        </w:rPr>
        <w:t>Deklarata Universale e të Drejtave të Njeriut;</w:t>
      </w:r>
    </w:p>
    <w:p w14:paraId="3FCE7C29" w14:textId="6A1EF2E1" w:rsidR="00151C91" w:rsidRPr="00B457F5" w:rsidRDefault="00A74515"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Times New Roman"/>
          <w:color w:val="000000"/>
          <w:szCs w:val="24"/>
        </w:rPr>
        <w:t xml:space="preserve">- </w:t>
      </w:r>
      <w:r w:rsidR="00151C91" w:rsidRPr="00B457F5">
        <w:rPr>
          <w:rFonts w:ascii="Garamond" w:eastAsiaTheme="minorHAnsi" w:hAnsi="Garamond" w:cs="Times New Roman"/>
          <w:color w:val="000000"/>
          <w:szCs w:val="24"/>
        </w:rPr>
        <w:t>Konventa Ndërkombëtare për Mbrojtjen e të Drejtave të të gjithë Punëtorëve Migrantë dhe Anëtarëve të Familjes së tyre (ICRMW);</w:t>
      </w:r>
    </w:p>
    <w:p w14:paraId="6F7DF959" w14:textId="70ED3024" w:rsidR="00151C91" w:rsidRPr="00B457F5" w:rsidRDefault="002E693B"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Times New Roman"/>
          <w:color w:val="000000"/>
          <w:szCs w:val="24"/>
        </w:rPr>
        <w:t xml:space="preserve">- </w:t>
      </w:r>
      <w:r w:rsidR="00151C91" w:rsidRPr="00B457F5">
        <w:rPr>
          <w:rFonts w:ascii="Garamond" w:eastAsiaTheme="minorHAnsi" w:hAnsi="Garamond" w:cs="Times New Roman"/>
          <w:color w:val="000000"/>
          <w:szCs w:val="24"/>
        </w:rPr>
        <w:t>Konventa e Organizatës Ndërkombëtare të Punës (ILO) nr. 97 dhe nr. 143;</w:t>
      </w:r>
    </w:p>
    <w:p w14:paraId="4ED3BDF9" w14:textId="018808BB" w:rsidR="00151C91" w:rsidRPr="00B457F5" w:rsidRDefault="002E693B"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Times New Roman"/>
          <w:color w:val="000000"/>
          <w:szCs w:val="24"/>
        </w:rPr>
        <w:t xml:space="preserve">- </w:t>
      </w:r>
      <w:r w:rsidR="00151C91" w:rsidRPr="00B457F5">
        <w:rPr>
          <w:rFonts w:ascii="Garamond" w:eastAsiaTheme="minorHAnsi" w:hAnsi="Garamond" w:cs="Times New Roman"/>
          <w:color w:val="000000"/>
          <w:szCs w:val="24"/>
        </w:rPr>
        <w:t>Konventa për të Drejtat e Fëmijës (CRC);</w:t>
      </w:r>
    </w:p>
    <w:p w14:paraId="3999A140" w14:textId="724F739F" w:rsidR="002E693B" w:rsidRPr="00B457F5" w:rsidRDefault="002E693B"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Times New Roman"/>
          <w:color w:val="000000"/>
          <w:szCs w:val="24"/>
        </w:rPr>
        <w:t xml:space="preserve">- </w:t>
      </w:r>
      <w:r w:rsidR="00151C91" w:rsidRPr="00B457F5">
        <w:rPr>
          <w:rFonts w:ascii="Garamond" w:eastAsiaTheme="minorHAnsi" w:hAnsi="Garamond" w:cs="Times New Roman"/>
          <w:color w:val="000000"/>
          <w:szCs w:val="24"/>
        </w:rPr>
        <w:t xml:space="preserve">Pakti Ndërkombëtar për të Drejtat Civile dhe Politike (ICCPR); </w:t>
      </w:r>
    </w:p>
    <w:p w14:paraId="27D761F9" w14:textId="6D13968A" w:rsidR="00151C91" w:rsidRPr="00B457F5" w:rsidRDefault="002E693B"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Times New Roman"/>
          <w:color w:val="000000"/>
          <w:szCs w:val="24"/>
        </w:rPr>
        <w:t xml:space="preserve">- </w:t>
      </w:r>
      <w:r w:rsidR="00151C91" w:rsidRPr="00B457F5">
        <w:rPr>
          <w:rFonts w:ascii="Garamond" w:eastAsiaTheme="minorHAnsi" w:hAnsi="Garamond" w:cs="Times New Roman"/>
          <w:color w:val="000000"/>
          <w:szCs w:val="24"/>
        </w:rPr>
        <w:t>Pakti Ndërkombëtar për të Drejtat Ekonomike, Sociale dhe Kulturore (ICESCR);</w:t>
      </w:r>
    </w:p>
    <w:p w14:paraId="0CD65C5C" w14:textId="27383DAA" w:rsidR="00151C91" w:rsidRPr="00B457F5" w:rsidRDefault="002E693B"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Times New Roman"/>
          <w:color w:val="000000"/>
          <w:szCs w:val="24"/>
        </w:rPr>
        <w:t xml:space="preserve">- </w:t>
      </w:r>
      <w:r w:rsidR="00151C91" w:rsidRPr="00B457F5">
        <w:rPr>
          <w:rFonts w:ascii="Garamond" w:eastAsiaTheme="minorHAnsi" w:hAnsi="Garamond" w:cs="Times New Roman"/>
          <w:color w:val="000000"/>
          <w:szCs w:val="24"/>
        </w:rPr>
        <w:t xml:space="preserve">Konventa e vitit 1951 mbi Statusin e Refugjatëve dhe </w:t>
      </w:r>
      <w:r w:rsidR="00A74515" w:rsidRPr="00B457F5">
        <w:rPr>
          <w:rFonts w:ascii="Garamond" w:eastAsiaTheme="minorHAnsi" w:hAnsi="Garamond" w:cs="Times New Roman"/>
          <w:color w:val="000000"/>
          <w:szCs w:val="24"/>
        </w:rPr>
        <w:t xml:space="preserve">protokolli </w:t>
      </w:r>
      <w:r w:rsidR="00151C91" w:rsidRPr="00B457F5">
        <w:rPr>
          <w:rFonts w:ascii="Garamond" w:eastAsiaTheme="minorHAnsi" w:hAnsi="Garamond" w:cs="Times New Roman"/>
          <w:color w:val="000000"/>
          <w:szCs w:val="24"/>
        </w:rPr>
        <w:t xml:space="preserve">i saj i vitit 1967; </w:t>
      </w:r>
    </w:p>
    <w:p w14:paraId="16A1F32A" w14:textId="7AB02C54" w:rsidR="00151C91" w:rsidRPr="00B457F5" w:rsidRDefault="002E693B"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Times New Roman"/>
          <w:color w:val="000000"/>
          <w:szCs w:val="24"/>
        </w:rPr>
        <w:t xml:space="preserve">- </w:t>
      </w:r>
      <w:r w:rsidR="00151C91" w:rsidRPr="00B457F5">
        <w:rPr>
          <w:rFonts w:ascii="Garamond" w:eastAsiaTheme="minorHAnsi" w:hAnsi="Garamond" w:cs="Times New Roman"/>
          <w:color w:val="000000"/>
          <w:szCs w:val="24"/>
        </w:rPr>
        <w:t>Konventa për Statusin e Personave pa Shtetësi;</w:t>
      </w:r>
    </w:p>
    <w:p w14:paraId="5DFA5F82" w14:textId="53A19E55" w:rsidR="00151C91" w:rsidRPr="00B457F5" w:rsidRDefault="002E693B"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Times New Roman"/>
          <w:color w:val="000000"/>
          <w:szCs w:val="24"/>
        </w:rPr>
        <w:t xml:space="preserve">- </w:t>
      </w:r>
      <w:r w:rsidR="00151C91" w:rsidRPr="00B457F5">
        <w:rPr>
          <w:rFonts w:ascii="Garamond" w:eastAsiaTheme="minorHAnsi" w:hAnsi="Garamond" w:cs="Times New Roman"/>
          <w:color w:val="000000"/>
          <w:szCs w:val="24"/>
        </w:rPr>
        <w:t>Konventa mbi Zvogëlimin e Pashtetësisë.</w:t>
      </w:r>
    </w:p>
    <w:p w14:paraId="22B5067C" w14:textId="720C9384" w:rsidR="00FF4096" w:rsidRPr="00B457F5" w:rsidRDefault="00FF4096" w:rsidP="002E693B">
      <w:pPr>
        <w:pStyle w:val="BodyText1"/>
        <w:spacing w:before="0" w:after="0"/>
        <w:ind w:firstLine="284"/>
        <w:rPr>
          <w:rFonts w:ascii="Garamond" w:eastAsia="Times New Roman" w:hAnsi="Garamond"/>
          <w:bCs/>
          <w:sz w:val="24"/>
          <w:szCs w:val="24"/>
          <w:lang w:val="sq-AL"/>
        </w:rPr>
      </w:pPr>
      <w:r w:rsidRPr="00B457F5">
        <w:rPr>
          <w:rFonts w:ascii="Garamond" w:eastAsia="Times New Roman" w:hAnsi="Garamond"/>
          <w:bCs/>
          <w:sz w:val="24"/>
          <w:szCs w:val="24"/>
          <w:lang w:val="sq-AL"/>
        </w:rPr>
        <w:t xml:space="preserve">Zbatimi i dispozitave të konventave të ratifikuara në lidhje me të drejtat e migrantëve në përgjithësi dhe punëtorëve migrantë, sigurohet nga legjislacioni kombëtar nëpërmjet </w:t>
      </w:r>
      <w:r w:rsidR="00EF5352" w:rsidRPr="00B457F5">
        <w:rPr>
          <w:rFonts w:ascii="Garamond" w:eastAsia="Times New Roman" w:hAnsi="Garamond"/>
          <w:bCs/>
          <w:sz w:val="24"/>
          <w:szCs w:val="24"/>
          <w:lang w:val="sq-AL"/>
        </w:rPr>
        <w:t>ligjeve</w:t>
      </w:r>
      <w:r w:rsidR="00523FF6" w:rsidRPr="00B457F5">
        <w:rPr>
          <w:rFonts w:ascii="Garamond" w:eastAsia="Times New Roman" w:hAnsi="Garamond"/>
          <w:bCs/>
          <w:sz w:val="24"/>
          <w:szCs w:val="24"/>
          <w:lang w:val="sq-AL"/>
        </w:rPr>
        <w:t>,</w:t>
      </w:r>
      <w:r w:rsidR="00EF5352" w:rsidRPr="00B457F5">
        <w:rPr>
          <w:rFonts w:ascii="Garamond" w:eastAsia="Times New Roman" w:hAnsi="Garamond"/>
          <w:bCs/>
          <w:sz w:val="24"/>
          <w:szCs w:val="24"/>
          <w:lang w:val="sq-AL"/>
        </w:rPr>
        <w:t xml:space="preserve"> akteve nënligjore</w:t>
      </w:r>
      <w:r w:rsidR="00523FF6" w:rsidRPr="00B457F5">
        <w:rPr>
          <w:rFonts w:ascii="Garamond" w:eastAsia="Times New Roman" w:hAnsi="Garamond"/>
          <w:bCs/>
          <w:sz w:val="24"/>
          <w:szCs w:val="24"/>
          <w:lang w:val="sq-AL"/>
        </w:rPr>
        <w:t>, urdhrave apo udhëzimeve</w:t>
      </w:r>
      <w:r w:rsidR="00EF5352" w:rsidRPr="00B457F5">
        <w:rPr>
          <w:rFonts w:ascii="Garamond" w:eastAsia="Times New Roman" w:hAnsi="Garamond"/>
          <w:bCs/>
          <w:sz w:val="24"/>
          <w:szCs w:val="24"/>
          <w:lang w:val="sq-AL"/>
        </w:rPr>
        <w:t xml:space="preserve"> në fuqi</w:t>
      </w:r>
      <w:r w:rsidRPr="00B457F5">
        <w:rPr>
          <w:rFonts w:ascii="Garamond" w:eastAsia="Times New Roman" w:hAnsi="Garamond"/>
          <w:bCs/>
          <w:sz w:val="24"/>
          <w:szCs w:val="24"/>
          <w:lang w:val="sq-AL"/>
        </w:rPr>
        <w:t>.</w:t>
      </w:r>
    </w:p>
    <w:p w14:paraId="69E8A28B" w14:textId="1A527A15" w:rsidR="00FF4096" w:rsidRPr="00B457F5" w:rsidRDefault="00FF4096" w:rsidP="002E693B">
      <w:pPr>
        <w:widowControl w:val="0"/>
        <w:autoSpaceDE w:val="0"/>
        <w:autoSpaceDN w:val="0"/>
        <w:spacing w:before="0" w:after="0"/>
        <w:ind w:firstLine="284"/>
        <w:rPr>
          <w:rFonts w:ascii="Garamond" w:eastAsia="Times New Roman" w:hAnsi="Garamond" w:cs="Times New Roman"/>
          <w:bCs/>
          <w:szCs w:val="24"/>
        </w:rPr>
      </w:pPr>
      <w:r w:rsidRPr="00B457F5">
        <w:rPr>
          <w:rFonts w:ascii="Garamond" w:eastAsia="Times New Roman" w:hAnsi="Garamond" w:cs="Times New Roman"/>
          <w:bCs/>
          <w:szCs w:val="24"/>
        </w:rPr>
        <w:t xml:space="preserve">E drejta parësore </w:t>
      </w:r>
      <w:r w:rsidR="00CB3612" w:rsidRPr="00B457F5">
        <w:rPr>
          <w:rFonts w:ascii="Garamond" w:eastAsia="Times New Roman" w:hAnsi="Garamond" w:cs="Times New Roman"/>
          <w:bCs/>
          <w:szCs w:val="24"/>
        </w:rPr>
        <w:t xml:space="preserve">parashikohet nga ligjet themelore, të tilla </w:t>
      </w:r>
      <w:r w:rsidRPr="00B457F5">
        <w:rPr>
          <w:rFonts w:ascii="Garamond" w:eastAsia="Times New Roman" w:hAnsi="Garamond" w:cs="Times New Roman"/>
          <w:bCs/>
          <w:szCs w:val="24"/>
        </w:rPr>
        <w:t xml:space="preserve">si Kushtetuta e Republikës së Shqipërisë dhe Kodi i Punës i Republikës së Shqipërisë, </w:t>
      </w:r>
      <w:r w:rsidR="00CB3612" w:rsidRPr="00B457F5">
        <w:rPr>
          <w:rFonts w:ascii="Garamond" w:eastAsia="Times New Roman" w:hAnsi="Garamond" w:cs="Times New Roman"/>
          <w:bCs/>
          <w:szCs w:val="24"/>
        </w:rPr>
        <w:t>i cili</w:t>
      </w:r>
      <w:r w:rsidRPr="00B457F5">
        <w:rPr>
          <w:rFonts w:ascii="Garamond" w:eastAsia="Times New Roman" w:hAnsi="Garamond" w:cs="Times New Roman"/>
          <w:bCs/>
          <w:szCs w:val="24"/>
        </w:rPr>
        <w:t xml:space="preserve"> rregullon marrëdhëniet e punonjësve vendas dhe të huaj</w:t>
      </w:r>
      <w:r w:rsidR="00A74515" w:rsidRPr="00B457F5">
        <w:rPr>
          <w:rFonts w:ascii="Garamond" w:eastAsia="Times New Roman" w:hAnsi="Garamond" w:cs="Times New Roman"/>
          <w:bCs/>
          <w:szCs w:val="24"/>
        </w:rPr>
        <w:t>,</w:t>
      </w:r>
      <w:r w:rsidRPr="00B457F5">
        <w:rPr>
          <w:rFonts w:ascii="Garamond" w:eastAsia="Times New Roman" w:hAnsi="Garamond" w:cs="Times New Roman"/>
          <w:bCs/>
          <w:szCs w:val="24"/>
        </w:rPr>
        <w:t xml:space="preserve"> dhe zbatohet njëlloj si për shtetasit shqiptar</w:t>
      </w:r>
      <w:r w:rsidR="00552B61" w:rsidRPr="00B457F5">
        <w:rPr>
          <w:rFonts w:ascii="Garamond" w:eastAsia="Times New Roman" w:hAnsi="Garamond" w:cs="Times New Roman"/>
          <w:bCs/>
          <w:szCs w:val="24"/>
        </w:rPr>
        <w:t>ë</w:t>
      </w:r>
      <w:r w:rsidRPr="00B457F5">
        <w:rPr>
          <w:rFonts w:ascii="Garamond" w:eastAsia="Times New Roman" w:hAnsi="Garamond" w:cs="Times New Roman"/>
          <w:bCs/>
          <w:szCs w:val="24"/>
        </w:rPr>
        <w:t xml:space="preserve"> ashtu edhe për të huajt, si dhe ligje të tjera kryesore</w:t>
      </w:r>
      <w:r w:rsidR="00552B61" w:rsidRPr="00B457F5">
        <w:rPr>
          <w:rFonts w:ascii="Garamond" w:eastAsia="Times New Roman" w:hAnsi="Garamond" w:cs="Times New Roman"/>
          <w:bCs/>
          <w:szCs w:val="24"/>
        </w:rPr>
        <w:t>,</w:t>
      </w:r>
      <w:r w:rsidRPr="00B457F5">
        <w:rPr>
          <w:rFonts w:ascii="Garamond" w:eastAsia="Times New Roman" w:hAnsi="Garamond" w:cs="Times New Roman"/>
          <w:bCs/>
          <w:szCs w:val="24"/>
        </w:rPr>
        <w:t xml:space="preserve"> si: </w:t>
      </w:r>
      <w:r w:rsidR="00A313AE" w:rsidRPr="00B457F5">
        <w:rPr>
          <w:rFonts w:ascii="Garamond" w:eastAsia="Times New Roman" w:hAnsi="Garamond" w:cs="Times New Roman"/>
          <w:bCs/>
          <w:szCs w:val="24"/>
        </w:rPr>
        <w:t>l</w:t>
      </w:r>
      <w:r w:rsidRPr="00B457F5">
        <w:rPr>
          <w:rFonts w:ascii="Garamond" w:eastAsia="Times New Roman" w:hAnsi="Garamond" w:cs="Times New Roman"/>
          <w:bCs/>
          <w:szCs w:val="24"/>
        </w:rPr>
        <w:t>igji nr. 79/2021</w:t>
      </w:r>
      <w:r w:rsidR="00A313AE" w:rsidRPr="00B457F5">
        <w:rPr>
          <w:rFonts w:ascii="Garamond" w:eastAsia="Times New Roman" w:hAnsi="Garamond" w:cs="Times New Roman"/>
          <w:bCs/>
          <w:szCs w:val="24"/>
        </w:rPr>
        <w:t>;</w:t>
      </w:r>
      <w:r w:rsidRPr="00B457F5">
        <w:rPr>
          <w:rFonts w:ascii="Garamond" w:eastAsia="Times New Roman" w:hAnsi="Garamond" w:cs="Times New Roman"/>
          <w:bCs/>
          <w:szCs w:val="24"/>
        </w:rPr>
        <w:t xml:space="preserve"> </w:t>
      </w:r>
      <w:r w:rsidR="00A313AE" w:rsidRPr="00B457F5">
        <w:rPr>
          <w:rFonts w:ascii="Garamond" w:eastAsia="Times New Roman" w:hAnsi="Garamond" w:cs="Times New Roman"/>
          <w:bCs/>
          <w:szCs w:val="24"/>
        </w:rPr>
        <w:t>“</w:t>
      </w:r>
      <w:r w:rsidRPr="00B457F5">
        <w:rPr>
          <w:rFonts w:ascii="Garamond" w:eastAsia="Times New Roman" w:hAnsi="Garamond" w:cs="Times New Roman"/>
          <w:bCs/>
          <w:szCs w:val="24"/>
        </w:rPr>
        <w:t>Për të huajt</w:t>
      </w:r>
      <w:r w:rsidR="00A313AE" w:rsidRPr="00B457F5">
        <w:rPr>
          <w:rFonts w:ascii="Garamond" w:eastAsia="Times New Roman" w:hAnsi="Garamond" w:cs="Times New Roman"/>
          <w:bCs/>
          <w:szCs w:val="24"/>
        </w:rPr>
        <w:t>”</w:t>
      </w:r>
      <w:r w:rsidR="00A74515" w:rsidRPr="00B457F5">
        <w:rPr>
          <w:rFonts w:ascii="Garamond" w:eastAsia="Times New Roman" w:hAnsi="Garamond" w:cs="Times New Roman"/>
          <w:bCs/>
          <w:szCs w:val="24"/>
        </w:rPr>
        <w:t>;</w:t>
      </w:r>
      <w:r w:rsidRPr="00B457F5">
        <w:rPr>
          <w:rFonts w:ascii="Garamond" w:eastAsia="Times New Roman" w:hAnsi="Garamond" w:cs="Times New Roman"/>
          <w:bCs/>
          <w:szCs w:val="24"/>
        </w:rPr>
        <w:t xml:space="preserve"> </w:t>
      </w:r>
      <w:r w:rsidR="00A313AE" w:rsidRPr="00B457F5">
        <w:rPr>
          <w:rFonts w:ascii="Garamond" w:eastAsia="Times New Roman" w:hAnsi="Garamond" w:cs="Times New Roman"/>
          <w:bCs/>
          <w:szCs w:val="24"/>
        </w:rPr>
        <w:t>l</w:t>
      </w:r>
      <w:r w:rsidRPr="00B457F5">
        <w:rPr>
          <w:rFonts w:ascii="Garamond" w:eastAsia="Times New Roman" w:hAnsi="Garamond" w:cs="Times New Roman"/>
          <w:bCs/>
          <w:szCs w:val="24"/>
        </w:rPr>
        <w:t>igji nr. 10/2020</w:t>
      </w:r>
      <w:r w:rsidR="00A313AE" w:rsidRPr="00B457F5">
        <w:rPr>
          <w:rFonts w:ascii="Garamond" w:eastAsia="Times New Roman" w:hAnsi="Garamond" w:cs="Times New Roman"/>
          <w:bCs/>
          <w:szCs w:val="24"/>
        </w:rPr>
        <w:t>,</w:t>
      </w:r>
      <w:r w:rsidRPr="00B457F5">
        <w:rPr>
          <w:rFonts w:ascii="Garamond" w:eastAsia="Times New Roman" w:hAnsi="Garamond" w:cs="Times New Roman"/>
          <w:bCs/>
          <w:szCs w:val="24"/>
        </w:rPr>
        <w:t xml:space="preserve"> </w:t>
      </w:r>
      <w:r w:rsidR="00A313AE" w:rsidRPr="00B457F5">
        <w:rPr>
          <w:rFonts w:ascii="Garamond" w:eastAsia="Times New Roman" w:hAnsi="Garamond" w:cs="Times New Roman"/>
          <w:bCs/>
          <w:szCs w:val="24"/>
        </w:rPr>
        <w:t>“</w:t>
      </w:r>
      <w:r w:rsidRPr="00B457F5">
        <w:rPr>
          <w:rFonts w:ascii="Garamond" w:eastAsia="Times New Roman" w:hAnsi="Garamond" w:cs="Times New Roman"/>
          <w:bCs/>
          <w:szCs w:val="24"/>
        </w:rPr>
        <w:t xml:space="preserve">Për </w:t>
      </w:r>
      <w:r w:rsidR="00A313AE" w:rsidRPr="00B457F5">
        <w:rPr>
          <w:rFonts w:ascii="Garamond" w:eastAsia="Times New Roman" w:hAnsi="Garamond" w:cs="Times New Roman"/>
          <w:bCs/>
          <w:szCs w:val="24"/>
        </w:rPr>
        <w:t>a</w:t>
      </w:r>
      <w:r w:rsidRPr="00B457F5">
        <w:rPr>
          <w:rFonts w:ascii="Garamond" w:eastAsia="Times New Roman" w:hAnsi="Garamond" w:cs="Times New Roman"/>
          <w:bCs/>
          <w:szCs w:val="24"/>
        </w:rPr>
        <w:t>zilin në Republikën e Shqipërisë</w:t>
      </w:r>
      <w:r w:rsidR="00A313AE" w:rsidRPr="00B457F5">
        <w:rPr>
          <w:rFonts w:ascii="Garamond" w:eastAsia="Times New Roman" w:hAnsi="Garamond" w:cs="Times New Roman"/>
          <w:bCs/>
          <w:szCs w:val="24"/>
        </w:rPr>
        <w:t>”;</w:t>
      </w:r>
      <w:r w:rsidRPr="00B457F5">
        <w:rPr>
          <w:rFonts w:ascii="Garamond" w:eastAsia="Times New Roman" w:hAnsi="Garamond" w:cs="Times New Roman"/>
          <w:bCs/>
          <w:szCs w:val="24"/>
        </w:rPr>
        <w:t xml:space="preserve"> </w:t>
      </w:r>
      <w:r w:rsidR="00A313AE" w:rsidRPr="00B457F5">
        <w:rPr>
          <w:rFonts w:ascii="Garamond" w:eastAsia="Times New Roman" w:hAnsi="Garamond" w:cs="Times New Roman"/>
          <w:bCs/>
          <w:szCs w:val="24"/>
        </w:rPr>
        <w:t>l</w:t>
      </w:r>
      <w:r w:rsidRPr="00B457F5">
        <w:rPr>
          <w:rFonts w:ascii="Garamond" w:eastAsia="Times New Roman" w:hAnsi="Garamond" w:cs="Times New Roman"/>
          <w:bCs/>
          <w:szCs w:val="24"/>
        </w:rPr>
        <w:t>igji nr. 9668, datë 18.12.2006</w:t>
      </w:r>
      <w:r w:rsidR="00A313AE" w:rsidRPr="00B457F5">
        <w:rPr>
          <w:rFonts w:ascii="Garamond" w:eastAsia="Times New Roman" w:hAnsi="Garamond" w:cs="Times New Roman"/>
          <w:bCs/>
          <w:szCs w:val="24"/>
        </w:rPr>
        <w:t>,</w:t>
      </w:r>
      <w:r w:rsidRPr="00B457F5">
        <w:rPr>
          <w:rFonts w:ascii="Garamond" w:eastAsia="Times New Roman" w:hAnsi="Garamond" w:cs="Times New Roman"/>
          <w:bCs/>
          <w:szCs w:val="24"/>
        </w:rPr>
        <w:t xml:space="preserve"> </w:t>
      </w:r>
      <w:r w:rsidR="00A313AE" w:rsidRPr="00B457F5">
        <w:rPr>
          <w:rFonts w:ascii="Garamond" w:eastAsia="Times New Roman" w:hAnsi="Garamond" w:cs="Times New Roman"/>
          <w:bCs/>
          <w:szCs w:val="24"/>
        </w:rPr>
        <w:t>“</w:t>
      </w:r>
      <w:r w:rsidRPr="00B457F5">
        <w:rPr>
          <w:rFonts w:ascii="Garamond" w:eastAsia="Times New Roman" w:hAnsi="Garamond" w:cs="Times New Roman"/>
          <w:bCs/>
          <w:szCs w:val="24"/>
        </w:rPr>
        <w:t>Për emigrimin e shtetasve shqiptarë për qëllime punësimi</w:t>
      </w:r>
      <w:r w:rsidR="00A313AE" w:rsidRPr="00B457F5">
        <w:rPr>
          <w:rFonts w:ascii="Garamond" w:eastAsia="Times New Roman" w:hAnsi="Garamond" w:cs="Times New Roman"/>
          <w:bCs/>
          <w:szCs w:val="24"/>
        </w:rPr>
        <w:t>”;</w:t>
      </w:r>
      <w:r w:rsidRPr="00B457F5">
        <w:rPr>
          <w:rFonts w:ascii="Garamond" w:eastAsia="Times New Roman" w:hAnsi="Garamond" w:cs="Times New Roman"/>
          <w:bCs/>
          <w:szCs w:val="24"/>
        </w:rPr>
        <w:t xml:space="preserve"> </w:t>
      </w:r>
      <w:r w:rsidR="00A313AE" w:rsidRPr="00B457F5">
        <w:rPr>
          <w:rFonts w:ascii="Garamond" w:eastAsia="Times New Roman" w:hAnsi="Garamond" w:cs="Times New Roman"/>
          <w:bCs/>
          <w:szCs w:val="24"/>
        </w:rPr>
        <w:t>l</w:t>
      </w:r>
      <w:r w:rsidRPr="00B457F5">
        <w:rPr>
          <w:rFonts w:ascii="Garamond" w:eastAsia="Times New Roman" w:hAnsi="Garamond" w:cs="Times New Roman"/>
          <w:bCs/>
          <w:szCs w:val="24"/>
        </w:rPr>
        <w:t>igji nr. 10221/2020</w:t>
      </w:r>
      <w:r w:rsidR="00A313AE" w:rsidRPr="00B457F5">
        <w:rPr>
          <w:rFonts w:ascii="Garamond" w:eastAsia="Times New Roman" w:hAnsi="Garamond" w:cs="Times New Roman"/>
          <w:bCs/>
          <w:szCs w:val="24"/>
        </w:rPr>
        <w:t>,</w:t>
      </w:r>
      <w:r w:rsidRPr="00B457F5">
        <w:rPr>
          <w:rFonts w:ascii="Garamond" w:eastAsia="Times New Roman" w:hAnsi="Garamond" w:cs="Times New Roman"/>
          <w:bCs/>
          <w:szCs w:val="24"/>
        </w:rPr>
        <w:t xml:space="preserve"> </w:t>
      </w:r>
      <w:r w:rsidR="00A313AE" w:rsidRPr="00B457F5">
        <w:rPr>
          <w:rFonts w:ascii="Garamond" w:eastAsia="Times New Roman" w:hAnsi="Garamond" w:cs="Times New Roman"/>
          <w:bCs/>
          <w:szCs w:val="24"/>
        </w:rPr>
        <w:t>“</w:t>
      </w:r>
      <w:r w:rsidRPr="00B457F5">
        <w:rPr>
          <w:rFonts w:ascii="Garamond" w:eastAsia="Times New Roman" w:hAnsi="Garamond" w:cs="Times New Roman"/>
          <w:bCs/>
          <w:szCs w:val="24"/>
        </w:rPr>
        <w:t>Për mbrojtjen nga diskriminimi</w:t>
      </w:r>
      <w:r w:rsidR="00A313AE" w:rsidRPr="00B457F5">
        <w:rPr>
          <w:rFonts w:ascii="Garamond" w:eastAsia="Times New Roman" w:hAnsi="Garamond" w:cs="Times New Roman"/>
          <w:bCs/>
          <w:szCs w:val="24"/>
        </w:rPr>
        <w:t>”</w:t>
      </w:r>
      <w:r w:rsidR="003B5E78" w:rsidRPr="00B457F5">
        <w:rPr>
          <w:rFonts w:ascii="Garamond" w:eastAsia="Times New Roman" w:hAnsi="Garamond" w:cs="Times New Roman"/>
          <w:bCs/>
          <w:szCs w:val="24"/>
        </w:rPr>
        <w:t xml:space="preserve">, </w:t>
      </w:r>
      <w:r w:rsidRPr="00B457F5">
        <w:rPr>
          <w:rFonts w:ascii="Garamond" w:eastAsia="Times New Roman" w:hAnsi="Garamond" w:cs="Times New Roman"/>
          <w:bCs/>
          <w:szCs w:val="24"/>
        </w:rPr>
        <w:t xml:space="preserve">etj. Ndërkohë që legjislacioni dytësor është kuadri rregullator që buron nga këto akte ligjore, kryesisht vendime të Këshillit të Ministrave dhe urdhra apo udhëzime specifike që rregullojnë dhe lehtësojnë procedurat e qëndrimit të ligjshëm për të gjithë të huajt që dëshirojnë të jetojnë apo punojnë në territorin e Republikës së Shqipërisë. </w:t>
      </w:r>
    </w:p>
    <w:p w14:paraId="3FF468AB" w14:textId="1A74B04E" w:rsidR="00FF4096" w:rsidRPr="00B457F5" w:rsidRDefault="00FF4096" w:rsidP="002E693B">
      <w:pPr>
        <w:widowControl w:val="0"/>
        <w:autoSpaceDE w:val="0"/>
        <w:autoSpaceDN w:val="0"/>
        <w:spacing w:before="0" w:after="0"/>
        <w:ind w:firstLine="284"/>
        <w:rPr>
          <w:rFonts w:ascii="Garamond" w:eastAsia="Times New Roman" w:hAnsi="Garamond" w:cs="Times New Roman"/>
          <w:bCs/>
          <w:szCs w:val="24"/>
        </w:rPr>
      </w:pPr>
      <w:r w:rsidRPr="00B457F5">
        <w:rPr>
          <w:rFonts w:ascii="Garamond" w:eastAsia="Times New Roman" w:hAnsi="Garamond" w:cs="Times New Roman"/>
          <w:bCs/>
          <w:szCs w:val="24"/>
        </w:rPr>
        <w:t>Legjislacioni kombëtar për migracionin</w:t>
      </w:r>
      <w:r w:rsidR="00A74515" w:rsidRPr="00B457F5">
        <w:rPr>
          <w:rFonts w:ascii="Garamond" w:eastAsia="Times New Roman" w:hAnsi="Garamond" w:cs="Times New Roman"/>
          <w:bCs/>
          <w:szCs w:val="24"/>
        </w:rPr>
        <w:t>,</w:t>
      </w:r>
      <w:r w:rsidRPr="00B457F5">
        <w:rPr>
          <w:rFonts w:ascii="Garamond" w:eastAsia="Times New Roman" w:hAnsi="Garamond" w:cs="Times New Roman"/>
          <w:bCs/>
          <w:szCs w:val="24"/>
        </w:rPr>
        <w:t xml:space="preserve"> në përgjithësi</w:t>
      </w:r>
      <w:r w:rsidR="00A74515" w:rsidRPr="00B457F5">
        <w:rPr>
          <w:rFonts w:ascii="Garamond" w:eastAsia="Times New Roman" w:hAnsi="Garamond" w:cs="Times New Roman"/>
          <w:bCs/>
          <w:szCs w:val="24"/>
        </w:rPr>
        <w:t>,</w:t>
      </w:r>
      <w:r w:rsidRPr="00B457F5">
        <w:rPr>
          <w:rFonts w:ascii="Garamond" w:eastAsia="Times New Roman" w:hAnsi="Garamond" w:cs="Times New Roman"/>
          <w:bCs/>
          <w:szCs w:val="24"/>
        </w:rPr>
        <w:t xml:space="preserve"> pasqyron parimet e konventave ndërkombëtare për të drejtat e migrantëve. Zbatimi i këtyre të drejtave realizohet nëpërmjet disa parimeve të përgjithshme si: respektimi i të drejtave të njeriut, mosdiskriminimi, mosnënshtrimi ndaj torturës, trajtimit apo dënimit mizor, çnjerëzor apo poshtërues, parimi i integritetit dhe dinjitetit, </w:t>
      </w:r>
      <w:r w:rsidRPr="00B457F5">
        <w:rPr>
          <w:rFonts w:ascii="Garamond" w:eastAsia="Times New Roman" w:hAnsi="Garamond" w:cs="Times New Roman"/>
          <w:bCs/>
          <w:szCs w:val="24"/>
        </w:rPr>
        <w:lastRenderedPageBreak/>
        <w:t>bashkimit familjar, garantimit të kujdesit shëndetësor, arsimimi, integrimi social, etj.</w:t>
      </w:r>
    </w:p>
    <w:p w14:paraId="6B73A732" w14:textId="4DB57653" w:rsidR="00FF4096" w:rsidRPr="00B457F5" w:rsidRDefault="00F33FAE" w:rsidP="002E693B">
      <w:pPr>
        <w:widowControl w:val="0"/>
        <w:autoSpaceDE w:val="0"/>
        <w:autoSpaceDN w:val="0"/>
        <w:spacing w:before="0" w:after="0"/>
        <w:ind w:firstLine="284"/>
        <w:rPr>
          <w:rFonts w:ascii="Garamond" w:eastAsia="Times New Roman" w:hAnsi="Garamond" w:cs="Times New Roman"/>
          <w:bCs/>
          <w:szCs w:val="24"/>
        </w:rPr>
      </w:pPr>
      <w:r w:rsidRPr="00B457F5">
        <w:rPr>
          <w:rFonts w:ascii="Garamond" w:eastAsia="Times New Roman" w:hAnsi="Garamond" w:cs="Times New Roman"/>
          <w:bCs/>
          <w:szCs w:val="24"/>
        </w:rPr>
        <w:t>Më k</w:t>
      </w:r>
      <w:r w:rsidR="00FF4096" w:rsidRPr="00B457F5">
        <w:rPr>
          <w:rFonts w:ascii="Garamond" w:eastAsia="Times New Roman" w:hAnsi="Garamond" w:cs="Times New Roman"/>
          <w:bCs/>
          <w:szCs w:val="24"/>
        </w:rPr>
        <w:t xml:space="preserve">onkretisht, </w:t>
      </w:r>
      <w:r w:rsidR="00A313AE" w:rsidRPr="00B457F5">
        <w:rPr>
          <w:rFonts w:ascii="Garamond" w:eastAsia="Times New Roman" w:hAnsi="Garamond" w:cs="Times New Roman"/>
          <w:bCs/>
          <w:szCs w:val="24"/>
        </w:rPr>
        <w:t>l</w:t>
      </w:r>
      <w:r w:rsidR="00FF4096" w:rsidRPr="00B457F5">
        <w:rPr>
          <w:rFonts w:ascii="Garamond" w:eastAsia="Times New Roman" w:hAnsi="Garamond" w:cs="Times New Roman"/>
          <w:bCs/>
          <w:szCs w:val="24"/>
        </w:rPr>
        <w:t xml:space="preserve">igji </w:t>
      </w:r>
      <w:r w:rsidR="00A313AE" w:rsidRPr="00B457F5">
        <w:rPr>
          <w:rFonts w:ascii="Garamond" w:eastAsia="Times New Roman" w:hAnsi="Garamond" w:cs="Times New Roman"/>
          <w:bCs/>
          <w:szCs w:val="24"/>
        </w:rPr>
        <w:t>“</w:t>
      </w:r>
      <w:r w:rsidR="00FF4096" w:rsidRPr="00B457F5">
        <w:rPr>
          <w:rFonts w:ascii="Garamond" w:eastAsia="Times New Roman" w:hAnsi="Garamond" w:cs="Times New Roman"/>
          <w:bCs/>
          <w:szCs w:val="24"/>
        </w:rPr>
        <w:t>Për të huajt</w:t>
      </w:r>
      <w:r w:rsidR="00A313AE" w:rsidRPr="00B457F5">
        <w:rPr>
          <w:rFonts w:ascii="Garamond" w:eastAsia="Times New Roman" w:hAnsi="Garamond" w:cs="Times New Roman"/>
          <w:bCs/>
          <w:szCs w:val="24"/>
        </w:rPr>
        <w:t>”</w:t>
      </w:r>
      <w:r w:rsidR="00FF4096" w:rsidRPr="00B457F5">
        <w:rPr>
          <w:rFonts w:ascii="Garamond" w:eastAsia="Times New Roman" w:hAnsi="Garamond" w:cs="Times New Roman"/>
          <w:bCs/>
          <w:szCs w:val="24"/>
        </w:rPr>
        <w:t xml:space="preserve">, si një nga aktet ligjore në përputhje me 18 akte të </w:t>
      </w:r>
      <w:r w:rsidR="00FF4096" w:rsidRPr="00B457F5">
        <w:rPr>
          <w:rFonts w:ascii="Garamond" w:eastAsia="Times New Roman" w:hAnsi="Garamond" w:cs="Times New Roman"/>
          <w:bCs/>
          <w:i/>
          <w:iCs/>
          <w:szCs w:val="24"/>
        </w:rPr>
        <w:t>acquis</w:t>
      </w:r>
      <w:r w:rsidR="00FF4096" w:rsidRPr="00B457F5">
        <w:rPr>
          <w:rFonts w:ascii="Garamond" w:eastAsia="Times New Roman" w:hAnsi="Garamond" w:cs="Times New Roman"/>
          <w:bCs/>
          <w:szCs w:val="24"/>
        </w:rPr>
        <w:t xml:space="preserve"> </w:t>
      </w:r>
      <w:r w:rsidR="00A74515" w:rsidRPr="00B457F5">
        <w:rPr>
          <w:rFonts w:ascii="Garamond" w:eastAsia="Times New Roman" w:hAnsi="Garamond" w:cs="Times New Roman"/>
          <w:bCs/>
          <w:szCs w:val="24"/>
        </w:rPr>
        <w:t>t</w:t>
      </w:r>
      <w:r w:rsidR="00FF4096" w:rsidRPr="00B457F5">
        <w:rPr>
          <w:rFonts w:ascii="Garamond" w:eastAsia="Times New Roman" w:hAnsi="Garamond" w:cs="Times New Roman"/>
          <w:bCs/>
          <w:szCs w:val="24"/>
        </w:rPr>
        <w:t>ë BE</w:t>
      </w:r>
      <w:r w:rsidR="00E94225" w:rsidRPr="00B457F5">
        <w:rPr>
          <w:rFonts w:ascii="Garamond" w:eastAsia="Times New Roman" w:hAnsi="Garamond" w:cs="Times New Roman"/>
          <w:bCs/>
          <w:szCs w:val="24"/>
        </w:rPr>
        <w:t>-së</w:t>
      </w:r>
      <w:r w:rsidR="00FF4096" w:rsidRPr="00B457F5">
        <w:rPr>
          <w:rFonts w:ascii="Garamond" w:eastAsia="Times New Roman" w:hAnsi="Garamond" w:cs="Times New Roman"/>
          <w:bCs/>
          <w:szCs w:val="24"/>
        </w:rPr>
        <w:t>, garanton pajtueshmërinë e dispozitave të tij me të drejtat dhe liritë e parashikuara në Kushtetutë dhe instrumentet ndërkombëtarë të ratifikuar, në mënyrë të veçantë për</w:t>
      </w:r>
      <w:r w:rsidR="00A313AE" w:rsidRPr="00B457F5">
        <w:rPr>
          <w:rFonts w:ascii="Garamond" w:eastAsia="Times New Roman" w:hAnsi="Garamond" w:cs="Times New Roman"/>
          <w:bCs/>
          <w:szCs w:val="24"/>
        </w:rPr>
        <w:t xml:space="preserve"> t’u </w:t>
      </w:r>
      <w:r w:rsidR="00FF4096" w:rsidRPr="00B457F5">
        <w:rPr>
          <w:rFonts w:ascii="Garamond" w:eastAsia="Times New Roman" w:hAnsi="Garamond" w:cs="Times New Roman"/>
          <w:bCs/>
          <w:szCs w:val="24"/>
        </w:rPr>
        <w:t>siguruar që dispozitat e tij të jenë në përputhje me parimin e interesit më të mirë të fëmijës, parimin e të drejtës për jetë familjare, parimin e moskthimit, parimin e procedurave të drejta dhe transparente. Ky ligj synon përmirësimin e fushës së të drejtave të të huajve, në drejtim të mbrojtjes së migrantëve dhe anëtarëve të familjes</w:t>
      </w:r>
      <w:r w:rsidR="005E1901" w:rsidRPr="00B457F5">
        <w:rPr>
          <w:rFonts w:ascii="Garamond" w:eastAsia="Times New Roman" w:hAnsi="Garamond" w:cs="Times New Roman"/>
          <w:bCs/>
          <w:szCs w:val="24"/>
        </w:rPr>
        <w:t xml:space="preserve"> së tyre</w:t>
      </w:r>
      <w:r w:rsidR="00E71B95" w:rsidRPr="00B457F5">
        <w:rPr>
          <w:rFonts w:ascii="Garamond" w:eastAsia="Times New Roman" w:hAnsi="Garamond" w:cs="Times New Roman"/>
          <w:bCs/>
          <w:szCs w:val="24"/>
        </w:rPr>
        <w:t>, refugjatëve</w:t>
      </w:r>
      <w:r w:rsidR="005E1901" w:rsidRPr="00B457F5">
        <w:rPr>
          <w:rFonts w:ascii="Garamond" w:eastAsia="Times New Roman" w:hAnsi="Garamond" w:cs="Times New Roman"/>
          <w:bCs/>
          <w:szCs w:val="24"/>
        </w:rPr>
        <w:t xml:space="preserve"> dhe</w:t>
      </w:r>
      <w:r w:rsidR="00FF4096" w:rsidRPr="00B457F5">
        <w:rPr>
          <w:rFonts w:ascii="Garamond" w:eastAsia="Times New Roman" w:hAnsi="Garamond" w:cs="Times New Roman"/>
          <w:bCs/>
          <w:szCs w:val="24"/>
        </w:rPr>
        <w:t xml:space="preserve"> azilkërkuesve.</w:t>
      </w:r>
    </w:p>
    <w:p w14:paraId="52BEEAE6" w14:textId="02F6F9B5" w:rsidR="00FF4096" w:rsidRPr="00B457F5" w:rsidRDefault="00FF4096" w:rsidP="002E693B">
      <w:pPr>
        <w:widowControl w:val="0"/>
        <w:autoSpaceDE w:val="0"/>
        <w:autoSpaceDN w:val="0"/>
        <w:spacing w:before="0" w:after="0"/>
        <w:ind w:firstLine="284"/>
        <w:rPr>
          <w:rFonts w:ascii="Garamond" w:eastAsia="Times New Roman" w:hAnsi="Garamond" w:cs="Times New Roman"/>
          <w:bCs/>
          <w:szCs w:val="24"/>
        </w:rPr>
      </w:pPr>
      <w:r w:rsidRPr="00B457F5">
        <w:rPr>
          <w:rFonts w:ascii="Garamond" w:eastAsia="Times New Roman" w:hAnsi="Garamond" w:cs="Times New Roman"/>
          <w:bCs/>
          <w:szCs w:val="24"/>
        </w:rPr>
        <w:t>Ligji gjithashtu garanton të drejtën e qëndrimit apo punësimit të ligjshëm në RSH, nëpërmjet pajisjes me leje qëndrimi dhe leje unike</w:t>
      </w:r>
      <w:r w:rsidR="00A74515" w:rsidRPr="00B457F5">
        <w:rPr>
          <w:rFonts w:ascii="Garamond" w:eastAsia="Times New Roman" w:hAnsi="Garamond" w:cs="Times New Roman"/>
          <w:bCs/>
          <w:szCs w:val="24"/>
        </w:rPr>
        <w:t>,</w:t>
      </w:r>
      <w:r w:rsidRPr="00B457F5">
        <w:rPr>
          <w:rFonts w:ascii="Garamond" w:eastAsia="Times New Roman" w:hAnsi="Garamond" w:cs="Times New Roman"/>
          <w:bCs/>
          <w:szCs w:val="24"/>
        </w:rPr>
        <w:t xml:space="preserve"> sipas disa kategoriv</w:t>
      </w:r>
      <w:r w:rsidR="00A313AE" w:rsidRPr="00B457F5">
        <w:rPr>
          <w:rFonts w:ascii="Garamond" w:eastAsia="Times New Roman" w:hAnsi="Garamond" w:cs="Times New Roman"/>
          <w:bCs/>
          <w:szCs w:val="24"/>
        </w:rPr>
        <w:t>e</w:t>
      </w:r>
      <w:r w:rsidRPr="00B457F5">
        <w:rPr>
          <w:rFonts w:ascii="Garamond" w:eastAsia="Times New Roman" w:hAnsi="Garamond" w:cs="Times New Roman"/>
          <w:bCs/>
          <w:szCs w:val="24"/>
        </w:rPr>
        <w:t xml:space="preserve"> përkatëse, siguron të drejtën për akses në programe dhe shërbime integrimi për të huajt, mundësinë e ofrimit më të mirë të informacionit, procedurave të lehtësuara për</w:t>
      </w:r>
      <w:r w:rsidR="00A313AE" w:rsidRPr="00B457F5">
        <w:rPr>
          <w:rFonts w:ascii="Garamond" w:eastAsia="Times New Roman" w:hAnsi="Garamond" w:cs="Times New Roman"/>
          <w:bCs/>
          <w:szCs w:val="24"/>
        </w:rPr>
        <w:t xml:space="preserve"> t’u </w:t>
      </w:r>
      <w:r w:rsidRPr="00B457F5">
        <w:rPr>
          <w:rFonts w:ascii="Garamond" w:eastAsia="Times New Roman" w:hAnsi="Garamond" w:cs="Times New Roman"/>
          <w:bCs/>
          <w:szCs w:val="24"/>
        </w:rPr>
        <w:t xml:space="preserve">pajisur me leje qëndrimi dhe leje unike, të drejtën e pajisjes me </w:t>
      </w:r>
      <w:r w:rsidR="00A74515" w:rsidRPr="00B457F5">
        <w:rPr>
          <w:rFonts w:ascii="Garamond" w:eastAsia="Times New Roman" w:hAnsi="Garamond" w:cs="Times New Roman"/>
          <w:bCs/>
          <w:szCs w:val="24"/>
        </w:rPr>
        <w:t>dokumente</w:t>
      </w:r>
      <w:r w:rsidRPr="00B457F5">
        <w:rPr>
          <w:rFonts w:ascii="Garamond" w:eastAsia="Times New Roman" w:hAnsi="Garamond" w:cs="Times New Roman"/>
          <w:bCs/>
          <w:szCs w:val="24"/>
        </w:rPr>
        <w:t xml:space="preserve"> sipas standardeve ndërkombëtare të certifikuara, si dhe me </w:t>
      </w:r>
      <w:r w:rsidR="00A313AE" w:rsidRPr="00B457F5">
        <w:rPr>
          <w:rFonts w:ascii="Garamond" w:eastAsia="Times New Roman" w:hAnsi="Garamond" w:cs="Times New Roman"/>
          <w:bCs/>
          <w:szCs w:val="24"/>
        </w:rPr>
        <w:t>dokumente</w:t>
      </w:r>
      <w:r w:rsidRPr="00B457F5">
        <w:rPr>
          <w:rFonts w:ascii="Garamond" w:eastAsia="Times New Roman" w:hAnsi="Garamond" w:cs="Times New Roman"/>
          <w:bCs/>
          <w:szCs w:val="24"/>
        </w:rPr>
        <w:t xml:space="preserve"> të </w:t>
      </w:r>
      <w:r w:rsidR="009217FD" w:rsidRPr="00B457F5">
        <w:rPr>
          <w:rFonts w:ascii="Garamond" w:eastAsia="Times New Roman" w:hAnsi="Garamond" w:cs="Times New Roman"/>
          <w:bCs/>
          <w:szCs w:val="24"/>
        </w:rPr>
        <w:t>posaçme</w:t>
      </w:r>
      <w:r w:rsidRPr="00B457F5">
        <w:rPr>
          <w:rFonts w:ascii="Garamond" w:eastAsia="Times New Roman" w:hAnsi="Garamond" w:cs="Times New Roman"/>
          <w:bCs/>
          <w:szCs w:val="24"/>
        </w:rPr>
        <w:t xml:space="preserve"> udhëtimi në rast</w:t>
      </w:r>
      <w:r w:rsidR="009217FD" w:rsidRPr="00B457F5">
        <w:rPr>
          <w:rFonts w:ascii="Garamond" w:eastAsia="Times New Roman" w:hAnsi="Garamond" w:cs="Times New Roman"/>
          <w:bCs/>
          <w:szCs w:val="24"/>
        </w:rPr>
        <w:t>e</w:t>
      </w:r>
      <w:r w:rsidRPr="00B457F5">
        <w:rPr>
          <w:rFonts w:ascii="Garamond" w:eastAsia="Times New Roman" w:hAnsi="Garamond" w:cs="Times New Roman"/>
          <w:bCs/>
          <w:szCs w:val="24"/>
        </w:rPr>
        <w:t xml:space="preserve"> humbjeje, dëmtimi, apo zëvendësimi</w:t>
      </w:r>
      <w:r w:rsidR="009217FD" w:rsidRPr="00B457F5">
        <w:rPr>
          <w:rFonts w:ascii="Garamond" w:eastAsia="Times New Roman" w:hAnsi="Garamond" w:cs="Times New Roman"/>
          <w:bCs/>
          <w:szCs w:val="24"/>
        </w:rPr>
        <w:t xml:space="preserve"> të tyre</w:t>
      </w:r>
      <w:r w:rsidRPr="00B457F5">
        <w:rPr>
          <w:rFonts w:ascii="Garamond" w:eastAsia="Times New Roman" w:hAnsi="Garamond" w:cs="Times New Roman"/>
          <w:bCs/>
          <w:szCs w:val="24"/>
        </w:rPr>
        <w:t xml:space="preserve">. Në parashikimet e </w:t>
      </w:r>
      <w:r w:rsidR="00A74515" w:rsidRPr="00B457F5">
        <w:rPr>
          <w:rFonts w:ascii="Garamond" w:eastAsia="Times New Roman" w:hAnsi="Garamond" w:cs="Times New Roman"/>
          <w:bCs/>
          <w:szCs w:val="24"/>
        </w:rPr>
        <w:t>l</w:t>
      </w:r>
      <w:r w:rsidRPr="00B457F5">
        <w:rPr>
          <w:rFonts w:ascii="Garamond" w:eastAsia="Times New Roman" w:hAnsi="Garamond" w:cs="Times New Roman"/>
          <w:bCs/>
          <w:szCs w:val="24"/>
        </w:rPr>
        <w:t xml:space="preserve">igjit </w:t>
      </w:r>
      <w:r w:rsidR="00A313AE" w:rsidRPr="00B457F5">
        <w:rPr>
          <w:rFonts w:ascii="Garamond" w:eastAsia="Times New Roman" w:hAnsi="Garamond" w:cs="Times New Roman"/>
          <w:bCs/>
          <w:szCs w:val="24"/>
        </w:rPr>
        <w:t>“</w:t>
      </w:r>
      <w:r w:rsidRPr="00B457F5">
        <w:rPr>
          <w:rFonts w:ascii="Garamond" w:eastAsia="Times New Roman" w:hAnsi="Garamond" w:cs="Times New Roman"/>
          <w:bCs/>
          <w:szCs w:val="24"/>
        </w:rPr>
        <w:t>Për të huajt</w:t>
      </w:r>
      <w:r w:rsidR="00A313AE" w:rsidRPr="00B457F5">
        <w:rPr>
          <w:rFonts w:ascii="Garamond" w:eastAsia="Times New Roman" w:hAnsi="Garamond" w:cs="Times New Roman"/>
          <w:bCs/>
          <w:szCs w:val="24"/>
        </w:rPr>
        <w:t>”</w:t>
      </w:r>
      <w:r w:rsidRPr="00B457F5">
        <w:rPr>
          <w:rFonts w:ascii="Garamond" w:eastAsia="Times New Roman" w:hAnsi="Garamond" w:cs="Times New Roman"/>
          <w:bCs/>
          <w:szCs w:val="24"/>
        </w:rPr>
        <w:t xml:space="preserve"> nuk përjashtohet dhe mundësia apo e drejta e ankimimit në rrugë administrative sipas legjislacionit në fuqi.</w:t>
      </w:r>
    </w:p>
    <w:p w14:paraId="0281354A" w14:textId="774943C3" w:rsidR="00FF4096" w:rsidRPr="00B457F5" w:rsidRDefault="00FF4096" w:rsidP="002E693B">
      <w:pPr>
        <w:widowControl w:val="0"/>
        <w:autoSpaceDE w:val="0"/>
        <w:autoSpaceDN w:val="0"/>
        <w:spacing w:before="0" w:after="0"/>
        <w:ind w:firstLine="284"/>
        <w:rPr>
          <w:rFonts w:ascii="Garamond" w:eastAsia="Times New Roman" w:hAnsi="Garamond" w:cs="Times New Roman"/>
          <w:bCs/>
          <w:szCs w:val="24"/>
        </w:rPr>
      </w:pPr>
      <w:r w:rsidRPr="00B457F5">
        <w:rPr>
          <w:rFonts w:ascii="Garamond" w:eastAsia="Times New Roman" w:hAnsi="Garamond" w:cs="Times New Roman"/>
          <w:bCs/>
          <w:szCs w:val="24"/>
        </w:rPr>
        <w:t xml:space="preserve">Sa i takon akteve nënligjore </w:t>
      </w:r>
      <w:r w:rsidR="002C7718" w:rsidRPr="00B457F5">
        <w:rPr>
          <w:rFonts w:ascii="Garamond" w:eastAsia="Times New Roman" w:hAnsi="Garamond" w:cs="Times New Roman"/>
          <w:bCs/>
          <w:szCs w:val="24"/>
        </w:rPr>
        <w:t>që burojnë nga ky</w:t>
      </w:r>
      <w:r w:rsidRPr="00B457F5">
        <w:rPr>
          <w:rFonts w:ascii="Garamond" w:eastAsia="Times New Roman" w:hAnsi="Garamond" w:cs="Times New Roman"/>
          <w:bCs/>
          <w:szCs w:val="24"/>
        </w:rPr>
        <w:t xml:space="preserve"> ligj, ato rregullojnë dhe </w:t>
      </w:r>
      <w:r w:rsidR="002C7718" w:rsidRPr="00B457F5">
        <w:rPr>
          <w:rFonts w:ascii="Garamond" w:eastAsia="Times New Roman" w:hAnsi="Garamond" w:cs="Times New Roman"/>
          <w:bCs/>
          <w:szCs w:val="24"/>
        </w:rPr>
        <w:t>japin hollësi lidhur me</w:t>
      </w:r>
      <w:r w:rsidRPr="00B457F5">
        <w:rPr>
          <w:rFonts w:ascii="Garamond" w:eastAsia="Times New Roman" w:hAnsi="Garamond" w:cs="Times New Roman"/>
          <w:bCs/>
          <w:szCs w:val="24"/>
        </w:rPr>
        <w:t xml:space="preserve"> aspekte të rëndësishme të migracionit të rregullt dhe migracionit të parregullt. </w:t>
      </w:r>
      <w:r w:rsidR="002C7718" w:rsidRPr="00B457F5">
        <w:rPr>
          <w:rFonts w:ascii="Garamond" w:eastAsia="Times New Roman" w:hAnsi="Garamond" w:cs="Times New Roman"/>
          <w:bCs/>
          <w:szCs w:val="24"/>
        </w:rPr>
        <w:t>Më k</w:t>
      </w:r>
      <w:r w:rsidRPr="00B457F5">
        <w:rPr>
          <w:rFonts w:ascii="Garamond" w:eastAsia="Times New Roman" w:hAnsi="Garamond" w:cs="Times New Roman"/>
          <w:bCs/>
          <w:szCs w:val="24"/>
        </w:rPr>
        <w:t>onkretisht</w:t>
      </w:r>
      <w:r w:rsidR="002C7718" w:rsidRPr="00B457F5">
        <w:rPr>
          <w:rFonts w:ascii="Garamond" w:eastAsia="Times New Roman" w:hAnsi="Garamond" w:cs="Times New Roman"/>
          <w:bCs/>
          <w:szCs w:val="24"/>
        </w:rPr>
        <w:t>,</w:t>
      </w:r>
      <w:r w:rsidRPr="00B457F5">
        <w:rPr>
          <w:rFonts w:ascii="Garamond" w:eastAsia="Times New Roman" w:hAnsi="Garamond" w:cs="Times New Roman"/>
          <w:bCs/>
          <w:szCs w:val="24"/>
        </w:rPr>
        <w:t xml:space="preserve"> </w:t>
      </w:r>
      <w:r w:rsidR="00A313AE" w:rsidRPr="00B457F5">
        <w:rPr>
          <w:rFonts w:ascii="Garamond" w:eastAsia="Times New Roman" w:hAnsi="Garamond" w:cs="Times New Roman"/>
          <w:bCs/>
          <w:szCs w:val="24"/>
        </w:rPr>
        <w:t>v</w:t>
      </w:r>
      <w:r w:rsidRPr="00B457F5">
        <w:rPr>
          <w:rFonts w:ascii="Garamond" w:eastAsia="Times New Roman" w:hAnsi="Garamond" w:cs="Times New Roman"/>
          <w:bCs/>
          <w:szCs w:val="24"/>
        </w:rPr>
        <w:t>endimi i Këshillit të Ministrave nr. 858, datë 29.12.2021, është akti kryesor që përcakton rregullat për kriteret, procedurat dhe</w:t>
      </w:r>
      <w:r w:rsidR="00A74515" w:rsidRPr="00B457F5">
        <w:rPr>
          <w:rFonts w:ascii="Garamond" w:eastAsia="Times New Roman" w:hAnsi="Garamond" w:cs="Times New Roman"/>
          <w:bCs/>
          <w:szCs w:val="24"/>
        </w:rPr>
        <w:t xml:space="preserve"> të</w:t>
      </w:r>
      <w:r w:rsidRPr="00B457F5">
        <w:rPr>
          <w:rFonts w:ascii="Garamond" w:eastAsia="Times New Roman" w:hAnsi="Garamond" w:cs="Times New Roman"/>
          <w:bCs/>
          <w:szCs w:val="24"/>
        </w:rPr>
        <w:t xml:space="preserve"> gjithë dokumentacionin e nevojshëm për hyrjen, qëndrimin e ligjshëm, si dhe trajtimin e të huajve në territorin e Republikës së Shqipërisë. Këto rregulla përcakt</w:t>
      </w:r>
      <w:r w:rsidR="002F31F7" w:rsidRPr="00B457F5">
        <w:rPr>
          <w:rFonts w:ascii="Garamond" w:eastAsia="Times New Roman" w:hAnsi="Garamond" w:cs="Times New Roman"/>
          <w:bCs/>
          <w:szCs w:val="24"/>
        </w:rPr>
        <w:t>ohen</w:t>
      </w:r>
      <w:r w:rsidRPr="00B457F5">
        <w:rPr>
          <w:rFonts w:ascii="Garamond" w:eastAsia="Times New Roman" w:hAnsi="Garamond" w:cs="Times New Roman"/>
          <w:bCs/>
          <w:szCs w:val="24"/>
        </w:rPr>
        <w:t xml:space="preserve"> sipas motivi</w:t>
      </w:r>
      <w:r w:rsidR="002F31F7" w:rsidRPr="00B457F5">
        <w:rPr>
          <w:rFonts w:ascii="Garamond" w:eastAsia="Times New Roman" w:hAnsi="Garamond" w:cs="Times New Roman"/>
          <w:bCs/>
          <w:szCs w:val="24"/>
        </w:rPr>
        <w:t>t</w:t>
      </w:r>
      <w:r w:rsidRPr="00B457F5">
        <w:rPr>
          <w:rFonts w:ascii="Garamond" w:eastAsia="Times New Roman" w:hAnsi="Garamond" w:cs="Times New Roman"/>
          <w:bCs/>
          <w:szCs w:val="24"/>
        </w:rPr>
        <w:t xml:space="preserve"> dhe qëllimi</w:t>
      </w:r>
      <w:r w:rsidR="002F31F7" w:rsidRPr="00B457F5">
        <w:rPr>
          <w:rFonts w:ascii="Garamond" w:eastAsia="Times New Roman" w:hAnsi="Garamond" w:cs="Times New Roman"/>
          <w:bCs/>
          <w:szCs w:val="24"/>
        </w:rPr>
        <w:t>t</w:t>
      </w:r>
      <w:r w:rsidRPr="00B457F5">
        <w:rPr>
          <w:rFonts w:ascii="Garamond" w:eastAsia="Times New Roman" w:hAnsi="Garamond" w:cs="Times New Roman"/>
          <w:bCs/>
          <w:szCs w:val="24"/>
        </w:rPr>
        <w:t xml:space="preserve"> të aplikimit</w:t>
      </w:r>
      <w:r w:rsidR="00A74515" w:rsidRPr="00B457F5">
        <w:rPr>
          <w:rFonts w:ascii="Garamond" w:eastAsia="Times New Roman" w:hAnsi="Garamond" w:cs="Times New Roman"/>
          <w:bCs/>
          <w:szCs w:val="24"/>
        </w:rPr>
        <w:t>,</w:t>
      </w:r>
      <w:r w:rsidRPr="00B457F5">
        <w:rPr>
          <w:rFonts w:ascii="Garamond" w:eastAsia="Times New Roman" w:hAnsi="Garamond" w:cs="Times New Roman"/>
          <w:bCs/>
          <w:szCs w:val="24"/>
        </w:rPr>
        <w:t xml:space="preserve"> dhe </w:t>
      </w:r>
      <w:r w:rsidR="00F248F9" w:rsidRPr="00B457F5">
        <w:rPr>
          <w:rFonts w:ascii="Garamond" w:eastAsia="Times New Roman" w:hAnsi="Garamond" w:cs="Times New Roman"/>
          <w:bCs/>
          <w:szCs w:val="24"/>
        </w:rPr>
        <w:t xml:space="preserve">lejojnë </w:t>
      </w:r>
      <w:r w:rsidRPr="00B457F5">
        <w:rPr>
          <w:rFonts w:ascii="Garamond" w:eastAsia="Times New Roman" w:hAnsi="Garamond" w:cs="Times New Roman"/>
          <w:bCs/>
          <w:szCs w:val="24"/>
        </w:rPr>
        <w:t>pajisje</w:t>
      </w:r>
      <w:r w:rsidR="00F248F9" w:rsidRPr="00B457F5">
        <w:rPr>
          <w:rFonts w:ascii="Garamond" w:eastAsia="Times New Roman" w:hAnsi="Garamond" w:cs="Times New Roman"/>
          <w:bCs/>
          <w:szCs w:val="24"/>
        </w:rPr>
        <w:t>n</w:t>
      </w:r>
      <w:r w:rsidRPr="00B457F5">
        <w:rPr>
          <w:rFonts w:ascii="Garamond" w:eastAsia="Times New Roman" w:hAnsi="Garamond" w:cs="Times New Roman"/>
          <w:bCs/>
          <w:szCs w:val="24"/>
        </w:rPr>
        <w:t xml:space="preserve"> me leje qëndrimi apo leje unike në Shqipëri.</w:t>
      </w:r>
    </w:p>
    <w:p w14:paraId="60F5899A" w14:textId="1EB33963" w:rsidR="00FF4096" w:rsidRPr="00B457F5" w:rsidRDefault="00FF4096" w:rsidP="002E693B">
      <w:pPr>
        <w:widowControl w:val="0"/>
        <w:autoSpaceDE w:val="0"/>
        <w:autoSpaceDN w:val="0"/>
        <w:spacing w:before="0" w:after="0"/>
        <w:ind w:firstLine="284"/>
        <w:rPr>
          <w:rFonts w:ascii="Garamond" w:eastAsia="Times New Roman" w:hAnsi="Garamond" w:cs="Times New Roman"/>
          <w:bCs/>
          <w:szCs w:val="24"/>
        </w:rPr>
      </w:pPr>
      <w:r w:rsidRPr="00B457F5">
        <w:rPr>
          <w:rFonts w:ascii="Garamond" w:eastAsia="Times New Roman" w:hAnsi="Garamond" w:cs="Times New Roman"/>
          <w:bCs/>
          <w:szCs w:val="24"/>
        </w:rPr>
        <w:t>Vendimi nr. 857, datë 29.12.2021</w:t>
      </w:r>
      <w:r w:rsidR="00E71B95" w:rsidRPr="00B457F5">
        <w:rPr>
          <w:rFonts w:ascii="Garamond" w:eastAsia="Times New Roman" w:hAnsi="Garamond" w:cs="Times New Roman"/>
          <w:bCs/>
          <w:szCs w:val="24"/>
        </w:rPr>
        <w:t>,</w:t>
      </w:r>
      <w:r w:rsidRPr="00B457F5">
        <w:rPr>
          <w:rFonts w:ascii="Garamond" w:eastAsia="Times New Roman" w:hAnsi="Garamond" w:cs="Times New Roman"/>
          <w:b/>
          <w:bCs/>
          <w:szCs w:val="24"/>
        </w:rPr>
        <w:t xml:space="preserve"> </w:t>
      </w:r>
      <w:r w:rsidRPr="00B457F5">
        <w:rPr>
          <w:rFonts w:ascii="Garamond" w:eastAsia="Times New Roman" w:hAnsi="Garamond" w:cs="Times New Roman"/>
          <w:bCs/>
          <w:szCs w:val="24"/>
        </w:rPr>
        <w:t xml:space="preserve">si një bashkëpropozim i ministrive përgjegjëse për të dhënat e migracionit në vend, </w:t>
      </w:r>
      <w:r w:rsidR="008F1D2B" w:rsidRPr="00B457F5">
        <w:rPr>
          <w:rFonts w:ascii="Garamond" w:eastAsia="Times New Roman" w:hAnsi="Garamond" w:cs="Times New Roman"/>
          <w:bCs/>
          <w:szCs w:val="24"/>
        </w:rPr>
        <w:t>përkatësisht</w:t>
      </w:r>
      <w:r w:rsidRPr="00B457F5">
        <w:rPr>
          <w:rFonts w:ascii="Garamond" w:eastAsia="Times New Roman" w:hAnsi="Garamond" w:cs="Times New Roman"/>
          <w:bCs/>
          <w:szCs w:val="24"/>
        </w:rPr>
        <w:t xml:space="preserve"> Ministrisë së Brendshme, Ministrisë për Evropën dhe Punët e Jashtme dhe Ministrisë së Financave dhe Ekonomisë</w:t>
      </w:r>
      <w:r w:rsidR="008F1D2B" w:rsidRPr="00B457F5">
        <w:rPr>
          <w:rFonts w:ascii="Garamond" w:eastAsia="Times New Roman" w:hAnsi="Garamond" w:cs="Times New Roman"/>
          <w:bCs/>
          <w:szCs w:val="24"/>
        </w:rPr>
        <w:t>,</w:t>
      </w:r>
      <w:r w:rsidRPr="00B457F5">
        <w:rPr>
          <w:rFonts w:ascii="Garamond" w:eastAsia="Times New Roman" w:hAnsi="Garamond" w:cs="Times New Roman"/>
          <w:bCs/>
          <w:szCs w:val="24"/>
        </w:rPr>
        <w:t xml:space="preserve"> miratoi ngritjen dhe funksionimin e Regjistrit Elektronik Kombëtar për të Huajt (REKH) në Republikën e Shqipërisë, si baza kryesore shtetërore që do të administrojë, mbledhë dhe përditësojë të dhënat për shtetasit e huaj. Konkretisht, nëpërmjet moduleve përkatëse ky regjistër do të përmbajë të dhëna lidhur me shtetasit e huaj të pajisur me vizë, me leje qëndrimi dhe leje unike, sipas parashikimeve ligjore të sipërcituara, si dhe </w:t>
      </w:r>
      <w:r w:rsidR="005E6782" w:rsidRPr="00B457F5">
        <w:rPr>
          <w:rFonts w:ascii="Garamond" w:eastAsia="Times New Roman" w:hAnsi="Garamond" w:cs="Times New Roman"/>
          <w:bCs/>
          <w:szCs w:val="24"/>
        </w:rPr>
        <w:t xml:space="preserve">për personat me qëndrim </w:t>
      </w:r>
      <w:r w:rsidRPr="00B457F5">
        <w:rPr>
          <w:rFonts w:ascii="Garamond" w:eastAsia="Times New Roman" w:hAnsi="Garamond" w:cs="Times New Roman"/>
          <w:bCs/>
          <w:szCs w:val="24"/>
        </w:rPr>
        <w:t>të parregullt në territorin e Republikës së Shqipërisë.</w:t>
      </w:r>
    </w:p>
    <w:p w14:paraId="6AE7A411" w14:textId="2EE59814" w:rsidR="00FF4096" w:rsidRPr="00B457F5" w:rsidRDefault="00FF4096" w:rsidP="002E693B">
      <w:pPr>
        <w:widowControl w:val="0"/>
        <w:autoSpaceDE w:val="0"/>
        <w:autoSpaceDN w:val="0"/>
        <w:spacing w:before="0" w:after="0"/>
        <w:ind w:firstLine="284"/>
        <w:rPr>
          <w:rFonts w:ascii="Garamond" w:eastAsia="Times New Roman" w:hAnsi="Garamond" w:cs="Times New Roman"/>
          <w:bCs/>
          <w:szCs w:val="24"/>
        </w:rPr>
      </w:pPr>
      <w:r w:rsidRPr="00B457F5">
        <w:rPr>
          <w:rFonts w:ascii="Garamond" w:eastAsia="Times New Roman" w:hAnsi="Garamond" w:cs="Times New Roman"/>
          <w:bCs/>
          <w:szCs w:val="24"/>
        </w:rPr>
        <w:t>Trajtimi i të huajve të parregullt në Republikën e Shqipërisë, si dhe procedurat për sigurimin e as</w:t>
      </w:r>
      <w:r w:rsidR="00A313AE" w:rsidRPr="00B457F5">
        <w:rPr>
          <w:rFonts w:ascii="Garamond" w:eastAsia="Times New Roman" w:hAnsi="Garamond" w:cs="Times New Roman"/>
          <w:bCs/>
          <w:szCs w:val="24"/>
        </w:rPr>
        <w:t>is</w:t>
      </w:r>
      <w:r w:rsidRPr="00B457F5">
        <w:rPr>
          <w:rFonts w:ascii="Garamond" w:eastAsia="Times New Roman" w:hAnsi="Garamond" w:cs="Times New Roman"/>
          <w:bCs/>
          <w:szCs w:val="24"/>
        </w:rPr>
        <w:t xml:space="preserve">tencës në transit, procedurat </w:t>
      </w:r>
      <w:r w:rsidR="005B5DE4" w:rsidRPr="00B457F5">
        <w:rPr>
          <w:rFonts w:ascii="Garamond" w:eastAsia="Times New Roman" w:hAnsi="Garamond" w:cs="Times New Roman"/>
          <w:bCs/>
          <w:szCs w:val="24"/>
        </w:rPr>
        <w:t>e</w:t>
      </w:r>
      <w:r w:rsidRPr="00B457F5">
        <w:rPr>
          <w:rFonts w:ascii="Garamond" w:eastAsia="Times New Roman" w:hAnsi="Garamond" w:cs="Times New Roman"/>
          <w:bCs/>
          <w:szCs w:val="24"/>
        </w:rPr>
        <w:t xml:space="preserve"> kthimi</w:t>
      </w:r>
      <w:r w:rsidR="005B5DE4" w:rsidRPr="00B457F5">
        <w:rPr>
          <w:rFonts w:ascii="Garamond" w:eastAsia="Times New Roman" w:hAnsi="Garamond" w:cs="Times New Roman"/>
          <w:bCs/>
          <w:szCs w:val="24"/>
        </w:rPr>
        <w:t>t</w:t>
      </w:r>
      <w:r w:rsidRPr="00B457F5">
        <w:rPr>
          <w:rFonts w:ascii="Garamond" w:eastAsia="Times New Roman" w:hAnsi="Garamond" w:cs="Times New Roman"/>
          <w:bCs/>
          <w:szCs w:val="24"/>
        </w:rPr>
        <w:t xml:space="preserve"> apo organizimin e operacioneve të përbashkëta të kthimit në rrugë ajrore, </w:t>
      </w:r>
      <w:r w:rsidR="00711005" w:rsidRPr="00B457F5">
        <w:rPr>
          <w:rFonts w:ascii="Garamond" w:eastAsia="Times New Roman" w:hAnsi="Garamond" w:cs="Times New Roman"/>
          <w:bCs/>
          <w:szCs w:val="24"/>
        </w:rPr>
        <w:t>trajtohen në</w:t>
      </w:r>
      <w:r w:rsidRPr="00B457F5">
        <w:rPr>
          <w:rFonts w:ascii="Garamond" w:eastAsia="Times New Roman" w:hAnsi="Garamond" w:cs="Times New Roman"/>
          <w:bCs/>
          <w:szCs w:val="24"/>
        </w:rPr>
        <w:t xml:space="preserve"> udhëzime</w:t>
      </w:r>
      <w:r w:rsidR="00711005" w:rsidRPr="00B457F5">
        <w:rPr>
          <w:rFonts w:ascii="Garamond" w:eastAsia="Times New Roman" w:hAnsi="Garamond" w:cs="Times New Roman"/>
          <w:bCs/>
          <w:szCs w:val="24"/>
        </w:rPr>
        <w:t>t e</w:t>
      </w:r>
      <w:r w:rsidRPr="00B457F5">
        <w:rPr>
          <w:rFonts w:ascii="Garamond" w:eastAsia="Times New Roman" w:hAnsi="Garamond" w:cs="Times New Roman"/>
          <w:bCs/>
          <w:szCs w:val="24"/>
        </w:rPr>
        <w:t xml:space="preserve"> </w:t>
      </w:r>
      <w:r w:rsidR="00C91636" w:rsidRPr="00B457F5">
        <w:rPr>
          <w:rFonts w:ascii="Garamond" w:eastAsia="Times New Roman" w:hAnsi="Garamond" w:cs="Times New Roman"/>
          <w:bCs/>
          <w:szCs w:val="24"/>
        </w:rPr>
        <w:t>m</w:t>
      </w:r>
      <w:r w:rsidRPr="00B457F5">
        <w:rPr>
          <w:rFonts w:ascii="Garamond" w:eastAsia="Times New Roman" w:hAnsi="Garamond" w:cs="Times New Roman"/>
          <w:bCs/>
          <w:szCs w:val="24"/>
        </w:rPr>
        <w:t xml:space="preserve">inistrit të Brendshëm dhe </w:t>
      </w:r>
      <w:r w:rsidR="00C91636" w:rsidRPr="00B457F5">
        <w:rPr>
          <w:rFonts w:ascii="Garamond" w:eastAsia="Times New Roman" w:hAnsi="Garamond" w:cs="Times New Roman"/>
          <w:bCs/>
          <w:szCs w:val="24"/>
        </w:rPr>
        <w:t>të m</w:t>
      </w:r>
      <w:r w:rsidRPr="00B457F5">
        <w:rPr>
          <w:rFonts w:ascii="Garamond" w:eastAsia="Times New Roman" w:hAnsi="Garamond" w:cs="Times New Roman"/>
          <w:bCs/>
          <w:szCs w:val="24"/>
        </w:rPr>
        <w:t xml:space="preserve">inistrit për Evropën dhe Punët e Jashtme, duke u bazuar në </w:t>
      </w:r>
      <w:r w:rsidR="00C91636" w:rsidRPr="00B457F5">
        <w:rPr>
          <w:rFonts w:ascii="Garamond" w:eastAsia="Times New Roman" w:hAnsi="Garamond" w:cs="Times New Roman"/>
          <w:bCs/>
          <w:szCs w:val="24"/>
        </w:rPr>
        <w:t>d</w:t>
      </w:r>
      <w:r w:rsidRPr="00B457F5">
        <w:rPr>
          <w:rFonts w:ascii="Garamond" w:eastAsia="Times New Roman" w:hAnsi="Garamond" w:cs="Times New Roman"/>
          <w:bCs/>
          <w:szCs w:val="24"/>
        </w:rPr>
        <w:t>irektivat përkatëse komunitare.</w:t>
      </w:r>
    </w:p>
    <w:p w14:paraId="0BE218FE" w14:textId="6EE4F600" w:rsidR="00FF4096" w:rsidRPr="00B457F5" w:rsidRDefault="00FF4096" w:rsidP="002E693B">
      <w:pPr>
        <w:widowControl w:val="0"/>
        <w:autoSpaceDE w:val="0"/>
        <w:autoSpaceDN w:val="0"/>
        <w:spacing w:before="0" w:after="0"/>
        <w:ind w:firstLine="284"/>
        <w:rPr>
          <w:rFonts w:ascii="Garamond" w:eastAsia="Times New Roman" w:hAnsi="Garamond" w:cs="Times New Roman"/>
          <w:bCs/>
          <w:szCs w:val="24"/>
        </w:rPr>
      </w:pPr>
      <w:r w:rsidRPr="00B457F5">
        <w:rPr>
          <w:rFonts w:ascii="Garamond" w:eastAsia="Times New Roman" w:hAnsi="Garamond" w:cs="Times New Roman"/>
          <w:bCs/>
          <w:szCs w:val="24"/>
        </w:rPr>
        <w:t xml:space="preserve">Gjithashtu, janë miratuar dhe </w:t>
      </w:r>
      <w:r w:rsidR="00641628" w:rsidRPr="00B457F5">
        <w:rPr>
          <w:rFonts w:ascii="Garamond" w:eastAsia="Times New Roman" w:hAnsi="Garamond" w:cs="Times New Roman"/>
          <w:bCs/>
          <w:szCs w:val="24"/>
        </w:rPr>
        <w:t>shumë</w:t>
      </w:r>
      <w:r w:rsidRPr="00B457F5">
        <w:rPr>
          <w:rFonts w:ascii="Garamond" w:eastAsia="Times New Roman" w:hAnsi="Garamond" w:cs="Times New Roman"/>
          <w:bCs/>
          <w:szCs w:val="24"/>
        </w:rPr>
        <w:t xml:space="preserve"> akte të tjera nënligjore, të cila rregullojnë bashkëpunimin e strukturave përkatëse për migracionin apo përcaktojnë dispozita </w:t>
      </w:r>
      <w:r w:rsidR="00C91636" w:rsidRPr="00B457F5">
        <w:rPr>
          <w:rFonts w:ascii="Garamond" w:eastAsia="Times New Roman" w:hAnsi="Garamond" w:cs="Times New Roman"/>
          <w:bCs/>
          <w:szCs w:val="24"/>
        </w:rPr>
        <w:t>rregullatorë,</w:t>
      </w:r>
      <w:r w:rsidR="00CC4CBF" w:rsidRPr="00B457F5">
        <w:rPr>
          <w:rFonts w:ascii="Garamond" w:eastAsia="Times New Roman" w:hAnsi="Garamond" w:cs="Times New Roman"/>
          <w:bCs/>
          <w:szCs w:val="24"/>
        </w:rPr>
        <w:t xml:space="preserve"> </w:t>
      </w:r>
      <w:r w:rsidRPr="00B457F5">
        <w:rPr>
          <w:rFonts w:ascii="Garamond" w:eastAsia="Times New Roman" w:hAnsi="Garamond" w:cs="Times New Roman"/>
          <w:bCs/>
          <w:szCs w:val="24"/>
        </w:rPr>
        <w:t>lidhur me procedurën e zgjatjes së afatit të qëndrimit, regjistrimit të të huajit në autoritetin përgjegjës vendor për kufirin dhe migracionin, pajisjes me ftesë paraprake, përcaktimit të vlerës së investimit për pajisjen me leje unike për investitor</w:t>
      </w:r>
      <w:r w:rsidR="00CC4CBF" w:rsidRPr="00B457F5">
        <w:rPr>
          <w:rFonts w:ascii="Garamond" w:eastAsia="Times New Roman" w:hAnsi="Garamond" w:cs="Times New Roman"/>
          <w:bCs/>
          <w:szCs w:val="24"/>
        </w:rPr>
        <w:t>ët</w:t>
      </w:r>
      <w:r w:rsidRPr="00B457F5">
        <w:rPr>
          <w:rFonts w:ascii="Garamond" w:eastAsia="Times New Roman" w:hAnsi="Garamond" w:cs="Times New Roman"/>
          <w:bCs/>
          <w:szCs w:val="24"/>
        </w:rPr>
        <w:t xml:space="preserve">, për miratimin e lejes unike, si dhe format e </w:t>
      </w:r>
      <w:r w:rsidR="00A313AE" w:rsidRPr="00B457F5">
        <w:rPr>
          <w:rFonts w:ascii="Garamond" w:eastAsia="Times New Roman" w:hAnsi="Garamond" w:cs="Times New Roman"/>
          <w:bCs/>
          <w:szCs w:val="24"/>
        </w:rPr>
        <w:t>dokumenteve</w:t>
      </w:r>
      <w:r w:rsidRPr="00B457F5">
        <w:rPr>
          <w:rFonts w:ascii="Garamond" w:eastAsia="Times New Roman" w:hAnsi="Garamond" w:cs="Times New Roman"/>
          <w:bCs/>
          <w:szCs w:val="24"/>
        </w:rPr>
        <w:t xml:space="preserve"> të ndryshme për të huajt, në rast humbje</w:t>
      </w:r>
      <w:r w:rsidR="00C91636" w:rsidRPr="00B457F5">
        <w:rPr>
          <w:rFonts w:ascii="Garamond" w:eastAsia="Times New Roman" w:hAnsi="Garamond" w:cs="Times New Roman"/>
          <w:bCs/>
          <w:szCs w:val="24"/>
        </w:rPr>
        <w:t>je</w:t>
      </w:r>
      <w:r w:rsidRPr="00B457F5">
        <w:rPr>
          <w:rFonts w:ascii="Garamond" w:eastAsia="Times New Roman" w:hAnsi="Garamond" w:cs="Times New Roman"/>
          <w:bCs/>
          <w:szCs w:val="24"/>
        </w:rPr>
        <w:t xml:space="preserve"> apo dëmtimi të tyre.</w:t>
      </w:r>
    </w:p>
    <w:p w14:paraId="2E506058" w14:textId="4D8A4EA0" w:rsidR="00FF4096" w:rsidRPr="00B457F5" w:rsidRDefault="00FF4096" w:rsidP="002E693B">
      <w:pPr>
        <w:widowControl w:val="0"/>
        <w:autoSpaceDE w:val="0"/>
        <w:autoSpaceDN w:val="0"/>
        <w:spacing w:before="0" w:after="0"/>
        <w:ind w:firstLine="284"/>
        <w:rPr>
          <w:rFonts w:ascii="Garamond" w:eastAsia="Times New Roman" w:hAnsi="Garamond" w:cs="Times New Roman"/>
          <w:bCs/>
          <w:szCs w:val="24"/>
        </w:rPr>
      </w:pPr>
      <w:r w:rsidRPr="00B457F5">
        <w:rPr>
          <w:rFonts w:ascii="Garamond" w:eastAsia="Times New Roman" w:hAnsi="Garamond" w:cs="Times New Roman"/>
          <w:bCs/>
          <w:szCs w:val="24"/>
        </w:rPr>
        <w:t xml:space="preserve">Edhe </w:t>
      </w:r>
      <w:r w:rsidR="00A313AE" w:rsidRPr="00B457F5">
        <w:rPr>
          <w:rFonts w:ascii="Garamond" w:eastAsia="Times New Roman" w:hAnsi="Garamond" w:cs="Times New Roman"/>
          <w:bCs/>
          <w:szCs w:val="24"/>
        </w:rPr>
        <w:t>l</w:t>
      </w:r>
      <w:r w:rsidRPr="00B457F5">
        <w:rPr>
          <w:rFonts w:ascii="Garamond" w:eastAsia="Times New Roman" w:hAnsi="Garamond" w:cs="Times New Roman"/>
          <w:bCs/>
          <w:szCs w:val="24"/>
        </w:rPr>
        <w:t xml:space="preserve">igji </w:t>
      </w:r>
      <w:r w:rsidR="001779F2" w:rsidRPr="00B457F5">
        <w:rPr>
          <w:rFonts w:ascii="Garamond" w:eastAsia="Times New Roman" w:hAnsi="Garamond" w:cs="Times New Roman"/>
          <w:bCs/>
          <w:szCs w:val="24"/>
        </w:rPr>
        <w:t>n</w:t>
      </w:r>
      <w:r w:rsidR="006B2F8E" w:rsidRPr="00B457F5">
        <w:rPr>
          <w:rFonts w:ascii="Garamond" w:eastAsia="Times New Roman" w:hAnsi="Garamond" w:cs="Times New Roman"/>
          <w:bCs/>
          <w:szCs w:val="24"/>
        </w:rPr>
        <w:t>r.</w:t>
      </w:r>
      <w:r w:rsidR="00A313AE" w:rsidRPr="00B457F5">
        <w:rPr>
          <w:rFonts w:ascii="Garamond" w:eastAsia="Times New Roman" w:hAnsi="Garamond" w:cs="Times New Roman"/>
          <w:bCs/>
          <w:szCs w:val="24"/>
        </w:rPr>
        <w:t xml:space="preserve"> </w:t>
      </w:r>
      <w:r w:rsidR="006B2F8E" w:rsidRPr="00B457F5">
        <w:rPr>
          <w:rFonts w:ascii="Garamond" w:eastAsia="Times New Roman" w:hAnsi="Garamond" w:cs="Times New Roman"/>
          <w:bCs/>
          <w:szCs w:val="24"/>
        </w:rPr>
        <w:t>10 2021</w:t>
      </w:r>
      <w:r w:rsidR="00A313AE" w:rsidRPr="00B457F5">
        <w:rPr>
          <w:rFonts w:ascii="Garamond" w:eastAsia="Times New Roman" w:hAnsi="Garamond" w:cs="Times New Roman"/>
          <w:bCs/>
          <w:szCs w:val="24"/>
        </w:rPr>
        <w:t>,</w:t>
      </w:r>
      <w:r w:rsidR="006B2F8E" w:rsidRPr="00B457F5">
        <w:rPr>
          <w:rFonts w:ascii="Garamond" w:eastAsia="Times New Roman" w:hAnsi="Garamond" w:cs="Times New Roman"/>
          <w:bCs/>
          <w:szCs w:val="24"/>
        </w:rPr>
        <w:t xml:space="preserve"> </w:t>
      </w:r>
      <w:r w:rsidR="00A313AE" w:rsidRPr="00B457F5">
        <w:rPr>
          <w:rFonts w:ascii="Garamond" w:eastAsia="Times New Roman" w:hAnsi="Garamond" w:cs="Times New Roman"/>
          <w:bCs/>
          <w:szCs w:val="24"/>
        </w:rPr>
        <w:t>“</w:t>
      </w:r>
      <w:r w:rsidRPr="00B457F5">
        <w:rPr>
          <w:rFonts w:ascii="Garamond" w:eastAsia="Times New Roman" w:hAnsi="Garamond" w:cs="Times New Roman"/>
          <w:bCs/>
          <w:szCs w:val="24"/>
        </w:rPr>
        <w:t>Për</w:t>
      </w:r>
      <w:r w:rsidR="006C7448" w:rsidRPr="00B457F5">
        <w:rPr>
          <w:rFonts w:ascii="Garamond" w:eastAsia="Times New Roman" w:hAnsi="Garamond" w:cs="Times New Roman"/>
          <w:bCs/>
          <w:szCs w:val="24"/>
        </w:rPr>
        <w:t xml:space="preserve"> </w:t>
      </w:r>
      <w:r w:rsidR="00A313AE" w:rsidRPr="00B457F5">
        <w:rPr>
          <w:rFonts w:ascii="Garamond" w:eastAsia="Times New Roman" w:hAnsi="Garamond" w:cs="Times New Roman"/>
          <w:bCs/>
          <w:szCs w:val="24"/>
        </w:rPr>
        <w:t>a</w:t>
      </w:r>
      <w:r w:rsidRPr="00B457F5">
        <w:rPr>
          <w:rFonts w:ascii="Garamond" w:eastAsia="Times New Roman" w:hAnsi="Garamond" w:cs="Times New Roman"/>
          <w:bCs/>
          <w:szCs w:val="24"/>
        </w:rPr>
        <w:t>zilin në RSH</w:t>
      </w:r>
      <w:r w:rsidR="00A313AE" w:rsidRPr="00B457F5">
        <w:rPr>
          <w:rFonts w:ascii="Garamond" w:eastAsia="Times New Roman" w:hAnsi="Garamond" w:cs="Times New Roman"/>
          <w:bCs/>
          <w:szCs w:val="24"/>
        </w:rPr>
        <w:t>”</w:t>
      </w:r>
      <w:r w:rsidRPr="00B457F5">
        <w:rPr>
          <w:rFonts w:ascii="Garamond" w:eastAsia="Times New Roman" w:hAnsi="Garamond" w:cs="Times New Roman"/>
          <w:bCs/>
          <w:szCs w:val="24"/>
        </w:rPr>
        <w:t xml:space="preserve">, si një akt ligjor i përafruar me </w:t>
      </w:r>
      <w:r w:rsidR="00BA662A" w:rsidRPr="00B457F5">
        <w:rPr>
          <w:rFonts w:ascii="Garamond" w:eastAsia="Times New Roman" w:hAnsi="Garamond" w:cs="Times New Roman"/>
          <w:bCs/>
          <w:szCs w:val="24"/>
        </w:rPr>
        <w:t>Sistemin e Përbashkët Evropian të Azilit</w:t>
      </w:r>
      <w:r w:rsidRPr="00B457F5">
        <w:rPr>
          <w:rFonts w:ascii="Garamond" w:eastAsia="Times New Roman" w:hAnsi="Garamond" w:cs="Times New Roman"/>
          <w:bCs/>
          <w:szCs w:val="24"/>
        </w:rPr>
        <w:t xml:space="preserve"> apo konventat ndërkombëtare, në dispozitat e tij parashikon si të drejtë themelore të drejtën për azil</w:t>
      </w:r>
      <w:r w:rsidR="00C91636" w:rsidRPr="00B457F5">
        <w:rPr>
          <w:rFonts w:ascii="Garamond" w:eastAsia="Times New Roman" w:hAnsi="Garamond" w:cs="Times New Roman"/>
          <w:bCs/>
          <w:szCs w:val="24"/>
        </w:rPr>
        <w:t>,</w:t>
      </w:r>
      <w:r w:rsidRPr="00B457F5">
        <w:rPr>
          <w:rFonts w:ascii="Garamond" w:eastAsia="Times New Roman" w:hAnsi="Garamond" w:cs="Times New Roman"/>
          <w:bCs/>
          <w:szCs w:val="24"/>
        </w:rPr>
        <w:t xml:space="preserve"> për të gjithë shtetasit e huaj ose personat pa shtetësi, të cilët ndodhen jashtë territorit të vendbanimit të tyre, por për arsye objektive si</w:t>
      </w:r>
      <w:r w:rsidR="00C91636" w:rsidRPr="00B457F5">
        <w:rPr>
          <w:rFonts w:ascii="Garamond" w:eastAsia="Times New Roman" w:hAnsi="Garamond" w:cs="Times New Roman"/>
          <w:bCs/>
          <w:szCs w:val="24"/>
        </w:rPr>
        <w:t>:</w:t>
      </w:r>
      <w:r w:rsidRPr="00B457F5">
        <w:rPr>
          <w:rFonts w:ascii="Garamond" w:eastAsia="Times New Roman" w:hAnsi="Garamond" w:cs="Times New Roman"/>
          <w:bCs/>
          <w:szCs w:val="24"/>
        </w:rPr>
        <w:t xml:space="preserve"> frika e persekutimit për shkak të racës, besimit fetar, kombësisë, anëtarësisë në</w:t>
      </w:r>
      <w:r w:rsidR="00E71B95" w:rsidRPr="00B457F5">
        <w:rPr>
          <w:rFonts w:ascii="Garamond" w:eastAsia="Times New Roman" w:hAnsi="Garamond" w:cs="Times New Roman"/>
          <w:bCs/>
          <w:szCs w:val="24"/>
        </w:rPr>
        <w:t xml:space="preserve"> një grup të caktuar apo të bin</w:t>
      </w:r>
      <w:r w:rsidRPr="00B457F5">
        <w:rPr>
          <w:rFonts w:ascii="Garamond" w:eastAsia="Times New Roman" w:hAnsi="Garamond" w:cs="Times New Roman"/>
          <w:bCs/>
          <w:szCs w:val="24"/>
        </w:rPr>
        <w:t>d</w:t>
      </w:r>
      <w:r w:rsidR="00E71B95" w:rsidRPr="00B457F5">
        <w:rPr>
          <w:rFonts w:ascii="Garamond" w:eastAsia="Times New Roman" w:hAnsi="Garamond" w:cs="Times New Roman"/>
          <w:bCs/>
          <w:szCs w:val="24"/>
        </w:rPr>
        <w:t>j</w:t>
      </w:r>
      <w:r w:rsidRPr="00B457F5">
        <w:rPr>
          <w:rFonts w:ascii="Garamond" w:eastAsia="Times New Roman" w:hAnsi="Garamond" w:cs="Times New Roman"/>
          <w:bCs/>
          <w:szCs w:val="24"/>
        </w:rPr>
        <w:t>es politike, nuk kërkojnë mbrojtjen e atij vendi.</w:t>
      </w:r>
    </w:p>
    <w:p w14:paraId="249C3FC1" w14:textId="64626868" w:rsidR="00FF4096" w:rsidRPr="00B457F5" w:rsidRDefault="00FF4096" w:rsidP="002E693B">
      <w:pPr>
        <w:widowControl w:val="0"/>
        <w:autoSpaceDE w:val="0"/>
        <w:autoSpaceDN w:val="0"/>
        <w:spacing w:before="0" w:after="0"/>
        <w:ind w:firstLine="284"/>
        <w:rPr>
          <w:rFonts w:ascii="Garamond" w:eastAsia="Times New Roman" w:hAnsi="Garamond" w:cs="Times New Roman"/>
          <w:bCs/>
          <w:szCs w:val="24"/>
        </w:rPr>
      </w:pPr>
      <w:r w:rsidRPr="00B457F5">
        <w:rPr>
          <w:rFonts w:ascii="Garamond" w:eastAsia="Times New Roman" w:hAnsi="Garamond" w:cs="Times New Roman"/>
          <w:bCs/>
          <w:szCs w:val="24"/>
        </w:rPr>
        <w:t xml:space="preserve">Ndër parimet kryesore ku bazohet ky ligj, diktuar dhe nga Konventa e Gjenevës, vlen të përmendet parimi i moskthimit, ndërkohë që respektimi i të drejtave dhe lirive themelore të sanksionuara dhe nga konventat e tjera ndërkombëtare, ndalimi i dëbimit, e drejta për lirinë nga tortura dhe trajtimi mizor, çnjerëzor dhe degradues, e drejta e procedurave dhe garancive ligjore për ndihmën juridike falas nga shteti, e drejta për kushtet minimale të jetesës, për kujdes shëndetësor, për arsimim, për punësim dhe trajnime profesionale, e drejta për bashkim familjar, për të pasur një përkthyes, apo dhe </w:t>
      </w:r>
      <w:r w:rsidRPr="00B457F5">
        <w:rPr>
          <w:rFonts w:ascii="Garamond" w:eastAsia="Times New Roman" w:hAnsi="Garamond" w:cs="Times New Roman"/>
          <w:bCs/>
          <w:szCs w:val="24"/>
        </w:rPr>
        <w:lastRenderedPageBreak/>
        <w:t xml:space="preserve">e drejta e ankimimit, mbeten kryefjala e këtij </w:t>
      </w:r>
      <w:r w:rsidR="006E380C" w:rsidRPr="00B457F5">
        <w:rPr>
          <w:rFonts w:ascii="Garamond" w:eastAsia="Times New Roman" w:hAnsi="Garamond" w:cs="Times New Roman"/>
          <w:bCs/>
          <w:szCs w:val="24"/>
        </w:rPr>
        <w:t>ligji</w:t>
      </w:r>
      <w:r w:rsidRPr="00B457F5">
        <w:rPr>
          <w:rFonts w:ascii="Garamond" w:eastAsia="Times New Roman" w:hAnsi="Garamond" w:cs="Times New Roman"/>
          <w:bCs/>
          <w:szCs w:val="24"/>
        </w:rPr>
        <w:t>.</w:t>
      </w:r>
    </w:p>
    <w:p w14:paraId="42431E8F" w14:textId="6DDED02C" w:rsidR="00FF4096" w:rsidRPr="00B457F5" w:rsidRDefault="00FF4096" w:rsidP="002E693B">
      <w:pPr>
        <w:widowControl w:val="0"/>
        <w:autoSpaceDE w:val="0"/>
        <w:autoSpaceDN w:val="0"/>
        <w:spacing w:before="0" w:after="0"/>
        <w:ind w:firstLine="284"/>
        <w:rPr>
          <w:rFonts w:ascii="Garamond" w:eastAsia="Times New Roman" w:hAnsi="Garamond" w:cs="Times New Roman"/>
          <w:bCs/>
          <w:szCs w:val="24"/>
        </w:rPr>
      </w:pPr>
      <w:r w:rsidRPr="00B457F5">
        <w:rPr>
          <w:rFonts w:ascii="Garamond" w:eastAsia="Times New Roman" w:hAnsi="Garamond" w:cs="Times New Roman"/>
          <w:bCs/>
          <w:szCs w:val="24"/>
        </w:rPr>
        <w:t>Respektimi i të drejtave të punëtorëve migrantë sigurohet jo vetëm nëpërmjet kuadrit ligjor ndërkombëtar dhe kombëtar, por edhe nëpërmjet veprimtarisë së të gjith</w:t>
      </w:r>
      <w:r w:rsidR="00C91636" w:rsidRPr="00B457F5">
        <w:rPr>
          <w:rFonts w:ascii="Garamond" w:eastAsia="Times New Roman" w:hAnsi="Garamond" w:cs="Times New Roman"/>
          <w:bCs/>
          <w:szCs w:val="24"/>
        </w:rPr>
        <w:t>ë</w:t>
      </w:r>
      <w:r w:rsidRPr="00B457F5">
        <w:rPr>
          <w:rFonts w:ascii="Garamond" w:eastAsia="Times New Roman" w:hAnsi="Garamond" w:cs="Times New Roman"/>
          <w:bCs/>
          <w:szCs w:val="24"/>
        </w:rPr>
        <w:t xml:space="preserve"> institucioneve që </w:t>
      </w:r>
      <w:r w:rsidR="00305075" w:rsidRPr="00B457F5">
        <w:rPr>
          <w:rFonts w:ascii="Garamond" w:eastAsia="Times New Roman" w:hAnsi="Garamond" w:cs="Times New Roman"/>
          <w:bCs/>
          <w:szCs w:val="24"/>
        </w:rPr>
        <w:t xml:space="preserve">ushtrojnë aktivitetet e tyre </w:t>
      </w:r>
      <w:r w:rsidRPr="00B457F5">
        <w:rPr>
          <w:rFonts w:ascii="Garamond" w:eastAsia="Times New Roman" w:hAnsi="Garamond" w:cs="Times New Roman"/>
          <w:bCs/>
          <w:szCs w:val="24"/>
        </w:rPr>
        <w:t xml:space="preserve">në këtë fushë, organizatave të ndryshme </w:t>
      </w:r>
      <w:r w:rsidR="007167D2" w:rsidRPr="00B457F5">
        <w:rPr>
          <w:rFonts w:ascii="Garamond" w:eastAsia="Times New Roman" w:hAnsi="Garamond" w:cs="Times New Roman"/>
          <w:bCs/>
          <w:szCs w:val="24"/>
        </w:rPr>
        <w:t>jo</w:t>
      </w:r>
      <w:r w:rsidR="00A313AE" w:rsidRPr="00B457F5">
        <w:rPr>
          <w:rFonts w:ascii="Garamond" w:eastAsia="Times New Roman" w:hAnsi="Garamond" w:cs="Times New Roman"/>
          <w:bCs/>
          <w:szCs w:val="24"/>
        </w:rPr>
        <w:t>fitimprurëse</w:t>
      </w:r>
      <w:r w:rsidR="0006016F" w:rsidRPr="00B457F5">
        <w:rPr>
          <w:rFonts w:ascii="Garamond" w:eastAsia="Times New Roman" w:hAnsi="Garamond" w:cs="Times New Roman"/>
          <w:bCs/>
          <w:szCs w:val="24"/>
        </w:rPr>
        <w:t xml:space="preserve"> </w:t>
      </w:r>
      <w:r w:rsidRPr="00B457F5">
        <w:rPr>
          <w:rFonts w:ascii="Garamond" w:eastAsia="Times New Roman" w:hAnsi="Garamond" w:cs="Times New Roman"/>
          <w:bCs/>
          <w:szCs w:val="24"/>
        </w:rPr>
        <w:t>dhe OJ</w:t>
      </w:r>
      <w:r w:rsidR="007167D2" w:rsidRPr="00B457F5">
        <w:rPr>
          <w:rFonts w:ascii="Garamond" w:eastAsia="Times New Roman" w:hAnsi="Garamond" w:cs="Times New Roman"/>
          <w:bCs/>
          <w:szCs w:val="24"/>
        </w:rPr>
        <w:t>F</w:t>
      </w:r>
      <w:r w:rsidRPr="00B457F5">
        <w:rPr>
          <w:rFonts w:ascii="Garamond" w:eastAsia="Times New Roman" w:hAnsi="Garamond" w:cs="Times New Roman"/>
          <w:bCs/>
          <w:szCs w:val="24"/>
        </w:rPr>
        <w:t xml:space="preserve">-ve, apo organizatave ndërkombëtare që ndihmojnë Shqipërinë, si: Organizata Ndërkombëtare për Migracionin (IOM), Organizata Ndërkombëtare e Punës (ILO), Komisioneri i Lartë i Kombeve të Bashkuara për Refugjatët (UNHCR), Fondi i Kombeve të Bashkuara për Fëmijët (UNICEF). </w:t>
      </w:r>
      <w:r w:rsidR="007167D2" w:rsidRPr="00B457F5">
        <w:rPr>
          <w:rFonts w:ascii="Garamond" w:eastAsia="Times New Roman" w:hAnsi="Garamond" w:cs="Times New Roman"/>
          <w:bCs/>
          <w:szCs w:val="24"/>
        </w:rPr>
        <w:t>Po a</w:t>
      </w:r>
      <w:r w:rsidR="00B65AE1" w:rsidRPr="00B457F5">
        <w:rPr>
          <w:rFonts w:ascii="Garamond" w:eastAsia="Times New Roman" w:hAnsi="Garamond" w:cs="Times New Roman"/>
          <w:bCs/>
          <w:szCs w:val="24"/>
        </w:rPr>
        <w:t>shtu kontribut të vazhdueshë</w:t>
      </w:r>
      <w:r w:rsidR="007167D2" w:rsidRPr="00B457F5">
        <w:rPr>
          <w:rFonts w:ascii="Garamond" w:eastAsia="Times New Roman" w:hAnsi="Garamond" w:cs="Times New Roman"/>
          <w:bCs/>
          <w:szCs w:val="24"/>
        </w:rPr>
        <w:t>m</w:t>
      </w:r>
      <w:r w:rsidR="00B65AE1" w:rsidRPr="00B457F5">
        <w:rPr>
          <w:rFonts w:ascii="Garamond" w:eastAsia="Times New Roman" w:hAnsi="Garamond" w:cs="Times New Roman"/>
          <w:bCs/>
          <w:szCs w:val="24"/>
        </w:rPr>
        <w:t xml:space="preserve"> dhe të vlefshë</w:t>
      </w:r>
      <w:r w:rsidR="007167D2" w:rsidRPr="00B457F5">
        <w:rPr>
          <w:rFonts w:ascii="Garamond" w:eastAsia="Times New Roman" w:hAnsi="Garamond" w:cs="Times New Roman"/>
          <w:bCs/>
          <w:szCs w:val="24"/>
        </w:rPr>
        <w:t>m</w:t>
      </w:r>
      <w:r w:rsidR="00B65AE1" w:rsidRPr="00B457F5">
        <w:rPr>
          <w:rFonts w:ascii="Garamond" w:eastAsia="Times New Roman" w:hAnsi="Garamond" w:cs="Times New Roman"/>
          <w:bCs/>
          <w:szCs w:val="24"/>
        </w:rPr>
        <w:t xml:space="preserve"> pë</w:t>
      </w:r>
      <w:r w:rsidR="007167D2" w:rsidRPr="00B457F5">
        <w:rPr>
          <w:rFonts w:ascii="Garamond" w:eastAsia="Times New Roman" w:hAnsi="Garamond" w:cs="Times New Roman"/>
          <w:bCs/>
          <w:szCs w:val="24"/>
        </w:rPr>
        <w:t>r arr</w:t>
      </w:r>
      <w:r w:rsidR="00B65AE1" w:rsidRPr="00B457F5">
        <w:rPr>
          <w:rFonts w:ascii="Garamond" w:eastAsia="Times New Roman" w:hAnsi="Garamond" w:cs="Times New Roman"/>
          <w:bCs/>
          <w:szCs w:val="24"/>
        </w:rPr>
        <w:t xml:space="preserve">itjen e </w:t>
      </w:r>
      <w:r w:rsidR="00A313AE" w:rsidRPr="00B457F5">
        <w:rPr>
          <w:rFonts w:ascii="Garamond" w:eastAsia="Times New Roman" w:hAnsi="Garamond" w:cs="Times New Roman"/>
          <w:bCs/>
          <w:szCs w:val="24"/>
        </w:rPr>
        <w:t>standardeve</w:t>
      </w:r>
      <w:r w:rsidR="00B65AE1" w:rsidRPr="00B457F5">
        <w:rPr>
          <w:rFonts w:ascii="Garamond" w:eastAsia="Times New Roman" w:hAnsi="Garamond" w:cs="Times New Roman"/>
          <w:bCs/>
          <w:szCs w:val="24"/>
        </w:rPr>
        <w:t xml:space="preserve"> evropiane në</w:t>
      </w:r>
      <w:r w:rsidR="007167D2" w:rsidRPr="00B457F5">
        <w:rPr>
          <w:rFonts w:ascii="Garamond" w:eastAsia="Times New Roman" w:hAnsi="Garamond" w:cs="Times New Roman"/>
          <w:bCs/>
          <w:szCs w:val="24"/>
        </w:rPr>
        <w:t xml:space="preserve"> </w:t>
      </w:r>
      <w:r w:rsidR="00A313AE" w:rsidRPr="00B457F5">
        <w:rPr>
          <w:rFonts w:ascii="Garamond" w:eastAsia="Times New Roman" w:hAnsi="Garamond" w:cs="Times New Roman"/>
          <w:bCs/>
          <w:szCs w:val="24"/>
        </w:rPr>
        <w:t>politikat</w:t>
      </w:r>
      <w:r w:rsidR="007167D2" w:rsidRPr="00B457F5">
        <w:rPr>
          <w:rFonts w:ascii="Garamond" w:eastAsia="Times New Roman" w:hAnsi="Garamond" w:cs="Times New Roman"/>
          <w:bCs/>
          <w:szCs w:val="24"/>
        </w:rPr>
        <w:t xml:space="preserve"> migratore</w:t>
      </w:r>
      <w:r w:rsidR="00E71B95" w:rsidRPr="00B457F5">
        <w:rPr>
          <w:rFonts w:ascii="Garamond" w:eastAsia="Times New Roman" w:hAnsi="Garamond" w:cs="Times New Roman"/>
          <w:bCs/>
          <w:szCs w:val="24"/>
        </w:rPr>
        <w:t xml:space="preserve"> kanë </w:t>
      </w:r>
      <w:r w:rsidR="00C91636" w:rsidRPr="00B457F5">
        <w:rPr>
          <w:rFonts w:ascii="Garamond" w:eastAsia="Times New Roman" w:hAnsi="Garamond" w:cs="Times New Roman"/>
          <w:bCs/>
          <w:szCs w:val="24"/>
        </w:rPr>
        <w:t>agjencitë</w:t>
      </w:r>
      <w:r w:rsidR="00057BC9" w:rsidRPr="00B457F5">
        <w:rPr>
          <w:rFonts w:ascii="Garamond" w:eastAsia="Times New Roman" w:hAnsi="Garamond" w:cs="Times New Roman"/>
          <w:bCs/>
          <w:szCs w:val="24"/>
        </w:rPr>
        <w:t xml:space="preserve"> e Bashkimit Evropian</w:t>
      </w:r>
      <w:r w:rsidR="00B65AE1" w:rsidRPr="00B457F5">
        <w:rPr>
          <w:rFonts w:ascii="Garamond" w:eastAsia="Times New Roman" w:hAnsi="Garamond" w:cs="Times New Roman"/>
          <w:bCs/>
          <w:szCs w:val="24"/>
        </w:rPr>
        <w:t>, si</w:t>
      </w:r>
      <w:r w:rsidR="00C91636" w:rsidRPr="00B457F5">
        <w:rPr>
          <w:rFonts w:ascii="Garamond" w:eastAsia="Times New Roman" w:hAnsi="Garamond" w:cs="Times New Roman"/>
          <w:bCs/>
          <w:szCs w:val="24"/>
        </w:rPr>
        <w:t>:</w:t>
      </w:r>
      <w:r w:rsidR="00B65AE1" w:rsidRPr="00B457F5">
        <w:rPr>
          <w:rFonts w:ascii="Garamond" w:eastAsia="Times New Roman" w:hAnsi="Garamond" w:cs="Times New Roman"/>
          <w:bCs/>
          <w:szCs w:val="24"/>
        </w:rPr>
        <w:t xml:space="preserve"> FRONTEX dhe </w:t>
      </w:r>
      <w:r w:rsidR="00057BC9" w:rsidRPr="00B457F5">
        <w:rPr>
          <w:rFonts w:ascii="Garamond" w:eastAsia="Times New Roman" w:hAnsi="Garamond" w:cs="Times New Roman"/>
          <w:bCs/>
          <w:szCs w:val="24"/>
        </w:rPr>
        <w:t>Agjenci</w:t>
      </w:r>
      <w:r w:rsidR="00C91636" w:rsidRPr="00B457F5">
        <w:rPr>
          <w:rFonts w:ascii="Garamond" w:eastAsia="Times New Roman" w:hAnsi="Garamond" w:cs="Times New Roman"/>
          <w:bCs/>
          <w:szCs w:val="24"/>
        </w:rPr>
        <w:t>a</w:t>
      </w:r>
      <w:r w:rsidR="00057BC9" w:rsidRPr="00B457F5">
        <w:rPr>
          <w:rFonts w:ascii="Garamond" w:eastAsia="Times New Roman" w:hAnsi="Garamond" w:cs="Times New Roman"/>
          <w:bCs/>
          <w:szCs w:val="24"/>
        </w:rPr>
        <w:t xml:space="preserve"> e Bashkimit Evropian për Azilin (</w:t>
      </w:r>
      <w:r w:rsidR="00B65AE1" w:rsidRPr="00B457F5">
        <w:rPr>
          <w:rFonts w:ascii="Garamond" w:eastAsia="Times New Roman" w:hAnsi="Garamond" w:cs="Times New Roman"/>
          <w:bCs/>
          <w:szCs w:val="24"/>
        </w:rPr>
        <w:t>EUAA</w:t>
      </w:r>
      <w:r w:rsidR="00057BC9" w:rsidRPr="00B457F5">
        <w:rPr>
          <w:rFonts w:ascii="Garamond" w:eastAsia="Times New Roman" w:hAnsi="Garamond" w:cs="Times New Roman"/>
          <w:bCs/>
          <w:szCs w:val="24"/>
        </w:rPr>
        <w:t>)</w:t>
      </w:r>
      <w:r w:rsidR="00B65AE1" w:rsidRPr="00B457F5">
        <w:rPr>
          <w:rFonts w:ascii="Garamond" w:eastAsia="Times New Roman" w:hAnsi="Garamond" w:cs="Times New Roman"/>
          <w:bCs/>
          <w:szCs w:val="24"/>
        </w:rPr>
        <w:t xml:space="preserve">. </w:t>
      </w:r>
      <w:r w:rsidRPr="00B457F5">
        <w:rPr>
          <w:rFonts w:ascii="Garamond" w:eastAsia="Times New Roman" w:hAnsi="Garamond" w:cs="Times New Roman"/>
          <w:bCs/>
          <w:szCs w:val="24"/>
        </w:rPr>
        <w:t>Këto</w:t>
      </w:r>
      <w:r w:rsidR="0006016F" w:rsidRPr="00B457F5">
        <w:rPr>
          <w:rFonts w:ascii="Garamond" w:eastAsia="Times New Roman" w:hAnsi="Garamond" w:cs="Times New Roman"/>
          <w:bCs/>
          <w:szCs w:val="24"/>
        </w:rPr>
        <w:t xml:space="preserve"> </w:t>
      </w:r>
      <w:r w:rsidR="00B65AE1" w:rsidRPr="00B457F5">
        <w:rPr>
          <w:rFonts w:ascii="Garamond" w:eastAsia="Times New Roman" w:hAnsi="Garamond" w:cs="Times New Roman"/>
          <w:bCs/>
          <w:szCs w:val="24"/>
        </w:rPr>
        <w:t>organizma</w:t>
      </w:r>
      <w:r w:rsidR="0006016F" w:rsidRPr="00B457F5">
        <w:rPr>
          <w:rFonts w:ascii="Garamond" w:eastAsia="Times New Roman" w:hAnsi="Garamond" w:cs="Times New Roman"/>
          <w:bCs/>
          <w:szCs w:val="24"/>
        </w:rPr>
        <w:t xml:space="preserve"> </w:t>
      </w:r>
      <w:r w:rsidR="003E736B" w:rsidRPr="00B457F5">
        <w:rPr>
          <w:rFonts w:ascii="Garamond" w:eastAsia="Times New Roman" w:hAnsi="Garamond" w:cs="Times New Roman"/>
          <w:bCs/>
          <w:szCs w:val="24"/>
        </w:rPr>
        <w:t>i</w:t>
      </w:r>
      <w:r w:rsidR="00C10FE0" w:rsidRPr="00B457F5">
        <w:rPr>
          <w:rFonts w:ascii="Garamond" w:eastAsia="Times New Roman" w:hAnsi="Garamond" w:cs="Times New Roman"/>
          <w:bCs/>
          <w:szCs w:val="24"/>
        </w:rPr>
        <w:t xml:space="preserve"> përqendrojnë veprimtari</w:t>
      </w:r>
      <w:r w:rsidR="003E736B" w:rsidRPr="00B457F5">
        <w:rPr>
          <w:rFonts w:ascii="Garamond" w:eastAsia="Times New Roman" w:hAnsi="Garamond" w:cs="Times New Roman"/>
          <w:bCs/>
          <w:szCs w:val="24"/>
        </w:rPr>
        <w:t>të e tyre</w:t>
      </w:r>
      <w:r w:rsidRPr="00B457F5">
        <w:rPr>
          <w:rFonts w:ascii="Garamond" w:eastAsia="Times New Roman" w:hAnsi="Garamond" w:cs="Times New Roman"/>
          <w:bCs/>
          <w:szCs w:val="24"/>
        </w:rPr>
        <w:t xml:space="preserve"> </w:t>
      </w:r>
      <w:r w:rsidR="003E736B" w:rsidRPr="00B457F5">
        <w:rPr>
          <w:rFonts w:ascii="Garamond" w:eastAsia="Times New Roman" w:hAnsi="Garamond" w:cs="Times New Roman"/>
          <w:bCs/>
          <w:szCs w:val="24"/>
        </w:rPr>
        <w:t>te</w:t>
      </w:r>
      <w:r w:rsidRPr="00B457F5">
        <w:rPr>
          <w:rFonts w:ascii="Garamond" w:eastAsia="Times New Roman" w:hAnsi="Garamond" w:cs="Times New Roman"/>
          <w:bCs/>
          <w:szCs w:val="24"/>
        </w:rPr>
        <w:t xml:space="preserve"> mbrojtj</w:t>
      </w:r>
      <w:r w:rsidR="003E736B" w:rsidRPr="00B457F5">
        <w:rPr>
          <w:rFonts w:ascii="Garamond" w:eastAsia="Times New Roman" w:hAnsi="Garamond" w:cs="Times New Roman"/>
          <w:bCs/>
          <w:szCs w:val="24"/>
        </w:rPr>
        <w:t>a</w:t>
      </w:r>
      <w:r w:rsidRPr="00B457F5">
        <w:rPr>
          <w:rFonts w:ascii="Garamond" w:eastAsia="Times New Roman" w:hAnsi="Garamond" w:cs="Times New Roman"/>
          <w:bCs/>
          <w:szCs w:val="24"/>
        </w:rPr>
        <w:t xml:space="preserve"> e të drejtave të njeriut, </w:t>
      </w:r>
      <w:r w:rsidR="00C91636" w:rsidRPr="00B457F5">
        <w:rPr>
          <w:rFonts w:ascii="Garamond" w:eastAsia="Times New Roman" w:hAnsi="Garamond" w:cs="Times New Roman"/>
          <w:bCs/>
          <w:szCs w:val="24"/>
        </w:rPr>
        <w:t xml:space="preserve">të </w:t>
      </w:r>
      <w:r w:rsidRPr="00B457F5">
        <w:rPr>
          <w:rFonts w:ascii="Garamond" w:eastAsia="Times New Roman" w:hAnsi="Garamond" w:cs="Times New Roman"/>
          <w:bCs/>
          <w:szCs w:val="24"/>
        </w:rPr>
        <w:t xml:space="preserve">të drejtave të fëmijëve, të </w:t>
      </w:r>
      <w:r w:rsidR="00C91636" w:rsidRPr="00B457F5">
        <w:rPr>
          <w:rFonts w:ascii="Garamond" w:eastAsia="Times New Roman" w:hAnsi="Garamond" w:cs="Times New Roman"/>
          <w:bCs/>
          <w:szCs w:val="24"/>
        </w:rPr>
        <w:t xml:space="preserve">të </w:t>
      </w:r>
      <w:r w:rsidRPr="00B457F5">
        <w:rPr>
          <w:rFonts w:ascii="Garamond" w:eastAsia="Times New Roman" w:hAnsi="Garamond" w:cs="Times New Roman"/>
          <w:bCs/>
          <w:szCs w:val="24"/>
        </w:rPr>
        <w:t xml:space="preserve">drejtave të grave dhe të </w:t>
      </w:r>
      <w:r w:rsidR="00C91636" w:rsidRPr="00B457F5">
        <w:rPr>
          <w:rFonts w:ascii="Garamond" w:eastAsia="Times New Roman" w:hAnsi="Garamond" w:cs="Times New Roman"/>
          <w:bCs/>
          <w:szCs w:val="24"/>
        </w:rPr>
        <w:t xml:space="preserve">të </w:t>
      </w:r>
      <w:r w:rsidRPr="00B457F5">
        <w:rPr>
          <w:rFonts w:ascii="Garamond" w:eastAsia="Times New Roman" w:hAnsi="Garamond" w:cs="Times New Roman"/>
          <w:bCs/>
          <w:szCs w:val="24"/>
        </w:rPr>
        <w:t>drejtave të grupeve të tjera të cenueshme. Nëpërmjet programeve apo projekteve të tyre, at</w:t>
      </w:r>
      <w:r w:rsidR="003E736B" w:rsidRPr="00B457F5">
        <w:rPr>
          <w:rFonts w:ascii="Garamond" w:eastAsia="Times New Roman" w:hAnsi="Garamond" w:cs="Times New Roman"/>
          <w:bCs/>
          <w:szCs w:val="24"/>
        </w:rPr>
        <w:t>o</w:t>
      </w:r>
      <w:r w:rsidRPr="00B457F5">
        <w:rPr>
          <w:rFonts w:ascii="Garamond" w:eastAsia="Times New Roman" w:hAnsi="Garamond" w:cs="Times New Roman"/>
          <w:bCs/>
          <w:szCs w:val="24"/>
        </w:rPr>
        <w:t xml:space="preserve"> kanë ndikuar në përmirësimin e kuadrit ligjor, në përgatitjen e statistikave dhe studimeve të ndryshme, si dhe në forcimin e kapaciteteve institucionale dhe burimeve njerëzore që merren me çështjet e migracionit.</w:t>
      </w:r>
      <w:r w:rsidR="007167D2" w:rsidRPr="00B457F5">
        <w:rPr>
          <w:rFonts w:ascii="Garamond" w:hAnsi="Garamond"/>
          <w:szCs w:val="24"/>
        </w:rPr>
        <w:t xml:space="preserve"> </w:t>
      </w:r>
      <w:r w:rsidR="007167D2" w:rsidRPr="00B457F5">
        <w:rPr>
          <w:rFonts w:ascii="Garamond" w:eastAsia="Times New Roman" w:hAnsi="Garamond" w:cs="Times New Roman"/>
          <w:bCs/>
          <w:szCs w:val="24"/>
        </w:rPr>
        <w:t>Përpjekjet e tyre bashkëpunuese kontribuojnë</w:t>
      </w:r>
      <w:r w:rsidR="00C91636" w:rsidRPr="00B457F5">
        <w:rPr>
          <w:rFonts w:ascii="Garamond" w:eastAsia="Times New Roman" w:hAnsi="Garamond" w:cs="Times New Roman"/>
          <w:bCs/>
          <w:szCs w:val="24"/>
        </w:rPr>
        <w:t>,</w:t>
      </w:r>
      <w:r w:rsidR="007167D2" w:rsidRPr="00B457F5">
        <w:rPr>
          <w:rFonts w:ascii="Garamond" w:eastAsia="Times New Roman" w:hAnsi="Garamond" w:cs="Times New Roman"/>
          <w:bCs/>
          <w:szCs w:val="24"/>
        </w:rPr>
        <w:t xml:space="preserve"> po ashtu</w:t>
      </w:r>
      <w:r w:rsidR="00C91636" w:rsidRPr="00B457F5">
        <w:rPr>
          <w:rFonts w:ascii="Garamond" w:eastAsia="Times New Roman" w:hAnsi="Garamond" w:cs="Times New Roman"/>
          <w:bCs/>
          <w:szCs w:val="24"/>
        </w:rPr>
        <w:t>,</w:t>
      </w:r>
      <w:r w:rsidR="007167D2" w:rsidRPr="00B457F5">
        <w:rPr>
          <w:rFonts w:ascii="Garamond" w:eastAsia="Times New Roman" w:hAnsi="Garamond" w:cs="Times New Roman"/>
          <w:bCs/>
          <w:szCs w:val="24"/>
        </w:rPr>
        <w:t xml:space="preserve"> në sigurimin e të drejtave dhe mirëqenies së punëtorëve migrantë dhe popullatave të cenueshme</w:t>
      </w:r>
      <w:r w:rsidR="00C6301E" w:rsidRPr="00B457F5">
        <w:rPr>
          <w:rFonts w:ascii="Garamond" w:eastAsia="Times New Roman" w:hAnsi="Garamond" w:cs="Times New Roman"/>
          <w:bCs/>
          <w:szCs w:val="24"/>
        </w:rPr>
        <w:t>.</w:t>
      </w:r>
    </w:p>
    <w:p w14:paraId="0A94E8DA" w14:textId="797401AF" w:rsidR="00C6301E" w:rsidRPr="00B457F5" w:rsidRDefault="00C6301E" w:rsidP="002E693B">
      <w:pPr>
        <w:widowControl w:val="0"/>
        <w:autoSpaceDE w:val="0"/>
        <w:autoSpaceDN w:val="0"/>
        <w:spacing w:before="0" w:after="0"/>
        <w:ind w:firstLine="284"/>
        <w:rPr>
          <w:rFonts w:ascii="Garamond" w:eastAsia="Times New Roman" w:hAnsi="Garamond" w:cs="Times New Roman"/>
          <w:bCs/>
          <w:szCs w:val="24"/>
        </w:rPr>
      </w:pPr>
      <w:r w:rsidRPr="00B457F5">
        <w:rPr>
          <w:rFonts w:ascii="Garamond" w:eastAsia="Times New Roman" w:hAnsi="Garamond" w:cs="Times New Roman"/>
          <w:bCs/>
          <w:szCs w:val="24"/>
        </w:rPr>
        <w:t>Në përmbushje të angazhimeve ndërkombëtare të Shqipërisë në fushën e mbrojtjes, ligji nr. 10/2021</w:t>
      </w:r>
      <w:r w:rsidR="00C91636" w:rsidRPr="00B457F5">
        <w:rPr>
          <w:rFonts w:ascii="Garamond" w:eastAsia="Times New Roman" w:hAnsi="Garamond" w:cs="Times New Roman"/>
          <w:bCs/>
          <w:szCs w:val="24"/>
        </w:rPr>
        <w:t>,</w:t>
      </w:r>
      <w:r w:rsidRPr="00B457F5">
        <w:rPr>
          <w:rFonts w:ascii="Garamond" w:eastAsia="Times New Roman" w:hAnsi="Garamond" w:cs="Times New Roman"/>
          <w:bCs/>
          <w:szCs w:val="24"/>
        </w:rPr>
        <w:t xml:space="preserve"> </w:t>
      </w:r>
      <w:r w:rsidR="00A313AE" w:rsidRPr="00B457F5">
        <w:rPr>
          <w:rFonts w:ascii="Garamond" w:eastAsia="Times New Roman" w:hAnsi="Garamond" w:cs="Times New Roman"/>
          <w:bCs/>
          <w:szCs w:val="24"/>
        </w:rPr>
        <w:t>“</w:t>
      </w:r>
      <w:r w:rsidRPr="00B457F5">
        <w:rPr>
          <w:rFonts w:ascii="Garamond" w:eastAsia="Times New Roman" w:hAnsi="Garamond" w:cs="Times New Roman"/>
          <w:bCs/>
          <w:szCs w:val="24"/>
        </w:rPr>
        <w:t>Për azilin në Republikën e Shqipërisë</w:t>
      </w:r>
      <w:r w:rsidR="00A313AE" w:rsidRPr="00B457F5">
        <w:rPr>
          <w:rFonts w:ascii="Garamond" w:eastAsia="Times New Roman" w:hAnsi="Garamond" w:cs="Times New Roman"/>
          <w:bCs/>
          <w:szCs w:val="24"/>
        </w:rPr>
        <w:t>”</w:t>
      </w:r>
      <w:r w:rsidR="00C91636" w:rsidRPr="00B457F5">
        <w:rPr>
          <w:rFonts w:ascii="Garamond" w:eastAsia="Times New Roman" w:hAnsi="Garamond" w:cs="Times New Roman"/>
          <w:bCs/>
          <w:szCs w:val="24"/>
        </w:rPr>
        <w:t>,</w:t>
      </w:r>
      <w:r w:rsidRPr="00B457F5">
        <w:rPr>
          <w:rFonts w:ascii="Garamond" w:eastAsia="Times New Roman" w:hAnsi="Garamond" w:cs="Times New Roman"/>
          <w:bCs/>
          <w:szCs w:val="24"/>
        </w:rPr>
        <w:t xml:space="preserve"> përcakton kushtet për dhënien e formave të ndryshme të mbrojtjes për azilkërkuesit, duke përfshirë statusin e refugjatit, mbrojtjen plotësuese dhe të përkohshme. Miratimi i ligjit ka përafruar kuadrin shqiptar të mbrojtjes me stand</w:t>
      </w:r>
      <w:r w:rsidR="001779F2" w:rsidRPr="00B457F5">
        <w:rPr>
          <w:rFonts w:ascii="Garamond" w:eastAsia="Times New Roman" w:hAnsi="Garamond" w:cs="Times New Roman"/>
          <w:bCs/>
          <w:szCs w:val="24"/>
        </w:rPr>
        <w:t>ardet e përcaktuara në Sistemin e Përbashkët Evropian të Azilit (CEAS)</w:t>
      </w:r>
      <w:r w:rsidRPr="00B457F5">
        <w:rPr>
          <w:rFonts w:ascii="Garamond" w:eastAsia="Times New Roman" w:hAnsi="Garamond" w:cs="Times New Roman"/>
          <w:bCs/>
          <w:szCs w:val="24"/>
        </w:rPr>
        <w:t xml:space="preserve">. Ligji përcakton procedurën për shqyrtimin e kërkesave për mbrojtje ndërkombëtare, duke kërkuar që të ekzistojnë kushtet e duhura për një vlerësim gjithëpërfshirës të </w:t>
      </w:r>
      <w:r w:rsidR="00C91636" w:rsidRPr="00B457F5">
        <w:rPr>
          <w:rFonts w:ascii="Garamond" w:eastAsia="Times New Roman" w:hAnsi="Garamond" w:cs="Times New Roman"/>
          <w:bCs/>
          <w:szCs w:val="24"/>
        </w:rPr>
        <w:t>arsyeve</w:t>
      </w:r>
      <w:r w:rsidRPr="00B457F5">
        <w:rPr>
          <w:rFonts w:ascii="Garamond" w:eastAsia="Times New Roman" w:hAnsi="Garamond" w:cs="Times New Roman"/>
          <w:bCs/>
          <w:szCs w:val="24"/>
        </w:rPr>
        <w:t xml:space="preserve"> për dhënien e statusit të refugjatit ose njohjen e statusit të mbrojtjes plotësuese dhe vendosjen e afateve kohore për shqyrtimin e kërkesës. Përcaktohen nocionet </w:t>
      </w:r>
      <w:r w:rsidR="00A313AE" w:rsidRPr="00B457F5">
        <w:rPr>
          <w:rFonts w:ascii="Garamond" w:eastAsia="Times New Roman" w:hAnsi="Garamond" w:cs="Times New Roman"/>
          <w:bCs/>
          <w:szCs w:val="24"/>
        </w:rPr>
        <w:t>“</w:t>
      </w:r>
      <w:r w:rsidRPr="00B457F5">
        <w:rPr>
          <w:rFonts w:ascii="Garamond" w:eastAsia="Times New Roman" w:hAnsi="Garamond" w:cs="Times New Roman"/>
          <w:bCs/>
          <w:szCs w:val="24"/>
        </w:rPr>
        <w:t>vend i sigurt i origjinës</w:t>
      </w:r>
      <w:r w:rsidR="00A313AE" w:rsidRPr="00B457F5">
        <w:rPr>
          <w:rFonts w:ascii="Garamond" w:eastAsia="Times New Roman" w:hAnsi="Garamond" w:cs="Times New Roman"/>
          <w:bCs/>
          <w:szCs w:val="24"/>
        </w:rPr>
        <w:t>”</w:t>
      </w:r>
      <w:r w:rsidRPr="00B457F5">
        <w:rPr>
          <w:rFonts w:ascii="Garamond" w:eastAsia="Times New Roman" w:hAnsi="Garamond" w:cs="Times New Roman"/>
          <w:bCs/>
          <w:szCs w:val="24"/>
        </w:rPr>
        <w:t xml:space="preserve">, </w:t>
      </w:r>
      <w:r w:rsidR="00A313AE" w:rsidRPr="00B457F5">
        <w:rPr>
          <w:rFonts w:ascii="Garamond" w:eastAsia="Times New Roman" w:hAnsi="Garamond" w:cs="Times New Roman"/>
          <w:bCs/>
          <w:szCs w:val="24"/>
        </w:rPr>
        <w:t>“</w:t>
      </w:r>
      <w:r w:rsidRPr="00B457F5">
        <w:rPr>
          <w:rFonts w:ascii="Garamond" w:eastAsia="Times New Roman" w:hAnsi="Garamond" w:cs="Times New Roman"/>
          <w:bCs/>
          <w:szCs w:val="24"/>
        </w:rPr>
        <w:t>vend i tretë i sigurt</w:t>
      </w:r>
      <w:r w:rsidR="00A313AE" w:rsidRPr="00B457F5">
        <w:rPr>
          <w:rFonts w:ascii="Garamond" w:eastAsia="Times New Roman" w:hAnsi="Garamond" w:cs="Times New Roman"/>
          <w:bCs/>
          <w:szCs w:val="24"/>
        </w:rPr>
        <w:t>”</w:t>
      </w:r>
      <w:r w:rsidRPr="00B457F5">
        <w:rPr>
          <w:rFonts w:ascii="Garamond" w:eastAsia="Times New Roman" w:hAnsi="Garamond" w:cs="Times New Roman"/>
          <w:bCs/>
          <w:szCs w:val="24"/>
        </w:rPr>
        <w:t xml:space="preserve">, </w:t>
      </w:r>
      <w:r w:rsidR="00A313AE" w:rsidRPr="00B457F5">
        <w:rPr>
          <w:rFonts w:ascii="Garamond" w:eastAsia="Times New Roman" w:hAnsi="Garamond" w:cs="Times New Roman"/>
          <w:bCs/>
          <w:szCs w:val="24"/>
        </w:rPr>
        <w:t>“</w:t>
      </w:r>
      <w:r w:rsidRPr="00B457F5">
        <w:rPr>
          <w:rFonts w:ascii="Garamond" w:eastAsia="Times New Roman" w:hAnsi="Garamond" w:cs="Times New Roman"/>
          <w:bCs/>
          <w:szCs w:val="24"/>
        </w:rPr>
        <w:t>procedurë e përshpejtuar</w:t>
      </w:r>
      <w:r w:rsidR="00A313AE" w:rsidRPr="00B457F5">
        <w:rPr>
          <w:rFonts w:ascii="Garamond" w:eastAsia="Times New Roman" w:hAnsi="Garamond" w:cs="Times New Roman"/>
          <w:bCs/>
          <w:szCs w:val="24"/>
        </w:rPr>
        <w:t>”</w:t>
      </w:r>
      <w:r w:rsidRPr="00B457F5">
        <w:rPr>
          <w:rFonts w:ascii="Garamond" w:eastAsia="Times New Roman" w:hAnsi="Garamond" w:cs="Times New Roman"/>
          <w:bCs/>
          <w:szCs w:val="24"/>
        </w:rPr>
        <w:t xml:space="preserve"> dhe </w:t>
      </w:r>
      <w:r w:rsidR="00A313AE" w:rsidRPr="00B457F5">
        <w:rPr>
          <w:rFonts w:ascii="Garamond" w:eastAsia="Times New Roman" w:hAnsi="Garamond" w:cs="Times New Roman"/>
          <w:bCs/>
          <w:szCs w:val="24"/>
        </w:rPr>
        <w:t>“</w:t>
      </w:r>
      <w:r w:rsidRPr="00B457F5">
        <w:rPr>
          <w:rFonts w:ascii="Garamond" w:eastAsia="Times New Roman" w:hAnsi="Garamond" w:cs="Times New Roman"/>
          <w:bCs/>
          <w:szCs w:val="24"/>
        </w:rPr>
        <w:t>aplikime dukshëm të pabazuara</w:t>
      </w:r>
      <w:r w:rsidR="00A313AE" w:rsidRPr="00B457F5">
        <w:rPr>
          <w:rFonts w:ascii="Garamond" w:eastAsia="Times New Roman" w:hAnsi="Garamond" w:cs="Times New Roman"/>
          <w:bCs/>
          <w:szCs w:val="24"/>
        </w:rPr>
        <w:t>”</w:t>
      </w:r>
      <w:r w:rsidRPr="00B457F5">
        <w:rPr>
          <w:rFonts w:ascii="Garamond" w:eastAsia="Times New Roman" w:hAnsi="Garamond" w:cs="Times New Roman"/>
          <w:bCs/>
          <w:szCs w:val="24"/>
        </w:rPr>
        <w:t>. Përshkruhen rrethanat në të cilat një person humb statusin e mbrojtjes ndërkombëtare. Ligji përcakton se në cilat kushte mund të kufizohet liria e lëvizjes së aplikantit ose mund të kryhet largimi i tij/saj nga territori i vendit. Parashikohen masa të dedikuara për të përballuar një trajtim të veçantë për personat që i përkasin kategorisë së veçantë, të përcaktuar përmes vlerësimit individual. Në veçanti, të miturve të pashoqëruar duhet</w:t>
      </w:r>
      <w:r w:rsidR="00A313AE" w:rsidRPr="00B457F5">
        <w:rPr>
          <w:rFonts w:ascii="Garamond" w:eastAsia="Times New Roman" w:hAnsi="Garamond" w:cs="Times New Roman"/>
          <w:bCs/>
          <w:szCs w:val="24"/>
        </w:rPr>
        <w:t xml:space="preserve"> t’u </w:t>
      </w:r>
      <w:r w:rsidRPr="00B457F5">
        <w:rPr>
          <w:rFonts w:ascii="Garamond" w:eastAsia="Times New Roman" w:hAnsi="Garamond" w:cs="Times New Roman"/>
          <w:bCs/>
          <w:szCs w:val="24"/>
        </w:rPr>
        <w:t>caktohet një kujdestar dhe</w:t>
      </w:r>
      <w:r w:rsidR="00A313AE" w:rsidRPr="00B457F5">
        <w:rPr>
          <w:rFonts w:ascii="Garamond" w:eastAsia="Times New Roman" w:hAnsi="Garamond" w:cs="Times New Roman"/>
          <w:bCs/>
          <w:szCs w:val="24"/>
        </w:rPr>
        <w:t xml:space="preserve"> t’u </w:t>
      </w:r>
      <w:r w:rsidRPr="00B457F5">
        <w:rPr>
          <w:rFonts w:ascii="Garamond" w:eastAsia="Times New Roman" w:hAnsi="Garamond" w:cs="Times New Roman"/>
          <w:bCs/>
          <w:szCs w:val="24"/>
        </w:rPr>
        <w:t>ofrohet strehim dhe kujdes i specializuar. Ligji përcakton të drejtat dhe detyrimet e aplikantëve për mbrojtje ndërkombëtare, refugjatëve dhe përfituesve të mbrojtjes plotësuese. Brenda dy viteve nga marrja e mbrojtjes, refugjatët dhe personat që gëzojnë mbrojtje plotësuese kanë të drejtë për bashkim familjar nëse mund të dëshmojnë se kanë strehim të duhur, të ardhura të qëndrueshme dhe sigurim sëmundjeje.</w:t>
      </w:r>
    </w:p>
    <w:p w14:paraId="053A9674" w14:textId="727184F1" w:rsidR="00FF4096" w:rsidRPr="00B457F5" w:rsidRDefault="00151120" w:rsidP="002E693B">
      <w:pPr>
        <w:widowControl w:val="0"/>
        <w:autoSpaceDE w:val="0"/>
        <w:autoSpaceDN w:val="0"/>
        <w:spacing w:before="0" w:after="0"/>
        <w:ind w:firstLine="284"/>
        <w:rPr>
          <w:rFonts w:ascii="Garamond" w:eastAsia="Times New Roman" w:hAnsi="Garamond" w:cs="Times New Roman"/>
          <w:bCs/>
          <w:szCs w:val="24"/>
        </w:rPr>
      </w:pPr>
      <w:r w:rsidRPr="00B457F5">
        <w:rPr>
          <w:rFonts w:ascii="Garamond" w:eastAsia="Times New Roman" w:hAnsi="Garamond" w:cs="Times New Roman"/>
          <w:bCs/>
          <w:szCs w:val="24"/>
        </w:rPr>
        <w:t xml:space="preserve">Sa i takon </w:t>
      </w:r>
      <w:r w:rsidR="007167D2" w:rsidRPr="00B457F5">
        <w:rPr>
          <w:rFonts w:ascii="Garamond" w:eastAsia="Times New Roman" w:hAnsi="Garamond" w:cs="Times New Roman"/>
          <w:bCs/>
          <w:szCs w:val="24"/>
        </w:rPr>
        <w:t xml:space="preserve">reduktimit </w:t>
      </w:r>
      <w:r w:rsidR="00FF4096" w:rsidRPr="00B457F5">
        <w:rPr>
          <w:rFonts w:ascii="Garamond" w:eastAsia="Times New Roman" w:hAnsi="Garamond" w:cs="Times New Roman"/>
          <w:bCs/>
          <w:szCs w:val="24"/>
        </w:rPr>
        <w:t>të pashtetësisë, në zbatim dhe të konventave kryesore në këtë fushë, është miratuar udhëzi</w:t>
      </w:r>
      <w:r w:rsidR="003B5E78" w:rsidRPr="00B457F5">
        <w:rPr>
          <w:rFonts w:ascii="Garamond" w:eastAsia="Times New Roman" w:hAnsi="Garamond" w:cs="Times New Roman"/>
          <w:bCs/>
          <w:szCs w:val="24"/>
        </w:rPr>
        <w:t xml:space="preserve">mi i </w:t>
      </w:r>
      <w:r w:rsidR="00734269" w:rsidRPr="00B457F5">
        <w:rPr>
          <w:rFonts w:ascii="Garamond" w:eastAsia="Times New Roman" w:hAnsi="Garamond" w:cs="Times New Roman"/>
          <w:bCs/>
          <w:szCs w:val="24"/>
        </w:rPr>
        <w:t>m</w:t>
      </w:r>
      <w:r w:rsidR="003B5E78" w:rsidRPr="00B457F5">
        <w:rPr>
          <w:rFonts w:ascii="Garamond" w:eastAsia="Times New Roman" w:hAnsi="Garamond" w:cs="Times New Roman"/>
          <w:bCs/>
          <w:szCs w:val="24"/>
        </w:rPr>
        <w:t>inistrit të Brendshëm nr.</w:t>
      </w:r>
      <w:r w:rsidR="00C91636" w:rsidRPr="00B457F5">
        <w:rPr>
          <w:rFonts w:ascii="Garamond" w:eastAsia="Times New Roman" w:hAnsi="Garamond" w:cs="Times New Roman"/>
          <w:bCs/>
          <w:szCs w:val="24"/>
        </w:rPr>
        <w:t xml:space="preserve"> </w:t>
      </w:r>
      <w:r w:rsidR="00FF4096" w:rsidRPr="00B457F5">
        <w:rPr>
          <w:rFonts w:ascii="Garamond" w:eastAsia="Times New Roman" w:hAnsi="Garamond" w:cs="Times New Roman"/>
          <w:bCs/>
          <w:szCs w:val="24"/>
        </w:rPr>
        <w:t>87, datë 21.6.2023</w:t>
      </w:r>
      <w:r w:rsidR="00734269" w:rsidRPr="00B457F5">
        <w:rPr>
          <w:rFonts w:ascii="Garamond" w:eastAsia="Times New Roman" w:hAnsi="Garamond" w:cs="Times New Roman"/>
          <w:bCs/>
          <w:szCs w:val="24"/>
        </w:rPr>
        <w:t>,</w:t>
      </w:r>
      <w:r w:rsidR="00FF4096" w:rsidRPr="00B457F5">
        <w:rPr>
          <w:rFonts w:ascii="Garamond" w:eastAsia="Times New Roman" w:hAnsi="Garamond" w:cs="Times New Roman"/>
          <w:bCs/>
          <w:szCs w:val="24"/>
        </w:rPr>
        <w:t xml:space="preserve"> </w:t>
      </w:r>
      <w:r w:rsidR="00A313AE" w:rsidRPr="00B457F5">
        <w:rPr>
          <w:rFonts w:ascii="Garamond" w:eastAsia="Times New Roman" w:hAnsi="Garamond" w:cs="Times New Roman"/>
          <w:bCs/>
          <w:szCs w:val="24"/>
        </w:rPr>
        <w:t>“</w:t>
      </w:r>
      <w:r w:rsidR="00FF4096" w:rsidRPr="00B457F5">
        <w:rPr>
          <w:rFonts w:ascii="Garamond" w:eastAsia="Times New Roman" w:hAnsi="Garamond" w:cs="Times New Roman"/>
          <w:bCs/>
          <w:szCs w:val="24"/>
        </w:rPr>
        <w:t>Mbi dokumentacionin dhe procedurën për aplikimin, vlerësimin, miratimin dhe refuzimin e kërkesës për shpalljen e statusit të pashtetësisë</w:t>
      </w:r>
      <w:r w:rsidR="00A313AE" w:rsidRPr="00B457F5">
        <w:rPr>
          <w:rFonts w:ascii="Garamond" w:eastAsia="Times New Roman" w:hAnsi="Garamond" w:cs="Times New Roman"/>
          <w:bCs/>
          <w:szCs w:val="24"/>
        </w:rPr>
        <w:t>”</w:t>
      </w:r>
      <w:r w:rsidR="00FF4096" w:rsidRPr="00B457F5">
        <w:rPr>
          <w:rFonts w:ascii="Garamond" w:eastAsia="Times New Roman" w:hAnsi="Garamond" w:cs="Times New Roman"/>
          <w:bCs/>
          <w:szCs w:val="24"/>
        </w:rPr>
        <w:t>. Qëllimi i miratimit të këtij akti është shpallja apo dhënia e statusit të pashtetësisë, të gjithë atyre shtetasve të cilët kërkojnë përfitimin e këtij statusi, me qëllim garantimin e të drejtave dhe të lirive themelore, në cilindo vend që gjende</w:t>
      </w:r>
      <w:r w:rsidR="007E0EB4" w:rsidRPr="00B457F5">
        <w:rPr>
          <w:rFonts w:ascii="Garamond" w:eastAsia="Times New Roman" w:hAnsi="Garamond" w:cs="Times New Roman"/>
          <w:bCs/>
          <w:szCs w:val="24"/>
        </w:rPr>
        <w:t>n ata</w:t>
      </w:r>
      <w:r w:rsidR="00FF4096" w:rsidRPr="00B457F5">
        <w:rPr>
          <w:rFonts w:ascii="Garamond" w:eastAsia="Times New Roman" w:hAnsi="Garamond" w:cs="Times New Roman"/>
          <w:bCs/>
          <w:szCs w:val="24"/>
        </w:rPr>
        <w:t>.</w:t>
      </w:r>
    </w:p>
    <w:p w14:paraId="304FF8B2" w14:textId="4A09E370" w:rsidR="00FF4096" w:rsidRPr="00B457F5" w:rsidRDefault="00E32A9C" w:rsidP="002E693B">
      <w:pPr>
        <w:widowControl w:val="0"/>
        <w:autoSpaceDE w:val="0"/>
        <w:autoSpaceDN w:val="0"/>
        <w:spacing w:before="0" w:after="0"/>
        <w:ind w:firstLine="284"/>
        <w:rPr>
          <w:rFonts w:ascii="Garamond" w:eastAsia="Times New Roman" w:hAnsi="Garamond" w:cs="Times New Roman"/>
          <w:bCs/>
          <w:szCs w:val="24"/>
        </w:rPr>
      </w:pPr>
      <w:r w:rsidRPr="00B457F5">
        <w:rPr>
          <w:rFonts w:ascii="Garamond" w:eastAsia="Times New Roman" w:hAnsi="Garamond" w:cs="Times New Roman"/>
          <w:bCs/>
          <w:szCs w:val="24"/>
        </w:rPr>
        <w:t xml:space="preserve">Marrja </w:t>
      </w:r>
      <w:r w:rsidR="00FF4096" w:rsidRPr="00B457F5">
        <w:rPr>
          <w:rFonts w:ascii="Garamond" w:eastAsia="Times New Roman" w:hAnsi="Garamond" w:cs="Times New Roman"/>
          <w:bCs/>
          <w:szCs w:val="24"/>
        </w:rPr>
        <w:t>e këtij statusi i shërben një personi të huaj pa shtetësi që të aplikojë për</w:t>
      </w:r>
      <w:r w:rsidR="00A313AE" w:rsidRPr="00B457F5">
        <w:rPr>
          <w:rFonts w:ascii="Garamond" w:eastAsia="Times New Roman" w:hAnsi="Garamond" w:cs="Times New Roman"/>
          <w:bCs/>
          <w:szCs w:val="24"/>
        </w:rPr>
        <w:t xml:space="preserve"> t’u </w:t>
      </w:r>
      <w:r w:rsidR="00FF4096" w:rsidRPr="00B457F5">
        <w:rPr>
          <w:rFonts w:ascii="Garamond" w:eastAsia="Times New Roman" w:hAnsi="Garamond" w:cs="Times New Roman"/>
          <w:bCs/>
          <w:szCs w:val="24"/>
        </w:rPr>
        <w:t xml:space="preserve">pajisur me leje qëndrimi për personat pa shtetësi, apo leje humanitare, si dhe </w:t>
      </w:r>
      <w:r w:rsidR="007F02F2" w:rsidRPr="00B457F5">
        <w:rPr>
          <w:rFonts w:ascii="Garamond" w:eastAsia="Times New Roman" w:hAnsi="Garamond" w:cs="Times New Roman"/>
          <w:bCs/>
          <w:szCs w:val="24"/>
        </w:rPr>
        <w:t>për</w:t>
      </w:r>
      <w:r w:rsidR="00A313AE" w:rsidRPr="00B457F5">
        <w:rPr>
          <w:rFonts w:ascii="Garamond" w:eastAsia="Times New Roman" w:hAnsi="Garamond" w:cs="Times New Roman"/>
          <w:bCs/>
          <w:szCs w:val="24"/>
        </w:rPr>
        <w:t xml:space="preserve"> t’u </w:t>
      </w:r>
      <w:r w:rsidR="007F02F2" w:rsidRPr="00B457F5">
        <w:rPr>
          <w:rFonts w:ascii="Garamond" w:eastAsia="Times New Roman" w:hAnsi="Garamond" w:cs="Times New Roman"/>
          <w:bCs/>
          <w:szCs w:val="24"/>
        </w:rPr>
        <w:t>pajisur</w:t>
      </w:r>
      <w:r w:rsidR="00FF4096" w:rsidRPr="00B457F5">
        <w:rPr>
          <w:rFonts w:ascii="Garamond" w:eastAsia="Times New Roman" w:hAnsi="Garamond" w:cs="Times New Roman"/>
          <w:bCs/>
          <w:szCs w:val="24"/>
        </w:rPr>
        <w:t xml:space="preserve"> me dokument udhëtimi për këtë kategori, sipas legjislacionit në fuqi për të huajt. Dokumenti i udhëtimit i lejon personit pa shtetësi të udhëtojë me të drejtën e rikthimit në Republikën e Shqipërisë, brenda periudhës së vlefshmërisë së dokumentit (</w:t>
      </w:r>
      <w:r w:rsidR="00CD2A36" w:rsidRPr="00B457F5">
        <w:rPr>
          <w:rFonts w:ascii="Garamond" w:eastAsia="Times New Roman" w:hAnsi="Garamond" w:cs="Times New Roman"/>
          <w:bCs/>
          <w:szCs w:val="24"/>
        </w:rPr>
        <w:t>dokumenti është i</w:t>
      </w:r>
      <w:r w:rsidR="00FF4096" w:rsidRPr="00B457F5">
        <w:rPr>
          <w:rFonts w:ascii="Garamond" w:eastAsia="Times New Roman" w:hAnsi="Garamond" w:cs="Times New Roman"/>
          <w:bCs/>
          <w:szCs w:val="24"/>
        </w:rPr>
        <w:t xml:space="preserve"> vlefsh</w:t>
      </w:r>
      <w:r w:rsidR="00CD2A36" w:rsidRPr="00B457F5">
        <w:rPr>
          <w:rFonts w:ascii="Garamond" w:eastAsia="Times New Roman" w:hAnsi="Garamond" w:cs="Times New Roman"/>
          <w:bCs/>
          <w:szCs w:val="24"/>
        </w:rPr>
        <w:t>ë</w:t>
      </w:r>
      <w:r w:rsidR="00FF4096" w:rsidRPr="00B457F5">
        <w:rPr>
          <w:rFonts w:ascii="Garamond" w:eastAsia="Times New Roman" w:hAnsi="Garamond" w:cs="Times New Roman"/>
          <w:bCs/>
          <w:szCs w:val="24"/>
        </w:rPr>
        <w:t>m për një periudhë 2</w:t>
      </w:r>
      <w:r w:rsidR="00734269" w:rsidRPr="00B457F5">
        <w:rPr>
          <w:rFonts w:ascii="Garamond" w:eastAsia="Times New Roman" w:hAnsi="Garamond" w:cs="Times New Roman"/>
          <w:bCs/>
          <w:szCs w:val="24"/>
        </w:rPr>
        <w:t>-</w:t>
      </w:r>
      <w:r w:rsidR="00FF4096" w:rsidRPr="00B457F5">
        <w:rPr>
          <w:rFonts w:ascii="Garamond" w:eastAsia="Times New Roman" w:hAnsi="Garamond" w:cs="Times New Roman"/>
          <w:bCs/>
          <w:szCs w:val="24"/>
        </w:rPr>
        <w:t>vjeçare).</w:t>
      </w:r>
    </w:p>
    <w:p w14:paraId="5422707D" w14:textId="6E8BE757" w:rsidR="00FF4096" w:rsidRPr="00B457F5" w:rsidRDefault="00CD2A36" w:rsidP="002E693B">
      <w:pPr>
        <w:widowControl w:val="0"/>
        <w:autoSpaceDE w:val="0"/>
        <w:autoSpaceDN w:val="0"/>
        <w:spacing w:before="0" w:after="0"/>
        <w:ind w:firstLine="284"/>
        <w:rPr>
          <w:rFonts w:ascii="Garamond" w:eastAsia="Times New Roman" w:hAnsi="Garamond" w:cs="Times New Roman"/>
          <w:bCs/>
          <w:szCs w:val="24"/>
        </w:rPr>
      </w:pPr>
      <w:r w:rsidRPr="00B457F5">
        <w:rPr>
          <w:rFonts w:ascii="Garamond" w:eastAsia="Times New Roman" w:hAnsi="Garamond" w:cs="Times New Roman"/>
          <w:bCs/>
          <w:szCs w:val="24"/>
        </w:rPr>
        <w:t xml:space="preserve">Më </w:t>
      </w:r>
      <w:r w:rsidR="00734269" w:rsidRPr="00B457F5">
        <w:rPr>
          <w:rFonts w:ascii="Garamond" w:eastAsia="Times New Roman" w:hAnsi="Garamond" w:cs="Times New Roman"/>
          <w:bCs/>
          <w:szCs w:val="24"/>
        </w:rPr>
        <w:t>konkretisht</w:t>
      </w:r>
      <w:r w:rsidRPr="00B457F5">
        <w:rPr>
          <w:rFonts w:ascii="Garamond" w:eastAsia="Times New Roman" w:hAnsi="Garamond" w:cs="Times New Roman"/>
          <w:bCs/>
          <w:szCs w:val="24"/>
        </w:rPr>
        <w:t>,</w:t>
      </w:r>
      <w:r w:rsidR="00FF4096" w:rsidRPr="00B457F5">
        <w:rPr>
          <w:rFonts w:ascii="Garamond" w:eastAsia="Times New Roman" w:hAnsi="Garamond" w:cs="Times New Roman"/>
          <w:bCs/>
          <w:szCs w:val="24"/>
        </w:rPr>
        <w:t xml:space="preserve"> udhëzimi është hartuar në përputhje me standardet ndërkombëtare ekzistuese dhe praktikat më të mira të shteteve </w:t>
      </w:r>
      <w:r w:rsidRPr="00B457F5">
        <w:rPr>
          <w:rFonts w:ascii="Garamond" w:eastAsia="Times New Roman" w:hAnsi="Garamond" w:cs="Times New Roman"/>
          <w:bCs/>
          <w:szCs w:val="24"/>
        </w:rPr>
        <w:t>që kanë</w:t>
      </w:r>
      <w:r w:rsidR="00FF4096" w:rsidRPr="00B457F5">
        <w:rPr>
          <w:rFonts w:ascii="Garamond" w:eastAsia="Times New Roman" w:hAnsi="Garamond" w:cs="Times New Roman"/>
          <w:bCs/>
          <w:szCs w:val="24"/>
        </w:rPr>
        <w:t xml:space="preserve"> procedura për përcaktimin e statusit të pashtetësisë, të cilat vlen të përmendet s</w:t>
      </w:r>
      <w:r w:rsidR="004048E8" w:rsidRPr="00B457F5">
        <w:rPr>
          <w:rFonts w:ascii="Garamond" w:eastAsia="Times New Roman" w:hAnsi="Garamond" w:cs="Times New Roman"/>
          <w:bCs/>
          <w:szCs w:val="24"/>
        </w:rPr>
        <w:t>e</w:t>
      </w:r>
      <w:r w:rsidR="00FF4096" w:rsidRPr="00B457F5">
        <w:rPr>
          <w:rFonts w:ascii="Garamond" w:eastAsia="Times New Roman" w:hAnsi="Garamond" w:cs="Times New Roman"/>
          <w:bCs/>
          <w:szCs w:val="24"/>
        </w:rPr>
        <w:t xml:space="preserve"> janë të ngjashme me procedurat e përcaktimit të statusit të refugjatit. Gjatë hartimit të tij, janë marrë </w:t>
      </w:r>
      <w:r w:rsidR="004048E8" w:rsidRPr="00B457F5">
        <w:rPr>
          <w:rFonts w:ascii="Garamond" w:eastAsia="Times New Roman" w:hAnsi="Garamond" w:cs="Times New Roman"/>
          <w:bCs/>
          <w:szCs w:val="24"/>
        </w:rPr>
        <w:t>parasysh</w:t>
      </w:r>
      <w:r w:rsidR="00FF4096" w:rsidRPr="00B457F5">
        <w:rPr>
          <w:rFonts w:ascii="Garamond" w:eastAsia="Times New Roman" w:hAnsi="Garamond" w:cs="Times New Roman"/>
          <w:bCs/>
          <w:szCs w:val="24"/>
        </w:rPr>
        <w:t xml:space="preserve"> dhe garancitë themelore procedurale për të garantuar drejtësi dhe transparencë, të cilat zbatohen dhe në praktikat aktuale të vendeve të tjera, të tilla si: mundësia për intervistë, ndihma me përkthim, përcaktimi i afatit për marrjen e vendimit pas dorëzimit të aplikimit, </w:t>
      </w:r>
      <w:r w:rsidR="00FF4096" w:rsidRPr="00B457F5">
        <w:rPr>
          <w:rFonts w:ascii="Garamond" w:eastAsia="Times New Roman" w:hAnsi="Garamond" w:cs="Times New Roman"/>
          <w:bCs/>
          <w:szCs w:val="24"/>
        </w:rPr>
        <w:lastRenderedPageBreak/>
        <w:t>e drejta për të marrë vendimin në formë të shkruar, si dhe e drejta e ankimimit.</w:t>
      </w:r>
    </w:p>
    <w:p w14:paraId="308D03C0" w14:textId="10AD2EDB" w:rsidR="00FF4096" w:rsidRPr="00B457F5" w:rsidRDefault="00FF4096" w:rsidP="002E693B">
      <w:pPr>
        <w:widowControl w:val="0"/>
        <w:autoSpaceDE w:val="0"/>
        <w:autoSpaceDN w:val="0"/>
        <w:spacing w:before="0" w:after="0"/>
        <w:ind w:firstLine="284"/>
        <w:rPr>
          <w:rFonts w:ascii="Garamond" w:eastAsia="Times New Roman" w:hAnsi="Garamond" w:cs="Times New Roman"/>
          <w:bCs/>
          <w:szCs w:val="24"/>
        </w:rPr>
      </w:pPr>
      <w:r w:rsidRPr="00B457F5">
        <w:rPr>
          <w:rFonts w:ascii="Garamond" w:eastAsia="Times New Roman" w:hAnsi="Garamond" w:cs="Times New Roman"/>
          <w:bCs/>
          <w:szCs w:val="24"/>
        </w:rPr>
        <w:t xml:space="preserve">Procedurat për përcaktimin e pashtetësisë </w:t>
      </w:r>
      <w:r w:rsidR="007B332C" w:rsidRPr="00B457F5">
        <w:rPr>
          <w:rFonts w:ascii="Garamond" w:eastAsia="Times New Roman" w:hAnsi="Garamond" w:cs="Times New Roman"/>
          <w:bCs/>
          <w:szCs w:val="24"/>
        </w:rPr>
        <w:t>marrin</w:t>
      </w:r>
      <w:r w:rsidRPr="00B457F5">
        <w:rPr>
          <w:rFonts w:ascii="Garamond" w:eastAsia="Times New Roman" w:hAnsi="Garamond" w:cs="Times New Roman"/>
          <w:bCs/>
          <w:szCs w:val="24"/>
        </w:rPr>
        <w:t xml:space="preserve"> parasysh dhe nevojat e veçanta të aplikantëve, sidomos kur </w:t>
      </w:r>
      <w:r w:rsidR="007B332C" w:rsidRPr="00B457F5">
        <w:rPr>
          <w:rFonts w:ascii="Garamond" w:eastAsia="Times New Roman" w:hAnsi="Garamond" w:cs="Times New Roman"/>
          <w:bCs/>
          <w:szCs w:val="24"/>
        </w:rPr>
        <w:t>personi</w:t>
      </w:r>
      <w:r w:rsidRPr="00B457F5">
        <w:rPr>
          <w:rFonts w:ascii="Garamond" w:eastAsia="Times New Roman" w:hAnsi="Garamond" w:cs="Times New Roman"/>
          <w:bCs/>
          <w:szCs w:val="24"/>
        </w:rPr>
        <w:t xml:space="preserve"> është i mitur ose person me aftësi të kufizuara, </w:t>
      </w:r>
      <w:r w:rsidR="00E31330" w:rsidRPr="00B457F5">
        <w:rPr>
          <w:rFonts w:ascii="Garamond" w:eastAsia="Times New Roman" w:hAnsi="Garamond" w:cs="Times New Roman"/>
          <w:bCs/>
          <w:szCs w:val="24"/>
        </w:rPr>
        <w:t>i</w:t>
      </w:r>
      <w:r w:rsidRPr="00B457F5">
        <w:rPr>
          <w:rFonts w:ascii="Garamond" w:eastAsia="Times New Roman" w:hAnsi="Garamond" w:cs="Times New Roman"/>
          <w:bCs/>
          <w:szCs w:val="24"/>
        </w:rPr>
        <w:t xml:space="preserve"> shoqëruar nga prindi apo një përfaqësues ligjor i autorizuar, që ndikon në aftësinë e tij/saj për të marrë pjesë në procedura në mënyrë të barabartë me të tjerët.</w:t>
      </w:r>
    </w:p>
    <w:p w14:paraId="1EAAC671" w14:textId="4AD549F5" w:rsidR="00FF4096" w:rsidRPr="00B457F5" w:rsidRDefault="00FF4096" w:rsidP="002E693B">
      <w:pPr>
        <w:widowControl w:val="0"/>
        <w:autoSpaceDE w:val="0"/>
        <w:autoSpaceDN w:val="0"/>
        <w:spacing w:before="0" w:after="0"/>
        <w:ind w:firstLine="284"/>
        <w:rPr>
          <w:rFonts w:ascii="Garamond" w:eastAsia="Times New Roman" w:hAnsi="Garamond" w:cs="Times New Roman"/>
          <w:bCs/>
          <w:szCs w:val="24"/>
        </w:rPr>
      </w:pPr>
      <w:r w:rsidRPr="00B457F5">
        <w:rPr>
          <w:rFonts w:ascii="Garamond" w:eastAsia="Times New Roman" w:hAnsi="Garamond" w:cs="Times New Roman"/>
          <w:bCs/>
          <w:szCs w:val="24"/>
        </w:rPr>
        <w:t xml:space="preserve">Gjithashtu, </w:t>
      </w:r>
      <w:r w:rsidR="00E31330" w:rsidRPr="00B457F5">
        <w:rPr>
          <w:rFonts w:ascii="Garamond" w:eastAsia="Times New Roman" w:hAnsi="Garamond" w:cs="Times New Roman"/>
          <w:bCs/>
          <w:szCs w:val="24"/>
        </w:rPr>
        <w:t>në bazë të</w:t>
      </w:r>
      <w:r w:rsidRPr="00B457F5">
        <w:rPr>
          <w:rFonts w:ascii="Garamond" w:eastAsia="Times New Roman" w:hAnsi="Garamond" w:cs="Times New Roman"/>
          <w:bCs/>
          <w:szCs w:val="24"/>
        </w:rPr>
        <w:t xml:space="preserve"> Konventës së </w:t>
      </w:r>
      <w:r w:rsidR="00E31330" w:rsidRPr="00B457F5">
        <w:rPr>
          <w:rFonts w:ascii="Garamond" w:eastAsia="Times New Roman" w:hAnsi="Garamond" w:cs="Times New Roman"/>
          <w:bCs/>
          <w:szCs w:val="24"/>
        </w:rPr>
        <w:t xml:space="preserve">vitit </w:t>
      </w:r>
      <w:r w:rsidRPr="00B457F5">
        <w:rPr>
          <w:rFonts w:ascii="Garamond" w:eastAsia="Times New Roman" w:hAnsi="Garamond" w:cs="Times New Roman"/>
          <w:bCs/>
          <w:szCs w:val="24"/>
        </w:rPr>
        <w:t>1954, rekomandohet që shtetet palë të lehtësojnë</w:t>
      </w:r>
      <w:r w:rsidR="005A680C" w:rsidRPr="00B457F5">
        <w:rPr>
          <w:rFonts w:ascii="Garamond" w:eastAsia="Times New Roman" w:hAnsi="Garamond" w:cs="Times New Roman"/>
          <w:bCs/>
          <w:szCs w:val="24"/>
        </w:rPr>
        <w:t xml:space="preserve"> </w:t>
      </w:r>
      <w:r w:rsidR="00C91636" w:rsidRPr="00B457F5">
        <w:rPr>
          <w:rFonts w:ascii="Garamond" w:eastAsia="Times New Roman" w:hAnsi="Garamond" w:cs="Times New Roman"/>
          <w:bCs/>
          <w:szCs w:val="24"/>
        </w:rPr>
        <w:t xml:space="preserve">sa </w:t>
      </w:r>
      <w:r w:rsidR="005A680C" w:rsidRPr="00B457F5">
        <w:rPr>
          <w:rFonts w:ascii="Garamond" w:eastAsia="Times New Roman" w:hAnsi="Garamond" w:cs="Times New Roman"/>
          <w:bCs/>
          <w:szCs w:val="24"/>
        </w:rPr>
        <w:t xml:space="preserve">më shumë të jetë </w:t>
      </w:r>
      <w:r w:rsidRPr="00B457F5">
        <w:rPr>
          <w:rFonts w:ascii="Garamond" w:eastAsia="Times New Roman" w:hAnsi="Garamond" w:cs="Times New Roman"/>
          <w:bCs/>
          <w:szCs w:val="24"/>
        </w:rPr>
        <w:t>e mundur natyralizimin e personave pa shtetësi. Procedura për përcaktimin e pashtetësisë është mënyra e duhur për</w:t>
      </w:r>
      <w:r w:rsidR="004603C3" w:rsidRPr="00B457F5">
        <w:rPr>
          <w:rFonts w:ascii="Garamond" w:eastAsia="Times New Roman" w:hAnsi="Garamond" w:cs="Times New Roman"/>
          <w:bCs/>
          <w:szCs w:val="24"/>
        </w:rPr>
        <w:t xml:space="preserve"> t’i </w:t>
      </w:r>
      <w:r w:rsidRPr="00B457F5">
        <w:rPr>
          <w:rFonts w:ascii="Garamond" w:eastAsia="Times New Roman" w:hAnsi="Garamond" w:cs="Times New Roman"/>
          <w:bCs/>
          <w:szCs w:val="24"/>
        </w:rPr>
        <w:t>dhënë zgjidhje përfundimtare pashtetësisë së një personi, përmes marrjes së një statusi të caktuar apo marrjes së shtetësisë.</w:t>
      </w:r>
    </w:p>
    <w:p w14:paraId="61D2190A" w14:textId="738315D7" w:rsidR="00FF4096" w:rsidRPr="00B457F5" w:rsidRDefault="00FF4096" w:rsidP="002E693B">
      <w:pPr>
        <w:widowControl w:val="0"/>
        <w:autoSpaceDE w:val="0"/>
        <w:autoSpaceDN w:val="0"/>
        <w:spacing w:before="0" w:after="0"/>
        <w:ind w:firstLine="284"/>
        <w:rPr>
          <w:rFonts w:ascii="Garamond" w:eastAsia="Times New Roman" w:hAnsi="Garamond" w:cs="Times New Roman"/>
          <w:bCs/>
          <w:szCs w:val="24"/>
        </w:rPr>
      </w:pPr>
      <w:r w:rsidRPr="00B457F5">
        <w:rPr>
          <w:rFonts w:ascii="Garamond" w:eastAsia="Times New Roman" w:hAnsi="Garamond" w:cs="Times New Roman"/>
          <w:bCs/>
          <w:szCs w:val="24"/>
        </w:rPr>
        <w:t xml:space="preserve">Për sa i përket ofrimit të zgjidhjeve të qëndrueshme për migrantët dhe konkretisht garantimit të qëndrimit afatgjatë nëpërmjet marrjes së shtetësisë shqiptare, </w:t>
      </w:r>
      <w:r w:rsidR="00B939E4" w:rsidRPr="00B457F5">
        <w:rPr>
          <w:rFonts w:ascii="Garamond" w:eastAsia="Times New Roman" w:hAnsi="Garamond" w:cs="Times New Roman"/>
          <w:bCs/>
          <w:szCs w:val="24"/>
        </w:rPr>
        <w:t>baza ligjore ofrohet nga</w:t>
      </w:r>
      <w:r w:rsidR="0006016F" w:rsidRPr="00B457F5">
        <w:rPr>
          <w:rFonts w:ascii="Garamond" w:eastAsia="Times New Roman" w:hAnsi="Garamond" w:cs="Times New Roman"/>
          <w:bCs/>
          <w:szCs w:val="24"/>
        </w:rPr>
        <w:t xml:space="preserve"> </w:t>
      </w:r>
      <w:r w:rsidR="00734269" w:rsidRPr="00B457F5">
        <w:rPr>
          <w:rFonts w:ascii="Garamond" w:eastAsia="Times New Roman" w:hAnsi="Garamond" w:cs="Times New Roman"/>
          <w:bCs/>
          <w:szCs w:val="24"/>
        </w:rPr>
        <w:t>l</w:t>
      </w:r>
      <w:r w:rsidRPr="00B457F5">
        <w:rPr>
          <w:rFonts w:ascii="Garamond" w:eastAsia="Times New Roman" w:hAnsi="Garamond" w:cs="Times New Roman"/>
          <w:bCs/>
          <w:szCs w:val="24"/>
        </w:rPr>
        <w:t>igji nr. 113/2020</w:t>
      </w:r>
      <w:r w:rsidR="00C91636" w:rsidRPr="00B457F5">
        <w:rPr>
          <w:rFonts w:ascii="Garamond" w:eastAsia="Times New Roman" w:hAnsi="Garamond" w:cs="Times New Roman"/>
          <w:bCs/>
          <w:szCs w:val="24"/>
        </w:rPr>
        <w:t>,</w:t>
      </w:r>
      <w:r w:rsidRPr="00B457F5">
        <w:rPr>
          <w:rFonts w:ascii="Garamond" w:eastAsia="Times New Roman" w:hAnsi="Garamond" w:cs="Times New Roman"/>
          <w:bCs/>
          <w:szCs w:val="24"/>
        </w:rPr>
        <w:t xml:space="preserve"> </w:t>
      </w:r>
      <w:r w:rsidR="00A313AE" w:rsidRPr="00B457F5">
        <w:rPr>
          <w:rFonts w:ascii="Garamond" w:eastAsia="Times New Roman" w:hAnsi="Garamond" w:cs="Times New Roman"/>
          <w:bCs/>
          <w:szCs w:val="24"/>
        </w:rPr>
        <w:t>“</w:t>
      </w:r>
      <w:r w:rsidRPr="00B457F5">
        <w:rPr>
          <w:rFonts w:ascii="Garamond" w:eastAsia="Times New Roman" w:hAnsi="Garamond" w:cs="Times New Roman"/>
          <w:bCs/>
          <w:szCs w:val="24"/>
        </w:rPr>
        <w:t>Për shtetësinë</w:t>
      </w:r>
      <w:r w:rsidR="00A313AE" w:rsidRPr="00B457F5">
        <w:rPr>
          <w:rFonts w:ascii="Garamond" w:eastAsia="Times New Roman" w:hAnsi="Garamond" w:cs="Times New Roman"/>
          <w:bCs/>
          <w:szCs w:val="24"/>
        </w:rPr>
        <w:t>”</w:t>
      </w:r>
      <w:r w:rsidRPr="00B457F5">
        <w:rPr>
          <w:rFonts w:ascii="Garamond" w:eastAsia="Times New Roman" w:hAnsi="Garamond" w:cs="Times New Roman"/>
          <w:bCs/>
          <w:szCs w:val="24"/>
        </w:rPr>
        <w:t>, i cili mundëson fitimin e shtetësisë shqiptare sipas kategorive dhe kushteve përkatëse (me lindje, me origjinë, me natyralizim, birësim apo kur ka interes kombëtar për fushën e arsimit, shkencës, artit, kulturës, ekonomisë, sportit).</w:t>
      </w:r>
    </w:p>
    <w:p w14:paraId="58E48934" w14:textId="591E04FA" w:rsidR="00FF4096" w:rsidRPr="00B457F5" w:rsidRDefault="00FF4096" w:rsidP="002E693B">
      <w:pPr>
        <w:widowControl w:val="0"/>
        <w:autoSpaceDE w:val="0"/>
        <w:autoSpaceDN w:val="0"/>
        <w:spacing w:before="0" w:after="0"/>
        <w:ind w:firstLine="284"/>
        <w:rPr>
          <w:rFonts w:ascii="Garamond" w:eastAsia="Times New Roman" w:hAnsi="Garamond" w:cs="Times New Roman"/>
          <w:szCs w:val="24"/>
        </w:rPr>
      </w:pPr>
      <w:r w:rsidRPr="00B457F5">
        <w:rPr>
          <w:rFonts w:ascii="Garamond" w:eastAsia="Times New Roman" w:hAnsi="Garamond" w:cs="Times New Roman"/>
          <w:szCs w:val="24"/>
        </w:rPr>
        <w:t xml:space="preserve">Ligji kryesor që trajton migracionin për shtetasit shqiptar dhe atyre të rikthyer, duke zëvendësuar ligjin e mëparshëm për migracionin, është </w:t>
      </w:r>
      <w:r w:rsidR="00734269" w:rsidRPr="00B457F5">
        <w:rPr>
          <w:rFonts w:ascii="Garamond" w:eastAsia="Times New Roman" w:hAnsi="Garamond" w:cs="Times New Roman"/>
          <w:szCs w:val="24"/>
        </w:rPr>
        <w:t>l</w:t>
      </w:r>
      <w:r w:rsidRPr="00B457F5">
        <w:rPr>
          <w:rFonts w:ascii="Garamond" w:eastAsia="Times New Roman" w:hAnsi="Garamond" w:cs="Times New Roman"/>
          <w:szCs w:val="24"/>
        </w:rPr>
        <w:t xml:space="preserve">igji </w:t>
      </w:r>
      <w:r w:rsidR="00A313AE" w:rsidRPr="00B457F5">
        <w:rPr>
          <w:rFonts w:ascii="Garamond" w:eastAsia="Times New Roman" w:hAnsi="Garamond" w:cs="Times New Roman"/>
          <w:szCs w:val="24"/>
        </w:rPr>
        <w:t>“</w:t>
      </w:r>
      <w:r w:rsidR="00AC706A" w:rsidRPr="00B457F5">
        <w:rPr>
          <w:rFonts w:ascii="Garamond" w:eastAsia="Times New Roman" w:hAnsi="Garamond" w:cs="Times New Roman"/>
          <w:szCs w:val="24"/>
        </w:rPr>
        <w:t>P</w:t>
      </w:r>
      <w:r w:rsidRPr="00B457F5">
        <w:rPr>
          <w:rFonts w:ascii="Garamond" w:eastAsia="Times New Roman" w:hAnsi="Garamond" w:cs="Times New Roman"/>
          <w:szCs w:val="24"/>
        </w:rPr>
        <w:t>ër emigrimin e shtetasve shqiptarë për qëllime punësimi</w:t>
      </w:r>
      <w:r w:rsidR="00A313AE" w:rsidRPr="00B457F5">
        <w:rPr>
          <w:rFonts w:ascii="Garamond" w:eastAsia="Times New Roman" w:hAnsi="Garamond" w:cs="Times New Roman"/>
          <w:szCs w:val="24"/>
        </w:rPr>
        <w:t>”</w:t>
      </w:r>
      <w:r w:rsidR="00AC706A" w:rsidRPr="00B457F5">
        <w:rPr>
          <w:rFonts w:ascii="Garamond" w:eastAsia="Times New Roman" w:hAnsi="Garamond" w:cs="Times New Roman"/>
          <w:szCs w:val="24"/>
        </w:rPr>
        <w:t>.</w:t>
      </w:r>
      <w:r w:rsidRPr="00B457F5">
        <w:rPr>
          <w:rFonts w:ascii="Garamond" w:eastAsia="Times New Roman" w:hAnsi="Garamond" w:cs="Times New Roman"/>
          <w:bCs/>
          <w:szCs w:val="24"/>
          <w:vertAlign w:val="superscript"/>
        </w:rPr>
        <w:footnoteReference w:id="2"/>
      </w:r>
      <w:r w:rsidRPr="00B457F5">
        <w:rPr>
          <w:rFonts w:ascii="Garamond" w:eastAsia="Times New Roman" w:hAnsi="Garamond" w:cs="Times New Roman"/>
          <w:szCs w:val="24"/>
        </w:rPr>
        <w:t xml:space="preserve"> Ky ligj synon të rregullojë çështjet e emigracionit që kanë të bëjnë me shtetasit shqiptarë që largohen nga vendi për punësim ose arsim profesional. Ligji synon të rregullojë një pjesë të proceseve të emigrimit</w:t>
      </w:r>
      <w:r w:rsidR="003E3D96" w:rsidRPr="00B457F5">
        <w:rPr>
          <w:rFonts w:ascii="Garamond" w:eastAsia="Times New Roman" w:hAnsi="Garamond" w:cs="Times New Roman"/>
          <w:szCs w:val="24"/>
        </w:rPr>
        <w:t>,</w:t>
      </w:r>
      <w:r w:rsidRPr="00B457F5">
        <w:rPr>
          <w:rFonts w:ascii="Garamond" w:eastAsia="Times New Roman" w:hAnsi="Garamond" w:cs="Times New Roman"/>
          <w:szCs w:val="24"/>
        </w:rPr>
        <w:t xml:space="preserve"> si dhe të sigurojë mbrojtjen dhe respektimin e të drejtave ekonomike dhe sociale të emigrantëve. Për më tepër, ligji synon të zgjerojë mundësitë e migrimit të rregullt për të parandaluar emigracionin e parregullt dhe veçanërisht trafikimin e qenieve njerëzore.</w:t>
      </w:r>
    </w:p>
    <w:p w14:paraId="3E21D645" w14:textId="3C2EFFD5" w:rsidR="00FF4096" w:rsidRPr="00B457F5" w:rsidRDefault="00FF4096" w:rsidP="002E693B">
      <w:pPr>
        <w:widowControl w:val="0"/>
        <w:autoSpaceDE w:val="0"/>
        <w:autoSpaceDN w:val="0"/>
        <w:spacing w:before="0" w:after="0"/>
        <w:ind w:firstLine="284"/>
        <w:rPr>
          <w:rFonts w:ascii="Garamond" w:eastAsia="Times New Roman" w:hAnsi="Garamond" w:cs="Times New Roman"/>
          <w:szCs w:val="24"/>
        </w:rPr>
      </w:pPr>
      <w:r w:rsidRPr="00B457F5">
        <w:rPr>
          <w:rFonts w:ascii="Garamond" w:eastAsia="Times New Roman" w:hAnsi="Garamond" w:cs="Times New Roman"/>
          <w:szCs w:val="24"/>
        </w:rPr>
        <w:t>Menaxhimi i emigracionit në logjikën e këtij ligji nënkupton procesin e hartimit dhe zbatimit të politikave për përmirësime ligjore, si dhe rritjen e kapaciteteve administrative të institucioneve zbatuese, por edhe harmonizim</w:t>
      </w:r>
      <w:r w:rsidR="00473D1D" w:rsidRPr="00B457F5">
        <w:rPr>
          <w:rFonts w:ascii="Garamond" w:eastAsia="Times New Roman" w:hAnsi="Garamond" w:cs="Times New Roman"/>
          <w:szCs w:val="24"/>
        </w:rPr>
        <w:t>in</w:t>
      </w:r>
      <w:r w:rsidRPr="00B457F5">
        <w:rPr>
          <w:rFonts w:ascii="Garamond" w:eastAsia="Times New Roman" w:hAnsi="Garamond" w:cs="Times New Roman"/>
          <w:szCs w:val="24"/>
        </w:rPr>
        <w:t xml:space="preserve"> me legjislacionin dhe politikat </w:t>
      </w:r>
      <w:r w:rsidR="00473D1D" w:rsidRPr="00B457F5">
        <w:rPr>
          <w:rFonts w:ascii="Garamond" w:eastAsia="Times New Roman" w:hAnsi="Garamond" w:cs="Times New Roman"/>
          <w:szCs w:val="24"/>
        </w:rPr>
        <w:t>e</w:t>
      </w:r>
      <w:r w:rsidRPr="00B457F5">
        <w:rPr>
          <w:rFonts w:ascii="Garamond" w:eastAsia="Times New Roman" w:hAnsi="Garamond" w:cs="Times New Roman"/>
          <w:szCs w:val="24"/>
        </w:rPr>
        <w:t xml:space="preserve"> vende</w:t>
      </w:r>
      <w:r w:rsidR="00473D1D" w:rsidRPr="00B457F5">
        <w:rPr>
          <w:rFonts w:ascii="Garamond" w:eastAsia="Times New Roman" w:hAnsi="Garamond" w:cs="Times New Roman"/>
          <w:szCs w:val="24"/>
        </w:rPr>
        <w:t>ve</w:t>
      </w:r>
      <w:r w:rsidRPr="00B457F5">
        <w:rPr>
          <w:rFonts w:ascii="Garamond" w:eastAsia="Times New Roman" w:hAnsi="Garamond" w:cs="Times New Roman"/>
          <w:szCs w:val="24"/>
        </w:rPr>
        <w:t xml:space="preserve"> pritëse. Në kuadër të agjendës së integrimit të Shqipërisë në BE, ky proces ka nisur tashmë me vendet anëtare të BE-së. </w:t>
      </w:r>
    </w:p>
    <w:p w14:paraId="0A7DA38B" w14:textId="222489AA" w:rsidR="00FF4096" w:rsidRPr="00B457F5" w:rsidRDefault="00FF4096" w:rsidP="002E693B">
      <w:pPr>
        <w:widowControl w:val="0"/>
        <w:autoSpaceDE w:val="0"/>
        <w:autoSpaceDN w:val="0"/>
        <w:spacing w:before="0" w:after="0"/>
        <w:ind w:firstLine="284"/>
        <w:rPr>
          <w:rFonts w:ascii="Garamond" w:eastAsia="Times New Roman" w:hAnsi="Garamond" w:cs="Times New Roman"/>
          <w:szCs w:val="24"/>
        </w:rPr>
      </w:pPr>
      <w:r w:rsidRPr="00B457F5">
        <w:rPr>
          <w:rFonts w:ascii="Garamond" w:eastAsia="Times New Roman" w:hAnsi="Garamond" w:cs="Times New Roman"/>
          <w:szCs w:val="24"/>
        </w:rPr>
        <w:t>Pavarësisht sfidave që paraqet ky ligj</w:t>
      </w:r>
      <w:r w:rsidR="006E18C4" w:rsidRPr="00B457F5">
        <w:rPr>
          <w:rFonts w:ascii="Garamond" w:eastAsia="Times New Roman" w:hAnsi="Garamond" w:cs="Times New Roman"/>
          <w:szCs w:val="24"/>
        </w:rPr>
        <w:t xml:space="preserve"> lidhur me zbatimin</w:t>
      </w:r>
      <w:r w:rsidRPr="00B457F5">
        <w:rPr>
          <w:rFonts w:ascii="Garamond" w:eastAsia="Times New Roman" w:hAnsi="Garamond" w:cs="Times New Roman"/>
          <w:szCs w:val="24"/>
        </w:rPr>
        <w:t xml:space="preserve">, ai mbetet ende ligji kryesor që trajton një pjesë të çështjeve të migracionit, </w:t>
      </w:r>
      <w:r w:rsidR="00C917C0" w:rsidRPr="00B457F5">
        <w:rPr>
          <w:rFonts w:ascii="Garamond" w:eastAsia="Times New Roman" w:hAnsi="Garamond" w:cs="Times New Roman"/>
          <w:szCs w:val="24"/>
        </w:rPr>
        <w:t>duke u përqendruar te</w:t>
      </w:r>
      <w:r w:rsidR="003E3D96" w:rsidRPr="00B457F5">
        <w:rPr>
          <w:rFonts w:ascii="Garamond" w:eastAsia="Times New Roman" w:hAnsi="Garamond" w:cs="Times New Roman"/>
          <w:szCs w:val="24"/>
        </w:rPr>
        <w:t>k</w:t>
      </w:r>
      <w:r w:rsidR="00C917C0" w:rsidRPr="00B457F5">
        <w:rPr>
          <w:rFonts w:ascii="Garamond" w:eastAsia="Times New Roman" w:hAnsi="Garamond" w:cs="Times New Roman"/>
          <w:szCs w:val="24"/>
        </w:rPr>
        <w:t xml:space="preserve"> </w:t>
      </w:r>
      <w:r w:rsidRPr="00B457F5">
        <w:rPr>
          <w:rFonts w:ascii="Garamond" w:eastAsia="Times New Roman" w:hAnsi="Garamond" w:cs="Times New Roman"/>
          <w:szCs w:val="24"/>
        </w:rPr>
        <w:t>emigracioni. Ndryshimet e miratuara në vitin 2011 tregojnë një përpjekje shtesë për sa i përket zbatueshmërisë së ligjit, me fokus riintegrimin e emigrantëve të kthyer, duke përcaktuar përgjegjësitë konkrete të ministrive të linjës</w:t>
      </w:r>
      <w:r w:rsidR="003E3D96" w:rsidRPr="00B457F5">
        <w:rPr>
          <w:rFonts w:ascii="Garamond" w:eastAsia="Times New Roman" w:hAnsi="Garamond" w:cs="Times New Roman"/>
          <w:szCs w:val="24"/>
        </w:rPr>
        <w:t>,</w:t>
      </w:r>
      <w:r w:rsidRPr="00B457F5">
        <w:rPr>
          <w:rFonts w:ascii="Garamond" w:eastAsia="Times New Roman" w:hAnsi="Garamond" w:cs="Times New Roman"/>
          <w:szCs w:val="24"/>
        </w:rPr>
        <w:t xml:space="preserve"> në lidhje me përfitimet e shërbimeve specifike në fushën e shëndetësisë, arsimit</w:t>
      </w:r>
      <w:r w:rsidR="00796090" w:rsidRPr="00B457F5">
        <w:rPr>
          <w:rFonts w:ascii="Garamond" w:eastAsia="Times New Roman" w:hAnsi="Garamond" w:cs="Times New Roman"/>
          <w:szCs w:val="24"/>
        </w:rPr>
        <w:t>,</w:t>
      </w:r>
      <w:r w:rsidRPr="00B457F5">
        <w:rPr>
          <w:rFonts w:ascii="Garamond" w:eastAsia="Times New Roman" w:hAnsi="Garamond" w:cs="Times New Roman"/>
          <w:szCs w:val="24"/>
        </w:rPr>
        <w:t xml:space="preserve"> punësimi</w:t>
      </w:r>
      <w:r w:rsidR="003E3D96" w:rsidRPr="00B457F5">
        <w:rPr>
          <w:rFonts w:ascii="Garamond" w:eastAsia="Times New Roman" w:hAnsi="Garamond" w:cs="Times New Roman"/>
          <w:szCs w:val="24"/>
        </w:rPr>
        <w:t>t</w:t>
      </w:r>
      <w:r w:rsidRPr="00B457F5">
        <w:rPr>
          <w:rFonts w:ascii="Garamond" w:eastAsia="Times New Roman" w:hAnsi="Garamond" w:cs="Times New Roman"/>
          <w:szCs w:val="24"/>
        </w:rPr>
        <w:t xml:space="preserve"> apo sipërmarrj</w:t>
      </w:r>
      <w:r w:rsidR="00796090" w:rsidRPr="00B457F5">
        <w:rPr>
          <w:rFonts w:ascii="Garamond" w:eastAsia="Times New Roman" w:hAnsi="Garamond" w:cs="Times New Roman"/>
          <w:szCs w:val="24"/>
        </w:rPr>
        <w:t>es</w:t>
      </w:r>
      <w:r w:rsidRPr="00B457F5">
        <w:rPr>
          <w:rFonts w:ascii="Garamond" w:eastAsia="Times New Roman" w:hAnsi="Garamond" w:cs="Times New Roman"/>
          <w:szCs w:val="24"/>
        </w:rPr>
        <w:t>, mbrojtj</w:t>
      </w:r>
      <w:r w:rsidR="00796090" w:rsidRPr="00B457F5">
        <w:rPr>
          <w:rFonts w:ascii="Garamond" w:eastAsia="Times New Roman" w:hAnsi="Garamond" w:cs="Times New Roman"/>
          <w:szCs w:val="24"/>
        </w:rPr>
        <w:t>es</w:t>
      </w:r>
      <w:r w:rsidRPr="00B457F5">
        <w:rPr>
          <w:rFonts w:ascii="Garamond" w:eastAsia="Times New Roman" w:hAnsi="Garamond" w:cs="Times New Roman"/>
          <w:szCs w:val="24"/>
        </w:rPr>
        <w:t xml:space="preserve"> sociale dhe strehimi</w:t>
      </w:r>
      <w:r w:rsidR="00796090" w:rsidRPr="00B457F5">
        <w:rPr>
          <w:rFonts w:ascii="Garamond" w:eastAsia="Times New Roman" w:hAnsi="Garamond" w:cs="Times New Roman"/>
          <w:szCs w:val="24"/>
        </w:rPr>
        <w:t>t</w:t>
      </w:r>
      <w:r w:rsidR="00CF37D6" w:rsidRPr="00B457F5">
        <w:rPr>
          <w:rFonts w:ascii="Garamond" w:eastAsia="Times New Roman" w:hAnsi="Garamond" w:cs="Times New Roman"/>
          <w:szCs w:val="24"/>
        </w:rPr>
        <w:t>.</w:t>
      </w:r>
    </w:p>
    <w:p w14:paraId="427E3941" w14:textId="5C61F0BB" w:rsidR="00A619CA" w:rsidRPr="00B457F5" w:rsidRDefault="00C31D35" w:rsidP="002E693B">
      <w:pPr>
        <w:spacing w:before="0" w:after="0"/>
        <w:ind w:firstLine="284"/>
        <w:rPr>
          <w:rFonts w:ascii="Garamond" w:eastAsia="MS Mincho" w:hAnsi="Garamond" w:cs="Times New Roman"/>
          <w:szCs w:val="24"/>
        </w:rPr>
      </w:pPr>
      <w:r w:rsidRPr="00B457F5">
        <w:rPr>
          <w:rFonts w:ascii="Garamond" w:eastAsia="MS Mincho" w:hAnsi="Garamond" w:cs="Times New Roman"/>
          <w:bCs/>
          <w:iCs/>
          <w:szCs w:val="24"/>
        </w:rPr>
        <w:t>Strategjia Kombëtare e Migracionit dhe Plani i Veprimit 2019</w:t>
      </w:r>
      <w:r w:rsidR="00734269" w:rsidRPr="00B457F5">
        <w:rPr>
          <w:rStyle w:val="contentpasted1"/>
          <w:rFonts w:ascii="Garamond" w:hAnsi="Garamond" w:cs="Times New Roman"/>
          <w:color w:val="000000"/>
        </w:rPr>
        <w:t>–</w:t>
      </w:r>
      <w:r w:rsidRPr="00B457F5">
        <w:rPr>
          <w:rFonts w:ascii="Garamond" w:eastAsia="MS Mincho" w:hAnsi="Garamond" w:cs="Times New Roman"/>
          <w:bCs/>
          <w:iCs/>
          <w:szCs w:val="24"/>
        </w:rPr>
        <w:t>2022</w:t>
      </w:r>
      <w:r w:rsidRPr="00B457F5">
        <w:rPr>
          <w:rFonts w:ascii="Garamond" w:eastAsia="MS Mincho" w:hAnsi="Garamond" w:cs="Times New Roman"/>
          <w:szCs w:val="24"/>
        </w:rPr>
        <w:t xml:space="preserve"> ishte dokumenti politik kryesor i fushës s</w:t>
      </w:r>
      <w:r w:rsidR="00B0743F" w:rsidRPr="00B457F5">
        <w:rPr>
          <w:rFonts w:ascii="Garamond" w:eastAsia="MS Mincho" w:hAnsi="Garamond" w:cs="Times New Roman"/>
          <w:szCs w:val="24"/>
        </w:rPr>
        <w:t>ë</w:t>
      </w:r>
      <w:r w:rsidRPr="00B457F5">
        <w:rPr>
          <w:rFonts w:ascii="Garamond" w:eastAsia="MS Mincho" w:hAnsi="Garamond" w:cs="Times New Roman"/>
          <w:szCs w:val="24"/>
        </w:rPr>
        <w:t xml:space="preserve"> migracionit, i cili udhëhoqi punën e institucioneve të përfshira. Sipas k</w:t>
      </w:r>
      <w:r w:rsidR="00B0743F" w:rsidRPr="00B457F5">
        <w:rPr>
          <w:rFonts w:ascii="Garamond" w:eastAsia="MS Mincho" w:hAnsi="Garamond" w:cs="Times New Roman"/>
          <w:szCs w:val="24"/>
        </w:rPr>
        <w:t>ë</w:t>
      </w:r>
      <w:r w:rsidRPr="00B457F5">
        <w:rPr>
          <w:rFonts w:ascii="Garamond" w:eastAsia="MS Mincho" w:hAnsi="Garamond" w:cs="Times New Roman"/>
          <w:szCs w:val="24"/>
        </w:rPr>
        <w:t xml:space="preserve">tij dokumenti, migracioni për motive punësimi </w:t>
      </w:r>
      <w:r w:rsidR="00B0743F" w:rsidRPr="00B457F5">
        <w:rPr>
          <w:rFonts w:ascii="Garamond" w:eastAsia="MS Mincho" w:hAnsi="Garamond" w:cs="Times New Roman"/>
          <w:szCs w:val="24"/>
        </w:rPr>
        <w:t>ë</w:t>
      </w:r>
      <w:r w:rsidRPr="00B457F5">
        <w:rPr>
          <w:rFonts w:ascii="Garamond" w:eastAsia="MS Mincho" w:hAnsi="Garamond" w:cs="Times New Roman"/>
          <w:szCs w:val="24"/>
        </w:rPr>
        <w:t>sht</w:t>
      </w:r>
      <w:r w:rsidR="00B0743F" w:rsidRPr="00B457F5">
        <w:rPr>
          <w:rFonts w:ascii="Garamond" w:eastAsia="MS Mincho" w:hAnsi="Garamond" w:cs="Times New Roman"/>
          <w:szCs w:val="24"/>
        </w:rPr>
        <w:t>ë</w:t>
      </w:r>
      <w:r w:rsidRPr="00B457F5">
        <w:rPr>
          <w:rFonts w:ascii="Garamond" w:eastAsia="MS Mincho" w:hAnsi="Garamond" w:cs="Times New Roman"/>
          <w:szCs w:val="24"/>
        </w:rPr>
        <w:t xml:space="preserve"> një faktor </w:t>
      </w:r>
      <w:r w:rsidR="00A306C2" w:rsidRPr="00B457F5">
        <w:rPr>
          <w:rFonts w:ascii="Garamond" w:eastAsia="MS Mincho" w:hAnsi="Garamond" w:cs="Times New Roman"/>
          <w:szCs w:val="24"/>
        </w:rPr>
        <w:t>me</w:t>
      </w:r>
      <w:r w:rsidR="00327C27" w:rsidRPr="00B457F5">
        <w:rPr>
          <w:rFonts w:ascii="Garamond" w:eastAsia="MS Mincho" w:hAnsi="Garamond" w:cs="Times New Roman"/>
          <w:szCs w:val="24"/>
        </w:rPr>
        <w:t xml:space="preserve"> ndikim t</w:t>
      </w:r>
      <w:r w:rsidR="00B0743F" w:rsidRPr="00B457F5">
        <w:rPr>
          <w:rFonts w:ascii="Garamond" w:eastAsia="MS Mincho" w:hAnsi="Garamond" w:cs="Times New Roman"/>
          <w:szCs w:val="24"/>
        </w:rPr>
        <w:t>ë</w:t>
      </w:r>
      <w:r w:rsidR="00327C27" w:rsidRPr="00B457F5">
        <w:rPr>
          <w:rFonts w:ascii="Garamond" w:eastAsia="MS Mincho" w:hAnsi="Garamond" w:cs="Times New Roman"/>
          <w:szCs w:val="24"/>
        </w:rPr>
        <w:t xml:space="preserve"> </w:t>
      </w:r>
      <w:r w:rsidRPr="00B457F5">
        <w:rPr>
          <w:rFonts w:ascii="Garamond" w:eastAsia="MS Mincho" w:hAnsi="Garamond" w:cs="Times New Roman"/>
          <w:szCs w:val="24"/>
        </w:rPr>
        <w:t>rëndësishëm në zhvillimin e vendit</w:t>
      </w:r>
      <w:r w:rsidR="00327C27" w:rsidRPr="00B457F5">
        <w:rPr>
          <w:rFonts w:ascii="Garamond" w:eastAsia="MS Mincho" w:hAnsi="Garamond" w:cs="Times New Roman"/>
          <w:szCs w:val="24"/>
        </w:rPr>
        <w:t>. Si i till</w:t>
      </w:r>
      <w:r w:rsidR="00B0743F" w:rsidRPr="00B457F5">
        <w:rPr>
          <w:rFonts w:ascii="Garamond" w:eastAsia="MS Mincho" w:hAnsi="Garamond" w:cs="Times New Roman"/>
          <w:szCs w:val="24"/>
        </w:rPr>
        <w:t>ë</w:t>
      </w:r>
      <w:r w:rsidR="00327C27" w:rsidRPr="00B457F5">
        <w:rPr>
          <w:rFonts w:ascii="Garamond" w:eastAsia="MS Mincho" w:hAnsi="Garamond" w:cs="Times New Roman"/>
          <w:szCs w:val="24"/>
        </w:rPr>
        <w:t>, dokumenti</w:t>
      </w:r>
      <w:r w:rsidRPr="00B457F5">
        <w:rPr>
          <w:rFonts w:ascii="Garamond" w:eastAsia="MS Mincho" w:hAnsi="Garamond" w:cs="Times New Roman"/>
          <w:szCs w:val="24"/>
        </w:rPr>
        <w:t xml:space="preserve"> parashikonte masat dhe objektivat përkatëse. Një nga shtyllat kryesore të këtij dokumenti ishte zhvillimi i politikave efektive për migracionin për motive punësimi, me qëllim rritjen e ndikimit pozitiv të migracionit në zhvillimin soci</w:t>
      </w:r>
      <w:r w:rsidR="00317FC7" w:rsidRPr="00B457F5">
        <w:rPr>
          <w:rFonts w:ascii="Garamond" w:eastAsia="MS Mincho" w:hAnsi="Garamond" w:cs="Times New Roman"/>
          <w:szCs w:val="24"/>
        </w:rPr>
        <w:t>al</w:t>
      </w:r>
      <w:r w:rsidRPr="00B457F5">
        <w:rPr>
          <w:rFonts w:ascii="Garamond" w:eastAsia="MS Mincho" w:hAnsi="Garamond" w:cs="Times New Roman"/>
          <w:szCs w:val="24"/>
        </w:rPr>
        <w:t xml:space="preserve">-ekonomik </w:t>
      </w:r>
      <w:r w:rsidR="00A306C2" w:rsidRPr="00B457F5">
        <w:rPr>
          <w:rFonts w:ascii="Garamond" w:eastAsia="MS Mincho" w:hAnsi="Garamond" w:cs="Times New Roman"/>
          <w:szCs w:val="24"/>
        </w:rPr>
        <w:t>vendor</w:t>
      </w:r>
      <w:r w:rsidRPr="00B457F5">
        <w:rPr>
          <w:rFonts w:ascii="Garamond" w:eastAsia="MS Mincho" w:hAnsi="Garamond" w:cs="Times New Roman"/>
          <w:szCs w:val="24"/>
        </w:rPr>
        <w:t xml:space="preserve"> dhe kombëtar. </w:t>
      </w:r>
      <w:r w:rsidR="00446A2E" w:rsidRPr="00B457F5">
        <w:rPr>
          <w:rFonts w:ascii="Garamond" w:eastAsia="MS Mincho" w:hAnsi="Garamond" w:cs="Times New Roman"/>
          <w:szCs w:val="24"/>
        </w:rPr>
        <w:t>Pavar</w:t>
      </w:r>
      <w:r w:rsidR="00B0743F" w:rsidRPr="00B457F5">
        <w:rPr>
          <w:rFonts w:ascii="Garamond" w:eastAsia="MS Mincho" w:hAnsi="Garamond" w:cs="Times New Roman"/>
          <w:szCs w:val="24"/>
        </w:rPr>
        <w:t>ë</w:t>
      </w:r>
      <w:r w:rsidR="00446A2E" w:rsidRPr="00B457F5">
        <w:rPr>
          <w:rFonts w:ascii="Garamond" w:eastAsia="MS Mincho" w:hAnsi="Garamond" w:cs="Times New Roman"/>
          <w:szCs w:val="24"/>
        </w:rPr>
        <w:t>sisht se p</w:t>
      </w:r>
      <w:r w:rsidR="00A306C2" w:rsidRPr="00B457F5">
        <w:rPr>
          <w:rFonts w:ascii="Garamond" w:eastAsia="MS Mincho" w:hAnsi="Garamond" w:cs="Times New Roman"/>
          <w:szCs w:val="24"/>
        </w:rPr>
        <w:t>e</w:t>
      </w:r>
      <w:r w:rsidR="00446A2E" w:rsidRPr="00B457F5">
        <w:rPr>
          <w:rFonts w:ascii="Garamond" w:eastAsia="MS Mincho" w:hAnsi="Garamond" w:cs="Times New Roman"/>
          <w:szCs w:val="24"/>
        </w:rPr>
        <w:t>riudha e zbatimit ka p</w:t>
      </w:r>
      <w:r w:rsidR="00B0743F" w:rsidRPr="00B457F5">
        <w:rPr>
          <w:rFonts w:ascii="Garamond" w:eastAsia="MS Mincho" w:hAnsi="Garamond" w:cs="Times New Roman"/>
          <w:szCs w:val="24"/>
        </w:rPr>
        <w:t>ë</w:t>
      </w:r>
      <w:r w:rsidR="00446A2E" w:rsidRPr="00B457F5">
        <w:rPr>
          <w:rFonts w:ascii="Garamond" w:eastAsia="MS Mincho" w:hAnsi="Garamond" w:cs="Times New Roman"/>
          <w:szCs w:val="24"/>
        </w:rPr>
        <w:t>rfunduar</w:t>
      </w:r>
      <w:r w:rsidRPr="00B457F5">
        <w:rPr>
          <w:rFonts w:ascii="Garamond" w:eastAsia="MS Mincho" w:hAnsi="Garamond" w:cs="Times New Roman"/>
          <w:szCs w:val="24"/>
        </w:rPr>
        <w:t>, qasja për hartimin, zbatimin dhe monitorimin e politikave të ardhshme të punësimit</w:t>
      </w:r>
      <w:r w:rsidR="0010733E" w:rsidRPr="00B457F5">
        <w:rPr>
          <w:rFonts w:ascii="Garamond" w:eastAsia="MS Mincho" w:hAnsi="Garamond" w:cs="Times New Roman"/>
          <w:szCs w:val="24"/>
        </w:rPr>
        <w:t>,</w:t>
      </w:r>
      <w:r w:rsidRPr="00B457F5">
        <w:rPr>
          <w:rFonts w:ascii="Garamond" w:eastAsia="MS Mincho" w:hAnsi="Garamond" w:cs="Times New Roman"/>
          <w:szCs w:val="24"/>
        </w:rPr>
        <w:t xml:space="preserve"> duke marrë parasysh ndikimin e migracionit në tregun e punës</w:t>
      </w:r>
      <w:r w:rsidR="0010733E" w:rsidRPr="00B457F5">
        <w:rPr>
          <w:rFonts w:ascii="Garamond" w:eastAsia="MS Mincho" w:hAnsi="Garamond" w:cs="Times New Roman"/>
          <w:szCs w:val="24"/>
        </w:rPr>
        <w:t>,</w:t>
      </w:r>
      <w:r w:rsidRPr="00B457F5">
        <w:rPr>
          <w:rFonts w:ascii="Garamond" w:eastAsia="MS Mincho" w:hAnsi="Garamond" w:cs="Times New Roman"/>
          <w:szCs w:val="24"/>
        </w:rPr>
        <w:t xml:space="preserve"> mbetet e rëndësishme. Objektiva të tjer</w:t>
      </w:r>
      <w:r w:rsidR="00AF4731" w:rsidRPr="00B457F5">
        <w:rPr>
          <w:rFonts w:ascii="Garamond" w:eastAsia="MS Mincho" w:hAnsi="Garamond" w:cs="Times New Roman"/>
          <w:szCs w:val="24"/>
        </w:rPr>
        <w:t>ë</w:t>
      </w:r>
      <w:r w:rsidRPr="00B457F5">
        <w:rPr>
          <w:rFonts w:ascii="Garamond" w:eastAsia="MS Mincho" w:hAnsi="Garamond" w:cs="Times New Roman"/>
          <w:szCs w:val="24"/>
        </w:rPr>
        <w:t xml:space="preserve"> synonin mbështetjen e formave të ndryshme të migrimit, si dhe nxitjen e përfshirjes së diasporës në zhvillimin social-ekonomik të vendit.</w:t>
      </w:r>
    </w:p>
    <w:p w14:paraId="0462FFB3" w14:textId="4C359516" w:rsidR="006E6763" w:rsidRPr="00B457F5" w:rsidRDefault="00B753AF" w:rsidP="002E693B">
      <w:pPr>
        <w:spacing w:before="0" w:after="0"/>
        <w:ind w:firstLine="284"/>
        <w:rPr>
          <w:rFonts w:ascii="Garamond" w:hAnsi="Garamond"/>
          <w:szCs w:val="24"/>
        </w:rPr>
      </w:pPr>
      <w:r w:rsidRPr="00B457F5">
        <w:rPr>
          <w:rFonts w:ascii="Garamond" w:eastAsia="MS Mincho" w:hAnsi="Garamond" w:cs="Times New Roman"/>
          <w:bCs/>
          <w:iCs/>
          <w:color w:val="0D0D0D" w:themeColor="text1" w:themeTint="F2"/>
          <w:szCs w:val="24"/>
        </w:rPr>
        <w:t>Ligji për nxitjen e punësimit</w:t>
      </w:r>
      <w:r w:rsidR="004F0DCA" w:rsidRPr="00B457F5">
        <w:rPr>
          <w:rFonts w:ascii="Garamond" w:eastAsia="MS Mincho" w:hAnsi="Garamond" w:cs="Times New Roman"/>
          <w:color w:val="0D0D0D" w:themeColor="text1" w:themeTint="F2"/>
          <w:szCs w:val="24"/>
          <w:vertAlign w:val="superscript"/>
        </w:rPr>
        <w:footnoteReference w:id="3"/>
      </w:r>
      <w:r w:rsidR="0006016F" w:rsidRPr="00B457F5">
        <w:rPr>
          <w:rFonts w:ascii="Garamond" w:eastAsia="MS Mincho" w:hAnsi="Garamond" w:cs="Times New Roman"/>
          <w:color w:val="0D0D0D" w:themeColor="text1" w:themeTint="F2"/>
          <w:szCs w:val="24"/>
        </w:rPr>
        <w:t xml:space="preserve"> </w:t>
      </w:r>
      <w:r w:rsidR="00ED3B3D" w:rsidRPr="00B457F5">
        <w:rPr>
          <w:rFonts w:ascii="Garamond" w:eastAsia="MS Mincho" w:hAnsi="Garamond" w:cs="Times New Roman"/>
          <w:color w:val="0D0D0D" w:themeColor="text1" w:themeTint="F2"/>
          <w:szCs w:val="24"/>
        </w:rPr>
        <w:t>përmban dispozita</w:t>
      </w:r>
      <w:r w:rsidRPr="00B457F5">
        <w:rPr>
          <w:rFonts w:ascii="Garamond" w:eastAsia="MS Mincho" w:hAnsi="Garamond" w:cs="Times New Roman"/>
          <w:color w:val="0D0D0D" w:themeColor="text1" w:themeTint="F2"/>
          <w:szCs w:val="24"/>
        </w:rPr>
        <w:t xml:space="preserve"> specifike që synojnë lehtësimin e përfshirjes së emigrantëve të kthyer në masat aktive dhe pasive të tregut të punës. Ky ligj përcakton si anëtarë të kategorisë së grupeve të veçanta punëkërkuesit e papunë që janë kthyer nga emigracioni gjatë dy viteve të fundit. Kategoria e grupeve </w:t>
      </w:r>
      <w:r w:rsidR="004F0DCA" w:rsidRPr="00B457F5">
        <w:rPr>
          <w:rFonts w:ascii="Garamond" w:eastAsia="MS Mincho" w:hAnsi="Garamond" w:cs="Times New Roman"/>
          <w:color w:val="0D0D0D" w:themeColor="text1" w:themeTint="F2"/>
          <w:szCs w:val="24"/>
        </w:rPr>
        <w:t>t</w:t>
      </w:r>
      <w:r w:rsidR="00B0743F" w:rsidRPr="00B457F5">
        <w:rPr>
          <w:rFonts w:ascii="Garamond" w:eastAsia="MS Mincho" w:hAnsi="Garamond" w:cs="Times New Roman"/>
          <w:color w:val="0D0D0D" w:themeColor="text1" w:themeTint="F2"/>
          <w:szCs w:val="24"/>
        </w:rPr>
        <w:t>ë</w:t>
      </w:r>
      <w:r w:rsidR="004F0DCA" w:rsidRPr="00B457F5">
        <w:rPr>
          <w:rFonts w:ascii="Garamond" w:eastAsia="MS Mincho" w:hAnsi="Garamond" w:cs="Times New Roman"/>
          <w:color w:val="0D0D0D" w:themeColor="text1" w:themeTint="F2"/>
          <w:szCs w:val="24"/>
        </w:rPr>
        <w:t xml:space="preserve"> veçanta</w:t>
      </w:r>
      <w:r w:rsidRPr="00B457F5">
        <w:rPr>
          <w:rFonts w:ascii="Garamond" w:eastAsia="MS Mincho" w:hAnsi="Garamond" w:cs="Times New Roman"/>
          <w:color w:val="0D0D0D" w:themeColor="text1" w:themeTint="F2"/>
          <w:szCs w:val="24"/>
        </w:rPr>
        <w:t xml:space="preserve"> përfshin </w:t>
      </w:r>
      <w:r w:rsidR="004F0DCA" w:rsidRPr="00B457F5">
        <w:rPr>
          <w:rFonts w:ascii="Garamond" w:eastAsia="MS Mincho" w:hAnsi="Garamond" w:cs="Times New Roman"/>
          <w:color w:val="0D0D0D" w:themeColor="text1" w:themeTint="F2"/>
          <w:szCs w:val="24"/>
        </w:rPr>
        <w:t>po</w:t>
      </w:r>
      <w:r w:rsidR="00BE5EC7" w:rsidRPr="00B457F5">
        <w:rPr>
          <w:rFonts w:ascii="Garamond" w:eastAsia="MS Mincho" w:hAnsi="Garamond" w:cs="Times New Roman"/>
          <w:color w:val="0D0D0D" w:themeColor="text1" w:themeTint="F2"/>
          <w:szCs w:val="24"/>
        </w:rPr>
        <w:t xml:space="preserve"> </w:t>
      </w:r>
      <w:r w:rsidR="004F0DCA" w:rsidRPr="00B457F5">
        <w:rPr>
          <w:rFonts w:ascii="Garamond" w:eastAsia="MS Mincho" w:hAnsi="Garamond" w:cs="Times New Roman"/>
          <w:color w:val="0D0D0D" w:themeColor="text1" w:themeTint="F2"/>
          <w:szCs w:val="24"/>
        </w:rPr>
        <w:t>ashtu</w:t>
      </w:r>
      <w:r w:rsidRPr="00B457F5">
        <w:rPr>
          <w:rFonts w:ascii="Garamond" w:eastAsia="MS Mincho" w:hAnsi="Garamond" w:cs="Times New Roman"/>
          <w:color w:val="0D0D0D" w:themeColor="text1" w:themeTint="F2"/>
          <w:szCs w:val="24"/>
        </w:rPr>
        <w:t xml:space="preserve"> individët nën moshën 29 vjeç, si një përpjekje strategjike për të </w:t>
      </w:r>
      <w:r w:rsidR="00BE5EC7" w:rsidRPr="00B457F5">
        <w:rPr>
          <w:rFonts w:ascii="Garamond" w:eastAsia="MS Mincho" w:hAnsi="Garamond" w:cs="Times New Roman"/>
          <w:color w:val="0D0D0D" w:themeColor="text1" w:themeTint="F2"/>
          <w:szCs w:val="24"/>
        </w:rPr>
        <w:t xml:space="preserve">trajtuar </w:t>
      </w:r>
      <w:r w:rsidRPr="00B457F5">
        <w:rPr>
          <w:rFonts w:ascii="Garamond" w:eastAsia="MS Mincho" w:hAnsi="Garamond" w:cs="Times New Roman"/>
          <w:color w:val="0D0D0D" w:themeColor="text1" w:themeTint="F2"/>
          <w:szCs w:val="24"/>
        </w:rPr>
        <w:t>një nga shkaqet kryesore të emigrimit.</w:t>
      </w:r>
      <w:r w:rsidR="004843C6" w:rsidRPr="00B457F5">
        <w:rPr>
          <w:rFonts w:ascii="Garamond" w:eastAsia="MS Mincho" w:hAnsi="Garamond" w:cs="Times New Roman"/>
          <w:color w:val="0D0D0D" w:themeColor="text1" w:themeTint="F2"/>
          <w:szCs w:val="24"/>
        </w:rPr>
        <w:t xml:space="preserve"> </w:t>
      </w:r>
      <w:r w:rsidR="00D824FF" w:rsidRPr="00B457F5">
        <w:rPr>
          <w:rFonts w:ascii="Garamond" w:eastAsia="MS Mincho" w:hAnsi="Garamond" w:cs="Times New Roman"/>
          <w:szCs w:val="24"/>
        </w:rPr>
        <w:t>Në përputhje me dispozitat e ligjit për nxitjen e punësimit, janë ratifikuar akte të shumta nënligjore. Këto akte nënligjore vendosin rregulla dhe kritere që rregullojnë programet e veçanta të punësimit, duke përfshirë aspekte të tilla si</w:t>
      </w:r>
      <w:r w:rsidR="003E3D96" w:rsidRPr="00B457F5">
        <w:rPr>
          <w:rFonts w:ascii="Garamond" w:eastAsia="MS Mincho" w:hAnsi="Garamond" w:cs="Times New Roman"/>
          <w:szCs w:val="24"/>
        </w:rPr>
        <w:t>:</w:t>
      </w:r>
      <w:r w:rsidR="00D824FF" w:rsidRPr="00B457F5">
        <w:rPr>
          <w:rFonts w:ascii="Garamond" w:eastAsia="MS Mincho" w:hAnsi="Garamond" w:cs="Times New Roman"/>
          <w:szCs w:val="24"/>
        </w:rPr>
        <w:t xml:space="preserve"> punësimi, trajnimi, praktikat profesionale, vetëpunësimi, puna në komunitet etj.</w:t>
      </w:r>
      <w:r w:rsidR="00CA3DAD" w:rsidRPr="00B457F5">
        <w:rPr>
          <w:rFonts w:ascii="Garamond" w:eastAsia="MS Mincho" w:hAnsi="Garamond" w:cs="Times New Roman"/>
          <w:szCs w:val="24"/>
        </w:rPr>
        <w:t xml:space="preserve"> Ky ligj vë theksin </w:t>
      </w:r>
      <w:r w:rsidR="00994C75" w:rsidRPr="00B457F5">
        <w:rPr>
          <w:rFonts w:ascii="Garamond" w:eastAsia="MS Mincho" w:hAnsi="Garamond" w:cs="Times New Roman"/>
          <w:szCs w:val="24"/>
        </w:rPr>
        <w:t>te</w:t>
      </w:r>
      <w:r w:rsidR="003E3D96" w:rsidRPr="00B457F5">
        <w:rPr>
          <w:rFonts w:ascii="Garamond" w:eastAsia="MS Mincho" w:hAnsi="Garamond" w:cs="Times New Roman"/>
          <w:szCs w:val="24"/>
        </w:rPr>
        <w:t>k</w:t>
      </w:r>
      <w:r w:rsidR="00CA3DAD" w:rsidRPr="00B457F5">
        <w:rPr>
          <w:rFonts w:ascii="Garamond" w:eastAsia="MS Mincho" w:hAnsi="Garamond" w:cs="Times New Roman"/>
          <w:szCs w:val="24"/>
        </w:rPr>
        <w:t xml:space="preserve"> </w:t>
      </w:r>
      <w:r w:rsidR="00CA3DAD" w:rsidRPr="00B457F5">
        <w:rPr>
          <w:rFonts w:ascii="Garamond" w:eastAsia="MS Mincho" w:hAnsi="Garamond" w:cs="Times New Roman"/>
          <w:szCs w:val="24"/>
        </w:rPr>
        <w:lastRenderedPageBreak/>
        <w:t xml:space="preserve">integrimi në tregun e punës dhe integrimi social </w:t>
      </w:r>
      <w:r w:rsidR="00994C75" w:rsidRPr="00B457F5">
        <w:rPr>
          <w:rFonts w:ascii="Garamond" w:eastAsia="MS Mincho" w:hAnsi="Garamond" w:cs="Times New Roman"/>
          <w:szCs w:val="24"/>
        </w:rPr>
        <w:t>i</w:t>
      </w:r>
      <w:r w:rsidR="00CA3DAD" w:rsidRPr="00B457F5">
        <w:rPr>
          <w:rFonts w:ascii="Garamond" w:eastAsia="MS Mincho" w:hAnsi="Garamond" w:cs="Times New Roman"/>
          <w:szCs w:val="24"/>
        </w:rPr>
        <w:t xml:space="preserve"> këtyre grupeve të veçanta. Ai parashikon krijimin e infrastrukturës dhe burimeve thelbësore në nivel rajonal dhe </w:t>
      </w:r>
      <w:r w:rsidR="00704921" w:rsidRPr="00B457F5">
        <w:rPr>
          <w:rFonts w:ascii="Garamond" w:eastAsia="MS Mincho" w:hAnsi="Garamond" w:cs="Times New Roman"/>
          <w:szCs w:val="24"/>
        </w:rPr>
        <w:t>vendor</w:t>
      </w:r>
      <w:r w:rsidR="00CA3DAD" w:rsidRPr="00B457F5">
        <w:rPr>
          <w:rFonts w:ascii="Garamond" w:eastAsia="MS Mincho" w:hAnsi="Garamond" w:cs="Times New Roman"/>
          <w:szCs w:val="24"/>
        </w:rPr>
        <w:t xml:space="preserve"> për të ofruar shërbime të personalizuara. Kjo përfshin këshillim të specializuar për karrierë</w:t>
      </w:r>
      <w:r w:rsidR="004843C6" w:rsidRPr="00B457F5">
        <w:rPr>
          <w:rFonts w:ascii="Garamond" w:eastAsia="MS Mincho" w:hAnsi="Garamond" w:cs="Times New Roman"/>
          <w:szCs w:val="24"/>
        </w:rPr>
        <w:t>n</w:t>
      </w:r>
      <w:r w:rsidR="00CA3DAD" w:rsidRPr="00B457F5">
        <w:rPr>
          <w:rFonts w:ascii="Garamond" w:eastAsia="MS Mincho" w:hAnsi="Garamond" w:cs="Times New Roman"/>
          <w:szCs w:val="24"/>
        </w:rPr>
        <w:t xml:space="preserve"> dhe punësim</w:t>
      </w:r>
      <w:r w:rsidR="004843C6" w:rsidRPr="00B457F5">
        <w:rPr>
          <w:rFonts w:ascii="Garamond" w:eastAsia="MS Mincho" w:hAnsi="Garamond" w:cs="Times New Roman"/>
          <w:szCs w:val="24"/>
        </w:rPr>
        <w:t>in,</w:t>
      </w:r>
      <w:r w:rsidR="00CA3DAD" w:rsidRPr="00B457F5">
        <w:rPr>
          <w:rFonts w:ascii="Garamond" w:eastAsia="MS Mincho" w:hAnsi="Garamond" w:cs="Times New Roman"/>
          <w:szCs w:val="24"/>
        </w:rPr>
        <w:t xml:space="preserve"> të përshtatura </w:t>
      </w:r>
      <w:r w:rsidR="004843C6" w:rsidRPr="00B457F5">
        <w:rPr>
          <w:rFonts w:ascii="Garamond" w:eastAsia="MS Mincho" w:hAnsi="Garamond" w:cs="Times New Roman"/>
          <w:szCs w:val="24"/>
        </w:rPr>
        <w:t>sipas</w:t>
      </w:r>
      <w:r w:rsidR="00CA3DAD" w:rsidRPr="00B457F5">
        <w:rPr>
          <w:rFonts w:ascii="Garamond" w:eastAsia="MS Mincho" w:hAnsi="Garamond" w:cs="Times New Roman"/>
          <w:szCs w:val="24"/>
        </w:rPr>
        <w:t xml:space="preserve"> nevoja</w:t>
      </w:r>
      <w:r w:rsidR="004843C6" w:rsidRPr="00B457F5">
        <w:rPr>
          <w:rFonts w:ascii="Garamond" w:eastAsia="MS Mincho" w:hAnsi="Garamond" w:cs="Times New Roman"/>
          <w:szCs w:val="24"/>
        </w:rPr>
        <w:t>ve</w:t>
      </w:r>
      <w:r w:rsidR="00CA3DAD" w:rsidRPr="00B457F5">
        <w:rPr>
          <w:rFonts w:ascii="Garamond" w:eastAsia="MS Mincho" w:hAnsi="Garamond" w:cs="Times New Roman"/>
          <w:szCs w:val="24"/>
        </w:rPr>
        <w:t xml:space="preserve"> </w:t>
      </w:r>
      <w:r w:rsidR="004843C6" w:rsidRPr="00B457F5">
        <w:rPr>
          <w:rFonts w:ascii="Garamond" w:eastAsia="MS Mincho" w:hAnsi="Garamond" w:cs="Times New Roman"/>
          <w:szCs w:val="24"/>
        </w:rPr>
        <w:t>t</w:t>
      </w:r>
      <w:r w:rsidR="00B0743F" w:rsidRPr="00B457F5">
        <w:rPr>
          <w:rFonts w:ascii="Garamond" w:eastAsia="MS Mincho" w:hAnsi="Garamond" w:cs="Times New Roman"/>
          <w:szCs w:val="24"/>
        </w:rPr>
        <w:t>ë</w:t>
      </w:r>
      <w:r w:rsidR="004843C6" w:rsidRPr="00B457F5">
        <w:rPr>
          <w:rFonts w:ascii="Garamond" w:eastAsia="MS Mincho" w:hAnsi="Garamond" w:cs="Times New Roman"/>
          <w:szCs w:val="24"/>
        </w:rPr>
        <w:t xml:space="preserve"> </w:t>
      </w:r>
      <w:r w:rsidR="00CA3DAD" w:rsidRPr="00B457F5">
        <w:rPr>
          <w:rFonts w:ascii="Garamond" w:eastAsia="MS Mincho" w:hAnsi="Garamond" w:cs="Times New Roman"/>
          <w:szCs w:val="24"/>
        </w:rPr>
        <w:t>individëve.</w:t>
      </w:r>
    </w:p>
    <w:p w14:paraId="277E6A90" w14:textId="65A3CAA9" w:rsidR="00FA1E16" w:rsidRPr="00B457F5" w:rsidRDefault="00FA1E16"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Ligji </w:t>
      </w:r>
      <w:r w:rsidR="00A313AE" w:rsidRPr="00B457F5">
        <w:rPr>
          <w:rFonts w:ascii="Garamond" w:eastAsia="MS Mincho" w:hAnsi="Garamond" w:cs="Times New Roman"/>
          <w:szCs w:val="24"/>
        </w:rPr>
        <w:t>“</w:t>
      </w:r>
      <w:r w:rsidR="00AD7575" w:rsidRPr="00B457F5">
        <w:rPr>
          <w:rFonts w:ascii="Garamond" w:eastAsia="MS Mincho" w:hAnsi="Garamond" w:cs="Times New Roman"/>
          <w:szCs w:val="24"/>
        </w:rPr>
        <w:t>P</w:t>
      </w:r>
      <w:r w:rsidRPr="00B457F5">
        <w:rPr>
          <w:rFonts w:ascii="Garamond" w:eastAsia="MS Mincho" w:hAnsi="Garamond" w:cs="Times New Roman"/>
          <w:szCs w:val="24"/>
        </w:rPr>
        <w:t>ër mbrojtjen nga diskriminimi</w:t>
      </w:r>
      <w:r w:rsidR="00A313AE" w:rsidRPr="00B457F5">
        <w:rPr>
          <w:rFonts w:ascii="Garamond" w:eastAsia="MS Mincho" w:hAnsi="Garamond" w:cs="Times New Roman"/>
          <w:szCs w:val="24"/>
        </w:rPr>
        <w:t>”</w:t>
      </w:r>
      <w:r w:rsidR="006E6763" w:rsidRPr="00B457F5">
        <w:rPr>
          <w:rStyle w:val="FootnoteReference"/>
          <w:rFonts w:ascii="Garamond" w:eastAsia="MS Mincho" w:hAnsi="Garamond" w:cs="Times New Roman"/>
          <w:szCs w:val="24"/>
        </w:rPr>
        <w:footnoteReference w:id="4"/>
      </w:r>
      <w:r w:rsidRPr="00B457F5">
        <w:rPr>
          <w:rFonts w:ascii="Garamond" w:eastAsia="MS Mincho" w:hAnsi="Garamond" w:cs="Times New Roman"/>
          <w:szCs w:val="24"/>
        </w:rPr>
        <w:t>, rregullon zbatimin dhe respektimin e parimit të barazisë dhe mosdiskriminimit</w:t>
      </w:r>
      <w:r w:rsidR="003E3D96" w:rsidRPr="00B457F5">
        <w:rPr>
          <w:rFonts w:ascii="Garamond" w:eastAsia="MS Mincho" w:hAnsi="Garamond" w:cs="Times New Roman"/>
          <w:szCs w:val="24"/>
        </w:rPr>
        <w:t>,</w:t>
      </w:r>
      <w:r w:rsidRPr="00B457F5">
        <w:rPr>
          <w:rFonts w:ascii="Garamond" w:eastAsia="MS Mincho" w:hAnsi="Garamond" w:cs="Times New Roman"/>
          <w:szCs w:val="24"/>
        </w:rPr>
        <w:t xml:space="preserve"> në lidhje me të gjitha grupimet e parashikuara në të, dhe ka për qëllim</w:t>
      </w:r>
      <w:r w:rsidR="0006016F" w:rsidRPr="00B457F5">
        <w:rPr>
          <w:rFonts w:ascii="Garamond" w:eastAsia="MS Mincho" w:hAnsi="Garamond" w:cs="Times New Roman"/>
          <w:szCs w:val="24"/>
        </w:rPr>
        <w:t xml:space="preserve"> </w:t>
      </w:r>
      <w:r w:rsidRPr="00B457F5">
        <w:rPr>
          <w:rFonts w:ascii="Garamond" w:eastAsia="MS Mincho" w:hAnsi="Garamond" w:cs="Times New Roman"/>
          <w:szCs w:val="24"/>
        </w:rPr>
        <w:t>sigurimin e të drejtë</w:t>
      </w:r>
      <w:r w:rsidR="003E3D96" w:rsidRPr="00B457F5">
        <w:rPr>
          <w:rFonts w:ascii="Garamond" w:eastAsia="MS Mincho" w:hAnsi="Garamond" w:cs="Times New Roman"/>
          <w:szCs w:val="24"/>
        </w:rPr>
        <w:t>s</w:t>
      </w:r>
      <w:r w:rsidRPr="00B457F5">
        <w:rPr>
          <w:rFonts w:ascii="Garamond" w:eastAsia="MS Mincho" w:hAnsi="Garamond" w:cs="Times New Roman"/>
          <w:szCs w:val="24"/>
        </w:rPr>
        <w:t xml:space="preserve"> së çdo personi për mbrojtje të barabartë nga ligji, barazi të shanseve dhe mundësive për të ushtruar të drejtat, për të gëzuar liritë dhe për të marrë pjesë në jetën publike, si dhe</w:t>
      </w:r>
      <w:r w:rsidR="0006016F" w:rsidRPr="00B457F5">
        <w:rPr>
          <w:rFonts w:ascii="Garamond" w:eastAsia="MS Mincho" w:hAnsi="Garamond" w:cs="Times New Roman"/>
          <w:szCs w:val="24"/>
        </w:rPr>
        <w:t xml:space="preserve"> </w:t>
      </w:r>
      <w:r w:rsidRPr="00B457F5">
        <w:rPr>
          <w:rFonts w:ascii="Garamond" w:eastAsia="MS Mincho" w:hAnsi="Garamond" w:cs="Times New Roman"/>
          <w:szCs w:val="24"/>
        </w:rPr>
        <w:t xml:space="preserve">mbrojtje efektive nga diskriminimi dhe nga çdo formë sjelljeje që nxit diskriminimin. Ky ligj zbatohet për të gjithë personat që jetojnë dhe qëndrojnë në territorin e Republikës së Shqipërisë, duke përfshirë këtu </w:t>
      </w:r>
      <w:r w:rsidR="00C24787" w:rsidRPr="00B457F5">
        <w:rPr>
          <w:rFonts w:ascii="Garamond" w:eastAsia="MS Mincho" w:hAnsi="Garamond" w:cs="Times New Roman"/>
          <w:szCs w:val="24"/>
        </w:rPr>
        <w:t xml:space="preserve">mundësi </w:t>
      </w:r>
      <w:r w:rsidRPr="00B457F5">
        <w:rPr>
          <w:rFonts w:ascii="Garamond" w:eastAsia="MS Mincho" w:hAnsi="Garamond" w:cs="Times New Roman"/>
          <w:szCs w:val="24"/>
        </w:rPr>
        <w:t xml:space="preserve">të barabarta trajtimi si për kategorinë e migrantëve të </w:t>
      </w:r>
      <w:r w:rsidR="00734269" w:rsidRPr="00B457F5">
        <w:rPr>
          <w:rFonts w:ascii="Garamond" w:eastAsia="MS Mincho" w:hAnsi="Garamond" w:cs="Times New Roman"/>
          <w:szCs w:val="24"/>
        </w:rPr>
        <w:t>rregullt</w:t>
      </w:r>
      <w:r w:rsidRPr="00B457F5">
        <w:rPr>
          <w:rFonts w:ascii="Garamond" w:eastAsia="MS Mincho" w:hAnsi="Garamond" w:cs="Times New Roman"/>
          <w:szCs w:val="24"/>
        </w:rPr>
        <w:t xml:space="preserve"> dhe atyre të parregullt.</w:t>
      </w:r>
    </w:p>
    <w:p w14:paraId="7DC26CFA" w14:textId="0D6B4383" w:rsidR="00FA1E16" w:rsidRPr="00B457F5" w:rsidRDefault="00FA1E16"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Ndryshimet e miratuara në </w:t>
      </w:r>
      <w:r w:rsidR="003E3D96" w:rsidRPr="00B457F5">
        <w:rPr>
          <w:rFonts w:ascii="Garamond" w:eastAsia="MS Mincho" w:hAnsi="Garamond" w:cs="Times New Roman"/>
          <w:szCs w:val="24"/>
        </w:rPr>
        <w:t>l</w:t>
      </w:r>
      <w:r w:rsidRPr="00B457F5">
        <w:rPr>
          <w:rFonts w:ascii="Garamond" w:eastAsia="MS Mincho" w:hAnsi="Garamond" w:cs="Times New Roman"/>
          <w:szCs w:val="24"/>
        </w:rPr>
        <w:t xml:space="preserve">igjin </w:t>
      </w:r>
      <w:r w:rsidR="00A313AE" w:rsidRPr="00B457F5">
        <w:rPr>
          <w:rFonts w:ascii="Garamond" w:eastAsia="MS Mincho" w:hAnsi="Garamond" w:cs="Times New Roman"/>
          <w:szCs w:val="24"/>
        </w:rPr>
        <w:t>“</w:t>
      </w:r>
      <w:r w:rsidR="001D133C" w:rsidRPr="00B457F5">
        <w:rPr>
          <w:rFonts w:ascii="Garamond" w:eastAsia="MS Mincho" w:hAnsi="Garamond" w:cs="Times New Roman"/>
          <w:szCs w:val="24"/>
        </w:rPr>
        <w:t>P</w:t>
      </w:r>
      <w:r w:rsidRPr="00B457F5">
        <w:rPr>
          <w:rFonts w:ascii="Garamond" w:eastAsia="MS Mincho" w:hAnsi="Garamond" w:cs="Times New Roman"/>
          <w:szCs w:val="24"/>
        </w:rPr>
        <w:t>ër vetëqeverisjen vendore</w:t>
      </w:r>
      <w:r w:rsidR="00A313AE" w:rsidRPr="00B457F5">
        <w:rPr>
          <w:rFonts w:ascii="Garamond" w:eastAsia="MS Mincho" w:hAnsi="Garamond" w:cs="Times New Roman"/>
          <w:szCs w:val="24"/>
        </w:rPr>
        <w:t>”</w:t>
      </w:r>
      <w:r w:rsidRPr="00B457F5">
        <w:rPr>
          <w:rFonts w:ascii="Garamond" w:eastAsia="MS Mincho" w:hAnsi="Garamond" w:cs="Times New Roman"/>
          <w:b/>
          <w:szCs w:val="24"/>
        </w:rPr>
        <w:t xml:space="preserve"> </w:t>
      </w:r>
      <w:r w:rsidRPr="00B457F5">
        <w:rPr>
          <w:rFonts w:ascii="Garamond" w:eastAsia="MS Mincho" w:hAnsi="Garamond" w:cs="Times New Roman"/>
          <w:bCs/>
          <w:szCs w:val="24"/>
        </w:rPr>
        <w:t>në vitin 2019</w:t>
      </w:r>
      <w:r w:rsidR="003E3D96" w:rsidRPr="00B457F5">
        <w:rPr>
          <w:rFonts w:ascii="Garamond" w:eastAsia="MS Mincho" w:hAnsi="Garamond" w:cs="Times New Roman"/>
          <w:bCs/>
          <w:szCs w:val="24"/>
        </w:rPr>
        <w:t>,</w:t>
      </w:r>
      <w:r w:rsidR="006E6763" w:rsidRPr="00B457F5">
        <w:rPr>
          <w:rStyle w:val="FootnoteReference"/>
          <w:rFonts w:ascii="Garamond" w:eastAsia="MS Mincho" w:hAnsi="Garamond" w:cs="Times New Roman"/>
          <w:bCs/>
          <w:szCs w:val="24"/>
        </w:rPr>
        <w:footnoteReference w:id="5"/>
      </w:r>
      <w:r w:rsidRPr="00B457F5">
        <w:rPr>
          <w:rFonts w:ascii="Garamond" w:eastAsia="MS Mincho" w:hAnsi="Garamond" w:cs="Times New Roman"/>
          <w:szCs w:val="24"/>
        </w:rPr>
        <w:t xml:space="preserve"> i ngarkuan njësive të vetëqeverisjes vendore (NJVV) përgjegjësi shtesë duke kërkuar ngritjen e një njësie të posaçme</w:t>
      </w:r>
      <w:r w:rsidR="007A0854" w:rsidRPr="00B457F5">
        <w:rPr>
          <w:rFonts w:ascii="Garamond" w:eastAsia="MS Mincho" w:hAnsi="Garamond" w:cs="Times New Roman"/>
          <w:szCs w:val="24"/>
        </w:rPr>
        <w:t xml:space="preserve"> për diasporën dhe migracionin. </w:t>
      </w:r>
      <w:r w:rsidRPr="00B457F5">
        <w:rPr>
          <w:rFonts w:ascii="Garamond" w:eastAsia="MS Mincho" w:hAnsi="Garamond" w:cs="Times New Roman"/>
          <w:szCs w:val="24"/>
        </w:rPr>
        <w:t>Funksionet e kësaj strukture përfshijnë ofrimin e mbështetjes, informacionit dhe shërbimeve për migrantët</w:t>
      </w:r>
      <w:r w:rsidR="003E3D96" w:rsidRPr="00B457F5">
        <w:rPr>
          <w:rFonts w:ascii="Garamond" w:eastAsia="MS Mincho" w:hAnsi="Garamond" w:cs="Times New Roman"/>
          <w:szCs w:val="24"/>
        </w:rPr>
        <w:t>,</w:t>
      </w:r>
      <w:r w:rsidRPr="00B457F5">
        <w:rPr>
          <w:rFonts w:ascii="Garamond" w:eastAsia="MS Mincho" w:hAnsi="Garamond" w:cs="Times New Roman"/>
          <w:szCs w:val="24"/>
        </w:rPr>
        <w:t xml:space="preserve"> në lidhje me mundësitë e investimit</w:t>
      </w:r>
      <w:r w:rsidR="003E3D96" w:rsidRPr="00B457F5">
        <w:rPr>
          <w:rFonts w:ascii="Garamond" w:eastAsia="MS Mincho" w:hAnsi="Garamond" w:cs="Times New Roman"/>
          <w:szCs w:val="24"/>
        </w:rPr>
        <w:t>,</w:t>
      </w:r>
      <w:r w:rsidRPr="00B457F5">
        <w:rPr>
          <w:rFonts w:ascii="Garamond" w:eastAsia="MS Mincho" w:hAnsi="Garamond" w:cs="Times New Roman"/>
          <w:szCs w:val="24"/>
        </w:rPr>
        <w:t xml:space="preserve"> si dhe riintegrimin social të migrantëve të kthyer.</w:t>
      </w:r>
    </w:p>
    <w:p w14:paraId="35546566" w14:textId="6709BEA5" w:rsidR="00FA1E16" w:rsidRPr="00B457F5" w:rsidRDefault="00FA1E16"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Një funksion tjetër i NJVV-ve ka të bëjë me </w:t>
      </w:r>
      <w:r w:rsidR="007F4EE0" w:rsidRPr="00B457F5">
        <w:rPr>
          <w:rFonts w:ascii="Garamond" w:eastAsia="MS Mincho" w:hAnsi="Garamond" w:cs="Times New Roman"/>
          <w:szCs w:val="24"/>
        </w:rPr>
        <w:t>mbajtjen</w:t>
      </w:r>
      <w:r w:rsidRPr="00B457F5">
        <w:rPr>
          <w:rFonts w:ascii="Garamond" w:eastAsia="MS Mincho" w:hAnsi="Garamond" w:cs="Times New Roman"/>
          <w:szCs w:val="24"/>
        </w:rPr>
        <w:t xml:space="preserve"> e komunikimit të vazhdueshëm me emigrantët dhe diasporën nëpërmjet aktiviteteve të ndryshme të organizuara brenda dhe jashtë vendit. </w:t>
      </w:r>
      <w:r w:rsidR="005F3D75" w:rsidRPr="00B457F5">
        <w:rPr>
          <w:rFonts w:ascii="Garamond" w:eastAsia="MS Mincho" w:hAnsi="Garamond" w:cs="Times New Roman"/>
          <w:szCs w:val="24"/>
        </w:rPr>
        <w:t>NJVV-të kërko</w:t>
      </w:r>
      <w:r w:rsidR="00190DB7" w:rsidRPr="00B457F5">
        <w:rPr>
          <w:rFonts w:ascii="Garamond" w:eastAsia="MS Mincho" w:hAnsi="Garamond" w:cs="Times New Roman"/>
          <w:szCs w:val="24"/>
        </w:rPr>
        <w:t xml:space="preserve">het </w:t>
      </w:r>
      <w:r w:rsidRPr="00B457F5">
        <w:rPr>
          <w:rFonts w:ascii="Garamond" w:eastAsia="MS Mincho" w:hAnsi="Garamond" w:cs="Times New Roman"/>
          <w:szCs w:val="24"/>
        </w:rPr>
        <w:t>të koordinojnë veprimtarinë e tyre me ministritë përgjegjëse për migracionin dhe punët e jashtme</w:t>
      </w:r>
      <w:r w:rsidR="003E3D96" w:rsidRPr="00B457F5">
        <w:rPr>
          <w:rFonts w:ascii="Garamond" w:eastAsia="MS Mincho" w:hAnsi="Garamond" w:cs="Times New Roman"/>
          <w:szCs w:val="24"/>
        </w:rPr>
        <w:t>,</w:t>
      </w:r>
      <w:r w:rsidRPr="00B457F5">
        <w:rPr>
          <w:rFonts w:ascii="Garamond" w:eastAsia="MS Mincho" w:hAnsi="Garamond" w:cs="Times New Roman"/>
          <w:szCs w:val="24"/>
        </w:rPr>
        <w:t xml:space="preserve"> për të siguruar informacion dhe mbështetje për çështjet që lidhen me migracionin dhe diasporën.</w:t>
      </w:r>
    </w:p>
    <w:p w14:paraId="01C2C85C" w14:textId="6A5AC81B" w:rsidR="00FA1E16" w:rsidRPr="00B457F5" w:rsidRDefault="00FA1E16" w:rsidP="002E693B">
      <w:pPr>
        <w:spacing w:before="0" w:after="0"/>
        <w:ind w:firstLine="284"/>
        <w:rPr>
          <w:rFonts w:ascii="Garamond" w:eastAsia="MS Mincho" w:hAnsi="Garamond" w:cs="Times New Roman"/>
          <w:szCs w:val="24"/>
        </w:rPr>
      </w:pPr>
      <w:r w:rsidRPr="00B457F5">
        <w:rPr>
          <w:rFonts w:ascii="Garamond" w:eastAsia="MS Mincho" w:hAnsi="Garamond" w:cs="Times New Roman"/>
          <w:i/>
          <w:szCs w:val="24"/>
        </w:rPr>
        <w:t>Profilet e migracionit</w:t>
      </w:r>
      <w:r w:rsidRPr="00B457F5">
        <w:rPr>
          <w:rFonts w:ascii="Garamond" w:eastAsia="MS Mincho" w:hAnsi="Garamond" w:cs="Times New Roman"/>
          <w:szCs w:val="24"/>
        </w:rPr>
        <w:t>. Zhvillimi i profileve vjetore dhe të zgjeruara të migracionit nga institucionet përgjegjëse shërben për të ofruar informacion analitik dhe statistikor mbi tendencat migratore drejt dhe nga Shqipëria</w:t>
      </w:r>
      <w:r w:rsidR="003E3D96" w:rsidRPr="00B457F5">
        <w:rPr>
          <w:rFonts w:ascii="Garamond" w:eastAsia="MS Mincho" w:hAnsi="Garamond" w:cs="Times New Roman"/>
          <w:szCs w:val="24"/>
        </w:rPr>
        <w:t>,</w:t>
      </w:r>
      <w:r w:rsidRPr="00B457F5">
        <w:rPr>
          <w:rFonts w:ascii="Garamond" w:eastAsia="MS Mincho" w:hAnsi="Garamond" w:cs="Times New Roman"/>
          <w:szCs w:val="24"/>
        </w:rPr>
        <w:t xml:space="preserve"> për të udhëhequr politikat afatshkurtra dhe afatmesme</w:t>
      </w:r>
      <w:r w:rsidR="003E3D96" w:rsidRPr="00B457F5">
        <w:rPr>
          <w:rFonts w:ascii="Garamond" w:eastAsia="MS Mincho" w:hAnsi="Garamond" w:cs="Times New Roman"/>
          <w:szCs w:val="24"/>
        </w:rPr>
        <w:t>,</w:t>
      </w:r>
      <w:r w:rsidRPr="00B457F5">
        <w:rPr>
          <w:rFonts w:ascii="Garamond" w:eastAsia="MS Mincho" w:hAnsi="Garamond" w:cs="Times New Roman"/>
          <w:szCs w:val="24"/>
        </w:rPr>
        <w:t xml:space="preserve"> për menaxhimin efektiv të migracionit. Gjetjet e dokumentit të fundit që mbulon periudhën 2015</w:t>
      </w:r>
      <w:r w:rsidR="00734269" w:rsidRPr="00B457F5">
        <w:rPr>
          <w:rStyle w:val="contentpasted1"/>
          <w:rFonts w:ascii="Garamond" w:hAnsi="Garamond" w:cs="Times New Roman"/>
          <w:color w:val="000000"/>
        </w:rPr>
        <w:t>–</w:t>
      </w:r>
      <w:r w:rsidRPr="00B457F5">
        <w:rPr>
          <w:rFonts w:ascii="Garamond" w:eastAsia="MS Mincho" w:hAnsi="Garamond" w:cs="Times New Roman"/>
          <w:szCs w:val="24"/>
        </w:rPr>
        <w:t xml:space="preserve">2018 tregojnë se tregu i punës në Shqipëri mbetet ende i dobët. Disa nga dobësitë janë niveli i lartë i papunësisë tek të rinjtë, niveli i lartë i papunësisë afatgjatë, tregu jofleksibël i punës edhe për të rinjtë me diplomë </w:t>
      </w:r>
      <w:r w:rsidR="00224E0B" w:rsidRPr="00B457F5">
        <w:rPr>
          <w:rFonts w:ascii="Garamond" w:eastAsia="MS Mincho" w:hAnsi="Garamond" w:cs="Times New Roman"/>
          <w:szCs w:val="24"/>
        </w:rPr>
        <w:t>t</w:t>
      </w:r>
      <w:r w:rsidR="002E4A6F" w:rsidRPr="00B457F5">
        <w:rPr>
          <w:rFonts w:ascii="Garamond" w:eastAsia="MS Mincho" w:hAnsi="Garamond" w:cs="Times New Roman"/>
          <w:szCs w:val="24"/>
        </w:rPr>
        <w:t>ë</w:t>
      </w:r>
      <w:r w:rsidR="00224E0B" w:rsidRPr="00B457F5">
        <w:rPr>
          <w:rFonts w:ascii="Garamond" w:eastAsia="MS Mincho" w:hAnsi="Garamond" w:cs="Times New Roman"/>
          <w:szCs w:val="24"/>
        </w:rPr>
        <w:t xml:space="preserve"> arsimit t</w:t>
      </w:r>
      <w:r w:rsidR="002E4A6F" w:rsidRPr="00B457F5">
        <w:rPr>
          <w:rFonts w:ascii="Garamond" w:eastAsia="MS Mincho" w:hAnsi="Garamond" w:cs="Times New Roman"/>
          <w:szCs w:val="24"/>
        </w:rPr>
        <w:t>ë</w:t>
      </w:r>
      <w:r w:rsidR="00224E0B" w:rsidRPr="00B457F5">
        <w:rPr>
          <w:rFonts w:ascii="Garamond" w:eastAsia="MS Mincho" w:hAnsi="Garamond" w:cs="Times New Roman"/>
          <w:szCs w:val="24"/>
        </w:rPr>
        <w:t xml:space="preserve"> lart</w:t>
      </w:r>
      <w:r w:rsidR="002E4A6F" w:rsidRPr="00B457F5">
        <w:rPr>
          <w:rFonts w:ascii="Garamond" w:eastAsia="MS Mincho" w:hAnsi="Garamond" w:cs="Times New Roman"/>
          <w:szCs w:val="24"/>
        </w:rPr>
        <w:t>ë</w:t>
      </w:r>
      <w:r w:rsidRPr="00B457F5">
        <w:rPr>
          <w:rFonts w:ascii="Garamond" w:eastAsia="MS Mincho" w:hAnsi="Garamond" w:cs="Times New Roman"/>
          <w:szCs w:val="24"/>
        </w:rPr>
        <w:t>, papunësia e lartë në zonat rurale dhe sektori</w:t>
      </w:r>
      <w:r w:rsidR="00781F71" w:rsidRPr="00B457F5">
        <w:rPr>
          <w:rFonts w:ascii="Garamond" w:eastAsia="MS Mincho" w:hAnsi="Garamond" w:cs="Times New Roman"/>
          <w:szCs w:val="24"/>
        </w:rPr>
        <w:t>n</w:t>
      </w:r>
      <w:r w:rsidRPr="00B457F5">
        <w:rPr>
          <w:rFonts w:ascii="Garamond" w:eastAsia="MS Mincho" w:hAnsi="Garamond" w:cs="Times New Roman"/>
          <w:szCs w:val="24"/>
        </w:rPr>
        <w:t xml:space="preserve"> bujqësor, informaliteti në tregun e punës, etj.</w:t>
      </w:r>
    </w:p>
    <w:p w14:paraId="48BC4984" w14:textId="31E822F6" w:rsidR="00FA1E16" w:rsidRPr="00B457F5" w:rsidRDefault="00FA1E16"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Niveli i lartë i papunësisë tek të rinjtë tregon se të rinjtë kanë vështirësi të konsiderueshme </w:t>
      </w:r>
      <w:r w:rsidR="004318E7" w:rsidRPr="00B457F5">
        <w:rPr>
          <w:rFonts w:ascii="Garamond" w:eastAsia="MS Mincho" w:hAnsi="Garamond" w:cs="Times New Roman"/>
          <w:szCs w:val="24"/>
        </w:rPr>
        <w:t xml:space="preserve">për të kaluar </w:t>
      </w:r>
      <w:r w:rsidRPr="00B457F5">
        <w:rPr>
          <w:rFonts w:ascii="Garamond" w:eastAsia="MS Mincho" w:hAnsi="Garamond" w:cs="Times New Roman"/>
          <w:szCs w:val="24"/>
        </w:rPr>
        <w:t xml:space="preserve">nga arsimi </w:t>
      </w:r>
      <w:r w:rsidR="004318E7" w:rsidRPr="00B457F5">
        <w:rPr>
          <w:rFonts w:ascii="Garamond" w:eastAsia="MS Mincho" w:hAnsi="Garamond" w:cs="Times New Roman"/>
          <w:szCs w:val="24"/>
        </w:rPr>
        <w:t>te</w:t>
      </w:r>
      <w:r w:rsidR="00164C66" w:rsidRPr="00B457F5">
        <w:rPr>
          <w:rFonts w:ascii="Garamond" w:eastAsia="MS Mincho" w:hAnsi="Garamond" w:cs="Times New Roman"/>
          <w:szCs w:val="24"/>
        </w:rPr>
        <w:t>k</w:t>
      </w:r>
      <w:r w:rsidR="002E4A6F" w:rsidRPr="00B457F5">
        <w:rPr>
          <w:rFonts w:ascii="Garamond" w:eastAsia="MS Mincho" w:hAnsi="Garamond" w:cs="Times New Roman"/>
          <w:szCs w:val="24"/>
        </w:rPr>
        <w:t xml:space="preserve"> </w:t>
      </w:r>
      <w:r w:rsidRPr="00B457F5">
        <w:rPr>
          <w:rFonts w:ascii="Garamond" w:eastAsia="MS Mincho" w:hAnsi="Garamond" w:cs="Times New Roman"/>
          <w:szCs w:val="24"/>
        </w:rPr>
        <w:t xml:space="preserve">tregu </w:t>
      </w:r>
      <w:r w:rsidR="004318E7" w:rsidRPr="00B457F5">
        <w:rPr>
          <w:rFonts w:ascii="Garamond" w:eastAsia="MS Mincho" w:hAnsi="Garamond" w:cs="Times New Roman"/>
          <w:szCs w:val="24"/>
        </w:rPr>
        <w:t>i</w:t>
      </w:r>
      <w:r w:rsidRPr="00B457F5">
        <w:rPr>
          <w:rFonts w:ascii="Garamond" w:eastAsia="MS Mincho" w:hAnsi="Garamond" w:cs="Times New Roman"/>
          <w:szCs w:val="24"/>
        </w:rPr>
        <w:t xml:space="preserve"> punës. Përveç kësaj, ekziston gjithashtu një mospërputhje e madhe midis aftësive dhe nevojave të tregut, gjë që e bën më të vështirë gjetjen e punës së përshtatshme. Situata ka ndryshuar që atëherë, megjithatë disa nga çështjet e lartpërmendura </w:t>
      </w:r>
      <w:r w:rsidR="00196D6B" w:rsidRPr="00B457F5">
        <w:rPr>
          <w:rFonts w:ascii="Garamond" w:eastAsia="MS Mincho" w:hAnsi="Garamond" w:cs="Times New Roman"/>
          <w:szCs w:val="24"/>
        </w:rPr>
        <w:t>vazhdojnë të jenë të pranishme</w:t>
      </w:r>
      <w:r w:rsidRPr="00B457F5">
        <w:rPr>
          <w:rFonts w:ascii="Garamond" w:eastAsia="MS Mincho" w:hAnsi="Garamond" w:cs="Times New Roman"/>
          <w:szCs w:val="24"/>
        </w:rPr>
        <w:t>. Ndërkohë, vihet re një rritje e fluksit migrator të të rinjve drejt vendeve të BE-së dhe më gjerë</w:t>
      </w:r>
      <w:r w:rsidR="003E3D96" w:rsidRPr="00B457F5">
        <w:rPr>
          <w:rFonts w:ascii="Garamond" w:eastAsia="MS Mincho" w:hAnsi="Garamond" w:cs="Times New Roman"/>
          <w:szCs w:val="24"/>
        </w:rPr>
        <w:t>,</w:t>
      </w:r>
      <w:r w:rsidRPr="00B457F5">
        <w:rPr>
          <w:rFonts w:ascii="Garamond" w:eastAsia="MS Mincho" w:hAnsi="Garamond" w:cs="Times New Roman"/>
          <w:szCs w:val="24"/>
        </w:rPr>
        <w:t xml:space="preserve"> për arsye pune dhe studimi. Në këtë drejtim, rekomandimet e këtij dokumenti mbeten të vlefshme</w:t>
      </w:r>
      <w:r w:rsidR="003E3D96" w:rsidRPr="00B457F5">
        <w:rPr>
          <w:rFonts w:ascii="Garamond" w:eastAsia="MS Mincho" w:hAnsi="Garamond" w:cs="Times New Roman"/>
          <w:szCs w:val="24"/>
        </w:rPr>
        <w:t>,</w:t>
      </w:r>
      <w:r w:rsidRPr="00B457F5">
        <w:rPr>
          <w:rFonts w:ascii="Garamond" w:eastAsia="MS Mincho" w:hAnsi="Garamond" w:cs="Times New Roman"/>
          <w:szCs w:val="24"/>
        </w:rPr>
        <w:t xml:space="preserve"> në lidhje me përmirësimin e kushteve, mundësive, aksesit dhe integrimit të të rinjve në arsimin dhe aftësimin profesional, arsimin e lartë në fushat sipas kërkesës dhe në tregun e punës.</w:t>
      </w:r>
    </w:p>
    <w:p w14:paraId="61755920" w14:textId="3191F76F" w:rsidR="00FA1E16" w:rsidRPr="00B457F5" w:rsidRDefault="00FA1E16"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Vazhdimisht vlerësohen të nevojshm</w:t>
      </w:r>
      <w:r w:rsidR="000E5E84" w:rsidRPr="00B457F5">
        <w:rPr>
          <w:rFonts w:ascii="Garamond" w:eastAsia="MS Mincho" w:hAnsi="Garamond" w:cs="Times New Roman"/>
          <w:szCs w:val="24"/>
        </w:rPr>
        <w:t>e</w:t>
      </w:r>
      <w:r w:rsidRPr="00B457F5">
        <w:rPr>
          <w:rFonts w:ascii="Garamond" w:eastAsia="MS Mincho" w:hAnsi="Garamond" w:cs="Times New Roman"/>
          <w:szCs w:val="24"/>
        </w:rPr>
        <w:t xml:space="preserve"> politika më produktive për të </w:t>
      </w:r>
      <w:r w:rsidR="001F6CCB" w:rsidRPr="00B457F5">
        <w:rPr>
          <w:rFonts w:ascii="Garamond" w:eastAsia="MS Mincho" w:hAnsi="Garamond" w:cs="Times New Roman"/>
          <w:szCs w:val="24"/>
        </w:rPr>
        <w:t xml:space="preserve">ulur </w:t>
      </w:r>
      <w:r w:rsidRPr="00B457F5">
        <w:rPr>
          <w:rFonts w:ascii="Garamond" w:eastAsia="MS Mincho" w:hAnsi="Garamond" w:cs="Times New Roman"/>
          <w:szCs w:val="24"/>
        </w:rPr>
        <w:t xml:space="preserve">papunësinë </w:t>
      </w:r>
      <w:r w:rsidR="001F6CCB" w:rsidRPr="00B457F5">
        <w:rPr>
          <w:rFonts w:ascii="Garamond" w:eastAsia="MS Mincho" w:hAnsi="Garamond" w:cs="Times New Roman"/>
          <w:szCs w:val="24"/>
        </w:rPr>
        <w:t>ndërmjet</w:t>
      </w:r>
      <w:r w:rsidRPr="00B457F5">
        <w:rPr>
          <w:rFonts w:ascii="Garamond" w:eastAsia="MS Mincho" w:hAnsi="Garamond" w:cs="Times New Roman"/>
          <w:szCs w:val="24"/>
        </w:rPr>
        <w:t xml:space="preserve"> të rinjve, numrin e të papunëve afatgjatë, pabarazitë në shpërndarjen territoriale të papunësisë, papunësinë në zonat rurale dhe në bujqësi</w:t>
      </w:r>
      <w:r w:rsidR="003E3D96" w:rsidRPr="00B457F5">
        <w:rPr>
          <w:rFonts w:ascii="Garamond" w:eastAsia="MS Mincho" w:hAnsi="Garamond" w:cs="Times New Roman"/>
          <w:szCs w:val="24"/>
        </w:rPr>
        <w:t>,</w:t>
      </w:r>
      <w:r w:rsidRPr="00B457F5">
        <w:rPr>
          <w:rFonts w:ascii="Garamond" w:eastAsia="MS Mincho" w:hAnsi="Garamond" w:cs="Times New Roman"/>
          <w:szCs w:val="24"/>
        </w:rPr>
        <w:t xml:space="preserve"> si dhe për të dekurajuar flukset migratore. Kjo mund të arrihet edhe duke ofruar stimuj për sipërmarrësit që punësojnë vajza dhe djem të rinj. Thellimi i luftës kundër informalitetit kontribuon edhe </w:t>
      </w:r>
      <w:r w:rsidR="00B178F5" w:rsidRPr="00B457F5">
        <w:rPr>
          <w:rFonts w:ascii="Garamond" w:eastAsia="MS Mincho" w:hAnsi="Garamond" w:cs="Times New Roman"/>
          <w:szCs w:val="24"/>
        </w:rPr>
        <w:t>për</w:t>
      </w:r>
      <w:r w:rsidRPr="00B457F5">
        <w:rPr>
          <w:rFonts w:ascii="Garamond" w:eastAsia="MS Mincho" w:hAnsi="Garamond" w:cs="Times New Roman"/>
          <w:szCs w:val="24"/>
        </w:rPr>
        <w:t xml:space="preserve"> dekurajimin e fluksit migrator, veçanërisht në tregun e punës, nëpërmjet përmirësimit të kushteve të punës dhe pagave të punëtorëve.</w:t>
      </w:r>
    </w:p>
    <w:p w14:paraId="20056013" w14:textId="725DFBE8" w:rsidR="00FA1E16" w:rsidRPr="00B457F5" w:rsidRDefault="00FA1E16"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Aktualisht, Shqipëria është duke u përgatitur për të filluar zbatimin e programit të garancisë rinore, i cili po zbatohet me sukses prej disa vitesh në vendet e BE</w:t>
      </w:r>
      <w:r w:rsidR="003C790A" w:rsidRPr="00B457F5">
        <w:rPr>
          <w:rFonts w:ascii="Garamond" w:eastAsia="MS Mincho" w:hAnsi="Garamond" w:cs="Times New Roman"/>
          <w:szCs w:val="24"/>
        </w:rPr>
        <w:t>-së</w:t>
      </w:r>
      <w:r w:rsidRPr="00B457F5">
        <w:rPr>
          <w:rFonts w:ascii="Garamond" w:eastAsia="MS Mincho" w:hAnsi="Garamond" w:cs="Times New Roman"/>
          <w:szCs w:val="24"/>
        </w:rPr>
        <w:t>. Nëpërmjet këtij programi synohet që të gjithë të rinjve të moshës deri në 29 vjeç</w:t>
      </w:r>
      <w:r w:rsidR="00045F53" w:rsidRPr="00B457F5">
        <w:rPr>
          <w:rFonts w:ascii="Garamond" w:eastAsia="MS Mincho" w:hAnsi="Garamond" w:cs="Times New Roman"/>
          <w:szCs w:val="24"/>
        </w:rPr>
        <w:t>,</w:t>
      </w:r>
      <w:r w:rsidRPr="00B457F5">
        <w:rPr>
          <w:rFonts w:ascii="Garamond" w:eastAsia="MS Mincho" w:hAnsi="Garamond" w:cs="Times New Roman"/>
          <w:szCs w:val="24"/>
        </w:rPr>
        <w:t xml:space="preserve"> që nuk janë të punësuar</w:t>
      </w:r>
      <w:r w:rsidR="00320EA2" w:rsidRPr="00B457F5">
        <w:rPr>
          <w:rFonts w:ascii="Garamond" w:eastAsia="MS Mincho" w:hAnsi="Garamond" w:cs="Times New Roman"/>
          <w:szCs w:val="24"/>
        </w:rPr>
        <w:t>, nuk po ndjekin shkollën</w:t>
      </w:r>
      <w:r w:rsidR="00734269" w:rsidRPr="00B457F5">
        <w:rPr>
          <w:rFonts w:ascii="Garamond" w:eastAsia="MS Mincho" w:hAnsi="Garamond" w:cs="Times New Roman"/>
          <w:szCs w:val="24"/>
        </w:rPr>
        <w:t xml:space="preserve"> </w:t>
      </w:r>
      <w:r w:rsidRPr="00B457F5">
        <w:rPr>
          <w:rFonts w:ascii="Garamond" w:eastAsia="MS Mincho" w:hAnsi="Garamond" w:cs="Times New Roman"/>
          <w:szCs w:val="24"/>
        </w:rPr>
        <w:t>apo një kurs profesional, brenda 4 muajve nga momenti i identifikimit dhe regjistrimit</w:t>
      </w:r>
      <w:r w:rsidR="004603C3" w:rsidRPr="00B457F5">
        <w:rPr>
          <w:rFonts w:ascii="Garamond" w:eastAsia="MS Mincho" w:hAnsi="Garamond" w:cs="Times New Roman"/>
          <w:szCs w:val="24"/>
        </w:rPr>
        <w:t xml:space="preserve"> t’i </w:t>
      </w:r>
      <w:r w:rsidRPr="00B457F5">
        <w:rPr>
          <w:rFonts w:ascii="Garamond" w:eastAsia="MS Mincho" w:hAnsi="Garamond" w:cs="Times New Roman"/>
          <w:szCs w:val="24"/>
        </w:rPr>
        <w:t>ofrohet një program/ofertë që mund të përfshij</w:t>
      </w:r>
      <w:r w:rsidR="00045F53" w:rsidRPr="00B457F5">
        <w:rPr>
          <w:rFonts w:ascii="Garamond" w:eastAsia="MS Mincho" w:hAnsi="Garamond" w:cs="Times New Roman"/>
          <w:szCs w:val="24"/>
        </w:rPr>
        <w:t>ë</w:t>
      </w:r>
      <w:r w:rsidRPr="00B457F5">
        <w:rPr>
          <w:rFonts w:ascii="Garamond" w:eastAsia="MS Mincho" w:hAnsi="Garamond" w:cs="Times New Roman"/>
          <w:szCs w:val="24"/>
        </w:rPr>
        <w:t xml:space="preserve"> punësimin, formimin profesional apo arsimimin. Nëpërmjet </w:t>
      </w:r>
      <w:r w:rsidRPr="00B457F5">
        <w:rPr>
          <w:rFonts w:ascii="Garamond" w:eastAsia="MS Mincho" w:hAnsi="Garamond" w:cs="Times New Roman"/>
          <w:szCs w:val="24"/>
        </w:rPr>
        <w:lastRenderedPageBreak/>
        <w:t xml:space="preserve">kësaj politike synohet dhe ulja e papunësisë </w:t>
      </w:r>
      <w:r w:rsidR="00320EA2" w:rsidRPr="00B457F5">
        <w:rPr>
          <w:rFonts w:ascii="Garamond" w:eastAsia="MS Mincho" w:hAnsi="Garamond" w:cs="Times New Roman"/>
          <w:szCs w:val="24"/>
        </w:rPr>
        <w:t>ndërmjet</w:t>
      </w:r>
      <w:r w:rsidRPr="00B457F5">
        <w:rPr>
          <w:rFonts w:ascii="Garamond" w:eastAsia="MS Mincho" w:hAnsi="Garamond" w:cs="Times New Roman"/>
          <w:szCs w:val="24"/>
        </w:rPr>
        <w:t xml:space="preserve"> të rinjtë, si dhe ulja e nivelit të migrimit të kësaj kategorie.</w:t>
      </w:r>
    </w:p>
    <w:p w14:paraId="00445BBE" w14:textId="522EF498" w:rsidR="00891781" w:rsidRPr="00B457F5" w:rsidRDefault="00FA1E16" w:rsidP="00891781">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Krijimi dhe funksionimi i </w:t>
      </w:r>
      <w:r w:rsidR="004A38A8" w:rsidRPr="00B457F5">
        <w:rPr>
          <w:rFonts w:ascii="Garamond" w:eastAsia="MS Mincho" w:hAnsi="Garamond" w:cs="Times New Roman"/>
          <w:szCs w:val="24"/>
        </w:rPr>
        <w:t>R</w:t>
      </w:r>
      <w:r w:rsidRPr="00B457F5">
        <w:rPr>
          <w:rFonts w:ascii="Garamond" w:eastAsia="MS Mincho" w:hAnsi="Garamond" w:cs="Times New Roman"/>
          <w:szCs w:val="24"/>
        </w:rPr>
        <w:t xml:space="preserve">egjistrit </w:t>
      </w:r>
      <w:r w:rsidR="004A38A8" w:rsidRPr="00B457F5">
        <w:rPr>
          <w:rFonts w:ascii="Garamond" w:eastAsia="MS Mincho" w:hAnsi="Garamond" w:cs="Times New Roman"/>
          <w:szCs w:val="24"/>
        </w:rPr>
        <w:t>K</w:t>
      </w:r>
      <w:r w:rsidRPr="00B457F5">
        <w:rPr>
          <w:rFonts w:ascii="Garamond" w:eastAsia="MS Mincho" w:hAnsi="Garamond" w:cs="Times New Roman"/>
          <w:szCs w:val="24"/>
        </w:rPr>
        <w:t xml:space="preserve">ombëtar </w:t>
      </w:r>
      <w:r w:rsidR="004A38A8" w:rsidRPr="00B457F5">
        <w:rPr>
          <w:rFonts w:ascii="Garamond" w:eastAsia="MS Mincho" w:hAnsi="Garamond" w:cs="Times New Roman"/>
          <w:szCs w:val="24"/>
        </w:rPr>
        <w:t>E</w:t>
      </w:r>
      <w:r w:rsidRPr="00B457F5">
        <w:rPr>
          <w:rFonts w:ascii="Garamond" w:eastAsia="MS Mincho" w:hAnsi="Garamond" w:cs="Times New Roman"/>
          <w:szCs w:val="24"/>
        </w:rPr>
        <w:t xml:space="preserve">lektronik për të </w:t>
      </w:r>
      <w:r w:rsidR="004A38A8" w:rsidRPr="00B457F5">
        <w:rPr>
          <w:rFonts w:ascii="Garamond" w:eastAsia="MS Mincho" w:hAnsi="Garamond" w:cs="Times New Roman"/>
          <w:szCs w:val="24"/>
        </w:rPr>
        <w:t>H</w:t>
      </w:r>
      <w:r w:rsidRPr="00B457F5">
        <w:rPr>
          <w:rFonts w:ascii="Garamond" w:eastAsia="MS Mincho" w:hAnsi="Garamond" w:cs="Times New Roman"/>
          <w:szCs w:val="24"/>
        </w:rPr>
        <w:t>uajt</w:t>
      </w:r>
      <w:r w:rsidR="006E6763" w:rsidRPr="00B457F5">
        <w:rPr>
          <w:rStyle w:val="FootnoteReference"/>
          <w:rFonts w:ascii="Garamond" w:eastAsia="MS Mincho" w:hAnsi="Garamond" w:cs="Times New Roman"/>
          <w:bCs/>
          <w:szCs w:val="24"/>
        </w:rPr>
        <w:footnoteReference w:id="6"/>
      </w:r>
      <w:r w:rsidRPr="00B457F5">
        <w:rPr>
          <w:rFonts w:ascii="Garamond" w:eastAsia="MS Mincho" w:hAnsi="Garamond" w:cs="Times New Roman"/>
          <w:szCs w:val="24"/>
        </w:rPr>
        <w:t xml:space="preserve"> shënon një përmirësim në fushën e migracionit. Ai përmban të dhëna për të huajt që hyjnë në vend për qëllime qëndrimi, tranziti, studimi dhe punësimi, si dhe për dalje nga vendi. Ky regjistër përmban të dhëna edhe për migrantët e parregullt dhe ndërvepron me regjistrin TIMS</w:t>
      </w:r>
      <w:r w:rsidR="00734269" w:rsidRPr="00B457F5">
        <w:rPr>
          <w:rFonts w:ascii="Garamond" w:eastAsia="MS Mincho" w:hAnsi="Garamond" w:cs="Times New Roman"/>
          <w:szCs w:val="24"/>
        </w:rPr>
        <w:t>,</w:t>
      </w:r>
      <w:r w:rsidRPr="00B457F5">
        <w:rPr>
          <w:rFonts w:ascii="Garamond" w:eastAsia="MS Mincho" w:hAnsi="Garamond" w:cs="Times New Roman"/>
          <w:szCs w:val="24"/>
        </w:rPr>
        <w:t xml:space="preserve"> si dhe me Regjistrin Kombëtar të Gjendjes Civile. Një nga pesë modulet e përfshira në këtë regjistër është moduli i lejeve unike dhe të qëndrimit që përmban të dhëna të regjistruara dhe të kontrolluara nga Drejtoria e Kufirit dhe Migracionit (DKM) dhe Agjencia Kombëtare e Punësimit dhe Aftësive (AKPA). Regjistri </w:t>
      </w:r>
      <w:r w:rsidR="009E42FE" w:rsidRPr="00B457F5">
        <w:rPr>
          <w:rFonts w:ascii="Garamond" w:eastAsia="MS Mincho" w:hAnsi="Garamond" w:cs="Times New Roman"/>
          <w:szCs w:val="24"/>
        </w:rPr>
        <w:t>E</w:t>
      </w:r>
      <w:r w:rsidRPr="00B457F5">
        <w:rPr>
          <w:rFonts w:ascii="Garamond" w:eastAsia="MS Mincho" w:hAnsi="Garamond" w:cs="Times New Roman"/>
          <w:szCs w:val="24"/>
        </w:rPr>
        <w:t xml:space="preserve">lektronik </w:t>
      </w:r>
      <w:r w:rsidR="009E42FE" w:rsidRPr="00B457F5">
        <w:rPr>
          <w:rFonts w:ascii="Garamond" w:eastAsia="MS Mincho" w:hAnsi="Garamond" w:cs="Times New Roman"/>
          <w:szCs w:val="24"/>
        </w:rPr>
        <w:t>K</w:t>
      </w:r>
      <w:r w:rsidRPr="00B457F5">
        <w:rPr>
          <w:rFonts w:ascii="Garamond" w:eastAsia="MS Mincho" w:hAnsi="Garamond" w:cs="Times New Roman"/>
          <w:szCs w:val="24"/>
        </w:rPr>
        <w:t xml:space="preserve">ombëtar për të </w:t>
      </w:r>
      <w:r w:rsidR="009E42FE" w:rsidRPr="00B457F5">
        <w:rPr>
          <w:rFonts w:ascii="Garamond" w:eastAsia="MS Mincho" w:hAnsi="Garamond" w:cs="Times New Roman"/>
          <w:szCs w:val="24"/>
        </w:rPr>
        <w:t>H</w:t>
      </w:r>
      <w:r w:rsidRPr="00B457F5">
        <w:rPr>
          <w:rFonts w:ascii="Garamond" w:eastAsia="MS Mincho" w:hAnsi="Garamond" w:cs="Times New Roman"/>
          <w:szCs w:val="24"/>
        </w:rPr>
        <w:t>uajt mund të ofrojë statistika dhe raporte për çdo modul</w:t>
      </w:r>
      <w:r w:rsidR="009C6465" w:rsidRPr="00B457F5">
        <w:rPr>
          <w:rFonts w:ascii="Garamond" w:eastAsia="MS Mincho" w:hAnsi="Garamond" w:cs="Times New Roman"/>
          <w:szCs w:val="24"/>
        </w:rPr>
        <w:t>,</w:t>
      </w:r>
      <w:r w:rsidRPr="00B457F5">
        <w:rPr>
          <w:rFonts w:ascii="Garamond" w:eastAsia="MS Mincho" w:hAnsi="Garamond" w:cs="Times New Roman"/>
          <w:szCs w:val="24"/>
        </w:rPr>
        <w:t xml:space="preserve"> sipas nevojave dhe kërkesave të institucioneve që kanë akses në to</w:t>
      </w:r>
      <w:r w:rsidR="0017331A" w:rsidRPr="00B457F5">
        <w:rPr>
          <w:rFonts w:ascii="Garamond" w:eastAsia="MS Mincho" w:hAnsi="Garamond" w:cs="Times New Roman"/>
          <w:szCs w:val="24"/>
        </w:rPr>
        <w:t>,</w:t>
      </w:r>
      <w:r w:rsidRPr="00B457F5">
        <w:rPr>
          <w:rFonts w:ascii="Garamond" w:eastAsia="MS Mincho" w:hAnsi="Garamond" w:cs="Times New Roman"/>
          <w:szCs w:val="24"/>
        </w:rPr>
        <w:t xml:space="preserve"> si në rastin e AKPA</w:t>
      </w:r>
      <w:r w:rsidR="00597636" w:rsidRPr="00B457F5">
        <w:rPr>
          <w:rFonts w:ascii="Garamond" w:eastAsia="MS Mincho" w:hAnsi="Garamond" w:cs="Times New Roman"/>
          <w:szCs w:val="24"/>
        </w:rPr>
        <w:t>-së</w:t>
      </w:r>
      <w:r w:rsidRPr="00B457F5">
        <w:rPr>
          <w:rFonts w:ascii="Garamond" w:eastAsia="MS Mincho" w:hAnsi="Garamond" w:cs="Times New Roman"/>
          <w:szCs w:val="24"/>
        </w:rPr>
        <w:t>.</w:t>
      </w:r>
      <w:bookmarkStart w:id="5" w:name="_Toc148097429"/>
      <w:bookmarkStart w:id="6" w:name="_Toc155620717"/>
    </w:p>
    <w:p w14:paraId="28198B74" w14:textId="286D0498" w:rsidR="00A619CA" w:rsidRPr="00B457F5" w:rsidRDefault="006D79C9" w:rsidP="00891781">
      <w:pPr>
        <w:spacing w:before="0" w:after="0"/>
        <w:ind w:firstLine="284"/>
        <w:rPr>
          <w:rFonts w:ascii="Garamond" w:hAnsi="Garamond" w:cs="Times New Roman"/>
          <w:b/>
          <w:szCs w:val="24"/>
        </w:rPr>
      </w:pPr>
      <w:r w:rsidRPr="00B457F5">
        <w:rPr>
          <w:rFonts w:ascii="Garamond" w:hAnsi="Garamond" w:cs="Times New Roman"/>
          <w:b/>
          <w:szCs w:val="24"/>
        </w:rPr>
        <w:t>K</w:t>
      </w:r>
      <w:r w:rsidR="00597636" w:rsidRPr="00B457F5">
        <w:rPr>
          <w:rFonts w:ascii="Garamond" w:hAnsi="Garamond" w:cs="Times New Roman"/>
          <w:b/>
          <w:szCs w:val="24"/>
        </w:rPr>
        <w:t>uadri</w:t>
      </w:r>
      <w:r w:rsidRPr="00B457F5">
        <w:rPr>
          <w:rFonts w:ascii="Garamond" w:hAnsi="Garamond" w:cs="Times New Roman"/>
          <w:b/>
          <w:szCs w:val="24"/>
        </w:rPr>
        <w:t xml:space="preserve"> </w:t>
      </w:r>
      <w:r w:rsidR="009C6465" w:rsidRPr="00B457F5">
        <w:rPr>
          <w:rFonts w:ascii="Garamond" w:hAnsi="Garamond" w:cs="Times New Roman"/>
          <w:b/>
          <w:szCs w:val="24"/>
        </w:rPr>
        <w:t>strategjik kombëtar</w:t>
      </w:r>
      <w:bookmarkEnd w:id="5"/>
      <w:bookmarkEnd w:id="6"/>
    </w:p>
    <w:p w14:paraId="30B66BA9" w14:textId="7956034C" w:rsidR="00151C91" w:rsidRPr="00B457F5" w:rsidRDefault="00151C91" w:rsidP="002E693B">
      <w:pPr>
        <w:autoSpaceDE w:val="0"/>
        <w:autoSpaceDN w:val="0"/>
        <w:adjustRightInd w:val="0"/>
        <w:spacing w:before="0" w:after="0"/>
        <w:ind w:firstLine="284"/>
        <w:rPr>
          <w:rFonts w:ascii="Garamond" w:eastAsiaTheme="minorHAnsi" w:hAnsi="Garamond" w:cs="Times New Roman"/>
          <w:szCs w:val="24"/>
        </w:rPr>
      </w:pPr>
      <w:r w:rsidRPr="00B457F5">
        <w:rPr>
          <w:rFonts w:ascii="Garamond" w:eastAsiaTheme="minorHAnsi" w:hAnsi="Garamond" w:cs="Times New Roman"/>
          <w:color w:val="000000"/>
          <w:szCs w:val="24"/>
        </w:rPr>
        <w:t xml:space="preserve">Gjatë procesit të hartimit të Strategjisë, janë marrë </w:t>
      </w:r>
      <w:r w:rsidR="00734269" w:rsidRPr="00B457F5">
        <w:rPr>
          <w:rFonts w:ascii="Garamond" w:eastAsiaTheme="minorHAnsi" w:hAnsi="Garamond" w:cs="Times New Roman"/>
          <w:color w:val="000000"/>
          <w:szCs w:val="24"/>
        </w:rPr>
        <w:t>parasysh</w:t>
      </w:r>
      <w:r w:rsidRPr="00B457F5">
        <w:rPr>
          <w:rFonts w:ascii="Garamond" w:eastAsiaTheme="minorHAnsi" w:hAnsi="Garamond" w:cs="Times New Roman"/>
          <w:color w:val="000000"/>
          <w:szCs w:val="24"/>
        </w:rPr>
        <w:t xml:space="preserve"> dhe shumë dispozita nga dokumente strategjike kombëtare, si:</w:t>
      </w:r>
    </w:p>
    <w:p w14:paraId="614D0FFA" w14:textId="50D4FF67" w:rsidR="00151C91" w:rsidRPr="00B457F5" w:rsidRDefault="00783BF2" w:rsidP="002E693B">
      <w:pPr>
        <w:autoSpaceDE w:val="0"/>
        <w:autoSpaceDN w:val="0"/>
        <w:adjustRightInd w:val="0"/>
        <w:spacing w:before="0" w:after="0"/>
        <w:ind w:firstLine="284"/>
        <w:rPr>
          <w:rFonts w:ascii="Garamond" w:eastAsiaTheme="minorHAnsi" w:hAnsi="Garamond" w:cs="Times New Roman"/>
          <w:szCs w:val="24"/>
        </w:rPr>
      </w:pPr>
      <w:r w:rsidRPr="00B457F5">
        <w:rPr>
          <w:rFonts w:ascii="Garamond" w:eastAsiaTheme="minorHAnsi" w:hAnsi="Garamond" w:cs="Times New Roman"/>
          <w:szCs w:val="24"/>
        </w:rPr>
        <w:t xml:space="preserve">- </w:t>
      </w:r>
      <w:r w:rsidR="00151C91" w:rsidRPr="00B457F5">
        <w:rPr>
          <w:rFonts w:ascii="Garamond" w:eastAsiaTheme="minorHAnsi" w:hAnsi="Garamond" w:cs="Times New Roman"/>
          <w:szCs w:val="24"/>
        </w:rPr>
        <w:t>Strategjia Kombëtare për Zhvillim dhe Integrim Evropian 2022</w:t>
      </w:r>
      <w:r w:rsidR="00734269" w:rsidRPr="00B457F5">
        <w:rPr>
          <w:rStyle w:val="contentpasted1"/>
          <w:rFonts w:ascii="Garamond" w:hAnsi="Garamond" w:cs="Times New Roman"/>
          <w:color w:val="000000"/>
        </w:rPr>
        <w:t>–</w:t>
      </w:r>
      <w:r w:rsidR="00151C91" w:rsidRPr="00B457F5">
        <w:rPr>
          <w:rFonts w:ascii="Garamond" w:eastAsiaTheme="minorHAnsi" w:hAnsi="Garamond" w:cs="Times New Roman"/>
          <w:szCs w:val="24"/>
        </w:rPr>
        <w:t>2030;</w:t>
      </w:r>
    </w:p>
    <w:p w14:paraId="646AE500" w14:textId="639F964F" w:rsidR="00151C91" w:rsidRPr="00B457F5" w:rsidRDefault="00783BF2" w:rsidP="002E693B">
      <w:pPr>
        <w:autoSpaceDE w:val="0"/>
        <w:autoSpaceDN w:val="0"/>
        <w:adjustRightInd w:val="0"/>
        <w:spacing w:before="0" w:after="0"/>
        <w:ind w:firstLine="284"/>
        <w:rPr>
          <w:rFonts w:ascii="Garamond" w:eastAsiaTheme="minorHAnsi" w:hAnsi="Garamond" w:cs="Times New Roman"/>
          <w:szCs w:val="24"/>
        </w:rPr>
      </w:pPr>
      <w:r w:rsidRPr="00B457F5">
        <w:rPr>
          <w:rFonts w:ascii="Garamond" w:eastAsiaTheme="minorHAnsi" w:hAnsi="Garamond" w:cs="Times New Roman"/>
          <w:szCs w:val="24"/>
        </w:rPr>
        <w:t xml:space="preserve">- </w:t>
      </w:r>
      <w:r w:rsidR="00151C91" w:rsidRPr="00B457F5">
        <w:rPr>
          <w:rFonts w:ascii="Garamond" w:eastAsiaTheme="minorHAnsi" w:hAnsi="Garamond" w:cs="Times New Roman"/>
          <w:szCs w:val="24"/>
        </w:rPr>
        <w:t>Plani Kombëtar për Integrim Evropian 2022</w:t>
      </w:r>
      <w:r w:rsidR="00734269" w:rsidRPr="00B457F5">
        <w:rPr>
          <w:rStyle w:val="contentpasted1"/>
          <w:rFonts w:ascii="Garamond" w:hAnsi="Garamond" w:cs="Times New Roman"/>
          <w:color w:val="000000"/>
        </w:rPr>
        <w:t>–</w:t>
      </w:r>
      <w:r w:rsidR="00151C91" w:rsidRPr="00B457F5">
        <w:rPr>
          <w:rFonts w:ascii="Garamond" w:eastAsiaTheme="minorHAnsi" w:hAnsi="Garamond" w:cs="Times New Roman"/>
          <w:szCs w:val="24"/>
        </w:rPr>
        <w:t>2024;</w:t>
      </w:r>
    </w:p>
    <w:p w14:paraId="73E02283" w14:textId="11F820A4" w:rsidR="00151C91" w:rsidRPr="00B457F5" w:rsidRDefault="00783BF2" w:rsidP="002E693B">
      <w:pPr>
        <w:autoSpaceDE w:val="0"/>
        <w:autoSpaceDN w:val="0"/>
        <w:adjustRightInd w:val="0"/>
        <w:spacing w:before="0" w:after="0"/>
        <w:ind w:firstLine="284"/>
        <w:rPr>
          <w:rFonts w:ascii="Garamond" w:eastAsiaTheme="minorHAnsi" w:hAnsi="Garamond" w:cs="Times New Roman"/>
          <w:szCs w:val="24"/>
        </w:rPr>
      </w:pPr>
      <w:r w:rsidRPr="00B457F5">
        <w:rPr>
          <w:rFonts w:ascii="Garamond" w:eastAsiaTheme="minorHAnsi" w:hAnsi="Garamond" w:cs="Times New Roman"/>
          <w:szCs w:val="24"/>
        </w:rPr>
        <w:t xml:space="preserve">- </w:t>
      </w:r>
      <w:r w:rsidR="00151C91" w:rsidRPr="00B457F5">
        <w:rPr>
          <w:rFonts w:ascii="Garamond" w:eastAsiaTheme="minorHAnsi" w:hAnsi="Garamond" w:cs="Times New Roman"/>
          <w:szCs w:val="24"/>
        </w:rPr>
        <w:t xml:space="preserve">Strategjia </w:t>
      </w:r>
      <w:r w:rsidR="009C6465" w:rsidRPr="00B457F5">
        <w:rPr>
          <w:rFonts w:ascii="Garamond" w:eastAsiaTheme="minorHAnsi" w:hAnsi="Garamond" w:cs="Times New Roman"/>
          <w:szCs w:val="24"/>
        </w:rPr>
        <w:t xml:space="preserve">Ndërsektoriale </w:t>
      </w:r>
      <w:r w:rsidR="00151C91" w:rsidRPr="00B457F5">
        <w:rPr>
          <w:rFonts w:ascii="Garamond" w:eastAsiaTheme="minorHAnsi" w:hAnsi="Garamond" w:cs="Times New Roman"/>
          <w:szCs w:val="24"/>
        </w:rPr>
        <w:t>e Menaxhimit të Integruar të Kufirit 2021</w:t>
      </w:r>
      <w:r w:rsidR="00734269" w:rsidRPr="00B457F5">
        <w:rPr>
          <w:rStyle w:val="contentpasted1"/>
          <w:rFonts w:ascii="Garamond" w:hAnsi="Garamond" w:cs="Times New Roman"/>
          <w:color w:val="000000"/>
        </w:rPr>
        <w:t>–</w:t>
      </w:r>
      <w:r w:rsidR="00151C91" w:rsidRPr="00B457F5">
        <w:rPr>
          <w:rFonts w:ascii="Garamond" w:eastAsiaTheme="minorHAnsi" w:hAnsi="Garamond" w:cs="Times New Roman"/>
          <w:szCs w:val="24"/>
        </w:rPr>
        <w:t>2027 dhe Plani i Veprimit 2021-2023;</w:t>
      </w:r>
    </w:p>
    <w:p w14:paraId="789902E8" w14:textId="11ABB127" w:rsidR="00151C91" w:rsidRPr="00B457F5" w:rsidRDefault="00783BF2" w:rsidP="002E693B">
      <w:pPr>
        <w:autoSpaceDE w:val="0"/>
        <w:autoSpaceDN w:val="0"/>
        <w:adjustRightInd w:val="0"/>
        <w:spacing w:before="0" w:after="0"/>
        <w:ind w:firstLine="284"/>
        <w:rPr>
          <w:rFonts w:ascii="Garamond" w:eastAsiaTheme="minorHAnsi" w:hAnsi="Garamond" w:cs="Times New Roman"/>
          <w:szCs w:val="24"/>
        </w:rPr>
      </w:pPr>
      <w:r w:rsidRPr="00B457F5">
        <w:rPr>
          <w:rFonts w:ascii="Garamond" w:eastAsiaTheme="minorHAnsi" w:hAnsi="Garamond" w:cs="Times New Roman"/>
          <w:szCs w:val="24"/>
        </w:rPr>
        <w:t xml:space="preserve">- </w:t>
      </w:r>
      <w:r w:rsidR="00151C91" w:rsidRPr="00B457F5">
        <w:rPr>
          <w:rFonts w:ascii="Garamond" w:eastAsiaTheme="minorHAnsi" w:hAnsi="Garamond" w:cs="Times New Roman"/>
          <w:szCs w:val="24"/>
        </w:rPr>
        <w:t>Strategjia Kombëtare për Diasporën dhe Plani i Veprimit 2021</w:t>
      </w:r>
      <w:r w:rsidR="00734269" w:rsidRPr="00B457F5">
        <w:rPr>
          <w:rStyle w:val="contentpasted1"/>
          <w:rFonts w:ascii="Garamond" w:hAnsi="Garamond" w:cs="Times New Roman"/>
          <w:color w:val="000000"/>
        </w:rPr>
        <w:t>–</w:t>
      </w:r>
      <w:r w:rsidR="00151C91" w:rsidRPr="00B457F5">
        <w:rPr>
          <w:rFonts w:ascii="Garamond" w:eastAsiaTheme="minorHAnsi" w:hAnsi="Garamond" w:cs="Times New Roman"/>
          <w:szCs w:val="24"/>
        </w:rPr>
        <w:t>2025;</w:t>
      </w:r>
    </w:p>
    <w:p w14:paraId="21118049" w14:textId="7708FCC8" w:rsidR="00151C91" w:rsidRPr="00B457F5" w:rsidRDefault="00783BF2" w:rsidP="002E693B">
      <w:pPr>
        <w:autoSpaceDE w:val="0"/>
        <w:autoSpaceDN w:val="0"/>
        <w:adjustRightInd w:val="0"/>
        <w:spacing w:before="0" w:after="0"/>
        <w:ind w:firstLine="284"/>
        <w:rPr>
          <w:rFonts w:ascii="Garamond" w:eastAsiaTheme="minorHAnsi" w:hAnsi="Garamond" w:cs="Times New Roman"/>
          <w:szCs w:val="24"/>
        </w:rPr>
      </w:pPr>
      <w:r w:rsidRPr="00B457F5">
        <w:rPr>
          <w:rFonts w:ascii="Garamond" w:eastAsiaTheme="minorHAnsi" w:hAnsi="Garamond" w:cs="Times New Roman"/>
          <w:szCs w:val="24"/>
        </w:rPr>
        <w:t xml:space="preserve">- </w:t>
      </w:r>
      <w:r w:rsidR="00151C91" w:rsidRPr="00B457F5">
        <w:rPr>
          <w:rFonts w:ascii="Garamond" w:eastAsiaTheme="minorHAnsi" w:hAnsi="Garamond" w:cs="Times New Roman"/>
          <w:szCs w:val="24"/>
        </w:rPr>
        <w:t>Strategjia Kombëtare e Mbrojtjes Sociale 2020–2023;</w:t>
      </w:r>
    </w:p>
    <w:p w14:paraId="377329B1" w14:textId="2ED67041" w:rsidR="00151C91" w:rsidRPr="00B457F5" w:rsidRDefault="00783BF2" w:rsidP="002E693B">
      <w:pPr>
        <w:autoSpaceDE w:val="0"/>
        <w:autoSpaceDN w:val="0"/>
        <w:adjustRightInd w:val="0"/>
        <w:spacing w:before="0" w:after="0"/>
        <w:ind w:firstLine="284"/>
        <w:rPr>
          <w:rFonts w:ascii="Garamond" w:eastAsiaTheme="minorHAnsi" w:hAnsi="Garamond" w:cs="Times New Roman"/>
          <w:szCs w:val="24"/>
        </w:rPr>
      </w:pPr>
      <w:r w:rsidRPr="00B457F5">
        <w:rPr>
          <w:rFonts w:ascii="Garamond" w:eastAsiaTheme="minorHAnsi" w:hAnsi="Garamond" w:cs="Times New Roman"/>
          <w:szCs w:val="24"/>
        </w:rPr>
        <w:t xml:space="preserve">- </w:t>
      </w:r>
      <w:r w:rsidR="00151C91" w:rsidRPr="00B457F5">
        <w:rPr>
          <w:rFonts w:ascii="Garamond" w:eastAsiaTheme="minorHAnsi" w:hAnsi="Garamond" w:cs="Times New Roman"/>
          <w:szCs w:val="24"/>
        </w:rPr>
        <w:t>Strategjia Kundër Krimit të Organizuar dhe Krimeve të Rënda, 2021–2025 dhe Plani i Veprimit 2021–2022;</w:t>
      </w:r>
    </w:p>
    <w:p w14:paraId="5813357B" w14:textId="5B1FDA4E" w:rsidR="00151C91" w:rsidRPr="00B457F5" w:rsidRDefault="00783BF2" w:rsidP="002E693B">
      <w:pPr>
        <w:autoSpaceDE w:val="0"/>
        <w:autoSpaceDN w:val="0"/>
        <w:adjustRightInd w:val="0"/>
        <w:spacing w:before="0" w:after="0"/>
        <w:ind w:firstLine="284"/>
        <w:rPr>
          <w:rFonts w:ascii="Garamond" w:eastAsiaTheme="minorHAnsi" w:hAnsi="Garamond" w:cs="Times New Roman"/>
          <w:szCs w:val="24"/>
        </w:rPr>
      </w:pPr>
      <w:r w:rsidRPr="00B457F5">
        <w:rPr>
          <w:rFonts w:ascii="Garamond" w:eastAsiaTheme="minorHAnsi" w:hAnsi="Garamond" w:cs="Times New Roman"/>
          <w:szCs w:val="24"/>
        </w:rPr>
        <w:t xml:space="preserve">- </w:t>
      </w:r>
      <w:r w:rsidR="00151C91" w:rsidRPr="00B457F5">
        <w:rPr>
          <w:rFonts w:ascii="Garamond" w:eastAsiaTheme="minorHAnsi" w:hAnsi="Garamond" w:cs="Times New Roman"/>
          <w:szCs w:val="24"/>
        </w:rPr>
        <w:t>Plani Kombëtar i Veprimit për Luftën Kundër Trafikimit të Qenieve Njerëzore 2021</w:t>
      </w:r>
      <w:r w:rsidR="00734269" w:rsidRPr="00B457F5">
        <w:rPr>
          <w:rStyle w:val="contentpasted1"/>
          <w:rFonts w:ascii="Garamond" w:hAnsi="Garamond" w:cs="Times New Roman"/>
          <w:color w:val="000000"/>
        </w:rPr>
        <w:t>–</w:t>
      </w:r>
      <w:r w:rsidR="00151C91" w:rsidRPr="00B457F5">
        <w:rPr>
          <w:rFonts w:ascii="Garamond" w:eastAsiaTheme="minorHAnsi" w:hAnsi="Garamond" w:cs="Times New Roman"/>
          <w:szCs w:val="24"/>
        </w:rPr>
        <w:t>2023;</w:t>
      </w:r>
    </w:p>
    <w:p w14:paraId="73F782C7" w14:textId="4331A316" w:rsidR="00151C91" w:rsidRPr="00B457F5" w:rsidRDefault="00783BF2" w:rsidP="002E693B">
      <w:pPr>
        <w:autoSpaceDE w:val="0"/>
        <w:autoSpaceDN w:val="0"/>
        <w:adjustRightInd w:val="0"/>
        <w:spacing w:before="0" w:after="0"/>
        <w:ind w:firstLine="284"/>
        <w:rPr>
          <w:rFonts w:ascii="Garamond" w:eastAsiaTheme="minorHAnsi" w:hAnsi="Garamond" w:cs="Times New Roman"/>
          <w:szCs w:val="24"/>
        </w:rPr>
      </w:pPr>
      <w:r w:rsidRPr="00B457F5">
        <w:rPr>
          <w:rFonts w:ascii="Garamond" w:eastAsiaTheme="minorHAnsi" w:hAnsi="Garamond" w:cs="Times New Roman"/>
          <w:szCs w:val="24"/>
        </w:rPr>
        <w:t xml:space="preserve">- </w:t>
      </w:r>
      <w:r w:rsidR="00151C91" w:rsidRPr="00B457F5">
        <w:rPr>
          <w:rFonts w:ascii="Garamond" w:eastAsiaTheme="minorHAnsi" w:hAnsi="Garamond" w:cs="Times New Roman"/>
          <w:szCs w:val="24"/>
        </w:rPr>
        <w:t>Strategjia Kombëtare për Migracionin dhe Plani i Veprimit 2019</w:t>
      </w:r>
      <w:r w:rsidR="00734269" w:rsidRPr="00B457F5">
        <w:rPr>
          <w:rStyle w:val="contentpasted1"/>
          <w:rFonts w:ascii="Garamond" w:hAnsi="Garamond" w:cs="Times New Roman"/>
          <w:color w:val="000000"/>
        </w:rPr>
        <w:t>–</w:t>
      </w:r>
      <w:r w:rsidR="00151C91" w:rsidRPr="00B457F5">
        <w:rPr>
          <w:rFonts w:ascii="Garamond" w:eastAsiaTheme="minorHAnsi" w:hAnsi="Garamond" w:cs="Times New Roman"/>
          <w:szCs w:val="24"/>
        </w:rPr>
        <w:t>2022 (si dokument bazë);</w:t>
      </w:r>
    </w:p>
    <w:p w14:paraId="7960F6FD" w14:textId="452D5F4D" w:rsidR="00151C91" w:rsidRPr="00B457F5" w:rsidRDefault="00783BF2" w:rsidP="002E693B">
      <w:pPr>
        <w:autoSpaceDE w:val="0"/>
        <w:autoSpaceDN w:val="0"/>
        <w:adjustRightInd w:val="0"/>
        <w:spacing w:before="0" w:after="0"/>
        <w:ind w:firstLine="284"/>
        <w:rPr>
          <w:rFonts w:ascii="Garamond" w:eastAsiaTheme="minorHAnsi" w:hAnsi="Garamond" w:cs="Times New Roman"/>
          <w:szCs w:val="24"/>
        </w:rPr>
      </w:pPr>
      <w:r w:rsidRPr="00B457F5">
        <w:rPr>
          <w:rFonts w:ascii="Garamond" w:eastAsiaTheme="minorHAnsi" w:hAnsi="Garamond" w:cs="Times New Roman"/>
          <w:szCs w:val="24"/>
        </w:rPr>
        <w:t xml:space="preserve">- </w:t>
      </w:r>
      <w:r w:rsidR="00151C91" w:rsidRPr="00B457F5">
        <w:rPr>
          <w:rFonts w:ascii="Garamond" w:eastAsiaTheme="minorHAnsi" w:hAnsi="Garamond" w:cs="Times New Roman"/>
          <w:szCs w:val="24"/>
        </w:rPr>
        <w:t>Strategjia Kombëtare e Punësimit dhe Aftësive 2023</w:t>
      </w:r>
      <w:r w:rsidR="00734269" w:rsidRPr="00B457F5">
        <w:rPr>
          <w:rStyle w:val="contentpasted1"/>
          <w:rFonts w:ascii="Garamond" w:hAnsi="Garamond" w:cs="Times New Roman"/>
          <w:color w:val="000000"/>
        </w:rPr>
        <w:t>–</w:t>
      </w:r>
      <w:r w:rsidR="00151C91" w:rsidRPr="00B457F5">
        <w:rPr>
          <w:rFonts w:ascii="Garamond" w:eastAsiaTheme="minorHAnsi" w:hAnsi="Garamond" w:cs="Times New Roman"/>
          <w:szCs w:val="24"/>
        </w:rPr>
        <w:t>2030;</w:t>
      </w:r>
    </w:p>
    <w:p w14:paraId="17F03AEE" w14:textId="61D06834" w:rsidR="00151C91" w:rsidRPr="00B457F5" w:rsidRDefault="00783BF2" w:rsidP="002E693B">
      <w:pPr>
        <w:autoSpaceDE w:val="0"/>
        <w:autoSpaceDN w:val="0"/>
        <w:adjustRightInd w:val="0"/>
        <w:spacing w:before="0" w:after="0"/>
        <w:ind w:firstLine="284"/>
        <w:rPr>
          <w:rFonts w:ascii="Garamond" w:eastAsiaTheme="minorHAnsi" w:hAnsi="Garamond" w:cs="Times New Roman"/>
          <w:szCs w:val="24"/>
        </w:rPr>
      </w:pPr>
      <w:r w:rsidRPr="00B457F5">
        <w:rPr>
          <w:rFonts w:ascii="Garamond" w:eastAsiaTheme="minorHAnsi" w:hAnsi="Garamond" w:cs="Times New Roman"/>
          <w:szCs w:val="24"/>
        </w:rPr>
        <w:t xml:space="preserve">- </w:t>
      </w:r>
      <w:r w:rsidR="00151C91" w:rsidRPr="00B457F5">
        <w:rPr>
          <w:rFonts w:ascii="Garamond" w:eastAsiaTheme="minorHAnsi" w:hAnsi="Garamond" w:cs="Times New Roman"/>
          <w:szCs w:val="24"/>
        </w:rPr>
        <w:t>Strategjia Kombëtare për Barazinë Gjinore 2021</w:t>
      </w:r>
      <w:r w:rsidR="00734269" w:rsidRPr="00B457F5">
        <w:rPr>
          <w:rStyle w:val="contentpasted1"/>
          <w:rFonts w:ascii="Garamond" w:hAnsi="Garamond" w:cs="Times New Roman"/>
          <w:color w:val="000000"/>
        </w:rPr>
        <w:t>–</w:t>
      </w:r>
      <w:r w:rsidR="00151C91" w:rsidRPr="00B457F5">
        <w:rPr>
          <w:rFonts w:ascii="Garamond" w:eastAsiaTheme="minorHAnsi" w:hAnsi="Garamond" w:cs="Times New Roman"/>
          <w:szCs w:val="24"/>
        </w:rPr>
        <w:t>2030 dhe Plani i Veprimit;</w:t>
      </w:r>
    </w:p>
    <w:p w14:paraId="7611690A" w14:textId="4B3FA424" w:rsidR="00151C91" w:rsidRPr="00B457F5" w:rsidRDefault="00783BF2" w:rsidP="002E693B">
      <w:pPr>
        <w:autoSpaceDE w:val="0"/>
        <w:autoSpaceDN w:val="0"/>
        <w:adjustRightInd w:val="0"/>
        <w:spacing w:before="0" w:after="0"/>
        <w:ind w:firstLine="284"/>
        <w:rPr>
          <w:rFonts w:ascii="Garamond" w:eastAsiaTheme="minorHAnsi" w:hAnsi="Garamond" w:cs="Times New Roman"/>
          <w:szCs w:val="24"/>
        </w:rPr>
      </w:pPr>
      <w:r w:rsidRPr="00B457F5">
        <w:rPr>
          <w:rFonts w:ascii="Garamond" w:eastAsiaTheme="minorHAnsi" w:hAnsi="Garamond" w:cs="Times New Roman"/>
          <w:szCs w:val="24"/>
        </w:rPr>
        <w:t xml:space="preserve">- </w:t>
      </w:r>
      <w:r w:rsidR="00151C91" w:rsidRPr="00B457F5">
        <w:rPr>
          <w:rFonts w:ascii="Garamond" w:eastAsiaTheme="minorHAnsi" w:hAnsi="Garamond" w:cs="Times New Roman"/>
          <w:szCs w:val="24"/>
        </w:rPr>
        <w:t>Strategjia për Edukimin Ligjor të Publikut 2019–2023;</w:t>
      </w:r>
    </w:p>
    <w:p w14:paraId="14F7A7C3" w14:textId="739D4128" w:rsidR="00151C91" w:rsidRPr="00B457F5" w:rsidRDefault="00783BF2" w:rsidP="002E693B">
      <w:pPr>
        <w:autoSpaceDE w:val="0"/>
        <w:autoSpaceDN w:val="0"/>
        <w:adjustRightInd w:val="0"/>
        <w:spacing w:before="0" w:after="0"/>
        <w:ind w:firstLine="284"/>
        <w:rPr>
          <w:rFonts w:ascii="Garamond" w:eastAsiaTheme="minorHAnsi" w:hAnsi="Garamond" w:cs="Times New Roman"/>
          <w:szCs w:val="24"/>
        </w:rPr>
      </w:pPr>
      <w:r w:rsidRPr="00B457F5">
        <w:rPr>
          <w:rFonts w:ascii="Garamond" w:eastAsiaTheme="minorHAnsi" w:hAnsi="Garamond" w:cs="Times New Roman"/>
          <w:szCs w:val="24"/>
        </w:rPr>
        <w:t xml:space="preserve">- </w:t>
      </w:r>
      <w:r w:rsidR="00151C91" w:rsidRPr="00B457F5">
        <w:rPr>
          <w:rFonts w:ascii="Garamond" w:eastAsiaTheme="minorHAnsi" w:hAnsi="Garamond" w:cs="Times New Roman"/>
          <w:szCs w:val="24"/>
        </w:rPr>
        <w:t>Strategjia Ndërsektoriale e Sigurisë në Komunitet, 2021–2026 dhe Plani i Veprimit 2021–2023.</w:t>
      </w:r>
    </w:p>
    <w:p w14:paraId="11F5E276" w14:textId="241882CE" w:rsidR="00A619CA" w:rsidRPr="00B457F5" w:rsidRDefault="00151458"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Çështjet e lidhura me migracionin trajtohen</w:t>
      </w:r>
      <w:r w:rsidR="006D79C9" w:rsidRPr="00B457F5">
        <w:rPr>
          <w:rFonts w:ascii="Garamond" w:eastAsia="MS Mincho" w:hAnsi="Garamond" w:cs="Times New Roman"/>
          <w:szCs w:val="24"/>
        </w:rPr>
        <w:t xml:space="preserve"> kryesisht në</w:t>
      </w:r>
      <w:r w:rsidRPr="00B457F5">
        <w:rPr>
          <w:rFonts w:ascii="Garamond" w:eastAsia="MS Mincho" w:hAnsi="Garamond" w:cs="Times New Roman"/>
          <w:szCs w:val="24"/>
        </w:rPr>
        <w:t xml:space="preserve"> disa dokumente politike</w:t>
      </w:r>
      <w:r w:rsidR="00797D11" w:rsidRPr="00B457F5">
        <w:rPr>
          <w:rFonts w:ascii="Garamond" w:eastAsia="MS Mincho" w:hAnsi="Garamond" w:cs="Times New Roman"/>
          <w:szCs w:val="24"/>
        </w:rPr>
        <w:t>,</w:t>
      </w:r>
      <w:r w:rsidRPr="00B457F5">
        <w:rPr>
          <w:rFonts w:ascii="Garamond" w:eastAsia="MS Mincho" w:hAnsi="Garamond" w:cs="Times New Roman"/>
          <w:szCs w:val="24"/>
        </w:rPr>
        <w:t xml:space="preserve"> si: Strategjia Kombëtare për Zhvillim dhe Integrim Evropian, Plani Kombëtar për Integrimin Evropian 2023</w:t>
      </w:r>
      <w:r w:rsidR="00734269" w:rsidRPr="00B457F5">
        <w:rPr>
          <w:rStyle w:val="contentpasted1"/>
          <w:rFonts w:ascii="Garamond" w:hAnsi="Garamond" w:cs="Times New Roman"/>
          <w:color w:val="000000"/>
        </w:rPr>
        <w:t>–</w:t>
      </w:r>
      <w:r w:rsidRPr="00B457F5">
        <w:rPr>
          <w:rFonts w:ascii="Garamond" w:eastAsia="MS Mincho" w:hAnsi="Garamond" w:cs="Times New Roman"/>
          <w:szCs w:val="24"/>
        </w:rPr>
        <w:t>2030, Strategjia Kombëtare për P</w:t>
      </w:r>
      <w:r w:rsidR="006D79C9" w:rsidRPr="00B457F5">
        <w:rPr>
          <w:rFonts w:ascii="Garamond" w:eastAsia="MS Mincho" w:hAnsi="Garamond" w:cs="Times New Roman"/>
          <w:szCs w:val="24"/>
        </w:rPr>
        <w:t>unësimin dhe Aftësitë 2023</w:t>
      </w:r>
      <w:r w:rsidR="00734269" w:rsidRPr="00B457F5">
        <w:rPr>
          <w:rStyle w:val="contentpasted1"/>
          <w:rFonts w:ascii="Garamond" w:hAnsi="Garamond" w:cs="Times New Roman"/>
          <w:color w:val="000000"/>
        </w:rPr>
        <w:t>–</w:t>
      </w:r>
      <w:r w:rsidR="006D79C9" w:rsidRPr="00B457F5">
        <w:rPr>
          <w:rFonts w:ascii="Garamond" w:eastAsia="MS Mincho" w:hAnsi="Garamond" w:cs="Times New Roman"/>
          <w:szCs w:val="24"/>
        </w:rPr>
        <w:t>2030</w:t>
      </w:r>
      <w:r w:rsidRPr="00B457F5">
        <w:rPr>
          <w:rFonts w:ascii="Garamond" w:eastAsia="MS Mincho" w:hAnsi="Garamond" w:cs="Times New Roman"/>
          <w:szCs w:val="24"/>
        </w:rPr>
        <w:t>.</w:t>
      </w:r>
    </w:p>
    <w:p w14:paraId="20FD8017" w14:textId="37A9AFA7" w:rsidR="00A619CA" w:rsidRPr="00B457F5" w:rsidRDefault="00A06FCF" w:rsidP="002E693B">
      <w:pPr>
        <w:spacing w:before="0" w:after="0"/>
        <w:ind w:firstLine="284"/>
        <w:rPr>
          <w:rFonts w:ascii="Garamond" w:eastAsia="MS Mincho" w:hAnsi="Garamond" w:cs="Times New Roman"/>
          <w:szCs w:val="24"/>
        </w:rPr>
      </w:pPr>
      <w:r w:rsidRPr="00B457F5">
        <w:rPr>
          <w:rFonts w:ascii="Garamond" w:eastAsia="MS Mincho" w:hAnsi="Garamond" w:cs="Times New Roman"/>
          <w:bCs/>
          <w:iCs/>
          <w:szCs w:val="24"/>
        </w:rPr>
        <w:t>Strategjia Komb</w:t>
      </w:r>
      <w:r w:rsidR="00B0743F" w:rsidRPr="00B457F5">
        <w:rPr>
          <w:rFonts w:ascii="Garamond" w:eastAsia="MS Mincho" w:hAnsi="Garamond" w:cs="Times New Roman"/>
          <w:bCs/>
          <w:iCs/>
          <w:szCs w:val="24"/>
        </w:rPr>
        <w:t>ë</w:t>
      </w:r>
      <w:r w:rsidRPr="00B457F5">
        <w:rPr>
          <w:rFonts w:ascii="Garamond" w:eastAsia="MS Mincho" w:hAnsi="Garamond" w:cs="Times New Roman"/>
          <w:bCs/>
          <w:iCs/>
          <w:szCs w:val="24"/>
        </w:rPr>
        <w:t>tare p</w:t>
      </w:r>
      <w:r w:rsidR="00B0743F" w:rsidRPr="00B457F5">
        <w:rPr>
          <w:rFonts w:ascii="Garamond" w:eastAsia="MS Mincho" w:hAnsi="Garamond" w:cs="Times New Roman"/>
          <w:bCs/>
          <w:iCs/>
          <w:szCs w:val="24"/>
        </w:rPr>
        <w:t>ë</w:t>
      </w:r>
      <w:r w:rsidRPr="00B457F5">
        <w:rPr>
          <w:rFonts w:ascii="Garamond" w:eastAsia="MS Mincho" w:hAnsi="Garamond" w:cs="Times New Roman"/>
          <w:bCs/>
          <w:iCs/>
          <w:szCs w:val="24"/>
        </w:rPr>
        <w:t>r Zhvillim dhe Integrim</w:t>
      </w:r>
      <w:r w:rsidR="00F96FF8" w:rsidRPr="00B457F5">
        <w:rPr>
          <w:rFonts w:ascii="Garamond" w:eastAsia="MS Mincho" w:hAnsi="Garamond" w:cs="Times New Roman"/>
          <w:bCs/>
          <w:iCs/>
          <w:szCs w:val="24"/>
        </w:rPr>
        <w:t xml:space="preserve"> </w:t>
      </w:r>
      <w:r w:rsidR="00734269" w:rsidRPr="00B457F5">
        <w:rPr>
          <w:rFonts w:ascii="Garamond" w:eastAsia="MS Mincho" w:hAnsi="Garamond" w:cs="Times New Roman"/>
          <w:bCs/>
          <w:iCs/>
          <w:szCs w:val="24"/>
        </w:rPr>
        <w:t>Evropian</w:t>
      </w:r>
      <w:r w:rsidR="00A619CA" w:rsidRPr="00B457F5">
        <w:rPr>
          <w:rFonts w:ascii="Garamond" w:eastAsia="MS Mincho" w:hAnsi="Garamond" w:cs="Times New Roman"/>
          <w:szCs w:val="24"/>
          <w:vertAlign w:val="superscript"/>
        </w:rPr>
        <w:footnoteReference w:id="7"/>
      </w:r>
      <w:r w:rsidR="00A619CA" w:rsidRPr="00B457F5">
        <w:rPr>
          <w:rFonts w:ascii="Garamond" w:eastAsia="MS Mincho" w:hAnsi="Garamond" w:cs="Times New Roman"/>
          <w:bCs/>
          <w:iCs/>
          <w:szCs w:val="24"/>
        </w:rPr>
        <w:t xml:space="preserve"> </w:t>
      </w:r>
      <w:r w:rsidR="00A619CA" w:rsidRPr="00B457F5">
        <w:rPr>
          <w:rFonts w:ascii="Garamond" w:eastAsia="MS Mincho" w:hAnsi="Garamond" w:cs="Times New Roman"/>
          <w:szCs w:val="24"/>
        </w:rPr>
        <w:t>(</w:t>
      </w:r>
      <w:r w:rsidRPr="00B457F5">
        <w:rPr>
          <w:rFonts w:ascii="Garamond" w:eastAsia="MS Mincho" w:hAnsi="Garamond" w:cs="Times New Roman"/>
          <w:szCs w:val="24"/>
        </w:rPr>
        <w:t>SKZHI</w:t>
      </w:r>
      <w:r w:rsidR="0063759C" w:rsidRPr="00B457F5">
        <w:rPr>
          <w:rFonts w:ascii="Garamond" w:eastAsia="MS Mincho" w:hAnsi="Garamond" w:cs="Times New Roman"/>
          <w:szCs w:val="24"/>
        </w:rPr>
        <w:t>E</w:t>
      </w:r>
      <w:r w:rsidR="00A619CA" w:rsidRPr="00B457F5">
        <w:rPr>
          <w:rFonts w:ascii="Garamond" w:eastAsia="MS Mincho" w:hAnsi="Garamond" w:cs="Times New Roman"/>
          <w:szCs w:val="24"/>
        </w:rPr>
        <w:t xml:space="preserve">) </w:t>
      </w:r>
      <w:r w:rsidR="00625E87" w:rsidRPr="00B457F5">
        <w:rPr>
          <w:rFonts w:ascii="Garamond" w:eastAsia="MS Mincho" w:hAnsi="Garamond" w:cs="Times New Roman"/>
          <w:szCs w:val="24"/>
        </w:rPr>
        <w:t>është dokumenti politik që siguron zhvillimin e vendit në të gjitha fushat</w:t>
      </w:r>
      <w:r w:rsidR="009C6465" w:rsidRPr="00B457F5">
        <w:rPr>
          <w:rFonts w:ascii="Garamond" w:eastAsia="MS Mincho" w:hAnsi="Garamond" w:cs="Times New Roman"/>
          <w:szCs w:val="24"/>
        </w:rPr>
        <w:t>,</w:t>
      </w:r>
      <w:r w:rsidR="00625E87" w:rsidRPr="00B457F5">
        <w:rPr>
          <w:rFonts w:ascii="Garamond" w:eastAsia="MS Mincho" w:hAnsi="Garamond" w:cs="Times New Roman"/>
          <w:szCs w:val="24"/>
        </w:rPr>
        <w:t xml:space="preserve"> në përputhje me drejtimet strategjike dhe në kuadër të integrimit në BE. SKZHIE</w:t>
      </w:r>
      <w:r w:rsidR="00164BBC" w:rsidRPr="00B457F5">
        <w:rPr>
          <w:rFonts w:ascii="Garamond" w:eastAsia="MS Mincho" w:hAnsi="Garamond" w:cs="Times New Roman"/>
          <w:szCs w:val="24"/>
        </w:rPr>
        <w:t>-ja</w:t>
      </w:r>
      <w:r w:rsidR="009C6465" w:rsidRPr="00B457F5">
        <w:rPr>
          <w:rFonts w:ascii="Garamond" w:eastAsia="MS Mincho" w:hAnsi="Garamond" w:cs="Times New Roman"/>
          <w:szCs w:val="24"/>
        </w:rPr>
        <w:t>,</w:t>
      </w:r>
      <w:r w:rsidR="00625E87" w:rsidRPr="00B457F5">
        <w:rPr>
          <w:rFonts w:ascii="Garamond" w:eastAsia="MS Mincho" w:hAnsi="Garamond" w:cs="Times New Roman"/>
          <w:szCs w:val="24"/>
        </w:rPr>
        <w:t xml:space="preserve"> e cila mbulon periudhën deri në vitin 2030, në vijim të strategjisë së mëparshme, vazhdon ta konsiderojë migracionin si një aspekt të rëndësishëm </w:t>
      </w:r>
      <w:r w:rsidR="00164BBC" w:rsidRPr="00B457F5">
        <w:rPr>
          <w:rFonts w:ascii="Garamond" w:eastAsia="MS Mincho" w:hAnsi="Garamond" w:cs="Times New Roman"/>
          <w:szCs w:val="24"/>
        </w:rPr>
        <w:t>për</w:t>
      </w:r>
      <w:r w:rsidR="00625E87" w:rsidRPr="00B457F5">
        <w:rPr>
          <w:rFonts w:ascii="Garamond" w:eastAsia="MS Mincho" w:hAnsi="Garamond" w:cs="Times New Roman"/>
          <w:szCs w:val="24"/>
        </w:rPr>
        <w:t xml:space="preserve"> zhvillimin social dhe ekonomik të Shqipërisë. Menaxhimi i duhur i migracionit mbetet një prioritet kryesor edhe </w:t>
      </w:r>
      <w:r w:rsidR="000F3C89" w:rsidRPr="00B457F5">
        <w:rPr>
          <w:rFonts w:ascii="Garamond" w:eastAsia="MS Mincho" w:hAnsi="Garamond" w:cs="Times New Roman"/>
          <w:szCs w:val="24"/>
        </w:rPr>
        <w:t>për</w:t>
      </w:r>
      <w:r w:rsidR="00625E87" w:rsidRPr="00B457F5">
        <w:rPr>
          <w:rFonts w:ascii="Garamond" w:eastAsia="MS Mincho" w:hAnsi="Garamond" w:cs="Times New Roman"/>
          <w:szCs w:val="24"/>
        </w:rPr>
        <w:t xml:space="preserve"> perspektivën e integrimit të vendit në BE. </w:t>
      </w:r>
      <w:r w:rsidR="0063759C" w:rsidRPr="00B457F5">
        <w:rPr>
          <w:rFonts w:ascii="Garamond" w:eastAsia="MS Mincho" w:hAnsi="Garamond" w:cs="Times New Roman"/>
          <w:szCs w:val="24"/>
        </w:rPr>
        <w:t>P</w:t>
      </w:r>
      <w:r w:rsidR="00B0743F" w:rsidRPr="00B457F5">
        <w:rPr>
          <w:rFonts w:ascii="Garamond" w:eastAsia="MS Mincho" w:hAnsi="Garamond" w:cs="Times New Roman"/>
          <w:szCs w:val="24"/>
        </w:rPr>
        <w:t>ë</w:t>
      </w:r>
      <w:r w:rsidR="0063759C" w:rsidRPr="00B457F5">
        <w:rPr>
          <w:rFonts w:ascii="Garamond" w:eastAsia="MS Mincho" w:hAnsi="Garamond" w:cs="Times New Roman"/>
          <w:szCs w:val="24"/>
        </w:rPr>
        <w:t>rgjith</w:t>
      </w:r>
      <w:r w:rsidR="00B0743F" w:rsidRPr="00B457F5">
        <w:rPr>
          <w:rFonts w:ascii="Garamond" w:eastAsia="MS Mincho" w:hAnsi="Garamond" w:cs="Times New Roman"/>
          <w:szCs w:val="24"/>
        </w:rPr>
        <w:t>ë</w:t>
      </w:r>
      <w:r w:rsidR="0063759C" w:rsidRPr="00B457F5">
        <w:rPr>
          <w:rFonts w:ascii="Garamond" w:eastAsia="MS Mincho" w:hAnsi="Garamond" w:cs="Times New Roman"/>
          <w:szCs w:val="24"/>
        </w:rPr>
        <w:t>sisht</w:t>
      </w:r>
      <w:r w:rsidR="00625E87" w:rsidRPr="00B457F5">
        <w:rPr>
          <w:rFonts w:ascii="Garamond" w:eastAsia="MS Mincho" w:hAnsi="Garamond" w:cs="Times New Roman"/>
          <w:szCs w:val="24"/>
        </w:rPr>
        <w:t>, Shqipëria vazhdon të jetë një vend origjin</w:t>
      </w:r>
      <w:r w:rsidR="0063759C" w:rsidRPr="00B457F5">
        <w:rPr>
          <w:rFonts w:ascii="Garamond" w:eastAsia="MS Mincho" w:hAnsi="Garamond" w:cs="Times New Roman"/>
          <w:szCs w:val="24"/>
        </w:rPr>
        <w:t xml:space="preserve">e </w:t>
      </w:r>
      <w:r w:rsidR="00625E87" w:rsidRPr="00B457F5">
        <w:rPr>
          <w:rFonts w:ascii="Garamond" w:eastAsia="MS Mincho" w:hAnsi="Garamond" w:cs="Times New Roman"/>
          <w:szCs w:val="24"/>
        </w:rPr>
        <w:t>për migrantët ekonomikë, por është gjithashtu një vend tranziti dhe destinacioni për migrantët ekonomikë, azilkërkuesit dhe refugjatët.</w:t>
      </w:r>
    </w:p>
    <w:p w14:paraId="5CCD9933" w14:textId="03C45910" w:rsidR="006A70C6" w:rsidRPr="00B457F5" w:rsidRDefault="00E427E3"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SKZHI</w:t>
      </w:r>
      <w:r w:rsidR="000F3C89" w:rsidRPr="00B457F5">
        <w:rPr>
          <w:rFonts w:ascii="Garamond" w:eastAsia="MS Mincho" w:hAnsi="Garamond" w:cs="Times New Roman"/>
          <w:szCs w:val="24"/>
        </w:rPr>
        <w:t>E-ja</w:t>
      </w:r>
      <w:r w:rsidR="00A619CA" w:rsidRPr="00B457F5">
        <w:rPr>
          <w:rFonts w:ascii="Garamond" w:eastAsia="MS Mincho" w:hAnsi="Garamond" w:cs="Times New Roman"/>
          <w:szCs w:val="24"/>
        </w:rPr>
        <w:t xml:space="preserve"> </w:t>
      </w:r>
      <w:r w:rsidRPr="00B457F5">
        <w:rPr>
          <w:rFonts w:ascii="Garamond" w:eastAsia="MS Mincho" w:hAnsi="Garamond" w:cs="Times New Roman"/>
          <w:szCs w:val="24"/>
        </w:rPr>
        <w:t xml:space="preserve">ka si </w:t>
      </w:r>
      <w:r w:rsidR="00C85A0A" w:rsidRPr="00B457F5">
        <w:rPr>
          <w:rFonts w:ascii="Garamond" w:eastAsia="MS Mincho" w:hAnsi="Garamond" w:cs="Times New Roman"/>
          <w:szCs w:val="24"/>
        </w:rPr>
        <w:t>objektiv</w:t>
      </w:r>
      <w:r w:rsidRPr="00B457F5">
        <w:rPr>
          <w:rFonts w:ascii="Garamond" w:eastAsia="MS Mincho" w:hAnsi="Garamond" w:cs="Times New Roman"/>
          <w:szCs w:val="24"/>
        </w:rPr>
        <w:t xml:space="preserve"> par</w:t>
      </w:r>
      <w:r w:rsidR="00B0743F" w:rsidRPr="00B457F5">
        <w:rPr>
          <w:rFonts w:ascii="Garamond" w:eastAsia="MS Mincho" w:hAnsi="Garamond" w:cs="Times New Roman"/>
          <w:szCs w:val="24"/>
        </w:rPr>
        <w:t>ë</w:t>
      </w:r>
      <w:r w:rsidRPr="00B457F5">
        <w:rPr>
          <w:rFonts w:ascii="Garamond" w:eastAsia="MS Mincho" w:hAnsi="Garamond" w:cs="Times New Roman"/>
          <w:szCs w:val="24"/>
        </w:rPr>
        <w:t xml:space="preserve">sor zhvillimin dhe </w:t>
      </w:r>
      <w:r w:rsidR="00C85A0A" w:rsidRPr="00B457F5">
        <w:rPr>
          <w:rFonts w:ascii="Garamond" w:eastAsia="MS Mincho" w:hAnsi="Garamond" w:cs="Times New Roman"/>
          <w:szCs w:val="24"/>
        </w:rPr>
        <w:t>zbatimin</w:t>
      </w:r>
      <w:r w:rsidRPr="00B457F5">
        <w:rPr>
          <w:rFonts w:ascii="Garamond" w:eastAsia="MS Mincho" w:hAnsi="Garamond" w:cs="Times New Roman"/>
          <w:szCs w:val="24"/>
        </w:rPr>
        <w:t xml:space="preserve"> e nj</w:t>
      </w:r>
      <w:r w:rsidR="00B0743F" w:rsidRPr="00B457F5">
        <w:rPr>
          <w:rFonts w:ascii="Garamond" w:eastAsia="MS Mincho" w:hAnsi="Garamond" w:cs="Times New Roman"/>
          <w:szCs w:val="24"/>
        </w:rPr>
        <w:t>ë</w:t>
      </w:r>
      <w:r w:rsidRPr="00B457F5">
        <w:rPr>
          <w:rFonts w:ascii="Garamond" w:eastAsia="MS Mincho" w:hAnsi="Garamond" w:cs="Times New Roman"/>
          <w:szCs w:val="24"/>
        </w:rPr>
        <w:t xml:space="preserve"> dokumenti t</w:t>
      </w:r>
      <w:r w:rsidR="00B0743F" w:rsidRPr="00B457F5">
        <w:rPr>
          <w:rFonts w:ascii="Garamond" w:eastAsia="MS Mincho" w:hAnsi="Garamond" w:cs="Times New Roman"/>
          <w:szCs w:val="24"/>
        </w:rPr>
        <w:t>ë</w:t>
      </w:r>
      <w:r w:rsidRPr="00B457F5">
        <w:rPr>
          <w:rFonts w:ascii="Garamond" w:eastAsia="MS Mincho" w:hAnsi="Garamond" w:cs="Times New Roman"/>
          <w:szCs w:val="24"/>
        </w:rPr>
        <w:t xml:space="preserve"> ri gjith</w:t>
      </w:r>
      <w:r w:rsidR="00B0743F" w:rsidRPr="00B457F5">
        <w:rPr>
          <w:rFonts w:ascii="Garamond" w:eastAsia="MS Mincho" w:hAnsi="Garamond" w:cs="Times New Roman"/>
          <w:szCs w:val="24"/>
        </w:rPr>
        <w:t>ë</w:t>
      </w:r>
      <w:r w:rsidRPr="00B457F5">
        <w:rPr>
          <w:rFonts w:ascii="Garamond" w:eastAsia="MS Mincho" w:hAnsi="Garamond" w:cs="Times New Roman"/>
          <w:szCs w:val="24"/>
        </w:rPr>
        <w:t>p</w:t>
      </w:r>
      <w:r w:rsidR="00B0743F" w:rsidRPr="00B457F5">
        <w:rPr>
          <w:rFonts w:ascii="Garamond" w:eastAsia="MS Mincho" w:hAnsi="Garamond" w:cs="Times New Roman"/>
          <w:szCs w:val="24"/>
        </w:rPr>
        <w:t>ë</w:t>
      </w:r>
      <w:r w:rsidRPr="00B457F5">
        <w:rPr>
          <w:rFonts w:ascii="Garamond" w:eastAsia="MS Mincho" w:hAnsi="Garamond" w:cs="Times New Roman"/>
          <w:szCs w:val="24"/>
        </w:rPr>
        <w:t>rfshir</w:t>
      </w:r>
      <w:r w:rsidR="00B0743F" w:rsidRPr="00B457F5">
        <w:rPr>
          <w:rFonts w:ascii="Garamond" w:eastAsia="MS Mincho" w:hAnsi="Garamond" w:cs="Times New Roman"/>
          <w:szCs w:val="24"/>
        </w:rPr>
        <w:t>ë</w:t>
      </w:r>
      <w:r w:rsidRPr="00B457F5">
        <w:rPr>
          <w:rFonts w:ascii="Garamond" w:eastAsia="MS Mincho" w:hAnsi="Garamond" w:cs="Times New Roman"/>
          <w:szCs w:val="24"/>
        </w:rPr>
        <w:t>s p</w:t>
      </w:r>
      <w:r w:rsidR="00B0743F" w:rsidRPr="00B457F5">
        <w:rPr>
          <w:rFonts w:ascii="Garamond" w:eastAsia="MS Mincho" w:hAnsi="Garamond" w:cs="Times New Roman"/>
          <w:szCs w:val="24"/>
        </w:rPr>
        <w:t>ë</w:t>
      </w:r>
      <w:r w:rsidRPr="00B457F5">
        <w:rPr>
          <w:rFonts w:ascii="Garamond" w:eastAsia="MS Mincho" w:hAnsi="Garamond" w:cs="Times New Roman"/>
          <w:szCs w:val="24"/>
        </w:rPr>
        <w:t xml:space="preserve">r migracionin. </w:t>
      </w:r>
      <w:r w:rsidR="00DD6AE8" w:rsidRPr="00B457F5">
        <w:rPr>
          <w:rFonts w:ascii="Garamond" w:eastAsia="MS Mincho" w:hAnsi="Garamond" w:cs="Times New Roman"/>
          <w:szCs w:val="24"/>
        </w:rPr>
        <w:t>N</w:t>
      </w:r>
      <w:r w:rsidR="00B0743F" w:rsidRPr="00B457F5">
        <w:rPr>
          <w:rFonts w:ascii="Garamond" w:eastAsia="MS Mincho" w:hAnsi="Garamond" w:cs="Times New Roman"/>
          <w:szCs w:val="24"/>
        </w:rPr>
        <w:t>ë</w:t>
      </w:r>
      <w:r w:rsidR="00DD6AE8" w:rsidRPr="00B457F5">
        <w:rPr>
          <w:rFonts w:ascii="Garamond" w:eastAsia="MS Mincho" w:hAnsi="Garamond" w:cs="Times New Roman"/>
          <w:szCs w:val="24"/>
        </w:rPr>
        <w:t xml:space="preserve"> frymën e proceseve globale të migracionit dhe të integrimit të vendit në BE, duke dhënë një përgjigje të plotë ndaj sfidave dhe mundësive të migracionit, </w:t>
      </w:r>
      <w:r w:rsidR="007155BB" w:rsidRPr="00B457F5">
        <w:rPr>
          <w:rFonts w:ascii="Garamond" w:eastAsia="MS Mincho" w:hAnsi="Garamond" w:cs="Times New Roman"/>
          <w:szCs w:val="24"/>
        </w:rPr>
        <w:t xml:space="preserve">ky dokument </w:t>
      </w:r>
      <w:r w:rsidR="00DD6AE8" w:rsidRPr="00B457F5">
        <w:rPr>
          <w:rFonts w:ascii="Garamond" w:eastAsia="MS Mincho" w:hAnsi="Garamond" w:cs="Times New Roman"/>
          <w:szCs w:val="24"/>
        </w:rPr>
        <w:t>përfaqëson vizionin e qeverisë shqiptare në fushën e migracionit deri në vitin 2030. Në këtë drejtim</w:t>
      </w:r>
      <w:r w:rsidR="007155BB" w:rsidRPr="00B457F5">
        <w:rPr>
          <w:rFonts w:ascii="Garamond" w:eastAsia="MS Mincho" w:hAnsi="Garamond" w:cs="Times New Roman"/>
          <w:szCs w:val="24"/>
        </w:rPr>
        <w:t xml:space="preserve">, </w:t>
      </w:r>
      <w:r w:rsidR="00BF6FFC" w:rsidRPr="00B457F5">
        <w:rPr>
          <w:rFonts w:ascii="Garamond" w:eastAsia="MS Mincho" w:hAnsi="Garamond" w:cs="Times New Roman"/>
          <w:szCs w:val="24"/>
        </w:rPr>
        <w:t>q</w:t>
      </w:r>
      <w:r w:rsidR="00DD6AE8" w:rsidRPr="00B457F5">
        <w:rPr>
          <w:rFonts w:ascii="Garamond" w:eastAsia="MS Mincho" w:hAnsi="Garamond" w:cs="Times New Roman"/>
          <w:szCs w:val="24"/>
        </w:rPr>
        <w:t>ëllimi strategjik është qeverisja efektive e migracionit</w:t>
      </w:r>
      <w:r w:rsidR="009C6465" w:rsidRPr="00B457F5">
        <w:rPr>
          <w:rFonts w:ascii="Garamond" w:eastAsia="MS Mincho" w:hAnsi="Garamond" w:cs="Times New Roman"/>
          <w:szCs w:val="24"/>
        </w:rPr>
        <w:t>,</w:t>
      </w:r>
      <w:r w:rsidR="00DD6AE8" w:rsidRPr="00B457F5">
        <w:rPr>
          <w:rFonts w:ascii="Garamond" w:eastAsia="MS Mincho" w:hAnsi="Garamond" w:cs="Times New Roman"/>
          <w:szCs w:val="24"/>
        </w:rPr>
        <w:t xml:space="preserve"> duke </w:t>
      </w:r>
      <w:r w:rsidR="00BF6FFC" w:rsidRPr="00B457F5">
        <w:rPr>
          <w:rFonts w:ascii="Garamond" w:eastAsia="MS Mincho" w:hAnsi="Garamond" w:cs="Times New Roman"/>
          <w:szCs w:val="24"/>
        </w:rPr>
        <w:t xml:space="preserve">trajtuar </w:t>
      </w:r>
      <w:r w:rsidR="00DD6AE8" w:rsidRPr="00B457F5">
        <w:rPr>
          <w:rFonts w:ascii="Garamond" w:eastAsia="MS Mincho" w:hAnsi="Garamond" w:cs="Times New Roman"/>
          <w:szCs w:val="24"/>
        </w:rPr>
        <w:t xml:space="preserve">dhe menaxhuar problematikat dhe sfidat që dalin nga lëvizjet migratore, me synim rritjen e ndikimit të migracionit </w:t>
      </w:r>
      <w:r w:rsidR="00BF6FFC" w:rsidRPr="00B457F5">
        <w:rPr>
          <w:rFonts w:ascii="Garamond" w:eastAsia="MS Mincho" w:hAnsi="Garamond" w:cs="Times New Roman"/>
          <w:szCs w:val="24"/>
        </w:rPr>
        <w:t xml:space="preserve">për </w:t>
      </w:r>
      <w:r w:rsidR="00DD6AE8" w:rsidRPr="00B457F5">
        <w:rPr>
          <w:rFonts w:ascii="Garamond" w:eastAsia="MS Mincho" w:hAnsi="Garamond" w:cs="Times New Roman"/>
          <w:szCs w:val="24"/>
        </w:rPr>
        <w:t>zhvillimin e individëve dhe shoqërisë migrante.</w:t>
      </w:r>
    </w:p>
    <w:p w14:paraId="3988ED2D" w14:textId="6B315D2A" w:rsidR="00C202CE" w:rsidRPr="00B457F5" w:rsidRDefault="00C202CE"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Ky dokument thekson se, pavarësisht nga niveli i pranueshëm i zbatimit të </w:t>
      </w:r>
      <w:r w:rsidR="006D79C9" w:rsidRPr="00B457F5">
        <w:rPr>
          <w:rFonts w:ascii="Garamond" w:eastAsia="MS Mincho" w:hAnsi="Garamond" w:cs="Times New Roman"/>
          <w:szCs w:val="24"/>
        </w:rPr>
        <w:t>SKM 20219</w:t>
      </w:r>
      <w:r w:rsidR="00734269" w:rsidRPr="00B457F5">
        <w:rPr>
          <w:rStyle w:val="contentpasted1"/>
          <w:rFonts w:ascii="Garamond" w:hAnsi="Garamond" w:cs="Times New Roman"/>
          <w:color w:val="000000"/>
        </w:rPr>
        <w:t>–</w:t>
      </w:r>
      <w:r w:rsidR="006D79C9" w:rsidRPr="00B457F5">
        <w:rPr>
          <w:rFonts w:ascii="Garamond" w:eastAsia="MS Mincho" w:hAnsi="Garamond" w:cs="Times New Roman"/>
          <w:szCs w:val="24"/>
        </w:rPr>
        <w:t>2022,</w:t>
      </w:r>
      <w:r w:rsidR="006D79C9" w:rsidRPr="00B457F5">
        <w:rPr>
          <w:rFonts w:ascii="Garamond" w:eastAsia="MS Mincho" w:hAnsi="Garamond" w:cs="Times New Roman"/>
          <w:color w:val="FF0000"/>
          <w:szCs w:val="24"/>
        </w:rPr>
        <w:t xml:space="preserve"> </w:t>
      </w:r>
      <w:r w:rsidRPr="00B457F5">
        <w:rPr>
          <w:rFonts w:ascii="Garamond" w:eastAsia="MS Mincho" w:hAnsi="Garamond" w:cs="Times New Roman"/>
          <w:szCs w:val="24"/>
        </w:rPr>
        <w:t xml:space="preserve">ka </w:t>
      </w:r>
      <w:r w:rsidR="00382735" w:rsidRPr="00B457F5">
        <w:rPr>
          <w:rFonts w:ascii="Garamond" w:eastAsia="MS Mincho" w:hAnsi="Garamond" w:cs="Times New Roman"/>
          <w:szCs w:val="24"/>
        </w:rPr>
        <w:t xml:space="preserve">ende </w:t>
      </w:r>
      <w:r w:rsidRPr="00B457F5">
        <w:rPr>
          <w:rFonts w:ascii="Garamond" w:eastAsia="MS Mincho" w:hAnsi="Garamond" w:cs="Times New Roman"/>
          <w:szCs w:val="24"/>
        </w:rPr>
        <w:t>sfida t</w:t>
      </w:r>
      <w:r w:rsidR="00B0743F" w:rsidRPr="00B457F5">
        <w:rPr>
          <w:rFonts w:ascii="Garamond" w:eastAsia="MS Mincho" w:hAnsi="Garamond" w:cs="Times New Roman"/>
          <w:szCs w:val="24"/>
        </w:rPr>
        <w:t>ë</w:t>
      </w:r>
      <w:r w:rsidR="00382735" w:rsidRPr="00B457F5">
        <w:rPr>
          <w:rFonts w:ascii="Garamond" w:eastAsia="MS Mincho" w:hAnsi="Garamond" w:cs="Times New Roman"/>
          <w:szCs w:val="24"/>
        </w:rPr>
        <w:t xml:space="preserve"> patrajtuara, t</w:t>
      </w:r>
      <w:r w:rsidR="001351F3" w:rsidRPr="00B457F5">
        <w:rPr>
          <w:rFonts w:ascii="Garamond" w:eastAsia="MS Mincho" w:hAnsi="Garamond" w:cs="Times New Roman"/>
          <w:szCs w:val="24"/>
        </w:rPr>
        <w:t>ë tilla</w:t>
      </w:r>
      <w:r w:rsidR="006D79C9" w:rsidRPr="00B457F5">
        <w:rPr>
          <w:rFonts w:ascii="Garamond" w:eastAsia="MS Mincho" w:hAnsi="Garamond" w:cs="Times New Roman"/>
          <w:szCs w:val="24"/>
        </w:rPr>
        <w:t xml:space="preserve"> </w:t>
      </w:r>
      <w:r w:rsidRPr="00B457F5">
        <w:rPr>
          <w:rFonts w:ascii="Garamond" w:eastAsia="MS Mincho" w:hAnsi="Garamond" w:cs="Times New Roman"/>
          <w:szCs w:val="24"/>
        </w:rPr>
        <w:t xml:space="preserve">si përmirësimi i mekanizmave të riintegrimit për të siguruar mbështetje të qëndrueshme për migrantët e kthyer, si dhe forcimi i politikave dhe strukturave të menaxhimit të </w:t>
      </w:r>
      <w:r w:rsidRPr="00B457F5">
        <w:rPr>
          <w:rFonts w:ascii="Garamond" w:eastAsia="MS Mincho" w:hAnsi="Garamond" w:cs="Times New Roman"/>
          <w:szCs w:val="24"/>
        </w:rPr>
        <w:lastRenderedPageBreak/>
        <w:t>migracionit për integrimin e migrantëve, në përputhje me standardet ndërkombëtare. Nxitja e investimeve njerëzore dhe kapitale të qytetarëve shqiptarë që jetojnë jashtë është një tjetër aspekt i vlerësuar si i rëndësishëm.</w:t>
      </w:r>
    </w:p>
    <w:p w14:paraId="43DA48D0" w14:textId="232C7591" w:rsidR="00C202CE" w:rsidRPr="00B457F5" w:rsidRDefault="00C202CE"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Bazuar në këtë dokument strategjik, objektivat politik</w:t>
      </w:r>
      <w:r w:rsidR="008F0009" w:rsidRPr="00B457F5">
        <w:rPr>
          <w:rFonts w:ascii="Garamond" w:eastAsia="MS Mincho" w:hAnsi="Garamond" w:cs="Times New Roman"/>
          <w:szCs w:val="24"/>
        </w:rPr>
        <w:t>ë</w:t>
      </w:r>
      <w:r w:rsidRPr="00B457F5">
        <w:rPr>
          <w:rFonts w:ascii="Garamond" w:eastAsia="MS Mincho" w:hAnsi="Garamond" w:cs="Times New Roman"/>
          <w:szCs w:val="24"/>
        </w:rPr>
        <w:t xml:space="preserve"> kryesor</w:t>
      </w:r>
      <w:r w:rsidR="00B0743F" w:rsidRPr="00B457F5">
        <w:rPr>
          <w:rFonts w:ascii="Garamond" w:eastAsia="MS Mincho" w:hAnsi="Garamond" w:cs="Times New Roman"/>
          <w:szCs w:val="24"/>
        </w:rPr>
        <w:t>ë</w:t>
      </w:r>
      <w:r w:rsidRPr="00B457F5">
        <w:rPr>
          <w:rFonts w:ascii="Garamond" w:eastAsia="MS Mincho" w:hAnsi="Garamond" w:cs="Times New Roman"/>
          <w:szCs w:val="24"/>
        </w:rPr>
        <w:t xml:space="preserve"> të fushës s</w:t>
      </w:r>
      <w:r w:rsidR="00B0743F" w:rsidRPr="00B457F5">
        <w:rPr>
          <w:rFonts w:ascii="Garamond" w:eastAsia="MS Mincho" w:hAnsi="Garamond" w:cs="Times New Roman"/>
          <w:szCs w:val="24"/>
        </w:rPr>
        <w:t>ë</w:t>
      </w:r>
      <w:r w:rsidRPr="00B457F5">
        <w:rPr>
          <w:rFonts w:ascii="Garamond" w:eastAsia="MS Mincho" w:hAnsi="Garamond" w:cs="Times New Roman"/>
          <w:szCs w:val="24"/>
        </w:rPr>
        <w:t xml:space="preserve"> migracionit do të synojnë zhvillimin e politikave efikase të migracionit për motive punësimi</w:t>
      </w:r>
      <w:r w:rsidR="009C6465" w:rsidRPr="00B457F5">
        <w:rPr>
          <w:rFonts w:ascii="Garamond" w:eastAsia="MS Mincho" w:hAnsi="Garamond" w:cs="Times New Roman"/>
          <w:szCs w:val="24"/>
        </w:rPr>
        <w:t>,</w:t>
      </w:r>
      <w:r w:rsidRPr="00B457F5">
        <w:rPr>
          <w:rFonts w:ascii="Garamond" w:eastAsia="MS Mincho" w:hAnsi="Garamond" w:cs="Times New Roman"/>
          <w:szCs w:val="24"/>
        </w:rPr>
        <w:t xml:space="preserve"> për të rritur ndikimin pozitiv të migracionit në rritjen soci</w:t>
      </w:r>
      <w:r w:rsidR="007B565A" w:rsidRPr="00B457F5">
        <w:rPr>
          <w:rFonts w:ascii="Garamond" w:eastAsia="MS Mincho" w:hAnsi="Garamond" w:cs="Times New Roman"/>
          <w:szCs w:val="24"/>
        </w:rPr>
        <w:t>al</w:t>
      </w:r>
      <w:r w:rsidRPr="00B457F5">
        <w:rPr>
          <w:rFonts w:ascii="Garamond" w:eastAsia="MS Mincho" w:hAnsi="Garamond" w:cs="Times New Roman"/>
          <w:szCs w:val="24"/>
        </w:rPr>
        <w:t xml:space="preserve">-ekonomike </w:t>
      </w:r>
      <w:r w:rsidR="003B592C" w:rsidRPr="00B457F5">
        <w:rPr>
          <w:rFonts w:ascii="Garamond" w:eastAsia="MS Mincho" w:hAnsi="Garamond" w:cs="Times New Roman"/>
          <w:szCs w:val="24"/>
        </w:rPr>
        <w:t xml:space="preserve">vendore </w:t>
      </w:r>
      <w:r w:rsidRPr="00B457F5">
        <w:rPr>
          <w:rFonts w:ascii="Garamond" w:eastAsia="MS Mincho" w:hAnsi="Garamond" w:cs="Times New Roman"/>
          <w:szCs w:val="24"/>
        </w:rPr>
        <w:t xml:space="preserve">dhe kombëtare. Gjithashtu, synimi </w:t>
      </w:r>
      <w:r w:rsidR="000D730D" w:rsidRPr="00B457F5">
        <w:rPr>
          <w:rFonts w:ascii="Garamond" w:eastAsia="MS Mincho" w:hAnsi="Garamond" w:cs="Times New Roman"/>
          <w:szCs w:val="24"/>
        </w:rPr>
        <w:t>është</w:t>
      </w:r>
      <w:r w:rsidRPr="00B457F5">
        <w:rPr>
          <w:rFonts w:ascii="Garamond" w:eastAsia="MS Mincho" w:hAnsi="Garamond" w:cs="Times New Roman"/>
          <w:szCs w:val="24"/>
        </w:rPr>
        <w:t xml:space="preserve"> promovimi i migrimit të rregullt dhe mbrojtja e të drejtave të migrantëve, si dhe riintegrimi i tyre në shoqërinë tonë.</w:t>
      </w:r>
    </w:p>
    <w:p w14:paraId="0B08CDF8" w14:textId="29BB588C" w:rsidR="008D313B" w:rsidRPr="00B457F5" w:rsidRDefault="00310E30" w:rsidP="002E693B">
      <w:pPr>
        <w:spacing w:before="0" w:after="0"/>
        <w:ind w:firstLine="284"/>
        <w:rPr>
          <w:rFonts w:ascii="Garamond" w:eastAsia="MS Mincho" w:hAnsi="Garamond" w:cs="Times New Roman"/>
          <w:szCs w:val="24"/>
        </w:rPr>
      </w:pPr>
      <w:r w:rsidRPr="00B457F5">
        <w:rPr>
          <w:rFonts w:ascii="Garamond" w:eastAsia="MS Mincho" w:hAnsi="Garamond" w:cs="Times New Roman"/>
          <w:bCs/>
          <w:iCs/>
          <w:szCs w:val="24"/>
        </w:rPr>
        <w:t>Strategjia Komb</w:t>
      </w:r>
      <w:r w:rsidR="00B0743F" w:rsidRPr="00B457F5">
        <w:rPr>
          <w:rFonts w:ascii="Garamond" w:eastAsia="MS Mincho" w:hAnsi="Garamond" w:cs="Times New Roman"/>
          <w:bCs/>
          <w:iCs/>
          <w:szCs w:val="24"/>
        </w:rPr>
        <w:t>ë</w:t>
      </w:r>
      <w:r w:rsidRPr="00B457F5">
        <w:rPr>
          <w:rFonts w:ascii="Garamond" w:eastAsia="MS Mincho" w:hAnsi="Garamond" w:cs="Times New Roman"/>
          <w:bCs/>
          <w:iCs/>
          <w:szCs w:val="24"/>
        </w:rPr>
        <w:t>tare e Pun</w:t>
      </w:r>
      <w:r w:rsidR="00B0743F" w:rsidRPr="00B457F5">
        <w:rPr>
          <w:rFonts w:ascii="Garamond" w:eastAsia="MS Mincho" w:hAnsi="Garamond" w:cs="Times New Roman"/>
          <w:bCs/>
          <w:iCs/>
          <w:szCs w:val="24"/>
        </w:rPr>
        <w:t>ë</w:t>
      </w:r>
      <w:r w:rsidRPr="00B457F5">
        <w:rPr>
          <w:rFonts w:ascii="Garamond" w:eastAsia="MS Mincho" w:hAnsi="Garamond" w:cs="Times New Roman"/>
          <w:bCs/>
          <w:iCs/>
          <w:szCs w:val="24"/>
        </w:rPr>
        <w:t>simit dhe Aft</w:t>
      </w:r>
      <w:r w:rsidR="00B0743F" w:rsidRPr="00B457F5">
        <w:rPr>
          <w:rFonts w:ascii="Garamond" w:eastAsia="MS Mincho" w:hAnsi="Garamond" w:cs="Times New Roman"/>
          <w:bCs/>
          <w:iCs/>
          <w:szCs w:val="24"/>
        </w:rPr>
        <w:t>ë</w:t>
      </w:r>
      <w:r w:rsidRPr="00B457F5">
        <w:rPr>
          <w:rFonts w:ascii="Garamond" w:eastAsia="MS Mincho" w:hAnsi="Garamond" w:cs="Times New Roman"/>
          <w:bCs/>
          <w:iCs/>
          <w:szCs w:val="24"/>
        </w:rPr>
        <w:t xml:space="preserve">sive </w:t>
      </w:r>
      <w:r w:rsidR="00A619CA" w:rsidRPr="00B457F5">
        <w:rPr>
          <w:rFonts w:ascii="Garamond" w:eastAsia="MS Mincho" w:hAnsi="Garamond" w:cs="Times New Roman"/>
          <w:bCs/>
          <w:iCs/>
          <w:szCs w:val="24"/>
        </w:rPr>
        <w:t>2023</w:t>
      </w:r>
      <w:r w:rsidR="00734269" w:rsidRPr="00B457F5">
        <w:rPr>
          <w:rStyle w:val="contentpasted1"/>
          <w:rFonts w:ascii="Garamond" w:hAnsi="Garamond" w:cs="Times New Roman"/>
          <w:color w:val="000000"/>
        </w:rPr>
        <w:t>–</w:t>
      </w:r>
      <w:r w:rsidR="00A619CA" w:rsidRPr="00B457F5">
        <w:rPr>
          <w:rFonts w:ascii="Garamond" w:eastAsia="MS Mincho" w:hAnsi="Garamond" w:cs="Times New Roman"/>
          <w:bCs/>
          <w:iCs/>
          <w:szCs w:val="24"/>
        </w:rPr>
        <w:t>2030</w:t>
      </w:r>
      <w:r w:rsidR="00A619CA" w:rsidRPr="00B457F5">
        <w:rPr>
          <w:rFonts w:ascii="Garamond" w:eastAsia="MS Mincho" w:hAnsi="Garamond" w:cs="Times New Roman"/>
          <w:szCs w:val="24"/>
          <w:vertAlign w:val="superscript"/>
        </w:rPr>
        <w:footnoteReference w:id="8"/>
      </w:r>
      <w:r w:rsidR="00A619CA" w:rsidRPr="00B457F5">
        <w:rPr>
          <w:rFonts w:ascii="Garamond" w:eastAsia="MS Mincho" w:hAnsi="Garamond" w:cs="Times New Roman"/>
          <w:szCs w:val="24"/>
        </w:rPr>
        <w:t xml:space="preserve"> </w:t>
      </w:r>
      <w:r w:rsidR="00ED65B6" w:rsidRPr="00B457F5">
        <w:rPr>
          <w:rFonts w:ascii="Garamond" w:eastAsia="MS Mincho" w:hAnsi="Garamond" w:cs="Times New Roman"/>
          <w:szCs w:val="24"/>
        </w:rPr>
        <w:t>ofron nj</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vler</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sim t</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situat</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s s</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migracionit nga k</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ndv</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shtrimi i pun</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simit dhe aft</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sive</w:t>
      </w:r>
      <w:r w:rsidR="009C6465" w:rsidRPr="00B457F5">
        <w:rPr>
          <w:rFonts w:ascii="Garamond" w:eastAsia="MS Mincho" w:hAnsi="Garamond" w:cs="Times New Roman"/>
          <w:szCs w:val="24"/>
        </w:rPr>
        <w:t>,</w:t>
      </w:r>
      <w:r w:rsidR="00ED65B6" w:rsidRPr="00B457F5">
        <w:rPr>
          <w:rFonts w:ascii="Garamond" w:eastAsia="MS Mincho" w:hAnsi="Garamond" w:cs="Times New Roman"/>
          <w:szCs w:val="24"/>
        </w:rPr>
        <w:t xml:space="preserve"> duke theksuar se plakja e popullsis</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dhe l</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vizjet migratore kan</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zvog</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luar rritjen e fuqis</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pun</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tore n</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vend. SKPA</w:t>
      </w:r>
      <w:r w:rsidR="009C6465" w:rsidRPr="00B457F5">
        <w:rPr>
          <w:rFonts w:ascii="Garamond" w:eastAsia="MS Mincho" w:hAnsi="Garamond" w:cs="Times New Roman"/>
          <w:szCs w:val="24"/>
        </w:rPr>
        <w:t>-ja,</w:t>
      </w:r>
      <w:r w:rsidR="00ED65B6" w:rsidRPr="00B457F5">
        <w:rPr>
          <w:rFonts w:ascii="Garamond" w:eastAsia="MS Mincho" w:hAnsi="Garamond" w:cs="Times New Roman"/>
          <w:szCs w:val="24"/>
        </w:rPr>
        <w:t xml:space="preserve"> n</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masat q</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synojn</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t</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realizojn</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vizionin e saj p</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r pun</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sim dhe aft</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si p</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r t</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gjith</w:t>
      </w:r>
      <w:r w:rsidR="002C3386" w:rsidRPr="00B457F5">
        <w:rPr>
          <w:rFonts w:ascii="Garamond" w:eastAsia="MS Mincho" w:hAnsi="Garamond" w:cs="Times New Roman"/>
          <w:szCs w:val="24"/>
        </w:rPr>
        <w:t>ë</w:t>
      </w:r>
      <w:r w:rsidR="009C6465" w:rsidRPr="00B457F5">
        <w:rPr>
          <w:rFonts w:ascii="Garamond" w:eastAsia="MS Mincho" w:hAnsi="Garamond" w:cs="Times New Roman"/>
          <w:szCs w:val="24"/>
        </w:rPr>
        <w:t>,</w:t>
      </w:r>
      <w:r w:rsidR="00ED65B6" w:rsidRPr="00B457F5">
        <w:rPr>
          <w:rFonts w:ascii="Garamond" w:eastAsia="MS Mincho" w:hAnsi="Garamond" w:cs="Times New Roman"/>
          <w:szCs w:val="24"/>
        </w:rPr>
        <w:t xml:space="preserve"> gjat</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w:t>
      </w:r>
      <w:r w:rsidR="009C6465" w:rsidRPr="00B457F5">
        <w:rPr>
          <w:rFonts w:ascii="Garamond" w:eastAsia="MS Mincho" w:hAnsi="Garamond" w:cs="Times New Roman"/>
          <w:szCs w:val="24"/>
        </w:rPr>
        <w:t xml:space="preserve">të </w:t>
      </w:r>
      <w:r w:rsidR="00ED65B6" w:rsidRPr="00B457F5">
        <w:rPr>
          <w:rFonts w:ascii="Garamond" w:eastAsia="MS Mincho" w:hAnsi="Garamond" w:cs="Times New Roman"/>
          <w:szCs w:val="24"/>
        </w:rPr>
        <w:t>gjith</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jet</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s, n</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m</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nyr</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specifike p</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r l</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vizshm</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rin</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e fuqis</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pun</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tore, parashikon nd</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rhyrje q</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synojn</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lidhjen me platform</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n evropiane t</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zyrave t</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pun</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simit (EURES), p</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rmir</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simin e kuadrit rregullator p</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r rekrutimin e drejt</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t</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punonj</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sve, forcimin e bashk</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punimit nd</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rmjet zyrave publike dhe private t</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pun</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simit, identifikimin e aft</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sive t</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munguara n</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vend e rajon dhe plot</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simin e tyre n</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p</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rmjet promovimit t</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l</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vizshm</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ris</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n</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rajonin e Evrop</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s Juglindore. Nd</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rtimi i dialogut dypal</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sh ose shum</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pal</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sh p</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r t</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promovuar sisteme t</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mir</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qeverisura t</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migrimit p</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r motive pun</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simi dhe mb</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shtetja e riintegrimit n</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tregun e pun</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s t</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t</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kthyerve jan</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masa t</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tjera t</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parashikuara n</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k</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t</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dokument. T</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dy </w:t>
      </w:r>
      <w:r w:rsidR="00734269" w:rsidRPr="00B457F5">
        <w:rPr>
          <w:rFonts w:ascii="Garamond" w:eastAsia="MS Mincho" w:hAnsi="Garamond" w:cs="Times New Roman"/>
          <w:szCs w:val="24"/>
        </w:rPr>
        <w:t>dokumentet</w:t>
      </w:r>
      <w:r w:rsidR="00ED65B6" w:rsidRPr="00B457F5">
        <w:rPr>
          <w:rFonts w:ascii="Garamond" w:eastAsia="MS Mincho" w:hAnsi="Garamond" w:cs="Times New Roman"/>
          <w:szCs w:val="24"/>
        </w:rPr>
        <w:t xml:space="preserve"> strategjik</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n</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fush</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n e pun</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simit dhe migracionit mb</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shtesin dhe plot</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sojn</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 xml:space="preserve"> nj</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ra</w:t>
      </w:r>
      <w:r w:rsidR="009C6465" w:rsidRPr="00B457F5">
        <w:rPr>
          <w:rFonts w:ascii="Garamond" w:eastAsia="MS Mincho" w:hAnsi="Garamond" w:cs="Times New Roman"/>
          <w:szCs w:val="24"/>
        </w:rPr>
        <w:t>-</w:t>
      </w:r>
      <w:r w:rsidR="00ED65B6" w:rsidRPr="00B457F5">
        <w:rPr>
          <w:rFonts w:ascii="Garamond" w:eastAsia="MS Mincho" w:hAnsi="Garamond" w:cs="Times New Roman"/>
          <w:szCs w:val="24"/>
        </w:rPr>
        <w:t>tjetr</w:t>
      </w:r>
      <w:r w:rsidR="002C3386" w:rsidRPr="00B457F5">
        <w:rPr>
          <w:rFonts w:ascii="Garamond" w:eastAsia="MS Mincho" w:hAnsi="Garamond" w:cs="Times New Roman"/>
          <w:szCs w:val="24"/>
        </w:rPr>
        <w:t>ë</w:t>
      </w:r>
      <w:r w:rsidR="00ED65B6" w:rsidRPr="00B457F5">
        <w:rPr>
          <w:rFonts w:ascii="Garamond" w:eastAsia="MS Mincho" w:hAnsi="Garamond" w:cs="Times New Roman"/>
          <w:szCs w:val="24"/>
        </w:rPr>
        <w:t>n.</w:t>
      </w:r>
    </w:p>
    <w:p w14:paraId="5BDA1425" w14:textId="3373EA7A" w:rsidR="001059F0" w:rsidRPr="00B457F5" w:rsidRDefault="002F5510" w:rsidP="002E693B">
      <w:pPr>
        <w:spacing w:before="0" w:after="0"/>
        <w:ind w:firstLine="284"/>
        <w:rPr>
          <w:rFonts w:ascii="Garamond" w:eastAsia="MS Mincho" w:hAnsi="Garamond" w:cs="Times New Roman"/>
          <w:szCs w:val="24"/>
        </w:rPr>
      </w:pPr>
      <w:r w:rsidRPr="00B457F5">
        <w:rPr>
          <w:rFonts w:ascii="Garamond" w:eastAsia="MS Mincho" w:hAnsi="Garamond" w:cs="Times New Roman"/>
          <w:bCs/>
          <w:iCs/>
          <w:szCs w:val="24"/>
        </w:rPr>
        <w:t>Plani Komb</w:t>
      </w:r>
      <w:r w:rsidR="00B0743F" w:rsidRPr="00B457F5">
        <w:rPr>
          <w:rFonts w:ascii="Garamond" w:eastAsia="MS Mincho" w:hAnsi="Garamond" w:cs="Times New Roman"/>
          <w:bCs/>
          <w:iCs/>
          <w:szCs w:val="24"/>
        </w:rPr>
        <w:t>ë</w:t>
      </w:r>
      <w:r w:rsidRPr="00B457F5">
        <w:rPr>
          <w:rFonts w:ascii="Garamond" w:eastAsia="MS Mincho" w:hAnsi="Garamond" w:cs="Times New Roman"/>
          <w:bCs/>
          <w:iCs/>
          <w:szCs w:val="24"/>
        </w:rPr>
        <w:t>tar p</w:t>
      </w:r>
      <w:r w:rsidR="00B0743F" w:rsidRPr="00B457F5">
        <w:rPr>
          <w:rFonts w:ascii="Garamond" w:eastAsia="MS Mincho" w:hAnsi="Garamond" w:cs="Times New Roman"/>
          <w:bCs/>
          <w:iCs/>
          <w:szCs w:val="24"/>
        </w:rPr>
        <w:t>ë</w:t>
      </w:r>
      <w:r w:rsidRPr="00B457F5">
        <w:rPr>
          <w:rFonts w:ascii="Garamond" w:eastAsia="MS Mincho" w:hAnsi="Garamond" w:cs="Times New Roman"/>
          <w:bCs/>
          <w:iCs/>
          <w:szCs w:val="24"/>
        </w:rPr>
        <w:t>r Integrimin Evropian</w:t>
      </w:r>
      <w:r w:rsidR="00E61466" w:rsidRPr="00B457F5">
        <w:rPr>
          <w:rFonts w:ascii="Garamond" w:eastAsia="MS Mincho" w:hAnsi="Garamond" w:cs="Times New Roman"/>
          <w:bCs/>
          <w:iCs/>
          <w:szCs w:val="24"/>
        </w:rPr>
        <w:t xml:space="preserve"> </w:t>
      </w:r>
      <w:r w:rsidR="000E276A" w:rsidRPr="00B457F5">
        <w:rPr>
          <w:rFonts w:ascii="Garamond" w:eastAsia="MS Mincho" w:hAnsi="Garamond" w:cs="Times New Roman"/>
          <w:bCs/>
          <w:iCs/>
          <w:szCs w:val="24"/>
        </w:rPr>
        <w:t>2022</w:t>
      </w:r>
      <w:r w:rsidR="00734269" w:rsidRPr="00B457F5">
        <w:rPr>
          <w:rStyle w:val="contentpasted1"/>
          <w:rFonts w:ascii="Garamond" w:hAnsi="Garamond" w:cs="Times New Roman"/>
          <w:color w:val="000000"/>
        </w:rPr>
        <w:t>–</w:t>
      </w:r>
      <w:r w:rsidR="000E276A" w:rsidRPr="00B457F5">
        <w:rPr>
          <w:rFonts w:ascii="Garamond" w:eastAsia="MS Mincho" w:hAnsi="Garamond" w:cs="Times New Roman"/>
          <w:bCs/>
          <w:iCs/>
          <w:szCs w:val="24"/>
        </w:rPr>
        <w:t xml:space="preserve">2024 </w:t>
      </w:r>
      <w:r w:rsidR="00A619CA" w:rsidRPr="00B457F5">
        <w:rPr>
          <w:rFonts w:ascii="Garamond" w:eastAsia="MS Mincho" w:hAnsi="Garamond" w:cs="Times New Roman"/>
          <w:szCs w:val="24"/>
          <w:vertAlign w:val="superscript"/>
        </w:rPr>
        <w:footnoteReference w:id="9"/>
      </w:r>
      <w:r w:rsidR="00A619CA" w:rsidRPr="00B457F5">
        <w:rPr>
          <w:rFonts w:ascii="Garamond" w:eastAsia="MS Mincho" w:hAnsi="Garamond" w:cs="Times New Roman"/>
          <w:bCs/>
          <w:iCs/>
          <w:szCs w:val="24"/>
        </w:rPr>
        <w:t xml:space="preserve"> </w:t>
      </w:r>
      <w:r w:rsidR="002823C1" w:rsidRPr="00B457F5">
        <w:rPr>
          <w:rFonts w:ascii="Garamond" w:eastAsia="MS Mincho" w:hAnsi="Garamond" w:cs="Times New Roman"/>
          <w:szCs w:val="24"/>
        </w:rPr>
        <w:t xml:space="preserve">identifikon </w:t>
      </w:r>
      <w:r w:rsidR="00B92E41" w:rsidRPr="00B457F5">
        <w:rPr>
          <w:rFonts w:ascii="Garamond" w:eastAsia="MS Mincho" w:hAnsi="Garamond" w:cs="Times New Roman"/>
          <w:szCs w:val="24"/>
        </w:rPr>
        <w:t>mangësitë</w:t>
      </w:r>
      <w:r w:rsidR="002823C1" w:rsidRPr="00B457F5">
        <w:rPr>
          <w:rFonts w:ascii="Garamond" w:eastAsia="MS Mincho" w:hAnsi="Garamond" w:cs="Times New Roman"/>
          <w:szCs w:val="24"/>
        </w:rPr>
        <w:t xml:space="preserve"> dhe masat prioritare për përafrimin e legjislacionit </w:t>
      </w:r>
      <w:r w:rsidR="00A13C7C" w:rsidRPr="00B457F5">
        <w:rPr>
          <w:rFonts w:ascii="Garamond" w:eastAsia="MS Mincho" w:hAnsi="Garamond" w:cs="Times New Roman"/>
          <w:szCs w:val="24"/>
        </w:rPr>
        <w:t>dhe standardeve</w:t>
      </w:r>
      <w:r w:rsidR="002823C1" w:rsidRPr="00B457F5">
        <w:rPr>
          <w:rFonts w:ascii="Garamond" w:eastAsia="MS Mincho" w:hAnsi="Garamond" w:cs="Times New Roman"/>
          <w:szCs w:val="24"/>
        </w:rPr>
        <w:t xml:space="preserve"> kombëtare me ato të BE-së në të 33 kapitujt e </w:t>
      </w:r>
      <w:r w:rsidR="002823C1" w:rsidRPr="00B457F5">
        <w:rPr>
          <w:rFonts w:ascii="Garamond" w:eastAsia="MS Mincho" w:hAnsi="Garamond" w:cs="Times New Roman"/>
          <w:i/>
          <w:iCs/>
          <w:szCs w:val="24"/>
        </w:rPr>
        <w:t>acquis</w:t>
      </w:r>
      <w:r w:rsidR="001861C8" w:rsidRPr="00B457F5">
        <w:rPr>
          <w:rFonts w:ascii="Garamond" w:eastAsia="MS Mincho" w:hAnsi="Garamond" w:cs="Times New Roman"/>
          <w:szCs w:val="24"/>
        </w:rPr>
        <w:t>-it</w:t>
      </w:r>
      <w:r w:rsidR="002823C1" w:rsidRPr="00B457F5">
        <w:rPr>
          <w:rFonts w:ascii="Garamond" w:eastAsia="MS Mincho" w:hAnsi="Garamond" w:cs="Times New Roman"/>
          <w:szCs w:val="24"/>
        </w:rPr>
        <w:t xml:space="preserve"> të BE-së. SKM</w:t>
      </w:r>
      <w:r w:rsidR="001861C8" w:rsidRPr="00B457F5">
        <w:rPr>
          <w:rFonts w:ascii="Garamond" w:eastAsia="MS Mincho" w:hAnsi="Garamond" w:cs="Times New Roman"/>
          <w:szCs w:val="24"/>
        </w:rPr>
        <w:t>-ja</w:t>
      </w:r>
      <w:r w:rsidR="002823C1" w:rsidRPr="00B457F5">
        <w:rPr>
          <w:rFonts w:ascii="Garamond" w:eastAsia="MS Mincho" w:hAnsi="Garamond" w:cs="Times New Roman"/>
          <w:szCs w:val="24"/>
        </w:rPr>
        <w:t xml:space="preserve"> është në përputhje me angazhimet e Shqipërisë në </w:t>
      </w:r>
      <w:r w:rsidR="001861C8" w:rsidRPr="00B457F5">
        <w:rPr>
          <w:rFonts w:ascii="Garamond" w:eastAsia="MS Mincho" w:hAnsi="Garamond" w:cs="Times New Roman"/>
          <w:szCs w:val="24"/>
        </w:rPr>
        <w:t>shumë</w:t>
      </w:r>
      <w:r w:rsidR="00A13C7C" w:rsidRPr="00B457F5">
        <w:rPr>
          <w:rFonts w:ascii="Garamond" w:eastAsia="MS Mincho" w:hAnsi="Garamond" w:cs="Times New Roman"/>
          <w:szCs w:val="24"/>
        </w:rPr>
        <w:t xml:space="preserve"> kapituj, kryesisht:</w:t>
      </w:r>
      <w:r w:rsidR="002823C1" w:rsidRPr="00B457F5">
        <w:rPr>
          <w:rFonts w:ascii="Garamond" w:eastAsia="MS Mincho" w:hAnsi="Garamond" w:cs="Times New Roman"/>
          <w:szCs w:val="24"/>
        </w:rPr>
        <w:t xml:space="preserve"> me </w:t>
      </w:r>
      <w:r w:rsidR="009C6465" w:rsidRPr="00B457F5">
        <w:rPr>
          <w:rFonts w:ascii="Garamond" w:eastAsia="MS Mincho" w:hAnsi="Garamond" w:cs="Times New Roman"/>
          <w:szCs w:val="24"/>
        </w:rPr>
        <w:t>k</w:t>
      </w:r>
      <w:r w:rsidR="002823C1" w:rsidRPr="00B457F5">
        <w:rPr>
          <w:rFonts w:ascii="Garamond" w:eastAsia="MS Mincho" w:hAnsi="Garamond" w:cs="Times New Roman"/>
          <w:szCs w:val="24"/>
        </w:rPr>
        <w:t xml:space="preserve">apitullin 24 </w:t>
      </w:r>
      <w:r w:rsidR="00A313AE" w:rsidRPr="00B457F5">
        <w:rPr>
          <w:rFonts w:ascii="Garamond" w:eastAsia="MS Mincho" w:hAnsi="Garamond" w:cs="Times New Roman"/>
          <w:szCs w:val="24"/>
        </w:rPr>
        <w:t>“</w:t>
      </w:r>
      <w:r w:rsidR="002823C1" w:rsidRPr="00B457F5">
        <w:rPr>
          <w:rFonts w:ascii="Garamond" w:eastAsia="MS Mincho" w:hAnsi="Garamond" w:cs="Times New Roman"/>
          <w:szCs w:val="24"/>
        </w:rPr>
        <w:t>Drejtësia, Liria, Siguria</w:t>
      </w:r>
      <w:r w:rsidR="00A313AE" w:rsidRPr="00B457F5">
        <w:rPr>
          <w:rFonts w:ascii="Garamond" w:eastAsia="MS Mincho" w:hAnsi="Garamond" w:cs="Times New Roman"/>
          <w:szCs w:val="24"/>
        </w:rPr>
        <w:t>”</w:t>
      </w:r>
      <w:r w:rsidR="00A13C7C" w:rsidRPr="00B457F5">
        <w:rPr>
          <w:rFonts w:ascii="Garamond" w:eastAsia="MS Mincho" w:hAnsi="Garamond" w:cs="Times New Roman"/>
          <w:szCs w:val="24"/>
        </w:rPr>
        <w:t xml:space="preserve">; </w:t>
      </w:r>
      <w:r w:rsidR="009C6465" w:rsidRPr="00B457F5">
        <w:rPr>
          <w:rFonts w:ascii="Garamond" w:eastAsia="MS Mincho" w:hAnsi="Garamond" w:cs="Times New Roman"/>
          <w:szCs w:val="24"/>
        </w:rPr>
        <w:t>k</w:t>
      </w:r>
      <w:r w:rsidR="002823C1" w:rsidRPr="00B457F5">
        <w:rPr>
          <w:rFonts w:ascii="Garamond" w:eastAsia="MS Mincho" w:hAnsi="Garamond" w:cs="Times New Roman"/>
          <w:szCs w:val="24"/>
        </w:rPr>
        <w:t>apitu</w:t>
      </w:r>
      <w:r w:rsidR="00A13C7C" w:rsidRPr="00B457F5">
        <w:rPr>
          <w:rFonts w:ascii="Garamond" w:eastAsia="MS Mincho" w:hAnsi="Garamond" w:cs="Times New Roman"/>
          <w:szCs w:val="24"/>
        </w:rPr>
        <w:t>llin</w:t>
      </w:r>
      <w:r w:rsidR="002823C1" w:rsidRPr="00B457F5">
        <w:rPr>
          <w:rFonts w:ascii="Garamond" w:eastAsia="MS Mincho" w:hAnsi="Garamond" w:cs="Times New Roman"/>
          <w:szCs w:val="24"/>
        </w:rPr>
        <w:t xml:space="preserve"> 2 </w:t>
      </w:r>
      <w:r w:rsidR="00A313AE" w:rsidRPr="00B457F5">
        <w:rPr>
          <w:rFonts w:ascii="Garamond" w:eastAsia="MS Mincho" w:hAnsi="Garamond" w:cs="Times New Roman"/>
          <w:szCs w:val="24"/>
        </w:rPr>
        <w:t>“</w:t>
      </w:r>
      <w:r w:rsidR="002823C1" w:rsidRPr="00B457F5">
        <w:rPr>
          <w:rFonts w:ascii="Garamond" w:eastAsia="MS Mincho" w:hAnsi="Garamond" w:cs="Times New Roman"/>
          <w:szCs w:val="24"/>
        </w:rPr>
        <w:t>Lëvizja e Lirë e Punëtorëve</w:t>
      </w:r>
      <w:r w:rsidR="00A313AE" w:rsidRPr="00B457F5">
        <w:rPr>
          <w:rFonts w:ascii="Garamond" w:eastAsia="MS Mincho" w:hAnsi="Garamond" w:cs="Times New Roman"/>
          <w:szCs w:val="24"/>
        </w:rPr>
        <w:t>”</w:t>
      </w:r>
      <w:r w:rsidR="00A13C7C" w:rsidRPr="00B457F5">
        <w:rPr>
          <w:rFonts w:ascii="Garamond" w:eastAsia="MS Mincho" w:hAnsi="Garamond" w:cs="Times New Roman"/>
          <w:szCs w:val="24"/>
        </w:rPr>
        <w:t>;</w:t>
      </w:r>
      <w:r w:rsidR="002823C1" w:rsidRPr="00B457F5">
        <w:rPr>
          <w:rFonts w:ascii="Garamond" w:eastAsia="MS Mincho" w:hAnsi="Garamond" w:cs="Times New Roman"/>
          <w:szCs w:val="24"/>
        </w:rPr>
        <w:t xml:space="preserve"> </w:t>
      </w:r>
      <w:r w:rsidR="009C6465" w:rsidRPr="00B457F5">
        <w:rPr>
          <w:rFonts w:ascii="Garamond" w:eastAsia="MS Mincho" w:hAnsi="Garamond" w:cs="Times New Roman"/>
          <w:szCs w:val="24"/>
        </w:rPr>
        <w:t>k</w:t>
      </w:r>
      <w:r w:rsidR="00820EF5" w:rsidRPr="00B457F5">
        <w:rPr>
          <w:rFonts w:ascii="Garamond" w:eastAsia="MS Mincho" w:hAnsi="Garamond" w:cs="Times New Roman"/>
          <w:szCs w:val="24"/>
        </w:rPr>
        <w:t xml:space="preserve">apitullin </w:t>
      </w:r>
      <w:r w:rsidR="002823C1" w:rsidRPr="00B457F5">
        <w:rPr>
          <w:rFonts w:ascii="Garamond" w:eastAsia="MS Mincho" w:hAnsi="Garamond" w:cs="Times New Roman"/>
          <w:szCs w:val="24"/>
        </w:rPr>
        <w:t xml:space="preserve">3 </w:t>
      </w:r>
      <w:r w:rsidR="00A313AE" w:rsidRPr="00B457F5">
        <w:rPr>
          <w:rFonts w:ascii="Garamond" w:eastAsia="MS Mincho" w:hAnsi="Garamond" w:cs="Times New Roman"/>
          <w:szCs w:val="24"/>
        </w:rPr>
        <w:t>“</w:t>
      </w:r>
      <w:r w:rsidR="002823C1" w:rsidRPr="00B457F5">
        <w:rPr>
          <w:rFonts w:ascii="Garamond" w:eastAsia="MS Mincho" w:hAnsi="Garamond" w:cs="Times New Roman"/>
          <w:szCs w:val="24"/>
        </w:rPr>
        <w:t xml:space="preserve">E drejta e </w:t>
      </w:r>
      <w:r w:rsidR="00421CEB" w:rsidRPr="00B457F5">
        <w:rPr>
          <w:rFonts w:ascii="Garamond" w:eastAsia="MS Mincho" w:hAnsi="Garamond" w:cs="Times New Roman"/>
          <w:szCs w:val="24"/>
        </w:rPr>
        <w:t>biznesit</w:t>
      </w:r>
      <w:r w:rsidR="002823C1" w:rsidRPr="00B457F5">
        <w:rPr>
          <w:rFonts w:ascii="Garamond" w:eastAsia="MS Mincho" w:hAnsi="Garamond" w:cs="Times New Roman"/>
          <w:szCs w:val="24"/>
        </w:rPr>
        <w:t xml:space="preserve"> dhe liria për të ofruar shërbime</w:t>
      </w:r>
      <w:r w:rsidR="00A313AE" w:rsidRPr="00B457F5">
        <w:rPr>
          <w:rFonts w:ascii="Garamond" w:eastAsia="MS Mincho" w:hAnsi="Garamond" w:cs="Times New Roman"/>
          <w:szCs w:val="24"/>
        </w:rPr>
        <w:t>”</w:t>
      </w:r>
      <w:r w:rsidR="00A13C7C" w:rsidRPr="00B457F5">
        <w:rPr>
          <w:rFonts w:ascii="Garamond" w:eastAsia="MS Mincho" w:hAnsi="Garamond" w:cs="Times New Roman"/>
          <w:szCs w:val="24"/>
        </w:rPr>
        <w:t>;</w:t>
      </w:r>
      <w:r w:rsidR="002823C1" w:rsidRPr="00B457F5">
        <w:rPr>
          <w:rFonts w:ascii="Garamond" w:eastAsia="MS Mincho" w:hAnsi="Garamond" w:cs="Times New Roman"/>
          <w:szCs w:val="24"/>
        </w:rPr>
        <w:t xml:space="preserve"> </w:t>
      </w:r>
      <w:r w:rsidR="009C6465" w:rsidRPr="00B457F5">
        <w:rPr>
          <w:rFonts w:ascii="Garamond" w:eastAsia="MS Mincho" w:hAnsi="Garamond" w:cs="Times New Roman"/>
          <w:szCs w:val="24"/>
        </w:rPr>
        <w:t>k</w:t>
      </w:r>
      <w:r w:rsidR="00820EF5" w:rsidRPr="00B457F5">
        <w:rPr>
          <w:rFonts w:ascii="Garamond" w:eastAsia="MS Mincho" w:hAnsi="Garamond" w:cs="Times New Roman"/>
          <w:szCs w:val="24"/>
        </w:rPr>
        <w:t xml:space="preserve">apitullin </w:t>
      </w:r>
      <w:r w:rsidR="002823C1" w:rsidRPr="00B457F5">
        <w:rPr>
          <w:rFonts w:ascii="Garamond" w:eastAsia="MS Mincho" w:hAnsi="Garamond" w:cs="Times New Roman"/>
          <w:szCs w:val="24"/>
        </w:rPr>
        <w:t xml:space="preserve">18 </w:t>
      </w:r>
      <w:r w:rsidR="00A313AE" w:rsidRPr="00B457F5">
        <w:rPr>
          <w:rFonts w:ascii="Garamond" w:eastAsia="MS Mincho" w:hAnsi="Garamond" w:cs="Times New Roman"/>
          <w:szCs w:val="24"/>
        </w:rPr>
        <w:t>“</w:t>
      </w:r>
      <w:r w:rsidR="002823C1" w:rsidRPr="00B457F5">
        <w:rPr>
          <w:rFonts w:ascii="Garamond" w:eastAsia="MS Mincho" w:hAnsi="Garamond" w:cs="Times New Roman"/>
          <w:szCs w:val="24"/>
        </w:rPr>
        <w:t>Statistikat</w:t>
      </w:r>
      <w:r w:rsidR="00A313AE" w:rsidRPr="00B457F5">
        <w:rPr>
          <w:rFonts w:ascii="Garamond" w:eastAsia="MS Mincho" w:hAnsi="Garamond" w:cs="Times New Roman"/>
          <w:szCs w:val="24"/>
        </w:rPr>
        <w:t>”</w:t>
      </w:r>
      <w:r w:rsidR="00A13C7C" w:rsidRPr="00B457F5">
        <w:rPr>
          <w:rFonts w:ascii="Garamond" w:eastAsia="MS Mincho" w:hAnsi="Garamond" w:cs="Times New Roman"/>
          <w:szCs w:val="24"/>
        </w:rPr>
        <w:t xml:space="preserve"> </w:t>
      </w:r>
      <w:r w:rsidR="002823C1" w:rsidRPr="00B457F5">
        <w:rPr>
          <w:rFonts w:ascii="Garamond" w:eastAsia="MS Mincho" w:hAnsi="Garamond" w:cs="Times New Roman"/>
          <w:szCs w:val="24"/>
        </w:rPr>
        <w:t xml:space="preserve">dhe </w:t>
      </w:r>
      <w:r w:rsidR="009C6465" w:rsidRPr="00B457F5">
        <w:rPr>
          <w:rFonts w:ascii="Garamond" w:eastAsia="MS Mincho" w:hAnsi="Garamond" w:cs="Times New Roman"/>
          <w:szCs w:val="24"/>
        </w:rPr>
        <w:t>k</w:t>
      </w:r>
      <w:r w:rsidR="00820EF5" w:rsidRPr="00B457F5">
        <w:rPr>
          <w:rFonts w:ascii="Garamond" w:eastAsia="MS Mincho" w:hAnsi="Garamond" w:cs="Times New Roman"/>
          <w:szCs w:val="24"/>
        </w:rPr>
        <w:t xml:space="preserve">apitullin </w:t>
      </w:r>
      <w:r w:rsidR="002823C1" w:rsidRPr="00B457F5">
        <w:rPr>
          <w:rFonts w:ascii="Garamond" w:eastAsia="MS Mincho" w:hAnsi="Garamond" w:cs="Times New Roman"/>
          <w:szCs w:val="24"/>
        </w:rPr>
        <w:t xml:space="preserve">19 </w:t>
      </w:r>
      <w:r w:rsidR="00A313AE" w:rsidRPr="00B457F5">
        <w:rPr>
          <w:rFonts w:ascii="Garamond" w:eastAsia="MS Mincho" w:hAnsi="Garamond" w:cs="Times New Roman"/>
          <w:szCs w:val="24"/>
        </w:rPr>
        <w:t>“</w:t>
      </w:r>
      <w:r w:rsidR="002823C1" w:rsidRPr="00B457F5">
        <w:rPr>
          <w:rFonts w:ascii="Garamond" w:eastAsia="MS Mincho" w:hAnsi="Garamond" w:cs="Times New Roman"/>
          <w:szCs w:val="24"/>
        </w:rPr>
        <w:t>Politika Sociale dhe Punësimi</w:t>
      </w:r>
      <w:r w:rsidR="00A313AE" w:rsidRPr="00B457F5">
        <w:rPr>
          <w:rFonts w:ascii="Garamond" w:eastAsia="MS Mincho" w:hAnsi="Garamond" w:cs="Times New Roman"/>
          <w:szCs w:val="24"/>
        </w:rPr>
        <w:t>”</w:t>
      </w:r>
      <w:r w:rsidR="002823C1" w:rsidRPr="00B457F5">
        <w:rPr>
          <w:rFonts w:ascii="Garamond" w:eastAsia="MS Mincho" w:hAnsi="Garamond" w:cs="Times New Roman"/>
          <w:szCs w:val="24"/>
        </w:rPr>
        <w:t xml:space="preserve">. </w:t>
      </w:r>
      <w:r w:rsidR="001059F0" w:rsidRPr="00B457F5">
        <w:rPr>
          <w:rFonts w:ascii="Garamond" w:eastAsia="MS Mincho" w:hAnsi="Garamond" w:cs="Times New Roman"/>
          <w:szCs w:val="24"/>
        </w:rPr>
        <w:t>PKIE</w:t>
      </w:r>
      <w:r w:rsidR="004C1922" w:rsidRPr="00B457F5">
        <w:rPr>
          <w:rFonts w:ascii="Garamond" w:eastAsia="MS Mincho" w:hAnsi="Garamond" w:cs="Times New Roman"/>
          <w:szCs w:val="24"/>
        </w:rPr>
        <w:t>-ja</w:t>
      </w:r>
      <w:r w:rsidR="001059F0" w:rsidRPr="00B457F5">
        <w:rPr>
          <w:rFonts w:ascii="Garamond" w:eastAsia="MS Mincho" w:hAnsi="Garamond" w:cs="Times New Roman"/>
          <w:szCs w:val="24"/>
        </w:rPr>
        <w:t xml:space="preserve"> ofron një vlerësim të detajuar të situatës, </w:t>
      </w:r>
      <w:r w:rsidR="004C1922" w:rsidRPr="00B457F5">
        <w:rPr>
          <w:rFonts w:ascii="Garamond" w:eastAsia="MS Mincho" w:hAnsi="Garamond" w:cs="Times New Roman"/>
          <w:szCs w:val="24"/>
        </w:rPr>
        <w:t xml:space="preserve">dhe mangësive </w:t>
      </w:r>
      <w:r w:rsidR="001059F0" w:rsidRPr="00B457F5">
        <w:rPr>
          <w:rFonts w:ascii="Garamond" w:eastAsia="MS Mincho" w:hAnsi="Garamond" w:cs="Times New Roman"/>
          <w:szCs w:val="24"/>
        </w:rPr>
        <w:t>dhe identifikon fushat prioritare relevante si qeverisja e migracionit të rregullt dhe të parregullt, azili, politika e vizave (</w:t>
      </w:r>
      <w:r w:rsidR="009C6465" w:rsidRPr="00B457F5">
        <w:rPr>
          <w:rFonts w:ascii="Garamond" w:eastAsia="MS Mincho" w:hAnsi="Garamond" w:cs="Times New Roman"/>
          <w:szCs w:val="24"/>
        </w:rPr>
        <w:t>k</w:t>
      </w:r>
      <w:r w:rsidR="001059F0" w:rsidRPr="00B457F5">
        <w:rPr>
          <w:rFonts w:ascii="Garamond" w:eastAsia="MS Mincho" w:hAnsi="Garamond" w:cs="Times New Roman"/>
          <w:szCs w:val="24"/>
        </w:rPr>
        <w:t>apitulli 24), aksesi i barabartë dhe jodiskriminues në tregun e punës dhe koordinimi i sistemit të sigurimeve shoqërore (</w:t>
      </w:r>
      <w:r w:rsidR="009C6465" w:rsidRPr="00B457F5">
        <w:rPr>
          <w:rFonts w:ascii="Garamond" w:eastAsia="MS Mincho" w:hAnsi="Garamond" w:cs="Times New Roman"/>
          <w:szCs w:val="24"/>
        </w:rPr>
        <w:t>k</w:t>
      </w:r>
      <w:r w:rsidR="001059F0" w:rsidRPr="00B457F5">
        <w:rPr>
          <w:rFonts w:ascii="Garamond" w:eastAsia="MS Mincho" w:hAnsi="Garamond" w:cs="Times New Roman"/>
          <w:szCs w:val="24"/>
        </w:rPr>
        <w:t>apitulli 2), njohja reciproke e kualifikimeve profesionale (</w:t>
      </w:r>
      <w:r w:rsidR="005C6C49" w:rsidRPr="00B457F5">
        <w:rPr>
          <w:rFonts w:ascii="Garamond" w:eastAsia="MS Mincho" w:hAnsi="Garamond" w:cs="Times New Roman"/>
          <w:szCs w:val="24"/>
        </w:rPr>
        <w:t>k</w:t>
      </w:r>
      <w:r w:rsidR="001059F0" w:rsidRPr="00B457F5">
        <w:rPr>
          <w:rFonts w:ascii="Garamond" w:eastAsia="MS Mincho" w:hAnsi="Garamond" w:cs="Times New Roman"/>
          <w:szCs w:val="24"/>
        </w:rPr>
        <w:t>apitulli 3), statistikat demografike, sociale dhe ekonomike (</w:t>
      </w:r>
      <w:r w:rsidR="005C6C49" w:rsidRPr="00B457F5">
        <w:rPr>
          <w:rFonts w:ascii="Garamond" w:eastAsia="MS Mincho" w:hAnsi="Garamond" w:cs="Times New Roman"/>
          <w:szCs w:val="24"/>
        </w:rPr>
        <w:t>k</w:t>
      </w:r>
      <w:r w:rsidR="001059F0" w:rsidRPr="00B457F5">
        <w:rPr>
          <w:rFonts w:ascii="Garamond" w:eastAsia="MS Mincho" w:hAnsi="Garamond" w:cs="Times New Roman"/>
          <w:szCs w:val="24"/>
        </w:rPr>
        <w:t>apitulli 18)</w:t>
      </w:r>
      <w:r w:rsidR="005F3D61" w:rsidRPr="00B457F5">
        <w:rPr>
          <w:rFonts w:ascii="Garamond" w:eastAsia="MS Mincho" w:hAnsi="Garamond" w:cs="Times New Roman"/>
          <w:szCs w:val="24"/>
        </w:rPr>
        <w:t>,</w:t>
      </w:r>
      <w:r w:rsidR="001059F0" w:rsidRPr="00B457F5">
        <w:rPr>
          <w:rFonts w:ascii="Garamond" w:eastAsia="MS Mincho" w:hAnsi="Garamond" w:cs="Times New Roman"/>
          <w:szCs w:val="24"/>
        </w:rPr>
        <w:t xml:space="preserve"> standardet minimale dhe mosdiskriminimi </w:t>
      </w:r>
      <w:r w:rsidR="006E6763" w:rsidRPr="00B457F5">
        <w:rPr>
          <w:rFonts w:ascii="Garamond" w:eastAsia="MS Mincho" w:hAnsi="Garamond" w:cs="Times New Roman"/>
          <w:szCs w:val="24"/>
        </w:rPr>
        <w:t>n</w:t>
      </w:r>
      <w:r w:rsidR="00994216" w:rsidRPr="00B457F5">
        <w:rPr>
          <w:rFonts w:ascii="Garamond" w:eastAsia="MS Mincho" w:hAnsi="Garamond" w:cs="Times New Roman"/>
          <w:szCs w:val="24"/>
        </w:rPr>
        <w:t>ë</w:t>
      </w:r>
      <w:r w:rsidR="006E6763" w:rsidRPr="00B457F5">
        <w:rPr>
          <w:rFonts w:ascii="Garamond" w:eastAsia="MS Mincho" w:hAnsi="Garamond" w:cs="Times New Roman"/>
          <w:szCs w:val="24"/>
        </w:rPr>
        <w:t xml:space="preserve"> punë</w:t>
      </w:r>
      <w:r w:rsidR="001059F0" w:rsidRPr="00B457F5">
        <w:rPr>
          <w:rFonts w:ascii="Garamond" w:eastAsia="MS Mincho" w:hAnsi="Garamond" w:cs="Times New Roman"/>
          <w:szCs w:val="24"/>
        </w:rPr>
        <w:t>, si dhe marrëveshjet ndërkombëtare dhe bashkëpunimin</w:t>
      </w:r>
      <w:r w:rsidR="009C6465" w:rsidRPr="00B457F5">
        <w:rPr>
          <w:rFonts w:ascii="Garamond" w:eastAsia="MS Mincho" w:hAnsi="Garamond" w:cs="Times New Roman"/>
          <w:szCs w:val="24"/>
        </w:rPr>
        <w:t>,</w:t>
      </w:r>
      <w:r w:rsidR="001059F0" w:rsidRPr="00B457F5">
        <w:rPr>
          <w:rFonts w:ascii="Garamond" w:eastAsia="MS Mincho" w:hAnsi="Garamond" w:cs="Times New Roman"/>
          <w:szCs w:val="24"/>
        </w:rPr>
        <w:t xml:space="preserve"> në lidhje me punësimin, punën dhe çështjet sociale (</w:t>
      </w:r>
      <w:r w:rsidR="005C6C49" w:rsidRPr="00B457F5">
        <w:rPr>
          <w:rFonts w:ascii="Garamond" w:eastAsia="MS Mincho" w:hAnsi="Garamond" w:cs="Times New Roman"/>
          <w:szCs w:val="24"/>
        </w:rPr>
        <w:t>k</w:t>
      </w:r>
      <w:r w:rsidR="001059F0" w:rsidRPr="00B457F5">
        <w:rPr>
          <w:rFonts w:ascii="Garamond" w:eastAsia="MS Mincho" w:hAnsi="Garamond" w:cs="Times New Roman"/>
          <w:szCs w:val="24"/>
        </w:rPr>
        <w:t>apitulli 19).</w:t>
      </w:r>
    </w:p>
    <w:p w14:paraId="65EA353C" w14:textId="24CE4396" w:rsidR="00A619CA" w:rsidRPr="00B457F5" w:rsidRDefault="001A07D4" w:rsidP="002E693B">
      <w:pPr>
        <w:spacing w:before="0" w:after="0"/>
        <w:ind w:firstLine="284"/>
        <w:rPr>
          <w:rFonts w:ascii="Garamond" w:eastAsia="MS Mincho" w:hAnsi="Garamond" w:cs="Times New Roman"/>
          <w:szCs w:val="24"/>
        </w:rPr>
      </w:pPr>
      <w:r w:rsidRPr="00B457F5">
        <w:rPr>
          <w:rFonts w:ascii="Garamond" w:eastAsia="MS Mincho" w:hAnsi="Garamond" w:cs="Times New Roman"/>
          <w:bCs/>
          <w:iCs/>
          <w:szCs w:val="24"/>
        </w:rPr>
        <w:t>Strategjia Kom</w:t>
      </w:r>
      <w:r w:rsidR="006E6763" w:rsidRPr="00B457F5">
        <w:rPr>
          <w:rFonts w:ascii="Garamond" w:eastAsia="MS Mincho" w:hAnsi="Garamond" w:cs="Times New Roman"/>
          <w:bCs/>
          <w:iCs/>
          <w:szCs w:val="24"/>
        </w:rPr>
        <w:t>b</w:t>
      </w:r>
      <w:r w:rsidR="00B0743F" w:rsidRPr="00B457F5">
        <w:rPr>
          <w:rFonts w:ascii="Garamond" w:eastAsia="MS Mincho" w:hAnsi="Garamond" w:cs="Times New Roman"/>
          <w:bCs/>
          <w:iCs/>
          <w:szCs w:val="24"/>
        </w:rPr>
        <w:t>ë</w:t>
      </w:r>
      <w:r w:rsidRPr="00B457F5">
        <w:rPr>
          <w:rFonts w:ascii="Garamond" w:eastAsia="MS Mincho" w:hAnsi="Garamond" w:cs="Times New Roman"/>
          <w:bCs/>
          <w:iCs/>
          <w:szCs w:val="24"/>
        </w:rPr>
        <w:t>tare p</w:t>
      </w:r>
      <w:r w:rsidR="00B0743F" w:rsidRPr="00B457F5">
        <w:rPr>
          <w:rFonts w:ascii="Garamond" w:eastAsia="MS Mincho" w:hAnsi="Garamond" w:cs="Times New Roman"/>
          <w:bCs/>
          <w:iCs/>
          <w:szCs w:val="24"/>
        </w:rPr>
        <w:t>ë</w:t>
      </w:r>
      <w:r w:rsidRPr="00B457F5">
        <w:rPr>
          <w:rFonts w:ascii="Garamond" w:eastAsia="MS Mincho" w:hAnsi="Garamond" w:cs="Times New Roman"/>
          <w:bCs/>
          <w:iCs/>
          <w:szCs w:val="24"/>
        </w:rPr>
        <w:t>r Diaspor</w:t>
      </w:r>
      <w:r w:rsidR="00B0743F" w:rsidRPr="00B457F5">
        <w:rPr>
          <w:rFonts w:ascii="Garamond" w:eastAsia="MS Mincho" w:hAnsi="Garamond" w:cs="Times New Roman"/>
          <w:bCs/>
          <w:iCs/>
          <w:szCs w:val="24"/>
        </w:rPr>
        <w:t>ë</w:t>
      </w:r>
      <w:r w:rsidRPr="00B457F5">
        <w:rPr>
          <w:rFonts w:ascii="Garamond" w:eastAsia="MS Mincho" w:hAnsi="Garamond" w:cs="Times New Roman"/>
          <w:bCs/>
          <w:iCs/>
          <w:szCs w:val="24"/>
        </w:rPr>
        <w:t>n</w:t>
      </w:r>
      <w:r w:rsidR="00A619CA" w:rsidRPr="00B457F5">
        <w:rPr>
          <w:rFonts w:ascii="Garamond" w:eastAsia="MS Mincho" w:hAnsi="Garamond" w:cs="Times New Roman"/>
          <w:szCs w:val="24"/>
          <w:vertAlign w:val="superscript"/>
        </w:rPr>
        <w:footnoteReference w:id="10"/>
      </w:r>
      <w:r w:rsidR="006D79C9" w:rsidRPr="00B457F5">
        <w:rPr>
          <w:rFonts w:ascii="Garamond" w:eastAsia="MS Mincho" w:hAnsi="Garamond" w:cs="Times New Roman"/>
          <w:szCs w:val="24"/>
        </w:rPr>
        <w:t xml:space="preserve"> </w:t>
      </w:r>
      <w:r w:rsidRPr="00B457F5">
        <w:rPr>
          <w:rFonts w:ascii="Garamond" w:eastAsia="MS Mincho" w:hAnsi="Garamond" w:cs="Times New Roman"/>
          <w:szCs w:val="24"/>
        </w:rPr>
        <w:t>vler</w:t>
      </w:r>
      <w:r w:rsidR="00B0743F" w:rsidRPr="00B457F5">
        <w:rPr>
          <w:rFonts w:ascii="Garamond" w:eastAsia="MS Mincho" w:hAnsi="Garamond" w:cs="Times New Roman"/>
          <w:szCs w:val="24"/>
        </w:rPr>
        <w:t>ë</w:t>
      </w:r>
      <w:r w:rsidRPr="00B457F5">
        <w:rPr>
          <w:rFonts w:ascii="Garamond" w:eastAsia="MS Mincho" w:hAnsi="Garamond" w:cs="Times New Roman"/>
          <w:szCs w:val="24"/>
        </w:rPr>
        <w:t>son potencialin e imigrant</w:t>
      </w:r>
      <w:r w:rsidR="00B0743F" w:rsidRPr="00B457F5">
        <w:rPr>
          <w:rFonts w:ascii="Garamond" w:eastAsia="MS Mincho" w:hAnsi="Garamond" w:cs="Times New Roman"/>
          <w:szCs w:val="24"/>
        </w:rPr>
        <w:t>ë</w:t>
      </w:r>
      <w:r w:rsidRPr="00B457F5">
        <w:rPr>
          <w:rFonts w:ascii="Garamond" w:eastAsia="MS Mincho" w:hAnsi="Garamond" w:cs="Times New Roman"/>
          <w:szCs w:val="24"/>
        </w:rPr>
        <w:t>ve jo vet</w:t>
      </w:r>
      <w:r w:rsidR="00B0743F" w:rsidRPr="00B457F5">
        <w:rPr>
          <w:rFonts w:ascii="Garamond" w:eastAsia="MS Mincho" w:hAnsi="Garamond" w:cs="Times New Roman"/>
          <w:szCs w:val="24"/>
        </w:rPr>
        <w:t>ë</w:t>
      </w:r>
      <w:r w:rsidRPr="00B457F5">
        <w:rPr>
          <w:rFonts w:ascii="Garamond" w:eastAsia="MS Mincho" w:hAnsi="Garamond" w:cs="Times New Roman"/>
          <w:szCs w:val="24"/>
        </w:rPr>
        <w:t>m sa i takon remitancave</w:t>
      </w:r>
      <w:r w:rsidR="001129D7" w:rsidRPr="00B457F5">
        <w:rPr>
          <w:rFonts w:ascii="Garamond" w:eastAsia="MS Mincho" w:hAnsi="Garamond" w:cs="Times New Roman"/>
          <w:szCs w:val="24"/>
        </w:rPr>
        <w:t>,</w:t>
      </w:r>
      <w:r w:rsidRPr="00B457F5">
        <w:rPr>
          <w:rFonts w:ascii="Garamond" w:eastAsia="MS Mincho" w:hAnsi="Garamond" w:cs="Times New Roman"/>
          <w:szCs w:val="24"/>
        </w:rPr>
        <w:t xml:space="preserve"> po</w:t>
      </w:r>
      <w:r w:rsidR="001129D7" w:rsidRPr="00B457F5">
        <w:rPr>
          <w:rFonts w:ascii="Garamond" w:eastAsia="MS Mincho" w:hAnsi="Garamond" w:cs="Times New Roman"/>
          <w:szCs w:val="24"/>
        </w:rPr>
        <w:t>r</w:t>
      </w:r>
      <w:r w:rsidRPr="00B457F5">
        <w:rPr>
          <w:rFonts w:ascii="Garamond" w:eastAsia="MS Mincho" w:hAnsi="Garamond" w:cs="Times New Roman"/>
          <w:szCs w:val="24"/>
        </w:rPr>
        <w:t xml:space="preserve"> dhe rolit </w:t>
      </w:r>
      <w:r w:rsidR="001129D7" w:rsidRPr="00B457F5">
        <w:rPr>
          <w:rFonts w:ascii="Garamond" w:eastAsia="MS Mincho" w:hAnsi="Garamond" w:cs="Times New Roman"/>
          <w:szCs w:val="24"/>
        </w:rPr>
        <w:t>për</w:t>
      </w:r>
      <w:r w:rsidRPr="00B457F5">
        <w:rPr>
          <w:rFonts w:ascii="Garamond" w:eastAsia="MS Mincho" w:hAnsi="Garamond" w:cs="Times New Roman"/>
          <w:szCs w:val="24"/>
        </w:rPr>
        <w:t xml:space="preserve"> zhvillimin e v</w:t>
      </w:r>
      <w:r w:rsidR="001129D7" w:rsidRPr="00B457F5">
        <w:rPr>
          <w:rFonts w:ascii="Garamond" w:eastAsia="MS Mincho" w:hAnsi="Garamond" w:cs="Times New Roman"/>
          <w:szCs w:val="24"/>
        </w:rPr>
        <w:t>e</w:t>
      </w:r>
      <w:r w:rsidRPr="00B457F5">
        <w:rPr>
          <w:rFonts w:ascii="Garamond" w:eastAsia="MS Mincho" w:hAnsi="Garamond" w:cs="Times New Roman"/>
          <w:szCs w:val="24"/>
        </w:rPr>
        <w:t>ndit p</w:t>
      </w:r>
      <w:r w:rsidR="00B0743F" w:rsidRPr="00B457F5">
        <w:rPr>
          <w:rFonts w:ascii="Garamond" w:eastAsia="MS Mincho" w:hAnsi="Garamond" w:cs="Times New Roman"/>
          <w:szCs w:val="24"/>
        </w:rPr>
        <w:t>ë</w:t>
      </w:r>
      <w:r w:rsidRPr="00B457F5">
        <w:rPr>
          <w:rFonts w:ascii="Garamond" w:eastAsia="MS Mincho" w:hAnsi="Garamond" w:cs="Times New Roman"/>
          <w:szCs w:val="24"/>
        </w:rPr>
        <w:t>rmes njohurive dhe vlerave t</w:t>
      </w:r>
      <w:r w:rsidR="00B0743F" w:rsidRPr="00B457F5">
        <w:rPr>
          <w:rFonts w:ascii="Garamond" w:eastAsia="MS Mincho" w:hAnsi="Garamond" w:cs="Times New Roman"/>
          <w:szCs w:val="24"/>
        </w:rPr>
        <w:t>ë</w:t>
      </w:r>
      <w:r w:rsidRPr="00B457F5">
        <w:rPr>
          <w:rFonts w:ascii="Garamond" w:eastAsia="MS Mincho" w:hAnsi="Garamond" w:cs="Times New Roman"/>
          <w:szCs w:val="24"/>
        </w:rPr>
        <w:t xml:space="preserve"> fituara n</w:t>
      </w:r>
      <w:r w:rsidR="00B0743F" w:rsidRPr="00B457F5">
        <w:rPr>
          <w:rFonts w:ascii="Garamond" w:eastAsia="MS Mincho" w:hAnsi="Garamond" w:cs="Times New Roman"/>
          <w:szCs w:val="24"/>
        </w:rPr>
        <w:t>ë</w:t>
      </w:r>
      <w:r w:rsidRPr="00B457F5">
        <w:rPr>
          <w:rFonts w:ascii="Garamond" w:eastAsia="MS Mincho" w:hAnsi="Garamond" w:cs="Times New Roman"/>
          <w:szCs w:val="24"/>
        </w:rPr>
        <w:t xml:space="preserve"> shtetet e tjera. Nga ana tjet</w:t>
      </w:r>
      <w:r w:rsidR="00B0743F" w:rsidRPr="00B457F5">
        <w:rPr>
          <w:rFonts w:ascii="Garamond" w:eastAsia="MS Mincho" w:hAnsi="Garamond" w:cs="Times New Roman"/>
          <w:szCs w:val="24"/>
        </w:rPr>
        <w:t>ë</w:t>
      </w:r>
      <w:r w:rsidRPr="00B457F5">
        <w:rPr>
          <w:rFonts w:ascii="Garamond" w:eastAsia="MS Mincho" w:hAnsi="Garamond" w:cs="Times New Roman"/>
          <w:szCs w:val="24"/>
        </w:rPr>
        <w:t>r, p</w:t>
      </w:r>
      <w:r w:rsidR="003258EF" w:rsidRPr="00B457F5">
        <w:rPr>
          <w:rFonts w:ascii="Garamond" w:eastAsia="MS Mincho" w:hAnsi="Garamond" w:cs="Times New Roman"/>
          <w:szCs w:val="24"/>
        </w:rPr>
        <w:t>r</w:t>
      </w:r>
      <w:r w:rsidRPr="00B457F5">
        <w:rPr>
          <w:rFonts w:ascii="Garamond" w:eastAsia="MS Mincho" w:hAnsi="Garamond" w:cs="Times New Roman"/>
          <w:szCs w:val="24"/>
        </w:rPr>
        <w:t>ogrami shtet</w:t>
      </w:r>
      <w:r w:rsidR="00B0743F" w:rsidRPr="00B457F5">
        <w:rPr>
          <w:rFonts w:ascii="Garamond" w:eastAsia="MS Mincho" w:hAnsi="Garamond" w:cs="Times New Roman"/>
          <w:szCs w:val="24"/>
        </w:rPr>
        <w:t>ë</w:t>
      </w:r>
      <w:r w:rsidRPr="00B457F5">
        <w:rPr>
          <w:rFonts w:ascii="Garamond" w:eastAsia="MS Mincho" w:hAnsi="Garamond" w:cs="Times New Roman"/>
          <w:szCs w:val="24"/>
        </w:rPr>
        <w:t>ror p</w:t>
      </w:r>
      <w:r w:rsidR="00B0743F" w:rsidRPr="00B457F5">
        <w:rPr>
          <w:rFonts w:ascii="Garamond" w:eastAsia="MS Mincho" w:hAnsi="Garamond" w:cs="Times New Roman"/>
          <w:szCs w:val="24"/>
        </w:rPr>
        <w:t>ë</w:t>
      </w:r>
      <w:r w:rsidRPr="00B457F5">
        <w:rPr>
          <w:rFonts w:ascii="Garamond" w:eastAsia="MS Mincho" w:hAnsi="Garamond" w:cs="Times New Roman"/>
          <w:szCs w:val="24"/>
        </w:rPr>
        <w:t>r mb</w:t>
      </w:r>
      <w:r w:rsidR="00B0743F" w:rsidRPr="00B457F5">
        <w:rPr>
          <w:rFonts w:ascii="Garamond" w:eastAsia="MS Mincho" w:hAnsi="Garamond" w:cs="Times New Roman"/>
          <w:szCs w:val="24"/>
        </w:rPr>
        <w:t>ë</w:t>
      </w:r>
      <w:r w:rsidRPr="00B457F5">
        <w:rPr>
          <w:rFonts w:ascii="Garamond" w:eastAsia="MS Mincho" w:hAnsi="Garamond" w:cs="Times New Roman"/>
          <w:szCs w:val="24"/>
        </w:rPr>
        <w:t>shtetjen dhe p</w:t>
      </w:r>
      <w:r w:rsidR="00B0743F" w:rsidRPr="00B457F5">
        <w:rPr>
          <w:rFonts w:ascii="Garamond" w:eastAsia="MS Mincho" w:hAnsi="Garamond" w:cs="Times New Roman"/>
          <w:szCs w:val="24"/>
        </w:rPr>
        <w:t>ë</w:t>
      </w:r>
      <w:r w:rsidRPr="00B457F5">
        <w:rPr>
          <w:rFonts w:ascii="Garamond" w:eastAsia="MS Mincho" w:hAnsi="Garamond" w:cs="Times New Roman"/>
          <w:szCs w:val="24"/>
        </w:rPr>
        <w:t>rfshirjen e diaspor</w:t>
      </w:r>
      <w:r w:rsidR="00B0743F" w:rsidRPr="00B457F5">
        <w:rPr>
          <w:rFonts w:ascii="Garamond" w:eastAsia="MS Mincho" w:hAnsi="Garamond" w:cs="Times New Roman"/>
          <w:szCs w:val="24"/>
        </w:rPr>
        <w:t>ë</w:t>
      </w:r>
      <w:r w:rsidRPr="00B457F5">
        <w:rPr>
          <w:rFonts w:ascii="Garamond" w:eastAsia="MS Mincho" w:hAnsi="Garamond" w:cs="Times New Roman"/>
          <w:szCs w:val="24"/>
        </w:rPr>
        <w:t>s shqiptare ka si q</w:t>
      </w:r>
      <w:r w:rsidR="00B0743F" w:rsidRPr="00B457F5">
        <w:rPr>
          <w:rFonts w:ascii="Garamond" w:eastAsia="MS Mincho" w:hAnsi="Garamond" w:cs="Times New Roman"/>
          <w:szCs w:val="24"/>
        </w:rPr>
        <w:t>ë</w:t>
      </w:r>
      <w:r w:rsidRPr="00B457F5">
        <w:rPr>
          <w:rFonts w:ascii="Garamond" w:eastAsia="MS Mincho" w:hAnsi="Garamond" w:cs="Times New Roman"/>
          <w:szCs w:val="24"/>
        </w:rPr>
        <w:t>llim t</w:t>
      </w:r>
      <w:r w:rsidR="00B0743F" w:rsidRPr="00B457F5">
        <w:rPr>
          <w:rFonts w:ascii="Garamond" w:eastAsia="MS Mincho" w:hAnsi="Garamond" w:cs="Times New Roman"/>
          <w:szCs w:val="24"/>
        </w:rPr>
        <w:t>ë</w:t>
      </w:r>
      <w:r w:rsidRPr="00B457F5">
        <w:rPr>
          <w:rFonts w:ascii="Garamond" w:eastAsia="MS Mincho" w:hAnsi="Garamond" w:cs="Times New Roman"/>
          <w:szCs w:val="24"/>
        </w:rPr>
        <w:t xml:space="preserve"> forcoj</w:t>
      </w:r>
      <w:r w:rsidR="00B0743F" w:rsidRPr="00B457F5">
        <w:rPr>
          <w:rFonts w:ascii="Garamond" w:eastAsia="MS Mincho" w:hAnsi="Garamond" w:cs="Times New Roman"/>
          <w:szCs w:val="24"/>
        </w:rPr>
        <w:t>ë</w:t>
      </w:r>
      <w:r w:rsidRPr="00B457F5">
        <w:rPr>
          <w:rFonts w:ascii="Garamond" w:eastAsia="MS Mincho" w:hAnsi="Garamond" w:cs="Times New Roman"/>
          <w:szCs w:val="24"/>
        </w:rPr>
        <w:t xml:space="preserve"> politikat dhe </w:t>
      </w:r>
      <w:r w:rsidR="00734269" w:rsidRPr="00B457F5">
        <w:rPr>
          <w:rFonts w:ascii="Garamond" w:eastAsia="MS Mincho" w:hAnsi="Garamond" w:cs="Times New Roman"/>
          <w:szCs w:val="24"/>
        </w:rPr>
        <w:t>strukturat</w:t>
      </w:r>
      <w:r w:rsidRPr="00B457F5">
        <w:rPr>
          <w:rFonts w:ascii="Garamond" w:eastAsia="MS Mincho" w:hAnsi="Garamond" w:cs="Times New Roman"/>
          <w:szCs w:val="24"/>
        </w:rPr>
        <w:t xml:space="preserve"> </w:t>
      </w:r>
      <w:r w:rsidR="00734269" w:rsidRPr="00B457F5">
        <w:rPr>
          <w:rFonts w:ascii="Garamond" w:eastAsia="MS Mincho" w:hAnsi="Garamond" w:cs="Times New Roman"/>
          <w:szCs w:val="24"/>
        </w:rPr>
        <w:t>institucionale</w:t>
      </w:r>
      <w:r w:rsidRPr="00B457F5">
        <w:rPr>
          <w:rFonts w:ascii="Garamond" w:eastAsia="MS Mincho" w:hAnsi="Garamond" w:cs="Times New Roman"/>
          <w:szCs w:val="24"/>
        </w:rPr>
        <w:t xml:space="preserve"> </w:t>
      </w:r>
      <w:r w:rsidR="007D36B2" w:rsidRPr="00B457F5">
        <w:rPr>
          <w:rFonts w:ascii="Garamond" w:eastAsia="MS Mincho" w:hAnsi="Garamond" w:cs="Times New Roman"/>
          <w:szCs w:val="24"/>
        </w:rPr>
        <w:t>p</w:t>
      </w:r>
      <w:r w:rsidR="00B0743F" w:rsidRPr="00B457F5">
        <w:rPr>
          <w:rFonts w:ascii="Garamond" w:eastAsia="MS Mincho" w:hAnsi="Garamond" w:cs="Times New Roman"/>
          <w:szCs w:val="24"/>
        </w:rPr>
        <w:t>ë</w:t>
      </w:r>
      <w:r w:rsidR="007D36B2" w:rsidRPr="00B457F5">
        <w:rPr>
          <w:rFonts w:ascii="Garamond" w:eastAsia="MS Mincho" w:hAnsi="Garamond" w:cs="Times New Roman"/>
          <w:szCs w:val="24"/>
        </w:rPr>
        <w:t>r ta par</w:t>
      </w:r>
      <w:r w:rsidR="00B0743F" w:rsidRPr="00B457F5">
        <w:rPr>
          <w:rFonts w:ascii="Garamond" w:eastAsia="MS Mincho" w:hAnsi="Garamond" w:cs="Times New Roman"/>
          <w:szCs w:val="24"/>
        </w:rPr>
        <w:t>ë</w:t>
      </w:r>
      <w:r w:rsidR="007D36B2" w:rsidRPr="00B457F5">
        <w:rPr>
          <w:rFonts w:ascii="Garamond" w:eastAsia="MS Mincho" w:hAnsi="Garamond" w:cs="Times New Roman"/>
          <w:szCs w:val="24"/>
        </w:rPr>
        <w:t xml:space="preserve"> migracionin si nj</w:t>
      </w:r>
      <w:r w:rsidR="00B0743F" w:rsidRPr="00B457F5">
        <w:rPr>
          <w:rFonts w:ascii="Garamond" w:eastAsia="MS Mincho" w:hAnsi="Garamond" w:cs="Times New Roman"/>
          <w:szCs w:val="24"/>
        </w:rPr>
        <w:t>ë</w:t>
      </w:r>
      <w:r w:rsidR="003258EF" w:rsidRPr="00B457F5">
        <w:rPr>
          <w:rFonts w:ascii="Garamond" w:eastAsia="MS Mincho" w:hAnsi="Garamond" w:cs="Times New Roman"/>
          <w:szCs w:val="24"/>
        </w:rPr>
        <w:t xml:space="preserve"> </w:t>
      </w:r>
      <w:r w:rsidR="007D36B2" w:rsidRPr="00B457F5">
        <w:rPr>
          <w:rFonts w:ascii="Garamond" w:eastAsia="MS Mincho" w:hAnsi="Garamond" w:cs="Times New Roman"/>
          <w:szCs w:val="24"/>
        </w:rPr>
        <w:t>mund</w:t>
      </w:r>
      <w:r w:rsidR="00B0743F" w:rsidRPr="00B457F5">
        <w:rPr>
          <w:rFonts w:ascii="Garamond" w:eastAsia="MS Mincho" w:hAnsi="Garamond" w:cs="Times New Roman"/>
          <w:szCs w:val="24"/>
        </w:rPr>
        <w:t>ë</w:t>
      </w:r>
      <w:r w:rsidR="007D36B2" w:rsidRPr="00B457F5">
        <w:rPr>
          <w:rFonts w:ascii="Garamond" w:eastAsia="MS Mincho" w:hAnsi="Garamond" w:cs="Times New Roman"/>
          <w:szCs w:val="24"/>
        </w:rPr>
        <w:t>si p</w:t>
      </w:r>
      <w:r w:rsidR="00B0743F" w:rsidRPr="00B457F5">
        <w:rPr>
          <w:rFonts w:ascii="Garamond" w:eastAsia="MS Mincho" w:hAnsi="Garamond" w:cs="Times New Roman"/>
          <w:szCs w:val="24"/>
        </w:rPr>
        <w:t>ë</w:t>
      </w:r>
      <w:r w:rsidR="007D36B2" w:rsidRPr="00B457F5">
        <w:rPr>
          <w:rFonts w:ascii="Garamond" w:eastAsia="MS Mincho" w:hAnsi="Garamond" w:cs="Times New Roman"/>
          <w:szCs w:val="24"/>
        </w:rPr>
        <w:t xml:space="preserve">r zhvillimin e vendit. </w:t>
      </w:r>
      <w:r w:rsidR="00856226" w:rsidRPr="00B457F5">
        <w:rPr>
          <w:rFonts w:ascii="Garamond" w:eastAsia="MS Mincho" w:hAnsi="Garamond" w:cs="Times New Roman"/>
          <w:szCs w:val="24"/>
        </w:rPr>
        <w:t>Përfitimet neto të kapitalit njerëzor (</w:t>
      </w:r>
      <w:r w:rsidR="00A26617" w:rsidRPr="00B457F5">
        <w:rPr>
          <w:rFonts w:ascii="Garamond" w:eastAsia="MS Mincho" w:hAnsi="Garamond" w:cs="Times New Roman"/>
          <w:szCs w:val="24"/>
        </w:rPr>
        <w:t>kontributi n</w:t>
      </w:r>
      <w:r w:rsidR="00B0743F" w:rsidRPr="00B457F5">
        <w:rPr>
          <w:rFonts w:ascii="Garamond" w:eastAsia="MS Mincho" w:hAnsi="Garamond" w:cs="Times New Roman"/>
          <w:szCs w:val="24"/>
        </w:rPr>
        <w:t>ë</w:t>
      </w:r>
      <w:r w:rsidR="00A26617" w:rsidRPr="00B457F5">
        <w:rPr>
          <w:rFonts w:ascii="Garamond" w:eastAsia="MS Mincho" w:hAnsi="Garamond" w:cs="Times New Roman"/>
          <w:szCs w:val="24"/>
        </w:rPr>
        <w:t xml:space="preserve"> aft</w:t>
      </w:r>
      <w:r w:rsidR="00B0743F" w:rsidRPr="00B457F5">
        <w:rPr>
          <w:rFonts w:ascii="Garamond" w:eastAsia="MS Mincho" w:hAnsi="Garamond" w:cs="Times New Roman"/>
          <w:szCs w:val="24"/>
        </w:rPr>
        <w:t>ë</w:t>
      </w:r>
      <w:r w:rsidR="00A26617" w:rsidRPr="00B457F5">
        <w:rPr>
          <w:rFonts w:ascii="Garamond" w:eastAsia="MS Mincho" w:hAnsi="Garamond" w:cs="Times New Roman"/>
          <w:szCs w:val="24"/>
        </w:rPr>
        <w:t xml:space="preserve">si i </w:t>
      </w:r>
      <w:r w:rsidR="00734269" w:rsidRPr="00B457F5">
        <w:rPr>
          <w:rFonts w:ascii="Garamond" w:eastAsia="MS Mincho" w:hAnsi="Garamond" w:cs="Times New Roman"/>
          <w:szCs w:val="24"/>
        </w:rPr>
        <w:t>imigrantëve</w:t>
      </w:r>
      <w:r w:rsidR="00A26617" w:rsidRPr="00B457F5">
        <w:rPr>
          <w:rFonts w:ascii="Garamond" w:eastAsia="MS Mincho" w:hAnsi="Garamond" w:cs="Times New Roman"/>
          <w:szCs w:val="24"/>
        </w:rPr>
        <w:t>) dhe integrimi i suksessh</w:t>
      </w:r>
      <w:r w:rsidR="00B0743F" w:rsidRPr="00B457F5">
        <w:rPr>
          <w:rFonts w:ascii="Garamond" w:eastAsia="MS Mincho" w:hAnsi="Garamond" w:cs="Times New Roman"/>
          <w:szCs w:val="24"/>
        </w:rPr>
        <w:t>ë</w:t>
      </w:r>
      <w:r w:rsidR="00A26617" w:rsidRPr="00B457F5">
        <w:rPr>
          <w:rFonts w:ascii="Garamond" w:eastAsia="MS Mincho" w:hAnsi="Garamond" w:cs="Times New Roman"/>
          <w:szCs w:val="24"/>
        </w:rPr>
        <w:t>m i emigrant</w:t>
      </w:r>
      <w:r w:rsidR="00B0743F" w:rsidRPr="00B457F5">
        <w:rPr>
          <w:rFonts w:ascii="Garamond" w:eastAsia="MS Mincho" w:hAnsi="Garamond" w:cs="Times New Roman"/>
          <w:szCs w:val="24"/>
        </w:rPr>
        <w:t>ë</w:t>
      </w:r>
      <w:r w:rsidR="00A26617" w:rsidRPr="00B457F5">
        <w:rPr>
          <w:rFonts w:ascii="Garamond" w:eastAsia="MS Mincho" w:hAnsi="Garamond" w:cs="Times New Roman"/>
          <w:szCs w:val="24"/>
        </w:rPr>
        <w:t>ve t</w:t>
      </w:r>
      <w:r w:rsidR="00B0743F" w:rsidRPr="00B457F5">
        <w:rPr>
          <w:rFonts w:ascii="Garamond" w:eastAsia="MS Mincho" w:hAnsi="Garamond" w:cs="Times New Roman"/>
          <w:szCs w:val="24"/>
        </w:rPr>
        <w:t>ë</w:t>
      </w:r>
      <w:r w:rsidR="00A26617" w:rsidRPr="00B457F5">
        <w:rPr>
          <w:rFonts w:ascii="Garamond" w:eastAsia="MS Mincho" w:hAnsi="Garamond" w:cs="Times New Roman"/>
          <w:szCs w:val="24"/>
        </w:rPr>
        <w:t xml:space="preserve"> kthyer</w:t>
      </w:r>
      <w:r w:rsidR="00D477DF" w:rsidRPr="00B457F5">
        <w:rPr>
          <w:rFonts w:ascii="Garamond" w:eastAsia="MS Mincho" w:hAnsi="Garamond" w:cs="Times New Roman"/>
          <w:szCs w:val="24"/>
        </w:rPr>
        <w:t>, jan</w:t>
      </w:r>
      <w:r w:rsidR="00B0743F" w:rsidRPr="00B457F5">
        <w:rPr>
          <w:rFonts w:ascii="Garamond" w:eastAsia="MS Mincho" w:hAnsi="Garamond" w:cs="Times New Roman"/>
          <w:szCs w:val="24"/>
        </w:rPr>
        <w:t>ë</w:t>
      </w:r>
      <w:r w:rsidR="00D477DF" w:rsidRPr="00B457F5">
        <w:rPr>
          <w:rFonts w:ascii="Garamond" w:eastAsia="MS Mincho" w:hAnsi="Garamond" w:cs="Times New Roman"/>
          <w:szCs w:val="24"/>
        </w:rPr>
        <w:t xml:space="preserve"> nd</w:t>
      </w:r>
      <w:r w:rsidR="00B0743F" w:rsidRPr="00B457F5">
        <w:rPr>
          <w:rFonts w:ascii="Garamond" w:eastAsia="MS Mincho" w:hAnsi="Garamond" w:cs="Times New Roman"/>
          <w:szCs w:val="24"/>
        </w:rPr>
        <w:t>ë</w:t>
      </w:r>
      <w:r w:rsidR="00D477DF" w:rsidRPr="00B457F5">
        <w:rPr>
          <w:rFonts w:ascii="Garamond" w:eastAsia="MS Mincho" w:hAnsi="Garamond" w:cs="Times New Roman"/>
          <w:szCs w:val="24"/>
        </w:rPr>
        <w:t>r objektivat kryesor</w:t>
      </w:r>
      <w:r w:rsidR="00AF4731" w:rsidRPr="00B457F5">
        <w:rPr>
          <w:rFonts w:ascii="Garamond" w:eastAsia="MS Mincho" w:hAnsi="Garamond" w:cs="Times New Roman"/>
          <w:szCs w:val="24"/>
        </w:rPr>
        <w:t>ë</w:t>
      </w:r>
      <w:r w:rsidR="00D477DF" w:rsidRPr="00B457F5">
        <w:rPr>
          <w:rFonts w:ascii="Garamond" w:eastAsia="MS Mincho" w:hAnsi="Garamond" w:cs="Times New Roman"/>
          <w:szCs w:val="24"/>
        </w:rPr>
        <w:t xml:space="preserve"> t</w:t>
      </w:r>
      <w:r w:rsidR="00B0743F" w:rsidRPr="00B457F5">
        <w:rPr>
          <w:rFonts w:ascii="Garamond" w:eastAsia="MS Mincho" w:hAnsi="Garamond" w:cs="Times New Roman"/>
          <w:szCs w:val="24"/>
        </w:rPr>
        <w:t>ë</w:t>
      </w:r>
      <w:r w:rsidR="00D477DF" w:rsidRPr="00B457F5">
        <w:rPr>
          <w:rFonts w:ascii="Garamond" w:eastAsia="MS Mincho" w:hAnsi="Garamond" w:cs="Times New Roman"/>
          <w:szCs w:val="24"/>
        </w:rPr>
        <w:t xml:space="preserve"> k</w:t>
      </w:r>
      <w:r w:rsidR="00B0743F" w:rsidRPr="00B457F5">
        <w:rPr>
          <w:rFonts w:ascii="Garamond" w:eastAsia="MS Mincho" w:hAnsi="Garamond" w:cs="Times New Roman"/>
          <w:szCs w:val="24"/>
        </w:rPr>
        <w:t>ë</w:t>
      </w:r>
      <w:r w:rsidR="00D477DF" w:rsidRPr="00B457F5">
        <w:rPr>
          <w:rFonts w:ascii="Garamond" w:eastAsia="MS Mincho" w:hAnsi="Garamond" w:cs="Times New Roman"/>
          <w:szCs w:val="24"/>
        </w:rPr>
        <w:t>tij dokumenti politik.</w:t>
      </w:r>
    </w:p>
    <w:p w14:paraId="2D69C431" w14:textId="5B24EEDA" w:rsidR="00A619CA" w:rsidRPr="00B457F5" w:rsidRDefault="00D9719C"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Lehtësimi i migracionit të organizuar, të sigurt, të rregullt dhe të përgjegjshëm</w:t>
      </w:r>
      <w:r w:rsidR="009C6465" w:rsidRPr="00B457F5">
        <w:rPr>
          <w:rFonts w:ascii="Garamond" w:eastAsia="MS Mincho" w:hAnsi="Garamond" w:cs="Times New Roman"/>
          <w:szCs w:val="24"/>
        </w:rPr>
        <w:t>,</w:t>
      </w:r>
      <w:r w:rsidRPr="00B457F5">
        <w:rPr>
          <w:rFonts w:ascii="Garamond" w:eastAsia="MS Mincho" w:hAnsi="Garamond" w:cs="Times New Roman"/>
          <w:szCs w:val="24"/>
        </w:rPr>
        <w:t xml:space="preserve"> nëpërmjet zbatimit të politikave të migracionit të planifikuara dhe të menaxhuara mirë</w:t>
      </w:r>
      <w:r w:rsidR="009C6465" w:rsidRPr="00B457F5">
        <w:rPr>
          <w:rFonts w:ascii="Garamond" w:eastAsia="MS Mincho" w:hAnsi="Garamond" w:cs="Times New Roman"/>
          <w:szCs w:val="24"/>
        </w:rPr>
        <w:t>,</w:t>
      </w:r>
      <w:r w:rsidRPr="00B457F5">
        <w:rPr>
          <w:rFonts w:ascii="Garamond" w:eastAsia="MS Mincho" w:hAnsi="Garamond" w:cs="Times New Roman"/>
          <w:szCs w:val="24"/>
        </w:rPr>
        <w:t xml:space="preserve"> është ndër synimet kryesore të </w:t>
      </w:r>
      <w:r w:rsidRPr="00B457F5">
        <w:rPr>
          <w:rFonts w:ascii="Garamond" w:eastAsia="MS Mincho" w:hAnsi="Garamond" w:cs="Times New Roman"/>
          <w:bCs/>
          <w:iCs/>
          <w:szCs w:val="24"/>
        </w:rPr>
        <w:t>Strategjisë së Menaxhimit të Integruar të Kufirit</w:t>
      </w:r>
      <w:r w:rsidR="00747D13" w:rsidRPr="00B457F5">
        <w:rPr>
          <w:rFonts w:ascii="Garamond" w:eastAsia="MS Mincho" w:hAnsi="Garamond" w:cs="Times New Roman"/>
          <w:bCs/>
          <w:iCs/>
          <w:szCs w:val="24"/>
        </w:rPr>
        <w:t>,</w:t>
      </w:r>
      <w:r w:rsidRPr="00B457F5">
        <w:rPr>
          <w:rFonts w:ascii="Garamond" w:eastAsia="MS Mincho" w:hAnsi="Garamond" w:cs="Times New Roman"/>
          <w:iCs/>
          <w:szCs w:val="24"/>
          <w:vertAlign w:val="superscript"/>
        </w:rPr>
        <w:footnoteReference w:id="11"/>
      </w:r>
      <w:r w:rsidRPr="00B457F5">
        <w:rPr>
          <w:rFonts w:ascii="Garamond" w:eastAsia="MS Mincho" w:hAnsi="Garamond" w:cs="Times New Roman"/>
          <w:szCs w:val="24"/>
        </w:rPr>
        <w:t xml:space="preserve"> së bashku me parandalimin e migrimit të parregullt dhe menaxhimin e fluksit migrator.</w:t>
      </w:r>
    </w:p>
    <w:p w14:paraId="69CDDE44" w14:textId="38E3DB16" w:rsidR="00A619CA" w:rsidRPr="00B457F5" w:rsidRDefault="00D9719C" w:rsidP="002E693B">
      <w:pPr>
        <w:spacing w:before="0" w:after="0"/>
        <w:ind w:firstLine="284"/>
        <w:rPr>
          <w:rFonts w:ascii="Garamond" w:eastAsia="MS Mincho" w:hAnsi="Garamond" w:cs="Times New Roman"/>
          <w:szCs w:val="24"/>
        </w:rPr>
      </w:pPr>
      <w:r w:rsidRPr="00B457F5">
        <w:rPr>
          <w:rFonts w:ascii="Garamond" w:eastAsia="MS Mincho" w:hAnsi="Garamond" w:cs="Times New Roman"/>
          <w:bCs/>
          <w:iCs/>
          <w:szCs w:val="24"/>
        </w:rPr>
        <w:lastRenderedPageBreak/>
        <w:t xml:space="preserve">Strategjia për </w:t>
      </w:r>
      <w:r w:rsidR="00747D13" w:rsidRPr="00B457F5">
        <w:rPr>
          <w:rFonts w:ascii="Garamond" w:eastAsia="MS Mincho" w:hAnsi="Garamond" w:cs="Times New Roman"/>
          <w:bCs/>
          <w:iCs/>
          <w:szCs w:val="24"/>
        </w:rPr>
        <w:t>E</w:t>
      </w:r>
      <w:r w:rsidRPr="00B457F5">
        <w:rPr>
          <w:rFonts w:ascii="Garamond" w:eastAsia="MS Mincho" w:hAnsi="Garamond" w:cs="Times New Roman"/>
          <w:bCs/>
          <w:iCs/>
          <w:szCs w:val="24"/>
        </w:rPr>
        <w:t xml:space="preserve">dukimin </w:t>
      </w:r>
      <w:r w:rsidR="00747D13" w:rsidRPr="00B457F5">
        <w:rPr>
          <w:rFonts w:ascii="Garamond" w:eastAsia="MS Mincho" w:hAnsi="Garamond" w:cs="Times New Roman"/>
          <w:bCs/>
          <w:iCs/>
          <w:szCs w:val="24"/>
        </w:rPr>
        <w:t>L</w:t>
      </w:r>
      <w:r w:rsidRPr="00B457F5">
        <w:rPr>
          <w:rFonts w:ascii="Garamond" w:eastAsia="MS Mincho" w:hAnsi="Garamond" w:cs="Times New Roman"/>
          <w:bCs/>
          <w:iCs/>
          <w:szCs w:val="24"/>
        </w:rPr>
        <w:t xml:space="preserve">igjor të </w:t>
      </w:r>
      <w:r w:rsidR="00747D13" w:rsidRPr="00B457F5">
        <w:rPr>
          <w:rFonts w:ascii="Garamond" w:eastAsia="MS Mincho" w:hAnsi="Garamond" w:cs="Times New Roman"/>
          <w:bCs/>
          <w:iCs/>
          <w:szCs w:val="24"/>
        </w:rPr>
        <w:t>P</w:t>
      </w:r>
      <w:r w:rsidRPr="00B457F5">
        <w:rPr>
          <w:rFonts w:ascii="Garamond" w:eastAsia="MS Mincho" w:hAnsi="Garamond" w:cs="Times New Roman"/>
          <w:bCs/>
          <w:iCs/>
          <w:szCs w:val="24"/>
        </w:rPr>
        <w:t xml:space="preserve">ublikut dhe </w:t>
      </w:r>
      <w:r w:rsidR="00747D13" w:rsidRPr="00B457F5">
        <w:rPr>
          <w:rFonts w:ascii="Garamond" w:eastAsia="MS Mincho" w:hAnsi="Garamond" w:cs="Times New Roman"/>
          <w:bCs/>
          <w:iCs/>
          <w:szCs w:val="24"/>
        </w:rPr>
        <w:t>P</w:t>
      </w:r>
      <w:r w:rsidRPr="00B457F5">
        <w:rPr>
          <w:rFonts w:ascii="Garamond" w:eastAsia="MS Mincho" w:hAnsi="Garamond" w:cs="Times New Roman"/>
          <w:bCs/>
          <w:iCs/>
          <w:szCs w:val="24"/>
        </w:rPr>
        <w:t xml:space="preserve">lani i </w:t>
      </w:r>
      <w:r w:rsidR="00747D13" w:rsidRPr="00B457F5">
        <w:rPr>
          <w:rFonts w:ascii="Garamond" w:eastAsia="MS Mincho" w:hAnsi="Garamond" w:cs="Times New Roman"/>
          <w:bCs/>
          <w:iCs/>
          <w:szCs w:val="24"/>
        </w:rPr>
        <w:t>V</w:t>
      </w:r>
      <w:r w:rsidRPr="00B457F5">
        <w:rPr>
          <w:rFonts w:ascii="Garamond" w:eastAsia="MS Mincho" w:hAnsi="Garamond" w:cs="Times New Roman"/>
          <w:bCs/>
          <w:iCs/>
          <w:szCs w:val="24"/>
        </w:rPr>
        <w:t>eprimit 2020</w:t>
      </w:r>
      <w:r w:rsidR="00734269" w:rsidRPr="00B457F5">
        <w:rPr>
          <w:rStyle w:val="contentpasted1"/>
          <w:rFonts w:ascii="Garamond" w:hAnsi="Garamond" w:cs="Times New Roman"/>
          <w:color w:val="000000"/>
        </w:rPr>
        <w:t>–</w:t>
      </w:r>
      <w:r w:rsidRPr="00B457F5">
        <w:rPr>
          <w:rFonts w:ascii="Garamond" w:eastAsia="MS Mincho" w:hAnsi="Garamond" w:cs="Times New Roman"/>
          <w:bCs/>
          <w:iCs/>
          <w:szCs w:val="24"/>
        </w:rPr>
        <w:t>2023</w:t>
      </w:r>
      <w:r w:rsidRPr="00B457F5">
        <w:rPr>
          <w:rFonts w:ascii="Garamond" w:eastAsia="MS Mincho" w:hAnsi="Garamond" w:cs="Times New Roman"/>
          <w:szCs w:val="24"/>
          <w:vertAlign w:val="superscript"/>
        </w:rPr>
        <w:footnoteReference w:id="12"/>
      </w:r>
      <w:r w:rsidRPr="00B457F5">
        <w:rPr>
          <w:rFonts w:ascii="Garamond" w:eastAsia="MS Mincho" w:hAnsi="Garamond" w:cs="Times New Roman"/>
          <w:szCs w:val="24"/>
        </w:rPr>
        <w:t xml:space="preserve"> përfshin gjithashtu aktivitete që synojnë migrantët dhe ndërgjegjësimin për migracionin për qëllime punësimi, rrugët ligjore për migrimin e rregullt, si dhe pasojat e migrimit të parregullt.</w:t>
      </w:r>
    </w:p>
    <w:p w14:paraId="0C80D471" w14:textId="56878B87" w:rsidR="00FF4096" w:rsidRPr="00B457F5" w:rsidRDefault="006D4A93" w:rsidP="002E693B">
      <w:pPr>
        <w:spacing w:before="0" w:after="0"/>
        <w:ind w:firstLine="284"/>
        <w:rPr>
          <w:rFonts w:ascii="Garamond" w:eastAsia="MS Mincho" w:hAnsi="Garamond" w:cs="Times New Roman"/>
          <w:szCs w:val="24"/>
        </w:rPr>
      </w:pPr>
      <w:bookmarkStart w:id="7" w:name="_Toc142297471"/>
      <w:r w:rsidRPr="00B457F5">
        <w:rPr>
          <w:rFonts w:ascii="Garamond" w:eastAsia="MS Mincho" w:hAnsi="Garamond" w:cs="Times New Roman"/>
          <w:szCs w:val="24"/>
        </w:rPr>
        <w:t xml:space="preserve">Një pjesë e çështjeve të migracionit trajtohen edhe në </w:t>
      </w:r>
      <w:r w:rsidR="00102615" w:rsidRPr="00B457F5">
        <w:rPr>
          <w:rFonts w:ascii="Garamond" w:eastAsia="MS Mincho" w:hAnsi="Garamond" w:cs="Times New Roman"/>
          <w:bCs/>
          <w:iCs/>
          <w:szCs w:val="24"/>
        </w:rPr>
        <w:t>S</w:t>
      </w:r>
      <w:r w:rsidRPr="00B457F5">
        <w:rPr>
          <w:rFonts w:ascii="Garamond" w:eastAsia="MS Mincho" w:hAnsi="Garamond" w:cs="Times New Roman"/>
          <w:bCs/>
          <w:iCs/>
          <w:szCs w:val="24"/>
        </w:rPr>
        <w:t xml:space="preserve">trategjinë </w:t>
      </w:r>
      <w:r w:rsidR="00816265" w:rsidRPr="00B457F5">
        <w:rPr>
          <w:rFonts w:ascii="Garamond" w:eastAsia="MS Mincho" w:hAnsi="Garamond" w:cs="Times New Roman"/>
          <w:bCs/>
          <w:iCs/>
          <w:szCs w:val="24"/>
        </w:rPr>
        <w:t>Kombë</w:t>
      </w:r>
      <w:r w:rsidR="00F96FF8" w:rsidRPr="00B457F5">
        <w:rPr>
          <w:rFonts w:ascii="Garamond" w:eastAsia="MS Mincho" w:hAnsi="Garamond" w:cs="Times New Roman"/>
          <w:bCs/>
          <w:iCs/>
          <w:szCs w:val="24"/>
        </w:rPr>
        <w:t xml:space="preserve">tare </w:t>
      </w:r>
      <w:r w:rsidRPr="00B457F5">
        <w:rPr>
          <w:rFonts w:ascii="Garamond" w:eastAsia="MS Mincho" w:hAnsi="Garamond" w:cs="Times New Roman"/>
          <w:bCs/>
          <w:iCs/>
          <w:szCs w:val="24"/>
        </w:rPr>
        <w:t xml:space="preserve">kundër </w:t>
      </w:r>
      <w:r w:rsidR="00102615" w:rsidRPr="00B457F5">
        <w:rPr>
          <w:rFonts w:ascii="Garamond" w:eastAsia="MS Mincho" w:hAnsi="Garamond" w:cs="Times New Roman"/>
          <w:bCs/>
          <w:iCs/>
          <w:szCs w:val="24"/>
        </w:rPr>
        <w:t>K</w:t>
      </w:r>
      <w:r w:rsidRPr="00B457F5">
        <w:rPr>
          <w:rFonts w:ascii="Garamond" w:eastAsia="MS Mincho" w:hAnsi="Garamond" w:cs="Times New Roman"/>
          <w:bCs/>
          <w:iCs/>
          <w:szCs w:val="24"/>
        </w:rPr>
        <w:t xml:space="preserve">rimit të </w:t>
      </w:r>
      <w:r w:rsidR="00102615" w:rsidRPr="00B457F5">
        <w:rPr>
          <w:rFonts w:ascii="Garamond" w:eastAsia="MS Mincho" w:hAnsi="Garamond" w:cs="Times New Roman"/>
          <w:bCs/>
          <w:iCs/>
          <w:szCs w:val="24"/>
        </w:rPr>
        <w:t>O</w:t>
      </w:r>
      <w:r w:rsidRPr="00B457F5">
        <w:rPr>
          <w:rFonts w:ascii="Garamond" w:eastAsia="MS Mincho" w:hAnsi="Garamond" w:cs="Times New Roman"/>
          <w:bCs/>
          <w:iCs/>
          <w:szCs w:val="24"/>
        </w:rPr>
        <w:t xml:space="preserve">rganizuar dhe </w:t>
      </w:r>
      <w:r w:rsidR="00102615" w:rsidRPr="00B457F5">
        <w:rPr>
          <w:rFonts w:ascii="Garamond" w:eastAsia="MS Mincho" w:hAnsi="Garamond" w:cs="Times New Roman"/>
          <w:bCs/>
          <w:iCs/>
          <w:szCs w:val="24"/>
        </w:rPr>
        <w:t>K</w:t>
      </w:r>
      <w:r w:rsidRPr="00B457F5">
        <w:rPr>
          <w:rFonts w:ascii="Garamond" w:eastAsia="MS Mincho" w:hAnsi="Garamond" w:cs="Times New Roman"/>
          <w:bCs/>
          <w:iCs/>
          <w:szCs w:val="24"/>
        </w:rPr>
        <w:t xml:space="preserve">rimeve të </w:t>
      </w:r>
      <w:r w:rsidR="00102615" w:rsidRPr="00B457F5">
        <w:rPr>
          <w:rFonts w:ascii="Garamond" w:eastAsia="MS Mincho" w:hAnsi="Garamond" w:cs="Times New Roman"/>
          <w:bCs/>
          <w:iCs/>
          <w:szCs w:val="24"/>
        </w:rPr>
        <w:t>R</w:t>
      </w:r>
      <w:r w:rsidRPr="00B457F5">
        <w:rPr>
          <w:rFonts w:ascii="Garamond" w:eastAsia="MS Mincho" w:hAnsi="Garamond" w:cs="Times New Roman"/>
          <w:bCs/>
          <w:iCs/>
          <w:szCs w:val="24"/>
        </w:rPr>
        <w:t>ënda</w:t>
      </w:r>
      <w:r w:rsidRPr="00B457F5">
        <w:rPr>
          <w:rFonts w:ascii="Garamond" w:eastAsia="MS Mincho" w:hAnsi="Garamond" w:cs="Times New Roman"/>
          <w:iCs/>
          <w:szCs w:val="24"/>
          <w:vertAlign w:val="superscript"/>
        </w:rPr>
        <w:footnoteReference w:id="13"/>
      </w:r>
      <w:r w:rsidRPr="00B457F5">
        <w:rPr>
          <w:rFonts w:ascii="Garamond" w:eastAsia="MS Mincho" w:hAnsi="Garamond" w:cs="Times New Roman"/>
          <w:szCs w:val="24"/>
        </w:rPr>
        <w:t xml:space="preserve"> nga këndvështrimi i luftës kundër kalimit të paligjshëm të kufirit nga emigrantët, i njohur ndryshe si </w:t>
      </w:r>
      <w:r w:rsidR="001005F5" w:rsidRPr="00B457F5">
        <w:rPr>
          <w:rFonts w:ascii="Garamond" w:eastAsia="MS Mincho" w:hAnsi="Garamond" w:cs="Times New Roman"/>
          <w:szCs w:val="24"/>
        </w:rPr>
        <w:t>kon</w:t>
      </w:r>
      <w:r w:rsidR="00F7451C" w:rsidRPr="00B457F5">
        <w:rPr>
          <w:rFonts w:ascii="Garamond" w:eastAsia="MS Mincho" w:hAnsi="Garamond" w:cs="Times New Roman"/>
          <w:szCs w:val="24"/>
        </w:rPr>
        <w:t>t</w:t>
      </w:r>
      <w:r w:rsidR="001005F5" w:rsidRPr="00B457F5">
        <w:rPr>
          <w:rFonts w:ascii="Garamond" w:eastAsia="MS Mincho" w:hAnsi="Garamond" w:cs="Times New Roman"/>
          <w:szCs w:val="24"/>
        </w:rPr>
        <w:t>rabandimi</w:t>
      </w:r>
      <w:r w:rsidRPr="00B457F5">
        <w:rPr>
          <w:rFonts w:ascii="Garamond" w:eastAsia="MS Mincho" w:hAnsi="Garamond" w:cs="Times New Roman"/>
          <w:szCs w:val="24"/>
        </w:rPr>
        <w:t xml:space="preserve"> i migrantëve. Nga ana tjetër, Plani Kombëtar i Veprimit kundër Trafikimit të Qenieve Njerëzore 2021</w:t>
      </w:r>
      <w:r w:rsidR="00734269" w:rsidRPr="00B457F5">
        <w:rPr>
          <w:rStyle w:val="contentpasted1"/>
          <w:rFonts w:ascii="Garamond" w:hAnsi="Garamond" w:cs="Times New Roman"/>
          <w:color w:val="000000"/>
        </w:rPr>
        <w:t>–</w:t>
      </w:r>
      <w:r w:rsidRPr="00B457F5">
        <w:rPr>
          <w:rFonts w:ascii="Garamond" w:eastAsia="MS Mincho" w:hAnsi="Garamond" w:cs="Times New Roman"/>
          <w:szCs w:val="24"/>
        </w:rPr>
        <w:t xml:space="preserve">2023 parashikon rritjen e kapaciteteve të </w:t>
      </w:r>
      <w:r w:rsidR="00BD4AFB" w:rsidRPr="00B457F5">
        <w:rPr>
          <w:rFonts w:ascii="Garamond" w:eastAsia="MS Mincho" w:hAnsi="Garamond" w:cs="Times New Roman"/>
          <w:szCs w:val="24"/>
        </w:rPr>
        <w:t xml:space="preserve">punonjësve </w:t>
      </w:r>
      <w:r w:rsidRPr="00B457F5">
        <w:rPr>
          <w:rFonts w:ascii="Garamond" w:eastAsia="MS Mincho" w:hAnsi="Garamond" w:cs="Times New Roman"/>
          <w:szCs w:val="24"/>
        </w:rPr>
        <w:t>të vijës së parë që merren me migrantët</w:t>
      </w:r>
      <w:r w:rsidR="00F7451C" w:rsidRPr="00B457F5">
        <w:rPr>
          <w:rFonts w:ascii="Garamond" w:eastAsia="MS Mincho" w:hAnsi="Garamond" w:cs="Times New Roman"/>
          <w:szCs w:val="24"/>
        </w:rPr>
        <w:t>,</w:t>
      </w:r>
      <w:r w:rsidRPr="00B457F5">
        <w:rPr>
          <w:rFonts w:ascii="Garamond" w:eastAsia="MS Mincho" w:hAnsi="Garamond" w:cs="Times New Roman"/>
          <w:szCs w:val="24"/>
        </w:rPr>
        <w:t xml:space="preserve"> për të identifikuar viktimat ose viktimat e mundshme të trafikimit, si dhe për të informuar vazhdimisht migrantët e parregullt për të drejtat e tyre dhe mbrojtjen nga trafikimi në një gjuhë që ata kuptojnë.</w:t>
      </w:r>
      <w:bookmarkStart w:id="8" w:name="_Toc148097430"/>
      <w:bookmarkEnd w:id="7"/>
    </w:p>
    <w:p w14:paraId="50A69571" w14:textId="75756067" w:rsidR="00FF4096" w:rsidRPr="00B457F5" w:rsidRDefault="00FF4096" w:rsidP="002E693B">
      <w:pPr>
        <w:pStyle w:val="Heading1"/>
        <w:spacing w:before="0" w:after="0"/>
        <w:ind w:left="0" w:firstLine="284"/>
        <w:rPr>
          <w:rFonts w:ascii="Garamond" w:hAnsi="Garamond" w:cs="Times New Roman"/>
          <w:color w:val="auto"/>
          <w:sz w:val="24"/>
          <w:szCs w:val="24"/>
        </w:rPr>
      </w:pPr>
      <w:bookmarkStart w:id="9" w:name="_Toc155620718"/>
      <w:r w:rsidRPr="00B457F5">
        <w:rPr>
          <w:rFonts w:ascii="Garamond" w:hAnsi="Garamond" w:cs="Times New Roman"/>
          <w:color w:val="auto"/>
          <w:sz w:val="24"/>
          <w:szCs w:val="24"/>
        </w:rPr>
        <w:t>K</w:t>
      </w:r>
      <w:r w:rsidR="00BD4AFB" w:rsidRPr="00B457F5">
        <w:rPr>
          <w:rFonts w:ascii="Garamond" w:hAnsi="Garamond" w:cs="Times New Roman"/>
          <w:color w:val="auto"/>
          <w:sz w:val="24"/>
          <w:szCs w:val="24"/>
        </w:rPr>
        <w:t>uadri</w:t>
      </w:r>
      <w:r w:rsidRPr="00B457F5">
        <w:rPr>
          <w:rFonts w:ascii="Garamond" w:hAnsi="Garamond" w:cs="Times New Roman"/>
          <w:color w:val="auto"/>
          <w:sz w:val="24"/>
          <w:szCs w:val="24"/>
        </w:rPr>
        <w:t xml:space="preserve"> </w:t>
      </w:r>
      <w:r w:rsidR="00E2128D" w:rsidRPr="00B457F5">
        <w:rPr>
          <w:rFonts w:ascii="Garamond" w:hAnsi="Garamond" w:cs="Times New Roman"/>
          <w:color w:val="auto"/>
          <w:sz w:val="24"/>
          <w:szCs w:val="24"/>
        </w:rPr>
        <w:t>n</w:t>
      </w:r>
      <w:r w:rsidRPr="00B457F5">
        <w:rPr>
          <w:rFonts w:ascii="Garamond" w:hAnsi="Garamond" w:cs="Times New Roman"/>
          <w:color w:val="auto"/>
          <w:sz w:val="24"/>
          <w:szCs w:val="24"/>
        </w:rPr>
        <w:t>dërkombëtar</w:t>
      </w:r>
      <w:bookmarkEnd w:id="8"/>
      <w:r w:rsidRPr="00B457F5">
        <w:rPr>
          <w:rFonts w:ascii="Garamond" w:hAnsi="Garamond" w:cs="Times New Roman"/>
          <w:color w:val="auto"/>
          <w:sz w:val="24"/>
          <w:szCs w:val="24"/>
        </w:rPr>
        <w:t xml:space="preserve"> </w:t>
      </w:r>
      <w:r w:rsidR="000E276A" w:rsidRPr="00B457F5">
        <w:rPr>
          <w:rFonts w:ascii="Garamond" w:hAnsi="Garamond" w:cs="Times New Roman"/>
          <w:color w:val="auto"/>
          <w:sz w:val="24"/>
          <w:szCs w:val="24"/>
        </w:rPr>
        <w:t xml:space="preserve">dhe </w:t>
      </w:r>
      <w:r w:rsidR="00734269" w:rsidRPr="00B457F5">
        <w:rPr>
          <w:rFonts w:ascii="Garamond" w:hAnsi="Garamond" w:cs="Times New Roman"/>
          <w:color w:val="auto"/>
          <w:sz w:val="24"/>
          <w:szCs w:val="24"/>
        </w:rPr>
        <w:t>dokumente</w:t>
      </w:r>
      <w:r w:rsidR="000E276A" w:rsidRPr="00B457F5">
        <w:rPr>
          <w:rFonts w:ascii="Garamond" w:hAnsi="Garamond" w:cs="Times New Roman"/>
          <w:color w:val="auto"/>
          <w:sz w:val="24"/>
          <w:szCs w:val="24"/>
        </w:rPr>
        <w:t xml:space="preserve"> kryesore strategjike për Shqipërinë</w:t>
      </w:r>
      <w:bookmarkEnd w:id="9"/>
    </w:p>
    <w:p w14:paraId="0B0B786F" w14:textId="23355E4A" w:rsidR="00714DC1" w:rsidRPr="00B457F5" w:rsidRDefault="00ED5F7A" w:rsidP="002E693B">
      <w:pPr>
        <w:spacing w:before="0" w:after="0"/>
        <w:ind w:firstLine="284"/>
        <w:rPr>
          <w:rFonts w:ascii="Garamond" w:eastAsia="MS Mincho" w:hAnsi="Garamond" w:cs="Times New Roman"/>
          <w:szCs w:val="24"/>
        </w:rPr>
      </w:pPr>
      <w:r w:rsidRPr="00B457F5">
        <w:rPr>
          <w:rFonts w:ascii="Garamond" w:eastAsia="MS Mincho" w:hAnsi="Garamond" w:cs="Times New Roman"/>
          <w:bCs/>
          <w:iCs/>
          <w:szCs w:val="24"/>
        </w:rPr>
        <w:t>Kompakti Global për Migracionin</w:t>
      </w:r>
      <w:r w:rsidR="00F96FF8" w:rsidRPr="00B457F5">
        <w:rPr>
          <w:rStyle w:val="FootnoteReference"/>
          <w:rFonts w:ascii="Garamond" w:eastAsia="MS Mincho" w:hAnsi="Garamond" w:cs="Times New Roman"/>
          <w:bCs/>
          <w:iCs/>
          <w:szCs w:val="24"/>
        </w:rPr>
        <w:footnoteReference w:id="14"/>
      </w:r>
      <w:r w:rsidRPr="00B457F5">
        <w:rPr>
          <w:rFonts w:ascii="Garamond" w:eastAsia="MS Mincho" w:hAnsi="Garamond" w:cs="Times New Roman"/>
          <w:bCs/>
          <w:iCs/>
          <w:szCs w:val="24"/>
        </w:rPr>
        <w:t>.</w:t>
      </w:r>
      <w:r w:rsidRPr="00B457F5">
        <w:rPr>
          <w:rFonts w:ascii="Garamond" w:eastAsia="MS Mincho" w:hAnsi="Garamond" w:cs="Times New Roman"/>
          <w:szCs w:val="24"/>
        </w:rPr>
        <w:t xml:space="preserve"> Shqipëria ka nënshkruar Marrëveshjen Globale për Migrim të Sigurt, të Ligjsh</w:t>
      </w:r>
      <w:r w:rsidR="00B0743F" w:rsidRPr="00B457F5">
        <w:rPr>
          <w:rFonts w:ascii="Garamond" w:eastAsia="MS Mincho" w:hAnsi="Garamond" w:cs="Times New Roman"/>
          <w:szCs w:val="24"/>
        </w:rPr>
        <w:t>ë</w:t>
      </w:r>
      <w:r w:rsidRPr="00B457F5">
        <w:rPr>
          <w:rFonts w:ascii="Garamond" w:eastAsia="MS Mincho" w:hAnsi="Garamond" w:cs="Times New Roman"/>
          <w:szCs w:val="24"/>
        </w:rPr>
        <w:t xml:space="preserve">m dhe të Rregullt (GCM), gjatë Konferencës Ndërqeveritare të Marrakeshit, në dhjetor </w:t>
      </w:r>
      <w:r w:rsidR="003B6C85" w:rsidRPr="00B457F5">
        <w:rPr>
          <w:rFonts w:ascii="Garamond" w:eastAsia="MS Mincho" w:hAnsi="Garamond" w:cs="Times New Roman"/>
          <w:szCs w:val="24"/>
        </w:rPr>
        <w:t xml:space="preserve">të vitit </w:t>
      </w:r>
      <w:r w:rsidRPr="00B457F5">
        <w:rPr>
          <w:rFonts w:ascii="Garamond" w:eastAsia="MS Mincho" w:hAnsi="Garamond" w:cs="Times New Roman"/>
          <w:szCs w:val="24"/>
        </w:rPr>
        <w:t>2018, duke shprehur përkushtimin e saj ndaj kuadrit global të migracionit</w:t>
      </w:r>
      <w:r w:rsidR="009A78A5" w:rsidRPr="00B457F5">
        <w:rPr>
          <w:rFonts w:ascii="Garamond" w:eastAsia="MS Mincho" w:hAnsi="Garamond" w:cs="Times New Roman"/>
          <w:szCs w:val="24"/>
        </w:rPr>
        <w:t>,</w:t>
      </w:r>
      <w:r w:rsidRPr="00B457F5">
        <w:rPr>
          <w:rFonts w:ascii="Garamond" w:eastAsia="MS Mincho" w:hAnsi="Garamond" w:cs="Times New Roman"/>
          <w:szCs w:val="24"/>
        </w:rPr>
        <w:t xml:space="preserve"> në mbrojtje të interesave kombëtare dhe përmes </w:t>
      </w:r>
      <w:r w:rsidR="00AD23D9" w:rsidRPr="00B457F5">
        <w:rPr>
          <w:rFonts w:ascii="Garamond" w:eastAsia="MS Mincho" w:hAnsi="Garamond" w:cs="Times New Roman"/>
          <w:szCs w:val="24"/>
        </w:rPr>
        <w:t>p</w:t>
      </w:r>
      <w:r w:rsidR="00B0743F" w:rsidRPr="00B457F5">
        <w:rPr>
          <w:rFonts w:ascii="Garamond" w:eastAsia="MS Mincho" w:hAnsi="Garamond" w:cs="Times New Roman"/>
          <w:szCs w:val="24"/>
        </w:rPr>
        <w:t>ë</w:t>
      </w:r>
      <w:r w:rsidR="00AD23D9" w:rsidRPr="00B457F5">
        <w:rPr>
          <w:rFonts w:ascii="Garamond" w:eastAsia="MS Mincho" w:hAnsi="Garamond" w:cs="Times New Roman"/>
          <w:szCs w:val="24"/>
        </w:rPr>
        <w:t>rmir</w:t>
      </w:r>
      <w:r w:rsidR="00B0743F" w:rsidRPr="00B457F5">
        <w:rPr>
          <w:rFonts w:ascii="Garamond" w:eastAsia="MS Mincho" w:hAnsi="Garamond" w:cs="Times New Roman"/>
          <w:szCs w:val="24"/>
        </w:rPr>
        <w:t>ë</w:t>
      </w:r>
      <w:r w:rsidR="00AD23D9" w:rsidRPr="00B457F5">
        <w:rPr>
          <w:rFonts w:ascii="Garamond" w:eastAsia="MS Mincho" w:hAnsi="Garamond" w:cs="Times New Roman"/>
          <w:szCs w:val="24"/>
        </w:rPr>
        <w:t>simit t</w:t>
      </w:r>
      <w:r w:rsidR="00B0743F" w:rsidRPr="00B457F5">
        <w:rPr>
          <w:rFonts w:ascii="Garamond" w:eastAsia="MS Mincho" w:hAnsi="Garamond" w:cs="Times New Roman"/>
          <w:szCs w:val="24"/>
        </w:rPr>
        <w:t>ë</w:t>
      </w:r>
      <w:r w:rsidR="00AD23D9" w:rsidRPr="00B457F5">
        <w:rPr>
          <w:rFonts w:ascii="Garamond" w:eastAsia="MS Mincho" w:hAnsi="Garamond" w:cs="Times New Roman"/>
          <w:szCs w:val="24"/>
        </w:rPr>
        <w:t xml:space="preserve"> </w:t>
      </w:r>
      <w:r w:rsidRPr="00B457F5">
        <w:rPr>
          <w:rFonts w:ascii="Garamond" w:eastAsia="MS Mincho" w:hAnsi="Garamond" w:cs="Times New Roman"/>
          <w:szCs w:val="24"/>
        </w:rPr>
        <w:t>bashkëpunimit</w:t>
      </w:r>
      <w:r w:rsidR="00AD23D9" w:rsidRPr="00B457F5">
        <w:rPr>
          <w:rFonts w:ascii="Garamond" w:eastAsia="MS Mincho" w:hAnsi="Garamond" w:cs="Times New Roman"/>
          <w:szCs w:val="24"/>
        </w:rPr>
        <w:t>.</w:t>
      </w:r>
      <w:r w:rsidRPr="00B457F5">
        <w:rPr>
          <w:rFonts w:ascii="Garamond" w:eastAsia="MS Mincho" w:hAnsi="Garamond" w:cs="Times New Roman"/>
          <w:szCs w:val="24"/>
        </w:rPr>
        <w:t xml:space="preserve"> Një objektiv i rëndësishëm i GCM</w:t>
      </w:r>
      <w:r w:rsidR="00397A36" w:rsidRPr="00B457F5">
        <w:rPr>
          <w:rFonts w:ascii="Garamond" w:eastAsia="MS Mincho" w:hAnsi="Garamond" w:cs="Times New Roman"/>
          <w:szCs w:val="24"/>
        </w:rPr>
        <w:t>-së</w:t>
      </w:r>
      <w:r w:rsidRPr="00B457F5">
        <w:rPr>
          <w:rFonts w:ascii="Garamond" w:eastAsia="MS Mincho" w:hAnsi="Garamond" w:cs="Times New Roman"/>
          <w:szCs w:val="24"/>
        </w:rPr>
        <w:t xml:space="preserve"> është të maksimizojë të gjitha përfitimet e lëvizjes së njerëzve dhe të lehtësojë sfidat e saj. Shqipëria ka përgatitur dhe dorëzuar</w:t>
      </w:r>
      <w:r w:rsidR="009A78A5" w:rsidRPr="00B457F5">
        <w:rPr>
          <w:rFonts w:ascii="Garamond" w:eastAsia="MS Mincho" w:hAnsi="Garamond" w:cs="Times New Roman"/>
          <w:szCs w:val="24"/>
        </w:rPr>
        <w:t>,</w:t>
      </w:r>
      <w:r w:rsidRPr="00B457F5">
        <w:rPr>
          <w:rFonts w:ascii="Garamond" w:eastAsia="MS Mincho" w:hAnsi="Garamond" w:cs="Times New Roman"/>
          <w:szCs w:val="24"/>
        </w:rPr>
        <w:t xml:space="preserve"> në mars </w:t>
      </w:r>
      <w:r w:rsidR="00397A36" w:rsidRPr="00B457F5">
        <w:rPr>
          <w:rFonts w:ascii="Garamond" w:eastAsia="MS Mincho" w:hAnsi="Garamond" w:cs="Times New Roman"/>
          <w:szCs w:val="24"/>
        </w:rPr>
        <w:t xml:space="preserve">të vitit </w:t>
      </w:r>
      <w:r w:rsidRPr="00B457F5">
        <w:rPr>
          <w:rFonts w:ascii="Garamond" w:eastAsia="MS Mincho" w:hAnsi="Garamond" w:cs="Times New Roman"/>
          <w:szCs w:val="24"/>
        </w:rPr>
        <w:t>2022</w:t>
      </w:r>
      <w:r w:rsidR="009A78A5" w:rsidRPr="00B457F5">
        <w:rPr>
          <w:rFonts w:ascii="Garamond" w:eastAsia="MS Mincho" w:hAnsi="Garamond" w:cs="Times New Roman"/>
          <w:szCs w:val="24"/>
        </w:rPr>
        <w:t>,</w:t>
      </w:r>
      <w:r w:rsidRPr="00B457F5">
        <w:rPr>
          <w:rFonts w:ascii="Garamond" w:eastAsia="MS Mincho" w:hAnsi="Garamond" w:cs="Times New Roman"/>
          <w:szCs w:val="24"/>
        </w:rPr>
        <w:t xml:space="preserve"> raportin e vlerësimit vullnetar të situatës së zbatimit të GCM</w:t>
      </w:r>
      <w:r w:rsidR="00397A36" w:rsidRPr="00B457F5">
        <w:rPr>
          <w:rFonts w:ascii="Garamond" w:eastAsia="MS Mincho" w:hAnsi="Garamond" w:cs="Times New Roman"/>
          <w:szCs w:val="24"/>
        </w:rPr>
        <w:t>-së</w:t>
      </w:r>
      <w:r w:rsidRPr="00B457F5">
        <w:rPr>
          <w:rFonts w:ascii="Garamond" w:eastAsia="MS Mincho" w:hAnsi="Garamond" w:cs="Times New Roman"/>
          <w:szCs w:val="24"/>
        </w:rPr>
        <w:t xml:space="preserve"> në Shqipëri</w:t>
      </w:r>
      <w:r w:rsidR="009A78A5" w:rsidRPr="00B457F5">
        <w:rPr>
          <w:rFonts w:ascii="Garamond" w:eastAsia="MS Mincho" w:hAnsi="Garamond" w:cs="Times New Roman"/>
          <w:szCs w:val="24"/>
        </w:rPr>
        <w:t>,</w:t>
      </w:r>
      <w:r w:rsidRPr="00B457F5">
        <w:rPr>
          <w:rFonts w:ascii="Garamond" w:eastAsia="MS Mincho" w:hAnsi="Garamond" w:cs="Times New Roman"/>
          <w:szCs w:val="24"/>
        </w:rPr>
        <w:t xml:space="preserve"> </w:t>
      </w:r>
      <w:r w:rsidR="00DB1B77" w:rsidRPr="00B457F5">
        <w:rPr>
          <w:rFonts w:ascii="Garamond" w:eastAsia="MS Mincho" w:hAnsi="Garamond" w:cs="Times New Roman"/>
          <w:szCs w:val="24"/>
        </w:rPr>
        <w:t>p</w:t>
      </w:r>
      <w:r w:rsidRPr="00B457F5">
        <w:rPr>
          <w:rFonts w:ascii="Garamond" w:eastAsia="MS Mincho" w:hAnsi="Garamond" w:cs="Times New Roman"/>
          <w:szCs w:val="24"/>
        </w:rPr>
        <w:t>ë</w:t>
      </w:r>
      <w:r w:rsidR="00DB1B77" w:rsidRPr="00B457F5">
        <w:rPr>
          <w:rFonts w:ascii="Garamond" w:eastAsia="MS Mincho" w:hAnsi="Garamond" w:cs="Times New Roman"/>
          <w:szCs w:val="24"/>
        </w:rPr>
        <w:t>r</w:t>
      </w:r>
      <w:r w:rsidRPr="00B457F5">
        <w:rPr>
          <w:rFonts w:ascii="Garamond" w:eastAsia="MS Mincho" w:hAnsi="Garamond" w:cs="Times New Roman"/>
          <w:szCs w:val="24"/>
        </w:rPr>
        <w:t xml:space="preserve"> periudhë</w:t>
      </w:r>
      <w:r w:rsidR="00DB1B77" w:rsidRPr="00B457F5">
        <w:rPr>
          <w:rFonts w:ascii="Garamond" w:eastAsia="MS Mincho" w:hAnsi="Garamond" w:cs="Times New Roman"/>
          <w:szCs w:val="24"/>
        </w:rPr>
        <w:t>n</w:t>
      </w:r>
      <w:r w:rsidRPr="00B457F5">
        <w:rPr>
          <w:rFonts w:ascii="Garamond" w:eastAsia="MS Mincho" w:hAnsi="Garamond" w:cs="Times New Roman"/>
          <w:szCs w:val="24"/>
        </w:rPr>
        <w:t xml:space="preserve"> 2019</w:t>
      </w:r>
      <w:r w:rsidR="00734269" w:rsidRPr="00B457F5">
        <w:rPr>
          <w:rStyle w:val="contentpasted1"/>
          <w:rFonts w:ascii="Garamond" w:hAnsi="Garamond" w:cs="Times New Roman"/>
          <w:color w:val="000000"/>
        </w:rPr>
        <w:t>–</w:t>
      </w:r>
      <w:r w:rsidRPr="00B457F5">
        <w:rPr>
          <w:rFonts w:ascii="Garamond" w:eastAsia="MS Mincho" w:hAnsi="Garamond" w:cs="Times New Roman"/>
          <w:szCs w:val="24"/>
        </w:rPr>
        <w:t>2021.</w:t>
      </w:r>
    </w:p>
    <w:p w14:paraId="14A35E02" w14:textId="73AAC9C8" w:rsidR="00FC062A" w:rsidRPr="00B457F5" w:rsidRDefault="00FC062A"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Një ndryshim i madh në krahasim me SKM</w:t>
      </w:r>
      <w:r w:rsidR="00F13D9D" w:rsidRPr="00B457F5">
        <w:rPr>
          <w:rFonts w:ascii="Garamond" w:eastAsia="MS Mincho" w:hAnsi="Garamond" w:cs="Times New Roman"/>
          <w:szCs w:val="24"/>
        </w:rPr>
        <w:t>-në</w:t>
      </w:r>
      <w:r w:rsidRPr="00B457F5">
        <w:rPr>
          <w:rFonts w:ascii="Garamond" w:eastAsia="MS Mincho" w:hAnsi="Garamond" w:cs="Times New Roman"/>
          <w:szCs w:val="24"/>
        </w:rPr>
        <w:t xml:space="preserve"> dhe PV</w:t>
      </w:r>
      <w:r w:rsidR="00F13D9D" w:rsidRPr="00B457F5">
        <w:rPr>
          <w:rFonts w:ascii="Garamond" w:eastAsia="MS Mincho" w:hAnsi="Garamond" w:cs="Times New Roman"/>
          <w:szCs w:val="24"/>
        </w:rPr>
        <w:t>-në</w:t>
      </w:r>
      <w:r w:rsidRPr="00B457F5">
        <w:rPr>
          <w:rFonts w:ascii="Garamond" w:eastAsia="MS Mincho" w:hAnsi="Garamond" w:cs="Times New Roman"/>
          <w:szCs w:val="24"/>
        </w:rPr>
        <w:t xml:space="preserve"> 2019</w:t>
      </w:r>
      <w:r w:rsidR="00734269" w:rsidRPr="00B457F5">
        <w:rPr>
          <w:rStyle w:val="contentpasted1"/>
          <w:rFonts w:ascii="Garamond" w:hAnsi="Garamond" w:cs="Times New Roman"/>
          <w:color w:val="000000"/>
        </w:rPr>
        <w:t>–</w:t>
      </w:r>
      <w:r w:rsidRPr="00B457F5">
        <w:rPr>
          <w:rFonts w:ascii="Garamond" w:eastAsia="MS Mincho" w:hAnsi="Garamond" w:cs="Times New Roman"/>
          <w:szCs w:val="24"/>
        </w:rPr>
        <w:t xml:space="preserve">2022 është vendimi i </w:t>
      </w:r>
      <w:r w:rsidR="009A78A5" w:rsidRPr="00B457F5">
        <w:rPr>
          <w:rFonts w:ascii="Garamond" w:eastAsia="MS Mincho" w:hAnsi="Garamond" w:cs="Times New Roman"/>
          <w:szCs w:val="24"/>
        </w:rPr>
        <w:t>q</w:t>
      </w:r>
      <w:r w:rsidRPr="00B457F5">
        <w:rPr>
          <w:rFonts w:ascii="Garamond" w:eastAsia="MS Mincho" w:hAnsi="Garamond" w:cs="Times New Roman"/>
          <w:szCs w:val="24"/>
        </w:rPr>
        <w:t>everis</w:t>
      </w:r>
      <w:r w:rsidR="00B0743F" w:rsidRPr="00B457F5">
        <w:rPr>
          <w:rFonts w:ascii="Garamond" w:eastAsia="MS Mincho" w:hAnsi="Garamond" w:cs="Times New Roman"/>
          <w:szCs w:val="24"/>
        </w:rPr>
        <w:t>ë</w:t>
      </w:r>
      <w:r w:rsidRPr="00B457F5">
        <w:rPr>
          <w:rFonts w:ascii="Garamond" w:eastAsia="MS Mincho" w:hAnsi="Garamond" w:cs="Times New Roman"/>
          <w:szCs w:val="24"/>
        </w:rPr>
        <w:t xml:space="preserve"> s</w:t>
      </w:r>
      <w:r w:rsidR="00B0743F" w:rsidRPr="00B457F5">
        <w:rPr>
          <w:rFonts w:ascii="Garamond" w:eastAsia="MS Mincho" w:hAnsi="Garamond" w:cs="Times New Roman"/>
          <w:szCs w:val="24"/>
        </w:rPr>
        <w:t>ë</w:t>
      </w:r>
      <w:r w:rsidRPr="00B457F5">
        <w:rPr>
          <w:rFonts w:ascii="Garamond" w:eastAsia="MS Mincho" w:hAnsi="Garamond" w:cs="Times New Roman"/>
          <w:szCs w:val="24"/>
        </w:rPr>
        <w:t xml:space="preserve"> Shqip</w:t>
      </w:r>
      <w:r w:rsidR="00B0743F" w:rsidRPr="00B457F5">
        <w:rPr>
          <w:rFonts w:ascii="Garamond" w:eastAsia="MS Mincho" w:hAnsi="Garamond" w:cs="Times New Roman"/>
          <w:szCs w:val="24"/>
        </w:rPr>
        <w:t>ë</w:t>
      </w:r>
      <w:r w:rsidRPr="00B457F5">
        <w:rPr>
          <w:rFonts w:ascii="Garamond" w:eastAsia="MS Mincho" w:hAnsi="Garamond" w:cs="Times New Roman"/>
          <w:szCs w:val="24"/>
        </w:rPr>
        <w:t>ris</w:t>
      </w:r>
      <w:r w:rsidR="00B0743F" w:rsidRPr="00B457F5">
        <w:rPr>
          <w:rFonts w:ascii="Garamond" w:eastAsia="MS Mincho" w:hAnsi="Garamond" w:cs="Times New Roman"/>
          <w:szCs w:val="24"/>
        </w:rPr>
        <w:t>ë</w:t>
      </w:r>
      <w:r w:rsidRPr="00B457F5">
        <w:rPr>
          <w:rFonts w:ascii="Garamond" w:eastAsia="MS Mincho" w:hAnsi="Garamond" w:cs="Times New Roman"/>
          <w:szCs w:val="24"/>
        </w:rPr>
        <w:t xml:space="preserve"> për të përafruar dokumentin aktual strategjik me kornizën GCM</w:t>
      </w:r>
      <w:r w:rsidR="009A78A5" w:rsidRPr="00B457F5">
        <w:rPr>
          <w:rFonts w:ascii="Garamond" w:eastAsia="MS Mincho" w:hAnsi="Garamond" w:cs="Times New Roman"/>
          <w:szCs w:val="24"/>
        </w:rPr>
        <w:t>,</w:t>
      </w:r>
      <w:r w:rsidRPr="00B457F5">
        <w:rPr>
          <w:rFonts w:ascii="Garamond" w:eastAsia="MS Mincho" w:hAnsi="Garamond" w:cs="Times New Roman"/>
          <w:szCs w:val="24"/>
        </w:rPr>
        <w:t xml:space="preserve"> në mënyrë që të nxisë marrëdhënien pozitive midis migrimit dhe zhvillimit të qëndrueshëm për të arritur A</w:t>
      </w:r>
      <w:r w:rsidR="00F13D9D" w:rsidRPr="00B457F5">
        <w:rPr>
          <w:rFonts w:ascii="Garamond" w:eastAsia="MS Mincho" w:hAnsi="Garamond" w:cs="Times New Roman"/>
          <w:szCs w:val="24"/>
        </w:rPr>
        <w:t>gj</w:t>
      </w:r>
      <w:r w:rsidRPr="00B457F5">
        <w:rPr>
          <w:rFonts w:ascii="Garamond" w:eastAsia="MS Mincho" w:hAnsi="Garamond" w:cs="Times New Roman"/>
          <w:szCs w:val="24"/>
        </w:rPr>
        <w:t>endën 2030 dhe për të siguruar koherencë ndërmjet politikave, legjislacionit dhe kornizave të reja ndërkombëtare. Për këtë qëllim, IOM</w:t>
      </w:r>
      <w:r w:rsidR="009A78A5" w:rsidRPr="00B457F5">
        <w:rPr>
          <w:rFonts w:ascii="Garamond" w:eastAsia="MS Mincho" w:hAnsi="Garamond" w:cs="Times New Roman"/>
          <w:szCs w:val="24"/>
        </w:rPr>
        <w:t>-ja</w:t>
      </w:r>
      <w:r w:rsidRPr="00B457F5">
        <w:rPr>
          <w:rFonts w:ascii="Garamond" w:eastAsia="MS Mincho" w:hAnsi="Garamond" w:cs="Times New Roman"/>
          <w:szCs w:val="24"/>
        </w:rPr>
        <w:t xml:space="preserve"> hartoi një udhëzues për të mbështetur qeverinë në raportimin e zbatimit të GCM</w:t>
      </w:r>
      <w:r w:rsidR="001742B4" w:rsidRPr="00B457F5">
        <w:rPr>
          <w:rFonts w:ascii="Garamond" w:eastAsia="MS Mincho" w:hAnsi="Garamond" w:cs="Times New Roman"/>
          <w:szCs w:val="24"/>
        </w:rPr>
        <w:t>-së</w:t>
      </w:r>
      <w:r w:rsidRPr="00B457F5">
        <w:rPr>
          <w:rFonts w:ascii="Garamond" w:eastAsia="MS Mincho" w:hAnsi="Garamond" w:cs="Times New Roman"/>
          <w:szCs w:val="24"/>
        </w:rPr>
        <w:t>. Udhëzuesi theksoi ndërlidhjet midis GCM</w:t>
      </w:r>
      <w:r w:rsidR="001742B4" w:rsidRPr="00B457F5">
        <w:rPr>
          <w:rFonts w:ascii="Garamond" w:eastAsia="MS Mincho" w:hAnsi="Garamond" w:cs="Times New Roman"/>
          <w:szCs w:val="24"/>
        </w:rPr>
        <w:t>-së</w:t>
      </w:r>
      <w:r w:rsidRPr="00B457F5">
        <w:rPr>
          <w:rFonts w:ascii="Garamond" w:eastAsia="MS Mincho" w:hAnsi="Garamond" w:cs="Times New Roman"/>
          <w:szCs w:val="24"/>
        </w:rPr>
        <w:t xml:space="preserve"> dhe SKM 2019</w:t>
      </w:r>
      <w:r w:rsidR="00734269" w:rsidRPr="00B457F5">
        <w:rPr>
          <w:rStyle w:val="contentpasted1"/>
          <w:rFonts w:ascii="Garamond" w:hAnsi="Garamond" w:cs="Times New Roman"/>
          <w:color w:val="000000"/>
        </w:rPr>
        <w:t>–</w:t>
      </w:r>
      <w:r w:rsidRPr="00B457F5">
        <w:rPr>
          <w:rFonts w:ascii="Garamond" w:eastAsia="MS Mincho" w:hAnsi="Garamond" w:cs="Times New Roman"/>
          <w:szCs w:val="24"/>
        </w:rPr>
        <w:t xml:space="preserve">2022 dhe se si ato kontribuojnë </w:t>
      </w:r>
      <w:r w:rsidR="00D00E84" w:rsidRPr="00B457F5">
        <w:rPr>
          <w:rFonts w:ascii="Garamond" w:eastAsia="MS Mincho" w:hAnsi="Garamond" w:cs="Times New Roman"/>
          <w:szCs w:val="24"/>
        </w:rPr>
        <w:t>ndaj njëra-tjetrës</w:t>
      </w:r>
      <w:r w:rsidRPr="00B457F5">
        <w:rPr>
          <w:rFonts w:ascii="Garamond" w:eastAsia="MS Mincho" w:hAnsi="Garamond" w:cs="Times New Roman"/>
          <w:szCs w:val="24"/>
        </w:rPr>
        <w:t>.</w:t>
      </w:r>
    </w:p>
    <w:p w14:paraId="6F98D0A9" w14:textId="315D8DA7" w:rsidR="00A619CA" w:rsidRPr="00B457F5" w:rsidRDefault="00562259"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Shqipëria paraqiti një raport </w:t>
      </w:r>
      <w:r w:rsidR="0012344C" w:rsidRPr="00B457F5">
        <w:rPr>
          <w:rFonts w:ascii="Garamond" w:eastAsia="MS Mincho" w:hAnsi="Garamond" w:cs="Times New Roman"/>
          <w:szCs w:val="24"/>
        </w:rPr>
        <w:t xml:space="preserve">vullnetar </w:t>
      </w:r>
      <w:r w:rsidRPr="00B457F5">
        <w:rPr>
          <w:rFonts w:ascii="Garamond" w:eastAsia="MS Mincho" w:hAnsi="Garamond" w:cs="Times New Roman"/>
          <w:szCs w:val="24"/>
        </w:rPr>
        <w:t xml:space="preserve">rishikimi në </w:t>
      </w:r>
      <w:r w:rsidR="009A78A5" w:rsidRPr="00B457F5">
        <w:rPr>
          <w:rFonts w:ascii="Garamond" w:eastAsia="MS Mincho" w:hAnsi="Garamond" w:cs="Times New Roman"/>
          <w:szCs w:val="24"/>
        </w:rPr>
        <w:t xml:space="preserve">rishikimin rajonal </w:t>
      </w:r>
      <w:r w:rsidRPr="00B457F5">
        <w:rPr>
          <w:rFonts w:ascii="Garamond" w:eastAsia="MS Mincho" w:hAnsi="Garamond" w:cs="Times New Roman"/>
          <w:szCs w:val="24"/>
        </w:rPr>
        <w:t xml:space="preserve">të GCM-së për Komisionin Ekonomik të Kombeve të Bashkuara për </w:t>
      </w:r>
      <w:r w:rsidR="005D0B56" w:rsidRPr="00B457F5">
        <w:rPr>
          <w:rFonts w:ascii="Garamond" w:eastAsia="MS Mincho" w:hAnsi="Garamond" w:cs="Times New Roman"/>
          <w:szCs w:val="24"/>
        </w:rPr>
        <w:t>R</w:t>
      </w:r>
      <w:r w:rsidRPr="00B457F5">
        <w:rPr>
          <w:rFonts w:ascii="Garamond" w:eastAsia="MS Mincho" w:hAnsi="Garamond" w:cs="Times New Roman"/>
          <w:szCs w:val="24"/>
        </w:rPr>
        <w:t xml:space="preserve">ajonin e Evropës në vitin 2020 dhe paraqiti një raport </w:t>
      </w:r>
      <w:r w:rsidR="0012344C" w:rsidRPr="00B457F5">
        <w:rPr>
          <w:rFonts w:ascii="Garamond" w:eastAsia="MS Mincho" w:hAnsi="Garamond" w:cs="Times New Roman"/>
          <w:szCs w:val="24"/>
        </w:rPr>
        <w:t>vullnetar</w:t>
      </w:r>
      <w:r w:rsidRPr="00B457F5">
        <w:rPr>
          <w:rFonts w:ascii="Garamond" w:eastAsia="MS Mincho" w:hAnsi="Garamond" w:cs="Times New Roman"/>
          <w:szCs w:val="24"/>
        </w:rPr>
        <w:t xml:space="preserve"> rishikimi kombëtar të GCM</w:t>
      </w:r>
      <w:r w:rsidR="0012344C" w:rsidRPr="00B457F5">
        <w:rPr>
          <w:rFonts w:ascii="Garamond" w:eastAsia="MS Mincho" w:hAnsi="Garamond" w:cs="Times New Roman"/>
          <w:szCs w:val="24"/>
        </w:rPr>
        <w:t>-së</w:t>
      </w:r>
      <w:r w:rsidRPr="00B457F5">
        <w:rPr>
          <w:rFonts w:ascii="Garamond" w:eastAsia="MS Mincho" w:hAnsi="Garamond" w:cs="Times New Roman"/>
          <w:szCs w:val="24"/>
        </w:rPr>
        <w:t xml:space="preserve"> për Forumin Ndërkombëtar të Rishikimit të Migracionit 2022</w:t>
      </w:r>
      <w:r w:rsidR="00963149" w:rsidRPr="00B457F5">
        <w:rPr>
          <w:rFonts w:ascii="Garamond" w:eastAsia="MS Mincho" w:hAnsi="Garamond" w:cs="Times New Roman"/>
          <w:szCs w:val="24"/>
        </w:rPr>
        <w:t>.</w:t>
      </w:r>
      <w:r w:rsidRPr="00B457F5">
        <w:rPr>
          <w:rFonts w:ascii="Garamond" w:eastAsia="MS Mincho" w:hAnsi="Garamond" w:cs="Times New Roman"/>
          <w:szCs w:val="24"/>
          <w:vertAlign w:val="superscript"/>
        </w:rPr>
        <w:footnoteReference w:id="15"/>
      </w:r>
      <w:r w:rsidRPr="00B457F5">
        <w:rPr>
          <w:rFonts w:ascii="Garamond" w:eastAsia="MS Mincho" w:hAnsi="Garamond" w:cs="Times New Roman"/>
          <w:szCs w:val="24"/>
        </w:rPr>
        <w:t xml:space="preserve"> Raporti njohu migracionin si një çështje jetike të zhvillimit dhe prioritet kyç për anëtarësimin e Shqipërisë në BE. Ndalimi i daljes së shtetasve të kualifikuar dhe të arsimuar përmes promovimit të kthimit vullnetar u </w:t>
      </w:r>
      <w:r w:rsidR="00535E03" w:rsidRPr="00B457F5">
        <w:rPr>
          <w:rFonts w:ascii="Garamond" w:eastAsia="MS Mincho" w:hAnsi="Garamond" w:cs="Times New Roman"/>
          <w:szCs w:val="24"/>
        </w:rPr>
        <w:t>konstatua</w:t>
      </w:r>
      <w:r w:rsidRPr="00B457F5">
        <w:rPr>
          <w:rFonts w:ascii="Garamond" w:eastAsia="MS Mincho" w:hAnsi="Garamond" w:cs="Times New Roman"/>
          <w:szCs w:val="24"/>
        </w:rPr>
        <w:t xml:space="preserve"> si një mënyrë për të tërhequr potencialin intelektual.</w:t>
      </w:r>
      <w:r w:rsidR="002F1CFC" w:rsidRPr="00B457F5">
        <w:rPr>
          <w:rFonts w:ascii="Garamond" w:eastAsia="MS Mincho" w:hAnsi="Garamond" w:cs="Times New Roman"/>
          <w:szCs w:val="24"/>
        </w:rPr>
        <w:t xml:space="preserve"> Kthimi dhe riintegrimi i të miturve të pashoqëruar dhe të kthyerve të tjerë në rrethana </w:t>
      </w:r>
      <w:r w:rsidR="00D25295" w:rsidRPr="00B457F5">
        <w:rPr>
          <w:rFonts w:ascii="Garamond" w:eastAsia="MS Mincho" w:hAnsi="Garamond" w:cs="Times New Roman"/>
          <w:szCs w:val="24"/>
        </w:rPr>
        <w:t xml:space="preserve">të cenueshme </w:t>
      </w:r>
      <w:r w:rsidR="002F1CFC" w:rsidRPr="00B457F5">
        <w:rPr>
          <w:rFonts w:ascii="Garamond" w:eastAsia="MS Mincho" w:hAnsi="Garamond" w:cs="Times New Roman"/>
          <w:szCs w:val="24"/>
        </w:rPr>
        <w:t>u njoh si një detyrë e rëndësishme. Raporti theksoi</w:t>
      </w:r>
      <w:r w:rsidR="009A78A5" w:rsidRPr="00B457F5">
        <w:rPr>
          <w:rFonts w:ascii="Garamond" w:eastAsia="MS Mincho" w:hAnsi="Garamond" w:cs="Times New Roman"/>
          <w:szCs w:val="24"/>
        </w:rPr>
        <w:t>,</w:t>
      </w:r>
      <w:r w:rsidR="002F1CFC" w:rsidRPr="00B457F5">
        <w:rPr>
          <w:rFonts w:ascii="Garamond" w:eastAsia="MS Mincho" w:hAnsi="Garamond" w:cs="Times New Roman"/>
          <w:szCs w:val="24"/>
        </w:rPr>
        <w:t xml:space="preserve"> gjithashtu</w:t>
      </w:r>
      <w:r w:rsidR="009A78A5" w:rsidRPr="00B457F5">
        <w:rPr>
          <w:rFonts w:ascii="Garamond" w:eastAsia="MS Mincho" w:hAnsi="Garamond" w:cs="Times New Roman"/>
          <w:szCs w:val="24"/>
        </w:rPr>
        <w:t>,</w:t>
      </w:r>
      <w:r w:rsidR="002F1CFC" w:rsidRPr="00B457F5">
        <w:rPr>
          <w:rFonts w:ascii="Garamond" w:eastAsia="MS Mincho" w:hAnsi="Garamond" w:cs="Times New Roman"/>
          <w:szCs w:val="24"/>
        </w:rPr>
        <w:t xml:space="preserve"> urgjencën e parandalimit të keqpërdorimit të regjimit pa viza </w:t>
      </w:r>
      <w:r w:rsidR="009A78A5" w:rsidRPr="00B457F5">
        <w:rPr>
          <w:rFonts w:ascii="Garamond" w:eastAsia="MS Mincho" w:hAnsi="Garamond" w:cs="Times New Roman"/>
          <w:szCs w:val="24"/>
        </w:rPr>
        <w:t>në</w:t>
      </w:r>
      <w:r w:rsidR="002F1CFC" w:rsidRPr="00B457F5">
        <w:rPr>
          <w:rFonts w:ascii="Garamond" w:eastAsia="MS Mincho" w:hAnsi="Garamond" w:cs="Times New Roman"/>
          <w:szCs w:val="24"/>
        </w:rPr>
        <w:t xml:space="preserve"> zonën Shengen dhe uljen e shkallës së kërkesave për azil në BE. Raporti bëri thirrje për një përgjigje të duhur ndaj flukseve të përziera të migracionit, duke vënë në dukje përparimin e bërë </w:t>
      </w:r>
      <w:r w:rsidR="00FA332B" w:rsidRPr="00B457F5">
        <w:rPr>
          <w:rFonts w:ascii="Garamond" w:eastAsia="MS Mincho" w:hAnsi="Garamond" w:cs="Times New Roman"/>
          <w:szCs w:val="24"/>
        </w:rPr>
        <w:t xml:space="preserve">për </w:t>
      </w:r>
      <w:r w:rsidR="002F1CFC" w:rsidRPr="00B457F5">
        <w:rPr>
          <w:rFonts w:ascii="Garamond" w:eastAsia="MS Mincho" w:hAnsi="Garamond" w:cs="Times New Roman"/>
          <w:szCs w:val="24"/>
        </w:rPr>
        <w:t>zhvillimin e infrastrukturës pritëse, duke lejuar hapësira të dedikuara për të miturit e pashoqëruar dhe të ndarë, azilkërkuesit, refugjatët, migrantët, personat pa shtetësi dhe viktimat e trafikimit.</w:t>
      </w:r>
      <w:r w:rsidR="00A619CA" w:rsidRPr="00B457F5">
        <w:rPr>
          <w:rFonts w:ascii="Garamond" w:eastAsia="MS Mincho" w:hAnsi="Garamond" w:cs="Times New Roman"/>
          <w:szCs w:val="24"/>
          <w:vertAlign w:val="superscript"/>
        </w:rPr>
        <w:footnoteReference w:id="16"/>
      </w:r>
    </w:p>
    <w:p w14:paraId="643F2310" w14:textId="37E5DD65" w:rsidR="00F96FF8" w:rsidRPr="00B457F5" w:rsidRDefault="005D6BA7" w:rsidP="002E693B">
      <w:pPr>
        <w:spacing w:before="0" w:after="0"/>
        <w:ind w:firstLine="284"/>
        <w:rPr>
          <w:rFonts w:ascii="Garamond" w:eastAsia="MS Mincho" w:hAnsi="Garamond" w:cs="Times New Roman"/>
          <w:bCs/>
          <w:szCs w:val="24"/>
        </w:rPr>
      </w:pPr>
      <w:r w:rsidRPr="00B457F5">
        <w:rPr>
          <w:rFonts w:ascii="Garamond" w:eastAsia="MS Mincho" w:hAnsi="Garamond" w:cs="Times New Roman"/>
          <w:szCs w:val="24"/>
        </w:rPr>
        <w:t>Gjatë procesit të prioritizimit të GCM-së</w:t>
      </w:r>
      <w:r w:rsidR="009A78A5" w:rsidRPr="00B457F5">
        <w:rPr>
          <w:rFonts w:ascii="Garamond" w:eastAsia="MS Mincho" w:hAnsi="Garamond" w:cs="Times New Roman"/>
          <w:szCs w:val="24"/>
        </w:rPr>
        <w:t>,</w:t>
      </w:r>
      <w:r w:rsidRPr="00B457F5">
        <w:rPr>
          <w:rFonts w:ascii="Garamond" w:eastAsia="MS Mincho" w:hAnsi="Garamond" w:cs="Times New Roman"/>
          <w:szCs w:val="24"/>
        </w:rPr>
        <w:t xml:space="preserve"> të kryer në vitin 2023, objektivat 8, 9 dhe 10 u përjashtuan nga prioritizimi</w:t>
      </w:r>
      <w:r w:rsidR="009A78A5" w:rsidRPr="00B457F5">
        <w:rPr>
          <w:rFonts w:ascii="Garamond" w:eastAsia="MS Mincho" w:hAnsi="Garamond" w:cs="Times New Roman"/>
          <w:szCs w:val="24"/>
        </w:rPr>
        <w:t>,</w:t>
      </w:r>
      <w:r w:rsidRPr="00B457F5">
        <w:rPr>
          <w:rFonts w:ascii="Garamond" w:eastAsia="MS Mincho" w:hAnsi="Garamond" w:cs="Times New Roman"/>
          <w:szCs w:val="24"/>
        </w:rPr>
        <w:t xml:space="preserve"> sepse ato tashmë ishin </w:t>
      </w:r>
      <w:r w:rsidR="00FA332B" w:rsidRPr="00B457F5">
        <w:rPr>
          <w:rFonts w:ascii="Garamond" w:eastAsia="MS Mincho" w:hAnsi="Garamond" w:cs="Times New Roman"/>
          <w:szCs w:val="24"/>
        </w:rPr>
        <w:t xml:space="preserve">trajtuar </w:t>
      </w:r>
      <w:r w:rsidRPr="00B457F5">
        <w:rPr>
          <w:rFonts w:ascii="Garamond" w:eastAsia="MS Mincho" w:hAnsi="Garamond" w:cs="Times New Roman"/>
          <w:szCs w:val="24"/>
        </w:rPr>
        <w:t xml:space="preserve">në mënyrë gjithëpërfshirëse nga dokumente të tjera strategjike dhe nuk konsideroheshin të rëndësishme nga palët kombëtare </w:t>
      </w:r>
      <w:r w:rsidR="00C10473" w:rsidRPr="00B457F5">
        <w:rPr>
          <w:rFonts w:ascii="Garamond" w:eastAsia="MS Mincho" w:hAnsi="Garamond" w:cs="Times New Roman"/>
          <w:szCs w:val="24"/>
        </w:rPr>
        <w:t xml:space="preserve">të interesit </w:t>
      </w:r>
      <w:r w:rsidRPr="00B457F5">
        <w:rPr>
          <w:rFonts w:ascii="Garamond" w:eastAsia="MS Mincho" w:hAnsi="Garamond" w:cs="Times New Roman"/>
          <w:szCs w:val="24"/>
        </w:rPr>
        <w:t xml:space="preserve">për Strategjinë e re të Migracionit. Disa objektiva të GCM-së u mbuluan në mënyrë të ngjashme nga dokumente të tjera strategjike, por ato u konsideruan të rëndësishme për Strategjinë e re të Migracionit nga palët e </w:t>
      </w:r>
      <w:r w:rsidR="00BB5D69" w:rsidRPr="00B457F5">
        <w:rPr>
          <w:rFonts w:ascii="Garamond" w:eastAsia="MS Mincho" w:hAnsi="Garamond" w:cs="Times New Roman"/>
          <w:szCs w:val="24"/>
        </w:rPr>
        <w:t xml:space="preserve">interesit </w:t>
      </w:r>
      <w:r w:rsidRPr="00B457F5">
        <w:rPr>
          <w:rFonts w:ascii="Garamond" w:eastAsia="MS Mincho" w:hAnsi="Garamond" w:cs="Times New Roman"/>
          <w:szCs w:val="24"/>
        </w:rPr>
        <w:t xml:space="preserve">kombëtar. Prandaj, ato janë përfshirë në raport si pjesërisht </w:t>
      </w:r>
      <w:r w:rsidR="002C23AD" w:rsidRPr="00B457F5">
        <w:rPr>
          <w:rFonts w:ascii="Garamond" w:eastAsia="MS Mincho" w:hAnsi="Garamond" w:cs="Times New Roman"/>
          <w:szCs w:val="24"/>
        </w:rPr>
        <w:t>të rëndësishme</w:t>
      </w:r>
      <w:r w:rsidRPr="00B457F5">
        <w:rPr>
          <w:rFonts w:ascii="Garamond" w:eastAsia="MS Mincho" w:hAnsi="Garamond" w:cs="Times New Roman"/>
          <w:szCs w:val="24"/>
        </w:rPr>
        <w:t>. Këto objektiva ishin objektivat 11 dhe 18</w:t>
      </w:r>
      <w:r w:rsidR="00A619CA" w:rsidRPr="00B457F5">
        <w:rPr>
          <w:rFonts w:ascii="Garamond" w:eastAsia="MS Mincho" w:hAnsi="Garamond" w:cs="Times New Roman"/>
          <w:bCs/>
          <w:szCs w:val="24"/>
        </w:rPr>
        <w:t xml:space="preserve">. </w:t>
      </w:r>
      <w:r w:rsidR="00B51BDB" w:rsidRPr="00B457F5">
        <w:rPr>
          <w:rFonts w:ascii="Garamond" w:eastAsia="MS Mincho" w:hAnsi="Garamond" w:cs="Times New Roman"/>
          <w:bCs/>
          <w:szCs w:val="24"/>
        </w:rPr>
        <w:t xml:space="preserve">Për më tepër, </w:t>
      </w:r>
      <w:r w:rsidR="008926CA" w:rsidRPr="00B457F5">
        <w:rPr>
          <w:rFonts w:ascii="Garamond" w:eastAsia="MS Mincho" w:hAnsi="Garamond" w:cs="Times New Roman"/>
          <w:bCs/>
          <w:szCs w:val="24"/>
        </w:rPr>
        <w:t xml:space="preserve">megjithëse </w:t>
      </w:r>
      <w:r w:rsidR="00B51BDB" w:rsidRPr="00B457F5">
        <w:rPr>
          <w:rFonts w:ascii="Garamond" w:eastAsia="MS Mincho" w:hAnsi="Garamond" w:cs="Times New Roman"/>
          <w:bCs/>
          <w:szCs w:val="24"/>
        </w:rPr>
        <w:t>ekzistonte një fushë e qeverisjes së migracionit ku shumica e nevojave ishin përmbushur nga Strategjia e mëparshme 2019</w:t>
      </w:r>
      <w:r w:rsidR="009A78A5" w:rsidRPr="00B457F5">
        <w:rPr>
          <w:rStyle w:val="contentpasted1"/>
          <w:rFonts w:ascii="Garamond" w:hAnsi="Garamond" w:cs="Times New Roman"/>
          <w:color w:val="000000"/>
        </w:rPr>
        <w:t>–</w:t>
      </w:r>
      <w:r w:rsidR="00B51BDB" w:rsidRPr="00B457F5">
        <w:rPr>
          <w:rFonts w:ascii="Garamond" w:eastAsia="MS Mincho" w:hAnsi="Garamond" w:cs="Times New Roman"/>
          <w:bCs/>
          <w:szCs w:val="24"/>
        </w:rPr>
        <w:lastRenderedPageBreak/>
        <w:t>2022, disa nevoja të vogla në të ardhmen mbetën për</w:t>
      </w:r>
      <w:r w:rsidR="00A313AE" w:rsidRPr="00B457F5">
        <w:rPr>
          <w:rFonts w:ascii="Garamond" w:eastAsia="MS Mincho" w:hAnsi="Garamond" w:cs="Times New Roman"/>
          <w:bCs/>
          <w:szCs w:val="24"/>
        </w:rPr>
        <w:t xml:space="preserve"> t’u </w:t>
      </w:r>
      <w:r w:rsidR="00EB6F4B" w:rsidRPr="00B457F5">
        <w:rPr>
          <w:rFonts w:ascii="Garamond" w:eastAsia="MS Mincho" w:hAnsi="Garamond" w:cs="Times New Roman"/>
          <w:bCs/>
          <w:szCs w:val="24"/>
        </w:rPr>
        <w:t>trajtuar në</w:t>
      </w:r>
      <w:r w:rsidR="00B51BDB" w:rsidRPr="00B457F5">
        <w:rPr>
          <w:rFonts w:ascii="Garamond" w:eastAsia="MS Mincho" w:hAnsi="Garamond" w:cs="Times New Roman"/>
          <w:bCs/>
          <w:szCs w:val="24"/>
        </w:rPr>
        <w:t xml:space="preserve"> </w:t>
      </w:r>
      <w:r w:rsidR="00EB6F4B" w:rsidRPr="00B457F5">
        <w:rPr>
          <w:rFonts w:ascii="Garamond" w:eastAsia="MS Mincho" w:hAnsi="Garamond" w:cs="Times New Roman"/>
          <w:bCs/>
          <w:szCs w:val="24"/>
        </w:rPr>
        <w:t>s</w:t>
      </w:r>
      <w:r w:rsidR="00B51BDB" w:rsidRPr="00B457F5">
        <w:rPr>
          <w:rFonts w:ascii="Garamond" w:eastAsia="MS Mincho" w:hAnsi="Garamond" w:cs="Times New Roman"/>
          <w:bCs/>
          <w:szCs w:val="24"/>
        </w:rPr>
        <w:t>trategji</w:t>
      </w:r>
      <w:r w:rsidR="00EB6F4B" w:rsidRPr="00B457F5">
        <w:rPr>
          <w:rFonts w:ascii="Garamond" w:eastAsia="MS Mincho" w:hAnsi="Garamond" w:cs="Times New Roman"/>
          <w:bCs/>
          <w:szCs w:val="24"/>
        </w:rPr>
        <w:t>në</w:t>
      </w:r>
      <w:r w:rsidR="00B51BDB" w:rsidRPr="00B457F5">
        <w:rPr>
          <w:rFonts w:ascii="Garamond" w:eastAsia="MS Mincho" w:hAnsi="Garamond" w:cs="Times New Roman"/>
          <w:bCs/>
          <w:szCs w:val="24"/>
        </w:rPr>
        <w:t xml:space="preserve"> e re, </w:t>
      </w:r>
      <w:r w:rsidR="00EB6F4B" w:rsidRPr="00B457F5">
        <w:rPr>
          <w:rFonts w:ascii="Garamond" w:eastAsia="MS Mincho" w:hAnsi="Garamond" w:cs="Times New Roman"/>
          <w:bCs/>
          <w:szCs w:val="24"/>
        </w:rPr>
        <w:t>e</w:t>
      </w:r>
      <w:r w:rsidR="00B51BDB" w:rsidRPr="00B457F5">
        <w:rPr>
          <w:rFonts w:ascii="Garamond" w:eastAsia="MS Mincho" w:hAnsi="Garamond" w:cs="Times New Roman"/>
          <w:bCs/>
          <w:szCs w:val="24"/>
        </w:rPr>
        <w:t xml:space="preserve"> cila u përafrua me </w:t>
      </w:r>
      <w:r w:rsidR="000C40ED" w:rsidRPr="00B457F5">
        <w:rPr>
          <w:rFonts w:ascii="Garamond" w:eastAsia="MS Mincho" w:hAnsi="Garamond" w:cs="Times New Roman"/>
          <w:bCs/>
          <w:szCs w:val="24"/>
        </w:rPr>
        <w:t>o</w:t>
      </w:r>
      <w:r w:rsidR="00B51BDB" w:rsidRPr="00B457F5">
        <w:rPr>
          <w:rFonts w:ascii="Garamond" w:eastAsia="MS Mincho" w:hAnsi="Garamond" w:cs="Times New Roman"/>
          <w:bCs/>
          <w:szCs w:val="24"/>
        </w:rPr>
        <w:t>bjektivin 13 të GCM</w:t>
      </w:r>
      <w:r w:rsidR="00EB6F4B" w:rsidRPr="00B457F5">
        <w:rPr>
          <w:rFonts w:ascii="Garamond" w:eastAsia="MS Mincho" w:hAnsi="Garamond" w:cs="Times New Roman"/>
          <w:bCs/>
          <w:szCs w:val="24"/>
        </w:rPr>
        <w:t>-së</w:t>
      </w:r>
      <w:r w:rsidR="00B51BDB" w:rsidRPr="00B457F5">
        <w:rPr>
          <w:rFonts w:ascii="Garamond" w:eastAsia="MS Mincho" w:hAnsi="Garamond" w:cs="Times New Roman"/>
          <w:bCs/>
          <w:szCs w:val="24"/>
        </w:rPr>
        <w:t>.</w:t>
      </w:r>
    </w:p>
    <w:p w14:paraId="386CA138" w14:textId="68EB4BC3" w:rsidR="002555F2" w:rsidRPr="00B457F5" w:rsidRDefault="00624E6E" w:rsidP="002E693B">
      <w:pPr>
        <w:spacing w:before="0" w:after="0"/>
        <w:ind w:firstLine="284"/>
        <w:rPr>
          <w:rFonts w:ascii="Garamond" w:eastAsia="MS Mincho" w:hAnsi="Garamond" w:cs="Times New Roman"/>
          <w:bCs/>
          <w:szCs w:val="24"/>
        </w:rPr>
      </w:pPr>
      <w:r w:rsidRPr="00B457F5">
        <w:rPr>
          <w:rFonts w:ascii="Garamond" w:eastAsia="MS Mincho" w:hAnsi="Garamond" w:cs="Times New Roman"/>
          <w:bCs/>
          <w:szCs w:val="24"/>
        </w:rPr>
        <w:t>Është e rëndësishme të theksohet se pothuajse të gjitha objektivat e GCM</w:t>
      </w:r>
      <w:r w:rsidR="001F32D6" w:rsidRPr="00B457F5">
        <w:rPr>
          <w:rFonts w:ascii="Garamond" w:eastAsia="MS Mincho" w:hAnsi="Garamond" w:cs="Times New Roman"/>
          <w:bCs/>
          <w:szCs w:val="24"/>
        </w:rPr>
        <w:t>-së</w:t>
      </w:r>
      <w:r w:rsidRPr="00B457F5">
        <w:rPr>
          <w:rFonts w:ascii="Garamond" w:eastAsia="MS Mincho" w:hAnsi="Garamond" w:cs="Times New Roman"/>
          <w:bCs/>
          <w:szCs w:val="24"/>
        </w:rPr>
        <w:t xml:space="preserve"> u identifikuan si kontribuues të drejtpërdrejtë </w:t>
      </w:r>
      <w:r w:rsidR="001F32D6" w:rsidRPr="00B457F5">
        <w:rPr>
          <w:rFonts w:ascii="Garamond" w:eastAsia="MS Mincho" w:hAnsi="Garamond" w:cs="Times New Roman"/>
          <w:bCs/>
          <w:szCs w:val="24"/>
        </w:rPr>
        <w:t xml:space="preserve">për </w:t>
      </w:r>
      <w:r w:rsidRPr="00B457F5">
        <w:rPr>
          <w:rFonts w:ascii="Garamond" w:eastAsia="MS Mincho" w:hAnsi="Garamond" w:cs="Times New Roman"/>
          <w:bCs/>
          <w:szCs w:val="24"/>
        </w:rPr>
        <w:t>përmbushjen e objektivave të SKZHIE</w:t>
      </w:r>
      <w:r w:rsidR="000C40ED" w:rsidRPr="00B457F5">
        <w:rPr>
          <w:rFonts w:ascii="Garamond" w:eastAsia="MS Mincho" w:hAnsi="Garamond" w:cs="Times New Roman"/>
          <w:bCs/>
          <w:szCs w:val="24"/>
        </w:rPr>
        <w:t>-së,</w:t>
      </w:r>
      <w:r w:rsidRPr="00B457F5">
        <w:rPr>
          <w:rFonts w:ascii="Garamond" w:eastAsia="MS Mincho" w:hAnsi="Garamond" w:cs="Times New Roman"/>
          <w:bCs/>
          <w:szCs w:val="24"/>
        </w:rPr>
        <w:t xml:space="preserve"> në lidhje me qeverisjen e migracionit dhe kapitujt e marrëveshjes së anëtarësimit në BE</w:t>
      </w:r>
      <w:r w:rsidR="000C40ED" w:rsidRPr="00B457F5">
        <w:rPr>
          <w:rFonts w:ascii="Garamond" w:eastAsia="MS Mincho" w:hAnsi="Garamond" w:cs="Times New Roman"/>
          <w:bCs/>
          <w:szCs w:val="24"/>
        </w:rPr>
        <w:t>,</w:t>
      </w:r>
      <w:r w:rsidRPr="00B457F5">
        <w:rPr>
          <w:rFonts w:ascii="Garamond" w:eastAsia="MS Mincho" w:hAnsi="Garamond" w:cs="Times New Roman"/>
          <w:bCs/>
          <w:szCs w:val="24"/>
        </w:rPr>
        <w:t xml:space="preserve"> që </w:t>
      </w:r>
      <w:r w:rsidR="001F32D6" w:rsidRPr="00B457F5">
        <w:rPr>
          <w:rFonts w:ascii="Garamond" w:eastAsia="MS Mincho" w:hAnsi="Garamond" w:cs="Times New Roman"/>
          <w:bCs/>
          <w:szCs w:val="24"/>
        </w:rPr>
        <w:t>trajtojnë mangësitë</w:t>
      </w:r>
      <w:r w:rsidRPr="00B457F5">
        <w:rPr>
          <w:rFonts w:ascii="Garamond" w:eastAsia="MS Mincho" w:hAnsi="Garamond" w:cs="Times New Roman"/>
          <w:bCs/>
          <w:szCs w:val="24"/>
        </w:rPr>
        <w:t>, siç identifikohen nga Komisioni i BE-së në Raportin e Progresit për Shqipërinë</w:t>
      </w:r>
      <w:r w:rsidR="000C40ED" w:rsidRPr="00B457F5">
        <w:rPr>
          <w:rFonts w:ascii="Garamond" w:eastAsia="MS Mincho" w:hAnsi="Garamond" w:cs="Times New Roman"/>
          <w:bCs/>
          <w:szCs w:val="24"/>
        </w:rPr>
        <w:t>,</w:t>
      </w:r>
      <w:r w:rsidRPr="00B457F5">
        <w:rPr>
          <w:rFonts w:ascii="Garamond" w:eastAsia="MS Mincho" w:hAnsi="Garamond" w:cs="Times New Roman"/>
          <w:bCs/>
          <w:szCs w:val="24"/>
        </w:rPr>
        <w:t xml:space="preserve"> për vitin 2022. Për më tepër, raporti i prioritizimit theksoi se objektivat e GCM-së duhet të shihen përmes një këndvështrimi shumësektorial dhe gjithëpërfshirës, dhe jo thjesht si detyra që duhet të menaxhohen nga ministritë individuale të izoluara. Kjo perspektivë </w:t>
      </w:r>
      <w:r w:rsidR="000C40ED" w:rsidRPr="00B457F5">
        <w:rPr>
          <w:rFonts w:ascii="Garamond" w:eastAsia="MS Mincho" w:hAnsi="Garamond" w:cs="Times New Roman"/>
          <w:bCs/>
          <w:szCs w:val="24"/>
        </w:rPr>
        <w:t>gjithëpërfshirëse</w:t>
      </w:r>
      <w:r w:rsidR="00863094" w:rsidRPr="00B457F5">
        <w:rPr>
          <w:rFonts w:ascii="Garamond" w:eastAsia="MS Mincho" w:hAnsi="Garamond" w:cs="Times New Roman"/>
          <w:bCs/>
          <w:szCs w:val="24"/>
        </w:rPr>
        <w:t xml:space="preserve"> </w:t>
      </w:r>
      <w:r w:rsidRPr="00B457F5">
        <w:rPr>
          <w:rFonts w:ascii="Garamond" w:eastAsia="MS Mincho" w:hAnsi="Garamond" w:cs="Times New Roman"/>
          <w:bCs/>
          <w:szCs w:val="24"/>
        </w:rPr>
        <w:t>pranon se zbatimi i suksesshëm i këtyre objektivave kërkon një përpjekje të koordinuar dhe bashkëpunuese ndërmjet sektorëve dhe palëve të ndryshme.</w:t>
      </w:r>
      <w:bookmarkStart w:id="10" w:name="_Hlk155611285"/>
    </w:p>
    <w:p w14:paraId="70814891" w14:textId="30C39E12" w:rsidR="00C27D7D" w:rsidRPr="00B457F5" w:rsidRDefault="00C90A36" w:rsidP="00734269">
      <w:pPr>
        <w:spacing w:before="0" w:after="0"/>
        <w:ind w:firstLine="284"/>
        <w:rPr>
          <w:rFonts w:ascii="Garamond" w:eastAsia="MS Mincho" w:hAnsi="Garamond" w:cs="Times New Roman"/>
          <w:bCs/>
          <w:szCs w:val="24"/>
        </w:rPr>
      </w:pPr>
      <w:r w:rsidRPr="00B457F5">
        <w:rPr>
          <w:rFonts w:ascii="Garamond" w:eastAsia="MS Mincho" w:hAnsi="Garamond" w:cs="Times New Roman"/>
          <w:bCs/>
          <w:szCs w:val="24"/>
        </w:rPr>
        <w:t>Kompakti Global për Refugjatët</w:t>
      </w:r>
      <w:bookmarkEnd w:id="10"/>
      <w:r w:rsidR="00F96FF8" w:rsidRPr="00B457F5">
        <w:rPr>
          <w:rStyle w:val="FootnoteReference"/>
          <w:rFonts w:ascii="Garamond" w:eastAsia="MS Mincho" w:hAnsi="Garamond" w:cs="Times New Roman"/>
          <w:bCs/>
          <w:szCs w:val="24"/>
        </w:rPr>
        <w:footnoteReference w:id="17"/>
      </w:r>
      <w:r w:rsidR="008B38DB" w:rsidRPr="00B457F5">
        <w:rPr>
          <w:rFonts w:ascii="Garamond" w:eastAsia="MS Mincho" w:hAnsi="Garamond" w:cs="Times New Roman"/>
          <w:bCs/>
          <w:szCs w:val="24"/>
        </w:rPr>
        <w:t xml:space="preserve"> </w:t>
      </w:r>
      <w:r w:rsidRPr="00B457F5">
        <w:rPr>
          <w:rFonts w:ascii="Garamond" w:eastAsia="MS Mincho" w:hAnsi="Garamond" w:cs="Times New Roman"/>
          <w:bCs/>
          <w:szCs w:val="24"/>
        </w:rPr>
        <w:t>është një kornizë që synon të adresojë krizën globale të refugjatëve. Ai u miratua nga Asambleja e Përgjithshme e Kombeve të Bashkuara në dhjetor 2018. Kompakti nuk është ligjërisht i detyrueshëm, por ofron një qasje gjithëpërfshirëse ndaj situatave të refugjatëve, duke theksuar nevojën për bashkëpunim ndërkombëtar dhe ndarjen e barrës. Elementet kryesore të Kompaktit Global për Refugjatët përfshijnë:</w:t>
      </w:r>
    </w:p>
    <w:p w14:paraId="73FCC967" w14:textId="29A8F775" w:rsidR="00151C91" w:rsidRPr="00B457F5" w:rsidRDefault="00783BF2"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Symbol"/>
          <w:color w:val="000000"/>
          <w:szCs w:val="24"/>
        </w:rPr>
        <w:t xml:space="preserve">- </w:t>
      </w:r>
      <w:r w:rsidR="00151C91" w:rsidRPr="00B457F5">
        <w:rPr>
          <w:rFonts w:ascii="Garamond" w:eastAsiaTheme="minorHAnsi" w:hAnsi="Garamond" w:cs="Times New Roman"/>
          <w:color w:val="000000"/>
          <w:szCs w:val="24"/>
        </w:rPr>
        <w:t xml:space="preserve">Kuadrin Gjithëpërfshirës për Përgjigjen ndaj Refugjatët: </w:t>
      </w:r>
      <w:r w:rsidR="000C40ED" w:rsidRPr="00B457F5">
        <w:rPr>
          <w:rFonts w:ascii="Garamond" w:eastAsiaTheme="minorHAnsi" w:hAnsi="Garamond" w:cs="Times New Roman"/>
          <w:color w:val="000000"/>
          <w:szCs w:val="24"/>
        </w:rPr>
        <w:t>k</w:t>
      </w:r>
      <w:r w:rsidR="00151C91" w:rsidRPr="00B457F5">
        <w:rPr>
          <w:rFonts w:ascii="Garamond" w:eastAsiaTheme="minorHAnsi" w:hAnsi="Garamond" w:cs="Times New Roman"/>
          <w:color w:val="000000"/>
          <w:szCs w:val="24"/>
        </w:rPr>
        <w:t xml:space="preserve">ompakti promovon një qasje të </w:t>
      </w:r>
      <w:r w:rsidR="000C40ED" w:rsidRPr="00B457F5">
        <w:rPr>
          <w:rFonts w:ascii="Garamond" w:eastAsiaTheme="minorHAnsi" w:hAnsi="Garamond" w:cs="Times New Roman"/>
          <w:color w:val="000000"/>
          <w:szCs w:val="24"/>
        </w:rPr>
        <w:t xml:space="preserve">të </w:t>
      </w:r>
      <w:r w:rsidR="00151C91" w:rsidRPr="00B457F5">
        <w:rPr>
          <w:rFonts w:ascii="Garamond" w:eastAsiaTheme="minorHAnsi" w:hAnsi="Garamond" w:cs="Times New Roman"/>
          <w:color w:val="000000"/>
          <w:szCs w:val="24"/>
        </w:rPr>
        <w:t>gjithë shoqërisë ndaj situatave të refugjatëve, duke përfshirë jo vetëm qeveritë, por edhe organizatat ndërkombëtare, shoqërinë civile dhe sektorin privat</w:t>
      </w:r>
      <w:r w:rsidR="00734269" w:rsidRPr="00B457F5">
        <w:rPr>
          <w:rFonts w:ascii="Garamond" w:eastAsiaTheme="minorHAnsi" w:hAnsi="Garamond" w:cs="Times New Roman"/>
          <w:color w:val="000000"/>
          <w:szCs w:val="24"/>
        </w:rPr>
        <w:t>;</w:t>
      </w:r>
    </w:p>
    <w:p w14:paraId="43C75FF1" w14:textId="3230A79C" w:rsidR="00151C91" w:rsidRPr="00B457F5" w:rsidRDefault="00783BF2"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Symbol"/>
          <w:color w:val="000000"/>
          <w:szCs w:val="24"/>
        </w:rPr>
        <w:t xml:space="preserve">- </w:t>
      </w:r>
      <w:r w:rsidR="00151C91" w:rsidRPr="00B457F5">
        <w:rPr>
          <w:rFonts w:ascii="Garamond" w:eastAsiaTheme="minorHAnsi" w:hAnsi="Garamond" w:cs="Times New Roman"/>
          <w:color w:val="000000"/>
          <w:szCs w:val="24"/>
        </w:rPr>
        <w:t xml:space="preserve">Bashkëpunim Ndërkombëtar: </w:t>
      </w:r>
      <w:r w:rsidR="000C40ED" w:rsidRPr="00B457F5">
        <w:rPr>
          <w:rFonts w:ascii="Garamond" w:eastAsiaTheme="minorHAnsi" w:hAnsi="Garamond" w:cs="Times New Roman"/>
          <w:color w:val="000000"/>
          <w:szCs w:val="24"/>
        </w:rPr>
        <w:t>t</w:t>
      </w:r>
      <w:r w:rsidR="00151C91" w:rsidRPr="00B457F5">
        <w:rPr>
          <w:rFonts w:ascii="Garamond" w:eastAsiaTheme="minorHAnsi" w:hAnsi="Garamond" w:cs="Times New Roman"/>
          <w:color w:val="000000"/>
          <w:szCs w:val="24"/>
        </w:rPr>
        <w:t>hekson rëndësinë e bashkëpunimit ndërkombëtar për të ndarë barrën dhe përgjegjësinë e pritjes dhe mbështetjes së refugjatëve. Kjo përfshin asistencë financiare dhe teknike, si dhe forma të tjera mbështetjeje</w:t>
      </w:r>
      <w:r w:rsidR="00734269" w:rsidRPr="00B457F5">
        <w:rPr>
          <w:rFonts w:ascii="Garamond" w:eastAsiaTheme="minorHAnsi" w:hAnsi="Garamond" w:cs="Times New Roman"/>
          <w:color w:val="000000"/>
          <w:szCs w:val="24"/>
        </w:rPr>
        <w:t>;</w:t>
      </w:r>
    </w:p>
    <w:p w14:paraId="52B86D34" w14:textId="70C838E2" w:rsidR="00151C91" w:rsidRPr="00B457F5" w:rsidRDefault="00783BF2"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Symbol"/>
          <w:color w:val="000000"/>
          <w:szCs w:val="24"/>
        </w:rPr>
        <w:t xml:space="preserve">- </w:t>
      </w:r>
      <w:r w:rsidR="00151C91" w:rsidRPr="00B457F5">
        <w:rPr>
          <w:rFonts w:ascii="Garamond" w:eastAsiaTheme="minorHAnsi" w:hAnsi="Garamond" w:cs="Times New Roman"/>
          <w:color w:val="000000"/>
          <w:szCs w:val="24"/>
        </w:rPr>
        <w:t xml:space="preserve">Zgjidhje Afatgjata: </w:t>
      </w:r>
      <w:r w:rsidR="000C40ED" w:rsidRPr="00B457F5">
        <w:rPr>
          <w:rFonts w:ascii="Garamond" w:eastAsiaTheme="minorHAnsi" w:hAnsi="Garamond" w:cs="Times New Roman"/>
          <w:color w:val="000000"/>
          <w:szCs w:val="24"/>
        </w:rPr>
        <w:t>k</w:t>
      </w:r>
      <w:r w:rsidR="00151C91" w:rsidRPr="00B457F5">
        <w:rPr>
          <w:rFonts w:ascii="Garamond" w:eastAsiaTheme="minorHAnsi" w:hAnsi="Garamond" w:cs="Times New Roman"/>
          <w:color w:val="000000"/>
          <w:szCs w:val="24"/>
        </w:rPr>
        <w:t>ompakti fokusohet në gjetjen e zgjidhjeve të qëndrueshme për refugjatët, të cilat mund të përfshijnë riatdhesimin vullnetar, integrimin lokal ose zhvendosjen në një vend të tretë</w:t>
      </w:r>
      <w:r w:rsidR="00734269" w:rsidRPr="00B457F5">
        <w:rPr>
          <w:rFonts w:ascii="Garamond" w:eastAsiaTheme="minorHAnsi" w:hAnsi="Garamond" w:cs="Times New Roman"/>
          <w:color w:val="000000"/>
          <w:szCs w:val="24"/>
        </w:rPr>
        <w:t>;</w:t>
      </w:r>
    </w:p>
    <w:p w14:paraId="084236C4" w14:textId="2CC12E98" w:rsidR="00151C91" w:rsidRPr="00B457F5" w:rsidRDefault="00783BF2"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Symbol"/>
          <w:color w:val="000000"/>
          <w:szCs w:val="24"/>
        </w:rPr>
        <w:t xml:space="preserve">- </w:t>
      </w:r>
      <w:r w:rsidR="00151C91" w:rsidRPr="00B457F5">
        <w:rPr>
          <w:rFonts w:ascii="Garamond" w:eastAsiaTheme="minorHAnsi" w:hAnsi="Garamond" w:cs="Times New Roman"/>
          <w:color w:val="000000"/>
          <w:szCs w:val="24"/>
        </w:rPr>
        <w:t xml:space="preserve">Bashkëpunim Humanitar dhe Zhvillimor: </w:t>
      </w:r>
      <w:r w:rsidR="000C40ED" w:rsidRPr="00B457F5">
        <w:rPr>
          <w:rFonts w:ascii="Garamond" w:eastAsiaTheme="minorHAnsi" w:hAnsi="Garamond" w:cs="Times New Roman"/>
          <w:color w:val="000000"/>
          <w:szCs w:val="24"/>
        </w:rPr>
        <w:t>i</w:t>
      </w:r>
      <w:r w:rsidR="00151C91" w:rsidRPr="00B457F5">
        <w:rPr>
          <w:rFonts w:ascii="Garamond" w:eastAsiaTheme="minorHAnsi" w:hAnsi="Garamond" w:cs="Times New Roman"/>
          <w:color w:val="000000"/>
          <w:szCs w:val="24"/>
        </w:rPr>
        <w:t>nkurajon koordinimin e përpjekjeve humanitare dhe zhvillimore për të adresuar shkaqet rrënjësore të zhvendosjes dhe për të promovuar zgjidhje të qëndrueshme</w:t>
      </w:r>
      <w:r w:rsidR="00734269" w:rsidRPr="00B457F5">
        <w:rPr>
          <w:rFonts w:ascii="Garamond" w:eastAsiaTheme="minorHAnsi" w:hAnsi="Garamond" w:cs="Times New Roman"/>
          <w:color w:val="000000"/>
          <w:szCs w:val="24"/>
        </w:rPr>
        <w:t>;</w:t>
      </w:r>
    </w:p>
    <w:p w14:paraId="6F3BACA1" w14:textId="51289E8F" w:rsidR="00151C91" w:rsidRPr="00B457F5" w:rsidRDefault="00783BF2"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Symbol"/>
          <w:color w:val="000000"/>
          <w:szCs w:val="24"/>
        </w:rPr>
        <w:t xml:space="preserve">- </w:t>
      </w:r>
      <w:r w:rsidR="00151C91" w:rsidRPr="00B457F5">
        <w:rPr>
          <w:rFonts w:ascii="Garamond" w:eastAsiaTheme="minorHAnsi" w:hAnsi="Garamond" w:cs="Times New Roman"/>
          <w:color w:val="000000"/>
          <w:szCs w:val="24"/>
        </w:rPr>
        <w:t xml:space="preserve">Mbrojtjen e të Drejtave të Refugjatëve: </w:t>
      </w:r>
      <w:r w:rsidR="000C40ED" w:rsidRPr="00B457F5">
        <w:rPr>
          <w:rFonts w:ascii="Garamond" w:eastAsiaTheme="minorHAnsi" w:hAnsi="Garamond" w:cs="Times New Roman"/>
          <w:color w:val="000000"/>
          <w:szCs w:val="24"/>
        </w:rPr>
        <w:t>k</w:t>
      </w:r>
      <w:r w:rsidR="00151C91" w:rsidRPr="00B457F5">
        <w:rPr>
          <w:rFonts w:ascii="Garamond" w:eastAsiaTheme="minorHAnsi" w:hAnsi="Garamond" w:cs="Times New Roman"/>
          <w:color w:val="000000"/>
          <w:szCs w:val="24"/>
        </w:rPr>
        <w:t>ompakti ripohon rëndësinë e mbrojtjes së të drejtave të njeriut të refugjatëve dhe sigurimin që ata të kenë akses në arsim, kujdes shëndetësor dhe mundësi jetese.</w:t>
      </w:r>
    </w:p>
    <w:p w14:paraId="193DCBD9" w14:textId="565B1571" w:rsidR="00C90A36" w:rsidRPr="00B457F5" w:rsidRDefault="00C90A36" w:rsidP="002E693B">
      <w:pPr>
        <w:spacing w:before="0" w:after="0"/>
        <w:ind w:firstLine="284"/>
        <w:rPr>
          <w:rFonts w:ascii="Garamond" w:eastAsia="MS Mincho" w:hAnsi="Garamond" w:cs="Times New Roman"/>
          <w:bCs/>
          <w:color w:val="FF0000"/>
          <w:szCs w:val="24"/>
        </w:rPr>
      </w:pPr>
      <w:r w:rsidRPr="00B457F5">
        <w:rPr>
          <w:rFonts w:ascii="Garamond" w:eastAsia="MS Mincho" w:hAnsi="Garamond" w:cs="Times New Roman"/>
          <w:bCs/>
          <w:szCs w:val="24"/>
        </w:rPr>
        <w:t>GRF-ja e parë në vitin 2019 mblodhi mbi 1400 premtime</w:t>
      </w:r>
      <w:r w:rsidR="0006016F" w:rsidRPr="00B457F5">
        <w:rPr>
          <w:rFonts w:ascii="Garamond" w:eastAsia="MS Mincho" w:hAnsi="Garamond" w:cs="Times New Roman"/>
          <w:bCs/>
          <w:szCs w:val="24"/>
        </w:rPr>
        <w:t xml:space="preserve"> </w:t>
      </w:r>
      <w:r w:rsidRPr="00B457F5">
        <w:rPr>
          <w:rFonts w:ascii="Garamond" w:eastAsia="MS Mincho" w:hAnsi="Garamond" w:cs="Times New Roman"/>
          <w:bCs/>
          <w:szCs w:val="24"/>
        </w:rPr>
        <w:t>dhe iniciativa</w:t>
      </w:r>
      <w:r w:rsidR="00C76E76" w:rsidRPr="00B457F5">
        <w:rPr>
          <w:rFonts w:ascii="Garamond" w:eastAsia="MS Mincho" w:hAnsi="Garamond" w:cs="Times New Roman"/>
          <w:bCs/>
          <w:szCs w:val="24"/>
        </w:rPr>
        <w:t>,</w:t>
      </w:r>
      <w:r w:rsidRPr="00B457F5">
        <w:rPr>
          <w:rFonts w:ascii="Garamond" w:eastAsia="MS Mincho" w:hAnsi="Garamond" w:cs="Times New Roman"/>
          <w:bCs/>
          <w:szCs w:val="24"/>
        </w:rPr>
        <w:t xml:space="preserve"> njëra pre</w:t>
      </w:r>
      <w:r w:rsidR="002555F2" w:rsidRPr="00B457F5">
        <w:rPr>
          <w:rFonts w:ascii="Garamond" w:eastAsia="MS Mincho" w:hAnsi="Garamond" w:cs="Times New Roman"/>
          <w:bCs/>
          <w:szCs w:val="24"/>
        </w:rPr>
        <w:t>j të cilave ishte nga Shqipëria</w:t>
      </w:r>
      <w:r w:rsidRPr="00B457F5">
        <w:rPr>
          <w:rFonts w:ascii="Garamond" w:eastAsia="MS Mincho" w:hAnsi="Garamond" w:cs="Times New Roman"/>
          <w:bCs/>
          <w:szCs w:val="24"/>
        </w:rPr>
        <w:t>. Ministria e Brendshme e Republikës së Shqipërisë (MB), nëpërmjet autoritetit të saj për azilin, u zotua: të zhvillojë një mekanizëm për të vlerësuar proceset e azilit dhe vendimmarrjen me synimin për të rritur drejtësinë, efikasitetin, qëndrueshmërinë dhe cilësinë e tyre. MB</w:t>
      </w:r>
      <w:r w:rsidR="00C76E76" w:rsidRPr="00B457F5">
        <w:rPr>
          <w:rFonts w:ascii="Garamond" w:eastAsia="MS Mincho" w:hAnsi="Garamond" w:cs="Times New Roman"/>
          <w:bCs/>
          <w:szCs w:val="24"/>
        </w:rPr>
        <w:t>-ja</w:t>
      </w:r>
      <w:r w:rsidRPr="00B457F5">
        <w:rPr>
          <w:rFonts w:ascii="Garamond" w:eastAsia="MS Mincho" w:hAnsi="Garamond" w:cs="Times New Roman"/>
          <w:bCs/>
          <w:szCs w:val="24"/>
        </w:rPr>
        <w:t xml:space="preserve"> ka përgjegjësinë kryesore për përcaktimin e statusit të mbrojtjes ndërkombëtare të aplikantëve për azil dhe do të bashkëpunojë me Komisionerin e Lartë të Kombeve të Bashkuara për Refugjatët (UNHCR) në shqyrtimin dhe përmirësimin e cilësisë së të gjitha aspekteve të procedurave të saj, duke i dhënë kështu akses efektiv në mbrojtje</w:t>
      </w:r>
      <w:r w:rsidR="00C76E76" w:rsidRPr="00B457F5">
        <w:rPr>
          <w:rFonts w:ascii="Garamond" w:eastAsia="MS Mincho" w:hAnsi="Garamond" w:cs="Times New Roman"/>
          <w:bCs/>
          <w:szCs w:val="24"/>
        </w:rPr>
        <w:t>n</w:t>
      </w:r>
      <w:r w:rsidRPr="00B457F5">
        <w:rPr>
          <w:rFonts w:ascii="Garamond" w:eastAsia="MS Mincho" w:hAnsi="Garamond" w:cs="Times New Roman"/>
          <w:bCs/>
          <w:szCs w:val="24"/>
        </w:rPr>
        <w:t xml:space="preserve"> ndërkombëtare për ata që kanë nevojë dhe lehtësimin </w:t>
      </w:r>
      <w:r w:rsidR="002555F2" w:rsidRPr="00B457F5">
        <w:rPr>
          <w:rFonts w:ascii="Garamond" w:eastAsia="MS Mincho" w:hAnsi="Garamond" w:cs="Times New Roman"/>
          <w:bCs/>
          <w:szCs w:val="24"/>
        </w:rPr>
        <w:t xml:space="preserve">e kthimit për ata që nuk kanë. </w:t>
      </w:r>
      <w:r w:rsidRPr="00B457F5">
        <w:rPr>
          <w:rFonts w:ascii="Garamond" w:eastAsia="MS Mincho" w:hAnsi="Garamond" w:cs="Times New Roman"/>
          <w:bCs/>
          <w:szCs w:val="24"/>
        </w:rPr>
        <w:t>Në sinergji me Agjencinë e Bashkimit Evropian për Azilin (EUAA), veçanërisht mbështetjen e saj p</w:t>
      </w:r>
      <w:r w:rsidR="001F506C" w:rsidRPr="00B457F5">
        <w:rPr>
          <w:rFonts w:ascii="Garamond" w:eastAsia="MS Mincho" w:hAnsi="Garamond" w:cs="Times New Roman"/>
          <w:bCs/>
          <w:szCs w:val="24"/>
        </w:rPr>
        <w:t>ër ngritjen e kapaciteteve, trajnime gjithëpërfshirëse zyrtarët e azilit dhe të pritjes</w:t>
      </w:r>
      <w:r w:rsidRPr="00B457F5">
        <w:rPr>
          <w:rFonts w:ascii="Garamond" w:eastAsia="MS Mincho" w:hAnsi="Garamond" w:cs="Times New Roman"/>
          <w:bCs/>
          <w:szCs w:val="24"/>
        </w:rPr>
        <w:t>, UNHCR</w:t>
      </w:r>
      <w:r w:rsidR="007E3A97" w:rsidRPr="00B457F5">
        <w:rPr>
          <w:rFonts w:ascii="Garamond" w:eastAsia="MS Mincho" w:hAnsi="Garamond" w:cs="Times New Roman"/>
          <w:bCs/>
          <w:szCs w:val="24"/>
        </w:rPr>
        <w:t>-ja</w:t>
      </w:r>
      <w:r w:rsidRPr="00B457F5">
        <w:rPr>
          <w:rFonts w:ascii="Garamond" w:eastAsia="MS Mincho" w:hAnsi="Garamond" w:cs="Times New Roman"/>
          <w:bCs/>
          <w:szCs w:val="24"/>
        </w:rPr>
        <w:t xml:space="preserve"> do të </w:t>
      </w:r>
      <w:r w:rsidR="00D27964" w:rsidRPr="00B457F5">
        <w:rPr>
          <w:rFonts w:ascii="Garamond" w:eastAsia="MS Mincho" w:hAnsi="Garamond" w:cs="Times New Roman"/>
          <w:bCs/>
          <w:szCs w:val="24"/>
        </w:rPr>
        <w:t>sigurojë mundësinë për të mbështetur rritjen cilësore të vendimmarrjeve dhe efektivitetin e procedurave të azilit.</w:t>
      </w:r>
    </w:p>
    <w:p w14:paraId="7B28BCDB" w14:textId="1790C7D5" w:rsidR="00EF3319" w:rsidRPr="00B457F5" w:rsidRDefault="00702861" w:rsidP="002E693B">
      <w:pPr>
        <w:spacing w:before="0" w:after="0"/>
        <w:ind w:firstLine="284"/>
        <w:rPr>
          <w:rFonts w:ascii="Garamond" w:eastAsia="MS Mincho" w:hAnsi="Garamond" w:cs="Times New Roman"/>
          <w:bCs/>
          <w:szCs w:val="24"/>
        </w:rPr>
      </w:pPr>
      <w:r w:rsidRPr="00B457F5">
        <w:rPr>
          <w:rFonts w:ascii="Garamond" w:eastAsia="MS Mincho" w:hAnsi="Garamond" w:cs="Times New Roman"/>
          <w:iCs/>
          <w:szCs w:val="24"/>
        </w:rPr>
        <w:t>Raporti i Komisionit Evropian për vitin 202</w:t>
      </w:r>
      <w:r w:rsidR="00EF3319" w:rsidRPr="00B457F5">
        <w:rPr>
          <w:rFonts w:ascii="Garamond" w:eastAsia="MS Mincho" w:hAnsi="Garamond" w:cs="Times New Roman"/>
          <w:iCs/>
          <w:szCs w:val="24"/>
        </w:rPr>
        <w:t xml:space="preserve">3 </w:t>
      </w:r>
      <w:r w:rsidRPr="00B457F5">
        <w:rPr>
          <w:rFonts w:ascii="Garamond" w:eastAsia="MS Mincho" w:hAnsi="Garamond" w:cs="Times New Roman"/>
          <w:iCs/>
          <w:szCs w:val="24"/>
        </w:rPr>
        <w:t>për Shqipërinë</w:t>
      </w:r>
      <w:r w:rsidR="00F96FF8" w:rsidRPr="00B457F5">
        <w:rPr>
          <w:rStyle w:val="FootnoteReference"/>
          <w:rFonts w:ascii="Garamond" w:eastAsia="MS Mincho" w:hAnsi="Garamond" w:cs="Times New Roman"/>
          <w:iCs/>
          <w:szCs w:val="24"/>
        </w:rPr>
        <w:footnoteReference w:id="18"/>
      </w:r>
      <w:r w:rsidR="0006016F" w:rsidRPr="00B457F5">
        <w:rPr>
          <w:rFonts w:ascii="Garamond" w:eastAsia="MS Mincho" w:hAnsi="Garamond" w:cs="Times New Roman"/>
          <w:bCs/>
          <w:szCs w:val="24"/>
        </w:rPr>
        <w:t xml:space="preserve"> </w:t>
      </w:r>
      <w:r w:rsidR="00EF3319" w:rsidRPr="00B457F5">
        <w:rPr>
          <w:rFonts w:ascii="Garamond" w:eastAsia="MS Mincho" w:hAnsi="Garamond" w:cs="Times New Roman"/>
          <w:bCs/>
          <w:szCs w:val="24"/>
        </w:rPr>
        <w:t xml:space="preserve">konstaton se kuadri ligjor për migracionin në Shqipëri është gjerësisht në përputhje me </w:t>
      </w:r>
      <w:r w:rsidR="00EF3319" w:rsidRPr="00B457F5">
        <w:rPr>
          <w:rFonts w:ascii="Garamond" w:eastAsia="MS Mincho" w:hAnsi="Garamond" w:cs="Times New Roman"/>
          <w:bCs/>
          <w:i/>
          <w:szCs w:val="24"/>
        </w:rPr>
        <w:t>acquis</w:t>
      </w:r>
      <w:r w:rsidR="00EF3319" w:rsidRPr="00B457F5">
        <w:rPr>
          <w:rFonts w:ascii="Garamond" w:eastAsia="MS Mincho" w:hAnsi="Garamond" w:cs="Times New Roman"/>
          <w:bCs/>
          <w:szCs w:val="24"/>
        </w:rPr>
        <w:t xml:space="preserve"> të BE-së, megjithatë, nevojitet një përditësim, deri më tani, 26 nga 29 aktet legjislative janë përafruar. Shqipëria ka ndihmuar në menaxhimin e flukseve të migracionit drejt BE-së, duke bashkëpunuar në zbatimin e Planit të Veprimit të BE-së për Ballkanin Perëndimor. Megjithatë, informacionet statistikore dhe demografike të ndara me BE</w:t>
      </w:r>
      <w:r w:rsidR="007E3A97" w:rsidRPr="00B457F5">
        <w:rPr>
          <w:rFonts w:ascii="Garamond" w:eastAsia="MS Mincho" w:hAnsi="Garamond" w:cs="Times New Roman"/>
          <w:bCs/>
          <w:szCs w:val="24"/>
        </w:rPr>
        <w:t>-në</w:t>
      </w:r>
      <w:r w:rsidR="00EF3319" w:rsidRPr="00B457F5">
        <w:rPr>
          <w:rFonts w:ascii="Garamond" w:eastAsia="MS Mincho" w:hAnsi="Garamond" w:cs="Times New Roman"/>
          <w:bCs/>
          <w:szCs w:val="24"/>
        </w:rPr>
        <w:t xml:space="preserve"> janë sporadike dhe duhet të raportohen në mënyrë periodike. </w:t>
      </w:r>
      <w:r w:rsidR="007546E8" w:rsidRPr="00B457F5">
        <w:rPr>
          <w:rFonts w:ascii="Garamond" w:eastAsia="MS Mincho" w:hAnsi="Garamond" w:cs="Times New Roman"/>
          <w:bCs/>
          <w:szCs w:val="24"/>
        </w:rPr>
        <w:t>Shqipëria ka</w:t>
      </w:r>
      <w:r w:rsidR="00EF3319" w:rsidRPr="00B457F5">
        <w:rPr>
          <w:rFonts w:ascii="Garamond" w:eastAsia="MS Mincho" w:hAnsi="Garamond" w:cs="Times New Roman"/>
          <w:bCs/>
          <w:szCs w:val="24"/>
        </w:rPr>
        <w:t xml:space="preserve"> </w:t>
      </w:r>
      <w:r w:rsidR="00EF3319" w:rsidRPr="00B457F5">
        <w:rPr>
          <w:rFonts w:ascii="Garamond" w:eastAsia="MS Mincho" w:hAnsi="Garamond" w:cs="Times New Roman"/>
          <w:bCs/>
          <w:szCs w:val="24"/>
        </w:rPr>
        <w:lastRenderedPageBreak/>
        <w:t xml:space="preserve">finalizuar një Marrëveshje të rishikuar të Statusit me </w:t>
      </w:r>
      <w:r w:rsidR="00A2088F" w:rsidRPr="00B457F5">
        <w:rPr>
          <w:rFonts w:ascii="Garamond" w:eastAsia="MS Mincho" w:hAnsi="Garamond" w:cs="Times New Roman"/>
          <w:bCs/>
          <w:szCs w:val="24"/>
        </w:rPr>
        <w:t>FRONTEX</w:t>
      </w:r>
      <w:r w:rsidR="00EF3319" w:rsidRPr="00B457F5">
        <w:rPr>
          <w:rFonts w:ascii="Garamond" w:eastAsia="MS Mincho" w:hAnsi="Garamond" w:cs="Times New Roman"/>
          <w:bCs/>
          <w:szCs w:val="24"/>
        </w:rPr>
        <w:t xml:space="preserve">-in. Duhen konkluduar </w:t>
      </w:r>
      <w:r w:rsidR="00734269" w:rsidRPr="00B457F5">
        <w:rPr>
          <w:rFonts w:ascii="Garamond" w:eastAsia="MS Mincho" w:hAnsi="Garamond" w:cs="Times New Roman"/>
          <w:bCs/>
          <w:szCs w:val="24"/>
        </w:rPr>
        <w:t xml:space="preserve">draftmarrëveshjet </w:t>
      </w:r>
      <w:r w:rsidR="00EF3319" w:rsidRPr="00B457F5">
        <w:rPr>
          <w:rFonts w:ascii="Garamond" w:eastAsia="MS Mincho" w:hAnsi="Garamond" w:cs="Times New Roman"/>
          <w:bCs/>
          <w:szCs w:val="24"/>
        </w:rPr>
        <w:t>e ripranimit me vendet e treta dhe protokollin e implementimit me Greqinë. Plani i rishikuar i Kontigjencës duhet të përfshijë alokimin e duhur buxhetor.</w:t>
      </w:r>
    </w:p>
    <w:p w14:paraId="64E22A46" w14:textId="3460D36C" w:rsidR="00EF3319" w:rsidRPr="00B457F5" w:rsidRDefault="00EF3319" w:rsidP="002E693B">
      <w:pPr>
        <w:spacing w:before="0" w:after="0"/>
        <w:ind w:firstLine="284"/>
        <w:rPr>
          <w:rFonts w:ascii="Garamond" w:eastAsia="MS Mincho" w:hAnsi="Garamond" w:cs="Times New Roman"/>
          <w:bCs/>
          <w:szCs w:val="24"/>
        </w:rPr>
      </w:pPr>
      <w:r w:rsidRPr="00B457F5">
        <w:rPr>
          <w:rFonts w:ascii="Garamond" w:eastAsia="MS Mincho" w:hAnsi="Garamond" w:cs="Times New Roman"/>
          <w:bCs/>
          <w:szCs w:val="24"/>
        </w:rPr>
        <w:t>D</w:t>
      </w:r>
      <w:r w:rsidR="00386CEF" w:rsidRPr="00B457F5">
        <w:rPr>
          <w:rFonts w:ascii="Garamond" w:eastAsia="MS Mincho" w:hAnsi="Garamond" w:cs="Times New Roman"/>
          <w:bCs/>
          <w:szCs w:val="24"/>
        </w:rPr>
        <w:t xml:space="preserve">uhen ngritur struktura </w:t>
      </w:r>
      <w:r w:rsidRPr="00B457F5">
        <w:rPr>
          <w:rFonts w:ascii="Garamond" w:eastAsia="MS Mincho" w:hAnsi="Garamond" w:cs="Times New Roman"/>
          <w:bCs/>
          <w:szCs w:val="24"/>
        </w:rPr>
        <w:t xml:space="preserve">të </w:t>
      </w:r>
      <w:r w:rsidR="00734269" w:rsidRPr="00B457F5">
        <w:rPr>
          <w:rFonts w:ascii="Garamond" w:eastAsia="MS Mincho" w:hAnsi="Garamond" w:cs="Times New Roman"/>
          <w:bCs/>
          <w:szCs w:val="24"/>
        </w:rPr>
        <w:t>përhershme</w:t>
      </w:r>
      <w:r w:rsidR="00386CEF" w:rsidRPr="00B457F5">
        <w:rPr>
          <w:rFonts w:ascii="Garamond" w:eastAsia="MS Mincho" w:hAnsi="Garamond" w:cs="Times New Roman"/>
          <w:bCs/>
          <w:szCs w:val="24"/>
        </w:rPr>
        <w:t xml:space="preserve"> trajnimi</w:t>
      </w:r>
      <w:r w:rsidRPr="00B457F5">
        <w:rPr>
          <w:rFonts w:ascii="Garamond" w:eastAsia="MS Mincho" w:hAnsi="Garamond" w:cs="Times New Roman"/>
          <w:bCs/>
          <w:szCs w:val="24"/>
        </w:rPr>
        <w:t>, për të rritur kapacitetet e Policisë së Kufirit dhe Migracionit për identifikimin e grupeve vulnerabël, si dhe duhet përmirës</w:t>
      </w:r>
      <w:r w:rsidR="00386CEF" w:rsidRPr="00B457F5">
        <w:rPr>
          <w:rFonts w:ascii="Garamond" w:eastAsia="MS Mincho" w:hAnsi="Garamond" w:cs="Times New Roman"/>
          <w:bCs/>
          <w:szCs w:val="24"/>
        </w:rPr>
        <w:t>uar koordinimi mes departamenteve të</w:t>
      </w:r>
      <w:r w:rsidRPr="00B457F5">
        <w:rPr>
          <w:rFonts w:ascii="Garamond" w:eastAsia="MS Mincho" w:hAnsi="Garamond" w:cs="Times New Roman"/>
          <w:bCs/>
          <w:szCs w:val="24"/>
        </w:rPr>
        <w:t xml:space="preserve"> antitrafikut dhe mbrojtjes së fëmijës. Numri i shtetasve të vendeve të treta të kthyer nga Shqipëria është ende i ulët. Shqipër</w:t>
      </w:r>
      <w:r w:rsidR="00386CEF" w:rsidRPr="00B457F5">
        <w:rPr>
          <w:rFonts w:ascii="Garamond" w:eastAsia="MS Mincho" w:hAnsi="Garamond" w:cs="Times New Roman"/>
          <w:bCs/>
          <w:szCs w:val="24"/>
        </w:rPr>
        <w:t>ia duhet të adresojë</w:t>
      </w:r>
      <w:r w:rsidRPr="00B457F5">
        <w:rPr>
          <w:rFonts w:ascii="Garamond" w:eastAsia="MS Mincho" w:hAnsi="Garamond" w:cs="Times New Roman"/>
          <w:bCs/>
          <w:szCs w:val="24"/>
        </w:rPr>
        <w:t xml:space="preserve"> nevojat e të miturve të pashoqëruar, integrimin e tyre në sistemin kombëtar të mbrojtjes së fëmijëve</w:t>
      </w:r>
      <w:r w:rsidR="00816265" w:rsidRPr="00B457F5">
        <w:rPr>
          <w:rFonts w:ascii="Garamond" w:eastAsia="MS Mincho" w:hAnsi="Garamond" w:cs="Times New Roman"/>
          <w:bCs/>
          <w:szCs w:val="24"/>
        </w:rPr>
        <w:t>, si dhe ngritjen e hapë</w:t>
      </w:r>
      <w:r w:rsidRPr="00B457F5">
        <w:rPr>
          <w:rFonts w:ascii="Garamond" w:eastAsia="MS Mincho" w:hAnsi="Garamond" w:cs="Times New Roman"/>
          <w:bCs/>
          <w:szCs w:val="24"/>
        </w:rPr>
        <w:t>sirave të dedikuara për këtë grup.</w:t>
      </w:r>
    </w:p>
    <w:p w14:paraId="24E64E0E" w14:textId="05B6F8BE" w:rsidR="00EF3319" w:rsidRPr="00B457F5" w:rsidRDefault="00EF3319" w:rsidP="002E693B">
      <w:pPr>
        <w:spacing w:before="0" w:after="0"/>
        <w:ind w:firstLine="284"/>
        <w:rPr>
          <w:rFonts w:ascii="Garamond" w:eastAsia="MS Mincho" w:hAnsi="Garamond" w:cs="Times New Roman"/>
          <w:bCs/>
          <w:szCs w:val="24"/>
        </w:rPr>
      </w:pPr>
      <w:r w:rsidRPr="00B457F5">
        <w:rPr>
          <w:rFonts w:ascii="Garamond" w:eastAsia="MS Mincho" w:hAnsi="Garamond" w:cs="Times New Roman"/>
          <w:bCs/>
          <w:szCs w:val="24"/>
        </w:rPr>
        <w:t xml:space="preserve">Ligji i Azilit në Shqipëri, me 15 akte legjislative të përafruara me </w:t>
      </w:r>
      <w:r w:rsidRPr="00B457F5">
        <w:rPr>
          <w:rFonts w:ascii="Garamond" w:eastAsia="MS Mincho" w:hAnsi="Garamond" w:cs="Times New Roman"/>
          <w:bCs/>
          <w:i/>
          <w:szCs w:val="24"/>
        </w:rPr>
        <w:t>acquis</w:t>
      </w:r>
      <w:r w:rsidRPr="00B457F5">
        <w:rPr>
          <w:rFonts w:ascii="Garamond" w:eastAsia="MS Mincho" w:hAnsi="Garamond" w:cs="Times New Roman"/>
          <w:bCs/>
          <w:szCs w:val="24"/>
        </w:rPr>
        <w:t xml:space="preserve"> të BE-së, ka nevojë për vazhdimin e konsultimeve me EUAA</w:t>
      </w:r>
      <w:r w:rsidR="006832C7" w:rsidRPr="00B457F5">
        <w:rPr>
          <w:rFonts w:ascii="Garamond" w:eastAsia="MS Mincho" w:hAnsi="Garamond" w:cs="Times New Roman"/>
          <w:bCs/>
          <w:szCs w:val="24"/>
        </w:rPr>
        <w:t>-në</w:t>
      </w:r>
      <w:r w:rsidRPr="00B457F5">
        <w:rPr>
          <w:rFonts w:ascii="Garamond" w:eastAsia="MS Mincho" w:hAnsi="Garamond" w:cs="Times New Roman"/>
          <w:bCs/>
          <w:szCs w:val="24"/>
        </w:rPr>
        <w:t xml:space="preserve"> përmes Udhërrëfyesit të Bashkëpunimit. Për të përmirësuar kapacitetet implementuese dhe ndërlidhjen me akte tjera ligjore, nevojitet investim. Implementimi i udhëzimit të rishikuar për </w:t>
      </w:r>
      <w:r w:rsidR="006832C7" w:rsidRPr="00B457F5">
        <w:rPr>
          <w:rFonts w:ascii="Garamond" w:eastAsia="MS Mincho" w:hAnsi="Garamond" w:cs="Times New Roman"/>
          <w:bCs/>
          <w:i/>
          <w:szCs w:val="24"/>
        </w:rPr>
        <w:t>p</w:t>
      </w:r>
      <w:r w:rsidRPr="00B457F5">
        <w:rPr>
          <w:rFonts w:ascii="Garamond" w:eastAsia="MS Mincho" w:hAnsi="Garamond" w:cs="Times New Roman"/>
          <w:bCs/>
          <w:i/>
          <w:szCs w:val="24"/>
        </w:rPr>
        <w:t>reescreening</w:t>
      </w:r>
      <w:r w:rsidRPr="00B457F5">
        <w:rPr>
          <w:rFonts w:ascii="Garamond" w:eastAsia="MS Mincho" w:hAnsi="Garamond" w:cs="Times New Roman"/>
          <w:bCs/>
          <w:szCs w:val="24"/>
        </w:rPr>
        <w:t xml:space="preserve"> duhet përmirësuar, ndërsa mangësitë në referimet dhe procedurat e kthimit kërkojnë vëmendje të veçantë. Numri i ulët i referimeve</w:t>
      </w:r>
      <w:r w:rsidR="00EC3B43" w:rsidRPr="00B457F5">
        <w:rPr>
          <w:rFonts w:ascii="Garamond" w:eastAsia="MS Mincho" w:hAnsi="Garamond" w:cs="Times New Roman"/>
          <w:bCs/>
          <w:szCs w:val="24"/>
        </w:rPr>
        <w:t xml:space="preserve"> për azil tregon nevojën për të forcuar aksesin në procedurat e azilit</w:t>
      </w:r>
      <w:r w:rsidR="006832C7" w:rsidRPr="00B457F5">
        <w:rPr>
          <w:rFonts w:ascii="Garamond" w:eastAsia="MS Mincho" w:hAnsi="Garamond" w:cs="Times New Roman"/>
          <w:bCs/>
          <w:szCs w:val="24"/>
        </w:rPr>
        <w:t>,</w:t>
      </w:r>
      <w:r w:rsidR="00EC3B43" w:rsidRPr="00B457F5">
        <w:rPr>
          <w:rFonts w:ascii="Garamond" w:eastAsia="MS Mincho" w:hAnsi="Garamond" w:cs="Times New Roman"/>
          <w:bCs/>
          <w:szCs w:val="24"/>
        </w:rPr>
        <w:t xml:space="preserve"> përmes rritjes së identifikimeve, informacionit dhe referimeve të aplikantëve të mundshëm për mbrojtje ndërkombëtare dhe personave vulnerabël</w:t>
      </w:r>
      <w:r w:rsidRPr="00B457F5">
        <w:rPr>
          <w:rFonts w:ascii="Garamond" w:eastAsia="MS Mincho" w:hAnsi="Garamond" w:cs="Times New Roman"/>
          <w:bCs/>
          <w:szCs w:val="24"/>
        </w:rPr>
        <w:t xml:space="preserve">. Kapacitetet e Policisë së </w:t>
      </w:r>
      <w:r w:rsidR="006832C7" w:rsidRPr="00B457F5">
        <w:rPr>
          <w:rFonts w:ascii="Garamond" w:eastAsia="MS Mincho" w:hAnsi="Garamond" w:cs="Times New Roman"/>
          <w:bCs/>
          <w:szCs w:val="24"/>
        </w:rPr>
        <w:t xml:space="preserve">Kufirit </w:t>
      </w:r>
      <w:r w:rsidRPr="00B457F5">
        <w:rPr>
          <w:rFonts w:ascii="Garamond" w:eastAsia="MS Mincho" w:hAnsi="Garamond" w:cs="Times New Roman"/>
          <w:bCs/>
          <w:szCs w:val="24"/>
        </w:rPr>
        <w:t xml:space="preserve">mbeten të pakta. Shtimi i stafit në </w:t>
      </w:r>
      <w:r w:rsidR="006832C7" w:rsidRPr="00B457F5">
        <w:rPr>
          <w:rFonts w:ascii="Garamond" w:eastAsia="MS Mincho" w:hAnsi="Garamond" w:cs="Times New Roman"/>
          <w:bCs/>
          <w:szCs w:val="24"/>
        </w:rPr>
        <w:t>drejtorinë e azilit</w:t>
      </w:r>
      <w:r w:rsidRPr="00B457F5">
        <w:rPr>
          <w:rFonts w:ascii="Garamond" w:eastAsia="MS Mincho" w:hAnsi="Garamond" w:cs="Times New Roman"/>
          <w:bCs/>
          <w:szCs w:val="24"/>
        </w:rPr>
        <w:t>, megjithëse pozitiv, kërkon trajnime dhe rritje të koordinimit mes aktorëve. Mungesa e përkthyesve të kualifikuar dhe punësimi i përkthyeseve femra janë sfida të cilat duhet adresuar menjëherë.</w:t>
      </w:r>
      <w:r w:rsidR="0006016F" w:rsidRPr="00B457F5">
        <w:rPr>
          <w:rFonts w:ascii="Garamond" w:eastAsia="MS Mincho" w:hAnsi="Garamond" w:cs="Times New Roman"/>
          <w:bCs/>
          <w:szCs w:val="24"/>
        </w:rPr>
        <w:t xml:space="preserve"> </w:t>
      </w:r>
      <w:r w:rsidRPr="00B457F5">
        <w:rPr>
          <w:rFonts w:ascii="Garamond" w:eastAsia="MS Mincho" w:hAnsi="Garamond" w:cs="Times New Roman"/>
          <w:bCs/>
          <w:szCs w:val="24"/>
        </w:rPr>
        <w:t xml:space="preserve">Procedurat e kthimit me Greqinë duhen përmirësuar për të përfshirë kontrollet dhe mbrojtjen e shtuar. Politika e vizave të Shqipërisë nuk është plotësisht e përafruar me </w:t>
      </w:r>
      <w:r w:rsidRPr="00B457F5">
        <w:rPr>
          <w:rFonts w:ascii="Garamond" w:eastAsia="MS Mincho" w:hAnsi="Garamond" w:cs="Times New Roman"/>
          <w:bCs/>
          <w:i/>
          <w:szCs w:val="24"/>
        </w:rPr>
        <w:t>acquis</w:t>
      </w:r>
      <w:r w:rsidRPr="00B457F5">
        <w:rPr>
          <w:rFonts w:ascii="Garamond" w:eastAsia="MS Mincho" w:hAnsi="Garamond" w:cs="Times New Roman"/>
          <w:bCs/>
          <w:szCs w:val="24"/>
        </w:rPr>
        <w:t xml:space="preserve"> të BE</w:t>
      </w:r>
      <w:r w:rsidR="006832C7" w:rsidRPr="00B457F5">
        <w:rPr>
          <w:rFonts w:ascii="Garamond" w:eastAsia="MS Mincho" w:hAnsi="Garamond" w:cs="Times New Roman"/>
          <w:bCs/>
          <w:szCs w:val="24"/>
        </w:rPr>
        <w:t>-së</w:t>
      </w:r>
      <w:r w:rsidRPr="00B457F5">
        <w:rPr>
          <w:rFonts w:ascii="Garamond" w:eastAsia="MS Mincho" w:hAnsi="Garamond" w:cs="Times New Roman"/>
          <w:bCs/>
          <w:szCs w:val="24"/>
        </w:rPr>
        <w:t>, duhen rishikuar listat e vendeve, shtetasit e të cilëve mund të futen në territorin shqiptar pa vizë dhe të përafrohet me listën e BE</w:t>
      </w:r>
      <w:r w:rsidR="00A72B6D" w:rsidRPr="00B457F5">
        <w:rPr>
          <w:rFonts w:ascii="Garamond" w:eastAsia="MS Mincho" w:hAnsi="Garamond" w:cs="Times New Roman"/>
          <w:bCs/>
          <w:szCs w:val="24"/>
        </w:rPr>
        <w:t>-së</w:t>
      </w:r>
      <w:r w:rsidRPr="00B457F5">
        <w:rPr>
          <w:rFonts w:ascii="Garamond" w:eastAsia="MS Mincho" w:hAnsi="Garamond" w:cs="Times New Roman"/>
          <w:bCs/>
          <w:szCs w:val="24"/>
        </w:rPr>
        <w:t>.</w:t>
      </w:r>
    </w:p>
    <w:p w14:paraId="324D2F00" w14:textId="6405107A" w:rsidR="00EF3319" w:rsidRPr="00B457F5" w:rsidRDefault="00EF3319" w:rsidP="002E693B">
      <w:pPr>
        <w:spacing w:before="0" w:after="0"/>
        <w:ind w:firstLine="284"/>
        <w:rPr>
          <w:rFonts w:ascii="Garamond" w:eastAsia="MS Mincho" w:hAnsi="Garamond" w:cs="Times New Roman"/>
          <w:bCs/>
          <w:szCs w:val="24"/>
        </w:rPr>
      </w:pPr>
      <w:r w:rsidRPr="00B457F5">
        <w:rPr>
          <w:rFonts w:ascii="Garamond" w:eastAsia="MS Mincho" w:hAnsi="Garamond" w:cs="Times New Roman"/>
          <w:bCs/>
          <w:szCs w:val="24"/>
        </w:rPr>
        <w:t>Numri i kërkesave për azil nga shtetasit shqiptarë ka pësuar rritje në vitin 2022, duke theksuar nevojën për përpjekje të vazhdueshme dhe të qëndrueshme. Për të adresuar këtë sfidë, është e domosdoshme të rriten strukturat e trajnimit në përputhje me standardet e BE</w:t>
      </w:r>
      <w:r w:rsidR="00A72B6D" w:rsidRPr="00B457F5">
        <w:rPr>
          <w:rFonts w:ascii="Garamond" w:eastAsia="MS Mincho" w:hAnsi="Garamond" w:cs="Times New Roman"/>
          <w:bCs/>
          <w:szCs w:val="24"/>
        </w:rPr>
        <w:t>-së</w:t>
      </w:r>
      <w:r w:rsidRPr="00B457F5">
        <w:rPr>
          <w:rFonts w:ascii="Garamond" w:eastAsia="MS Mincho" w:hAnsi="Garamond" w:cs="Times New Roman"/>
          <w:bCs/>
          <w:szCs w:val="24"/>
        </w:rPr>
        <w:t xml:space="preserve"> për rojet kufitare dhe të përmirësohet koordinimi me departamentet e antitrafikut dhe mbrojtjes së fëmijës. Fokusi i veçantë </w:t>
      </w:r>
      <w:r w:rsidR="00A72B6D" w:rsidRPr="00B457F5">
        <w:rPr>
          <w:rFonts w:ascii="Garamond" w:eastAsia="MS Mincho" w:hAnsi="Garamond" w:cs="Times New Roman"/>
          <w:bCs/>
          <w:szCs w:val="24"/>
        </w:rPr>
        <w:t xml:space="preserve">i </w:t>
      </w:r>
      <w:r w:rsidRPr="00B457F5">
        <w:rPr>
          <w:rFonts w:ascii="Garamond" w:eastAsia="MS Mincho" w:hAnsi="Garamond" w:cs="Times New Roman"/>
          <w:bCs/>
          <w:szCs w:val="24"/>
        </w:rPr>
        <w:t>duhet kushtuar riintegrimit të shqiptarëve të kthyer, sidomos grupet vulnerabël.</w:t>
      </w:r>
    </w:p>
    <w:p w14:paraId="5AB010AB" w14:textId="0BF605ED" w:rsidR="00E908E0" w:rsidRPr="00B457F5" w:rsidRDefault="00E908E0" w:rsidP="002E693B">
      <w:pPr>
        <w:spacing w:before="0" w:after="0"/>
        <w:ind w:firstLine="284"/>
        <w:rPr>
          <w:rFonts w:ascii="Garamond" w:eastAsia="MS Mincho" w:hAnsi="Garamond" w:cs="Times New Roman"/>
          <w:bCs/>
          <w:szCs w:val="24"/>
        </w:rPr>
      </w:pPr>
      <w:r w:rsidRPr="00B457F5">
        <w:rPr>
          <w:rFonts w:ascii="Garamond" w:eastAsia="MS Mincho" w:hAnsi="Garamond" w:cs="Times New Roman"/>
          <w:bCs/>
          <w:szCs w:val="24"/>
        </w:rPr>
        <w:t>Raporti i Progresit p</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r Shqip</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rin</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 xml:space="preserve"> i Komisionit Evropian</w:t>
      </w:r>
      <w:r w:rsidR="00A72B6D" w:rsidRPr="00B457F5">
        <w:rPr>
          <w:rFonts w:ascii="Garamond" w:eastAsia="MS Mincho" w:hAnsi="Garamond" w:cs="Times New Roman"/>
          <w:bCs/>
          <w:szCs w:val="24"/>
        </w:rPr>
        <w:t>,</w:t>
      </w:r>
      <w:r w:rsidRPr="00B457F5">
        <w:rPr>
          <w:rFonts w:ascii="Garamond" w:eastAsia="MS Mincho" w:hAnsi="Garamond" w:cs="Times New Roman"/>
          <w:bCs/>
          <w:szCs w:val="24"/>
        </w:rPr>
        <w:t xml:space="preserve"> i vitit 2023, vler</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soi progresin e b</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r</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 xml:space="preserve"> n</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 xml:space="preserve"> fush</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n e liris</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 xml:space="preserve"> s</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 xml:space="preserve"> l</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 xml:space="preserve">vizjes </w:t>
      </w:r>
      <w:r w:rsidR="00A72B6D" w:rsidRPr="00B457F5">
        <w:rPr>
          <w:rFonts w:ascii="Garamond" w:eastAsia="MS Mincho" w:hAnsi="Garamond" w:cs="Times New Roman"/>
          <w:bCs/>
          <w:szCs w:val="24"/>
        </w:rPr>
        <w:t>t</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 xml:space="preserve"> pun</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tor</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ve. Komisioni njeh zhvillimet p</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r p</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rafrimin e legjislacionit p</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r t</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 xml:space="preserve"> huajt dhe pun</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n e b</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r</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 xml:space="preserve"> p</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r lidhjen e marr</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veshjeve dypal</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she p</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r sigurimet shoq</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rore, si dhe p</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rgatitjen p</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r zbatimin e EURES. N</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 xml:space="preserve"> t</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 xml:space="preserve"> ardhmen, Komisioni rekomandon zbatimin e ligjit p</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r t</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 xml:space="preserve"> huajt dhe lidhjen e marr</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veshjeve dypal</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she p</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r sigurimet shoq</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rore, veçan</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 xml:space="preserve">risht me </w:t>
      </w:r>
      <w:r w:rsidR="00A72B6D" w:rsidRPr="00B457F5">
        <w:rPr>
          <w:rFonts w:ascii="Garamond" w:eastAsia="MS Mincho" w:hAnsi="Garamond" w:cs="Times New Roman"/>
          <w:bCs/>
          <w:szCs w:val="24"/>
        </w:rPr>
        <w:t xml:space="preserve">shtetet anëtare </w:t>
      </w:r>
      <w:r w:rsidRPr="00B457F5">
        <w:rPr>
          <w:rFonts w:ascii="Garamond" w:eastAsia="MS Mincho" w:hAnsi="Garamond" w:cs="Times New Roman"/>
          <w:bCs/>
          <w:szCs w:val="24"/>
        </w:rPr>
        <w:t>dhe vazhdimin e pun</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s p</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r lidhjen me EURES n</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 xml:space="preserve"> t</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 xml:space="preserve"> ardhmen. Rishikimi i marr</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veshjeve ekzistuese dypal</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she t</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 xml:space="preserve"> pun</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s dhe lidhja e marr</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veshjeve t</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 xml:space="preserve"> reja t</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 xml:space="preserve"> bashk</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punimit n</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 xml:space="preserve"> fush</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n e migrimit t</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 xml:space="preserve"> pun</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s ishte nj</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 xml:space="preserve"> tjet</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r rekomandim i Komisionit p</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r l</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vizjen e lir</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 xml:space="preserve"> t</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 xml:space="preserve"> pun</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tor</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ve, pasi ky vler</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 xml:space="preserve">sim i Komisionit Evropian </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sht</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 xml:space="preserve"> n</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 xml:space="preserve"> p</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rputhje me masat e propozuara nga institucionet n</w:t>
      </w:r>
      <w:r w:rsidR="00383970" w:rsidRPr="00B457F5">
        <w:rPr>
          <w:rFonts w:ascii="Garamond" w:eastAsia="MS Mincho" w:hAnsi="Garamond" w:cs="Times New Roman"/>
          <w:bCs/>
          <w:szCs w:val="24"/>
        </w:rPr>
        <w:t>ë</w:t>
      </w:r>
      <w:r w:rsidRPr="00B457F5">
        <w:rPr>
          <w:rFonts w:ascii="Garamond" w:eastAsia="MS Mincho" w:hAnsi="Garamond" w:cs="Times New Roman"/>
          <w:bCs/>
          <w:szCs w:val="24"/>
        </w:rPr>
        <w:t xml:space="preserve"> Planin e Veprimit 2024</w:t>
      </w:r>
      <w:r w:rsidR="00734269" w:rsidRPr="00B457F5">
        <w:rPr>
          <w:rStyle w:val="contentpasted1"/>
          <w:rFonts w:ascii="Garamond" w:hAnsi="Garamond" w:cs="Times New Roman"/>
          <w:color w:val="000000"/>
        </w:rPr>
        <w:t>–</w:t>
      </w:r>
      <w:r w:rsidRPr="00B457F5">
        <w:rPr>
          <w:rFonts w:ascii="Garamond" w:eastAsia="MS Mincho" w:hAnsi="Garamond" w:cs="Times New Roman"/>
          <w:bCs/>
          <w:szCs w:val="24"/>
        </w:rPr>
        <w:t>2026.</w:t>
      </w:r>
    </w:p>
    <w:p w14:paraId="0EC09CFF" w14:textId="1C615D0C" w:rsidR="00670A2B" w:rsidRPr="00B457F5" w:rsidRDefault="00782A75" w:rsidP="002E693B">
      <w:pPr>
        <w:spacing w:before="0" w:after="0"/>
        <w:ind w:firstLine="284"/>
        <w:rPr>
          <w:rFonts w:ascii="Garamond" w:eastAsia="MS Mincho" w:hAnsi="Garamond" w:cs="Times New Roman"/>
          <w:bCs/>
          <w:szCs w:val="24"/>
        </w:rPr>
      </w:pPr>
      <w:r w:rsidRPr="00B457F5">
        <w:rPr>
          <w:rFonts w:ascii="Garamond" w:eastAsia="MS Mincho" w:hAnsi="Garamond" w:cs="Times New Roman"/>
          <w:bCs/>
          <w:szCs w:val="24"/>
        </w:rPr>
        <w:t>Kjo Strategji dhe Plani i Veprimit 2024</w:t>
      </w:r>
      <w:r w:rsidR="00734269" w:rsidRPr="00B457F5">
        <w:rPr>
          <w:rStyle w:val="contentpasted1"/>
          <w:rFonts w:ascii="Garamond" w:hAnsi="Garamond" w:cs="Times New Roman"/>
          <w:color w:val="000000"/>
        </w:rPr>
        <w:t>–</w:t>
      </w:r>
      <w:r w:rsidRPr="00B457F5">
        <w:rPr>
          <w:rFonts w:ascii="Garamond" w:eastAsia="MS Mincho" w:hAnsi="Garamond" w:cs="Times New Roman"/>
          <w:bCs/>
          <w:szCs w:val="24"/>
        </w:rPr>
        <w:t xml:space="preserve">2030 trajtojnë disa pika kyçe, të ngritura në raportin e fundit të Komisionit në fushën e migracionit. Së pari, </w:t>
      </w:r>
      <w:r w:rsidR="00A72B6D" w:rsidRPr="00B457F5">
        <w:rPr>
          <w:rFonts w:ascii="Garamond" w:eastAsia="MS Mincho" w:hAnsi="Garamond" w:cs="Times New Roman"/>
          <w:bCs/>
          <w:szCs w:val="24"/>
        </w:rPr>
        <w:t xml:space="preserve">objektivi specifik </w:t>
      </w:r>
      <w:r w:rsidRPr="00B457F5">
        <w:rPr>
          <w:rFonts w:ascii="Garamond" w:eastAsia="MS Mincho" w:hAnsi="Garamond" w:cs="Times New Roman"/>
          <w:bCs/>
          <w:szCs w:val="24"/>
        </w:rPr>
        <w:t xml:space="preserve">1.1 i përgjigjet nevojës për </w:t>
      </w:r>
      <w:r w:rsidR="006C4C8E" w:rsidRPr="00B457F5">
        <w:rPr>
          <w:rFonts w:ascii="Garamond" w:eastAsia="MS Mincho" w:hAnsi="Garamond" w:cs="Times New Roman"/>
          <w:bCs/>
          <w:szCs w:val="24"/>
        </w:rPr>
        <w:t xml:space="preserve">kuadrin </w:t>
      </w:r>
      <w:r w:rsidRPr="00B457F5">
        <w:rPr>
          <w:rFonts w:ascii="Garamond" w:eastAsia="MS Mincho" w:hAnsi="Garamond" w:cs="Times New Roman"/>
          <w:bCs/>
          <w:szCs w:val="24"/>
        </w:rPr>
        <w:t xml:space="preserve">ligjor dhe institucional për të mundësuar mekanizma efektivë për menaxhimin dhe koordinimin e migracionit. Së dyti, sipas </w:t>
      </w:r>
      <w:r w:rsidR="00A72B6D" w:rsidRPr="00B457F5">
        <w:rPr>
          <w:rFonts w:ascii="Garamond" w:eastAsia="MS Mincho" w:hAnsi="Garamond" w:cs="Times New Roman"/>
          <w:bCs/>
          <w:szCs w:val="24"/>
        </w:rPr>
        <w:t>o</w:t>
      </w:r>
      <w:r w:rsidRPr="00B457F5">
        <w:rPr>
          <w:rFonts w:ascii="Garamond" w:eastAsia="MS Mincho" w:hAnsi="Garamond" w:cs="Times New Roman"/>
          <w:bCs/>
          <w:szCs w:val="24"/>
        </w:rPr>
        <w:t xml:space="preserve">bjektivit 1.3, institucionet shqiptare janë të angazhuara </w:t>
      </w:r>
      <w:r w:rsidR="006C4C8E" w:rsidRPr="00B457F5">
        <w:rPr>
          <w:rFonts w:ascii="Garamond" w:eastAsia="MS Mincho" w:hAnsi="Garamond" w:cs="Times New Roman"/>
          <w:bCs/>
          <w:szCs w:val="24"/>
        </w:rPr>
        <w:t>për</w:t>
      </w:r>
      <w:r w:rsidRPr="00B457F5">
        <w:rPr>
          <w:rFonts w:ascii="Garamond" w:eastAsia="MS Mincho" w:hAnsi="Garamond" w:cs="Times New Roman"/>
          <w:bCs/>
          <w:szCs w:val="24"/>
        </w:rPr>
        <w:t xml:space="preserve"> bashkëpunim ndërkombëtar për të </w:t>
      </w:r>
      <w:r w:rsidR="00A313AE" w:rsidRPr="00B457F5">
        <w:rPr>
          <w:rFonts w:ascii="Garamond" w:eastAsia="MS Mincho" w:hAnsi="Garamond" w:cs="Times New Roman"/>
          <w:bCs/>
          <w:szCs w:val="24"/>
        </w:rPr>
        <w:t>“</w:t>
      </w:r>
      <w:r w:rsidRPr="00B457F5">
        <w:rPr>
          <w:rFonts w:ascii="Garamond" w:eastAsia="MS Mincho" w:hAnsi="Garamond" w:cs="Times New Roman"/>
          <w:bCs/>
          <w:szCs w:val="24"/>
        </w:rPr>
        <w:t>lehtësuar kthimin dhe ripranimin e sigurt dhe dinjitoz</w:t>
      </w:r>
      <w:r w:rsidR="00A313AE" w:rsidRPr="00B457F5">
        <w:rPr>
          <w:rFonts w:ascii="Garamond" w:eastAsia="MS Mincho" w:hAnsi="Garamond" w:cs="Times New Roman"/>
          <w:bCs/>
          <w:szCs w:val="24"/>
        </w:rPr>
        <w:t>”</w:t>
      </w:r>
      <w:r w:rsidRPr="00B457F5">
        <w:rPr>
          <w:rFonts w:ascii="Garamond" w:eastAsia="MS Mincho" w:hAnsi="Garamond" w:cs="Times New Roman"/>
          <w:bCs/>
          <w:szCs w:val="24"/>
        </w:rPr>
        <w:t>, një aspekt kyç i qeverisjes së migracionit, i monitoruar vazhdimisht nga BE</w:t>
      </w:r>
      <w:r w:rsidR="00362610" w:rsidRPr="00B457F5">
        <w:rPr>
          <w:rFonts w:ascii="Garamond" w:eastAsia="MS Mincho" w:hAnsi="Garamond" w:cs="Times New Roman"/>
          <w:bCs/>
          <w:szCs w:val="24"/>
        </w:rPr>
        <w:t>-ja</w:t>
      </w:r>
      <w:r w:rsidRPr="00B457F5">
        <w:rPr>
          <w:rFonts w:ascii="Garamond" w:eastAsia="MS Mincho" w:hAnsi="Garamond" w:cs="Times New Roman"/>
          <w:bCs/>
          <w:szCs w:val="24"/>
        </w:rPr>
        <w:t xml:space="preserve">. </w:t>
      </w:r>
      <w:r w:rsidR="000654AF" w:rsidRPr="00B457F5">
        <w:rPr>
          <w:rFonts w:ascii="Garamond" w:eastAsia="MS Mincho" w:hAnsi="Garamond" w:cs="Times New Roman"/>
          <w:bCs/>
          <w:szCs w:val="24"/>
        </w:rPr>
        <w:t>Ky angazhim është i lidhur ngushtë me synimin afatgjatë për parandalimin e plotë të fenomenit të migrimit të parregullt të shtetasve shqiptarë</w:t>
      </w:r>
      <w:r w:rsidR="00A72B6D" w:rsidRPr="00B457F5">
        <w:rPr>
          <w:rFonts w:ascii="Garamond" w:eastAsia="MS Mincho" w:hAnsi="Garamond" w:cs="Times New Roman"/>
          <w:bCs/>
          <w:szCs w:val="24"/>
        </w:rPr>
        <w:t>,</w:t>
      </w:r>
      <w:r w:rsidR="000654AF" w:rsidRPr="00B457F5">
        <w:rPr>
          <w:rFonts w:ascii="Garamond" w:eastAsia="MS Mincho" w:hAnsi="Garamond" w:cs="Times New Roman"/>
          <w:bCs/>
          <w:szCs w:val="24"/>
        </w:rPr>
        <w:t xml:space="preserve"> nëpërmjet ofrimit të informacionit, mbrojtjes dhe ndihmës në të gjitha fazat e migrimit (</w:t>
      </w:r>
      <w:r w:rsidR="00A72B6D" w:rsidRPr="00B457F5">
        <w:rPr>
          <w:rFonts w:ascii="Garamond" w:eastAsia="MS Mincho" w:hAnsi="Garamond" w:cs="Times New Roman"/>
          <w:bCs/>
          <w:szCs w:val="24"/>
        </w:rPr>
        <w:t>o</w:t>
      </w:r>
      <w:r w:rsidR="000654AF" w:rsidRPr="00B457F5">
        <w:rPr>
          <w:rFonts w:ascii="Garamond" w:eastAsia="MS Mincho" w:hAnsi="Garamond" w:cs="Times New Roman"/>
          <w:bCs/>
          <w:szCs w:val="24"/>
        </w:rPr>
        <w:t xml:space="preserve">bjektivi 1.4). Raporti i Komisionit njeh efektivitetin e kontrolleve të plota kufitare dhe fushatave ndërgjegjësuese, </w:t>
      </w:r>
      <w:r w:rsidR="000A5E20" w:rsidRPr="00B457F5">
        <w:rPr>
          <w:rFonts w:ascii="Garamond" w:eastAsia="MS Mincho" w:hAnsi="Garamond" w:cs="Times New Roman"/>
          <w:bCs/>
          <w:szCs w:val="24"/>
        </w:rPr>
        <w:t>gjë që demonstrohet nga</w:t>
      </w:r>
      <w:r w:rsidR="000654AF" w:rsidRPr="00B457F5">
        <w:rPr>
          <w:rFonts w:ascii="Garamond" w:eastAsia="MS Mincho" w:hAnsi="Garamond" w:cs="Times New Roman"/>
          <w:bCs/>
          <w:szCs w:val="24"/>
        </w:rPr>
        <w:t xml:space="preserve"> rëni</w:t>
      </w:r>
      <w:r w:rsidR="000A5E20" w:rsidRPr="00B457F5">
        <w:rPr>
          <w:rFonts w:ascii="Garamond" w:eastAsia="MS Mincho" w:hAnsi="Garamond" w:cs="Times New Roman"/>
          <w:bCs/>
          <w:szCs w:val="24"/>
        </w:rPr>
        <w:t>a</w:t>
      </w:r>
      <w:r w:rsidR="000654AF" w:rsidRPr="00B457F5">
        <w:rPr>
          <w:rFonts w:ascii="Garamond" w:eastAsia="MS Mincho" w:hAnsi="Garamond" w:cs="Times New Roman"/>
          <w:bCs/>
          <w:szCs w:val="24"/>
        </w:rPr>
        <w:t xml:space="preserve"> prej 25% në vitin 2021 </w:t>
      </w:r>
      <w:r w:rsidR="000A5E20" w:rsidRPr="00B457F5">
        <w:rPr>
          <w:rFonts w:ascii="Garamond" w:eastAsia="MS Mincho" w:hAnsi="Garamond" w:cs="Times New Roman"/>
          <w:bCs/>
          <w:szCs w:val="24"/>
        </w:rPr>
        <w:t>e</w:t>
      </w:r>
      <w:r w:rsidR="000654AF" w:rsidRPr="00B457F5">
        <w:rPr>
          <w:rFonts w:ascii="Garamond" w:eastAsia="MS Mincho" w:hAnsi="Garamond" w:cs="Times New Roman"/>
          <w:bCs/>
          <w:szCs w:val="24"/>
        </w:rPr>
        <w:t xml:space="preserve"> numrit të shtetasve shqiptarë të cilëve iu mohua e drejta për</w:t>
      </w:r>
      <w:r w:rsidR="00A313AE" w:rsidRPr="00B457F5">
        <w:rPr>
          <w:rFonts w:ascii="Garamond" w:eastAsia="MS Mincho" w:hAnsi="Garamond" w:cs="Times New Roman"/>
          <w:bCs/>
          <w:szCs w:val="24"/>
        </w:rPr>
        <w:t xml:space="preserve"> t’u </w:t>
      </w:r>
      <w:r w:rsidR="000654AF" w:rsidRPr="00B457F5">
        <w:rPr>
          <w:rFonts w:ascii="Garamond" w:eastAsia="MS Mincho" w:hAnsi="Garamond" w:cs="Times New Roman"/>
          <w:bCs/>
          <w:szCs w:val="24"/>
        </w:rPr>
        <w:t>nisur për në BE në pikat kufitare shqiptare</w:t>
      </w:r>
      <w:r w:rsidR="00A619CA" w:rsidRPr="00B457F5">
        <w:rPr>
          <w:rFonts w:ascii="Garamond" w:eastAsia="MS Mincho" w:hAnsi="Garamond" w:cs="Times New Roman"/>
          <w:bCs/>
          <w:szCs w:val="24"/>
        </w:rPr>
        <w:t>.</w:t>
      </w:r>
      <w:r w:rsidR="005C7073">
        <w:rPr>
          <w:rStyle w:val="FootnoteReference"/>
          <w:rFonts w:ascii="Garamond" w:eastAsia="MS Mincho" w:hAnsi="Garamond" w:cs="Times New Roman"/>
          <w:bCs/>
          <w:szCs w:val="24"/>
        </w:rPr>
        <w:footnoteReference w:id="19"/>
      </w:r>
      <w:r w:rsidR="00A619CA" w:rsidRPr="00B457F5">
        <w:rPr>
          <w:rFonts w:ascii="Garamond" w:eastAsia="MS Mincho" w:hAnsi="Garamond" w:cs="Times New Roman"/>
          <w:bCs/>
          <w:szCs w:val="24"/>
        </w:rPr>
        <w:t xml:space="preserve"> </w:t>
      </w:r>
      <w:r w:rsidR="00670A2B" w:rsidRPr="00B457F5">
        <w:rPr>
          <w:rFonts w:ascii="Garamond" w:eastAsia="MS Mincho" w:hAnsi="Garamond" w:cs="Times New Roman"/>
          <w:bCs/>
          <w:szCs w:val="24"/>
        </w:rPr>
        <w:t xml:space="preserve">Strategjia </w:t>
      </w:r>
      <w:r w:rsidR="00735DFC" w:rsidRPr="00B457F5">
        <w:rPr>
          <w:rFonts w:ascii="Garamond" w:eastAsia="MS Mincho" w:hAnsi="Garamond" w:cs="Times New Roman"/>
          <w:bCs/>
          <w:szCs w:val="24"/>
        </w:rPr>
        <w:t xml:space="preserve">pasqyron </w:t>
      </w:r>
      <w:r w:rsidR="00670A2B" w:rsidRPr="00B457F5">
        <w:rPr>
          <w:rFonts w:ascii="Garamond" w:eastAsia="MS Mincho" w:hAnsi="Garamond" w:cs="Times New Roman"/>
          <w:bCs/>
          <w:szCs w:val="24"/>
        </w:rPr>
        <w:t xml:space="preserve">prioritetet e Komisionit për </w:t>
      </w:r>
      <w:r w:rsidR="00102964" w:rsidRPr="00B457F5">
        <w:rPr>
          <w:rFonts w:ascii="Garamond" w:eastAsia="MS Mincho" w:hAnsi="Garamond" w:cs="Times New Roman"/>
          <w:bCs/>
          <w:szCs w:val="24"/>
        </w:rPr>
        <w:t xml:space="preserve">trajtimin </w:t>
      </w:r>
      <w:r w:rsidR="00670A2B" w:rsidRPr="00B457F5">
        <w:rPr>
          <w:rFonts w:ascii="Garamond" w:eastAsia="MS Mincho" w:hAnsi="Garamond" w:cs="Times New Roman"/>
          <w:bCs/>
          <w:szCs w:val="24"/>
        </w:rPr>
        <w:t xml:space="preserve">e shkaqeve themelore të migrimit (përmes integrimit </w:t>
      </w:r>
      <w:r w:rsidR="00670A2B" w:rsidRPr="00B457F5">
        <w:rPr>
          <w:rFonts w:ascii="Garamond" w:eastAsia="MS Mincho" w:hAnsi="Garamond" w:cs="Times New Roman"/>
          <w:bCs/>
          <w:szCs w:val="24"/>
        </w:rPr>
        <w:lastRenderedPageBreak/>
        <w:t xml:space="preserve">të qëndrueshëm të të kthyerve, </w:t>
      </w:r>
      <w:r w:rsidR="00A72B6D" w:rsidRPr="00B457F5">
        <w:rPr>
          <w:rFonts w:ascii="Garamond" w:eastAsia="MS Mincho" w:hAnsi="Garamond" w:cs="Times New Roman"/>
          <w:bCs/>
          <w:szCs w:val="24"/>
        </w:rPr>
        <w:t>o</w:t>
      </w:r>
      <w:r w:rsidR="00670A2B" w:rsidRPr="00B457F5">
        <w:rPr>
          <w:rFonts w:ascii="Garamond" w:eastAsia="MS Mincho" w:hAnsi="Garamond" w:cs="Times New Roman"/>
          <w:bCs/>
          <w:szCs w:val="24"/>
        </w:rPr>
        <w:t>bjektivat 2.2 dhe 2.3</w:t>
      </w:r>
      <w:r w:rsidR="00A72B6D" w:rsidRPr="00B457F5">
        <w:rPr>
          <w:rFonts w:ascii="Garamond" w:eastAsia="MS Mincho" w:hAnsi="Garamond" w:cs="Times New Roman"/>
          <w:bCs/>
          <w:szCs w:val="24"/>
        </w:rPr>
        <w:t>,</w:t>
      </w:r>
      <w:r w:rsidR="00670A2B" w:rsidRPr="00B457F5">
        <w:rPr>
          <w:rFonts w:ascii="Garamond" w:eastAsia="MS Mincho" w:hAnsi="Garamond" w:cs="Times New Roman"/>
          <w:bCs/>
          <w:szCs w:val="24"/>
        </w:rPr>
        <w:t xml:space="preserve"> dhe bashkëpunimin e strukturuar me shtetet anëtare të BE-së (</w:t>
      </w:r>
      <w:r w:rsidR="00A72B6D" w:rsidRPr="00B457F5">
        <w:rPr>
          <w:rFonts w:ascii="Garamond" w:eastAsia="MS Mincho" w:hAnsi="Garamond" w:cs="Times New Roman"/>
          <w:bCs/>
          <w:szCs w:val="24"/>
        </w:rPr>
        <w:t>o</w:t>
      </w:r>
      <w:r w:rsidR="00670A2B" w:rsidRPr="00B457F5">
        <w:rPr>
          <w:rFonts w:ascii="Garamond" w:eastAsia="MS Mincho" w:hAnsi="Garamond" w:cs="Times New Roman"/>
          <w:bCs/>
          <w:szCs w:val="24"/>
        </w:rPr>
        <w:t>bjektivi 1.3)</w:t>
      </w:r>
      <w:r w:rsidR="00A72B6D" w:rsidRPr="00B457F5">
        <w:rPr>
          <w:rFonts w:ascii="Garamond" w:eastAsia="MS Mincho" w:hAnsi="Garamond" w:cs="Times New Roman"/>
          <w:bCs/>
          <w:szCs w:val="24"/>
        </w:rPr>
        <w:t>,</w:t>
      </w:r>
      <w:r w:rsidR="00670A2B" w:rsidRPr="00B457F5">
        <w:rPr>
          <w:rFonts w:ascii="Garamond" w:eastAsia="MS Mincho" w:hAnsi="Garamond" w:cs="Times New Roman"/>
          <w:bCs/>
          <w:szCs w:val="24"/>
        </w:rPr>
        <w:t xml:space="preserve"> </w:t>
      </w:r>
      <w:r w:rsidR="00735DFC" w:rsidRPr="00B457F5">
        <w:rPr>
          <w:rFonts w:ascii="Garamond" w:eastAsia="MS Mincho" w:hAnsi="Garamond" w:cs="Times New Roman"/>
          <w:bCs/>
          <w:szCs w:val="24"/>
        </w:rPr>
        <w:t>duke i konsideruar ato si të domosdoshme</w:t>
      </w:r>
      <w:r w:rsidR="00670A2B" w:rsidRPr="00B457F5">
        <w:rPr>
          <w:rFonts w:ascii="Garamond" w:eastAsia="MS Mincho" w:hAnsi="Garamond" w:cs="Times New Roman"/>
          <w:bCs/>
          <w:szCs w:val="24"/>
        </w:rPr>
        <w:t xml:space="preserve"> për arritjen e qëllimit më të gjerë të </w:t>
      </w:r>
      <w:r w:rsidR="000850FA" w:rsidRPr="00B457F5">
        <w:rPr>
          <w:rFonts w:ascii="Garamond" w:eastAsia="MS Mincho" w:hAnsi="Garamond" w:cs="Times New Roman"/>
          <w:bCs/>
          <w:szCs w:val="24"/>
        </w:rPr>
        <w:t xml:space="preserve">zvogëlimit </w:t>
      </w:r>
      <w:r w:rsidR="00670A2B" w:rsidRPr="00B457F5">
        <w:rPr>
          <w:rFonts w:ascii="Garamond" w:eastAsia="MS Mincho" w:hAnsi="Garamond" w:cs="Times New Roman"/>
          <w:bCs/>
          <w:szCs w:val="24"/>
        </w:rPr>
        <w:t>të migrimit të parregullt të shqiptarëve në BE.</w:t>
      </w:r>
    </w:p>
    <w:p w14:paraId="49B1E0DB" w14:textId="63E4B698" w:rsidR="00A619CA" w:rsidRPr="00B457F5" w:rsidRDefault="00CF62F2" w:rsidP="002E693B">
      <w:pPr>
        <w:spacing w:before="0" w:after="0"/>
        <w:ind w:firstLine="284"/>
        <w:rPr>
          <w:rFonts w:ascii="Garamond" w:eastAsia="MS Mincho" w:hAnsi="Garamond" w:cs="Times New Roman"/>
          <w:bCs/>
          <w:szCs w:val="24"/>
        </w:rPr>
      </w:pPr>
      <w:r w:rsidRPr="00B457F5">
        <w:rPr>
          <w:rFonts w:ascii="Garamond" w:eastAsia="MS Mincho" w:hAnsi="Garamond" w:cs="Times New Roman"/>
          <w:bCs/>
          <w:szCs w:val="24"/>
        </w:rPr>
        <w:t xml:space="preserve">Në të njëjtën kohë, Komisioni përcakton disa fusha specifike që kërkojnë vëmendje të mëtejshme. Në fushën e përafrimit ligjor, përafrimi i politikës së vizave të Shqipërisë me atë të BE-së është </w:t>
      </w:r>
      <w:r w:rsidR="000850FA" w:rsidRPr="00B457F5">
        <w:rPr>
          <w:rFonts w:ascii="Garamond" w:eastAsia="MS Mincho" w:hAnsi="Garamond" w:cs="Times New Roman"/>
          <w:bCs/>
          <w:szCs w:val="24"/>
        </w:rPr>
        <w:t xml:space="preserve">përcaktuar </w:t>
      </w:r>
      <w:r w:rsidRPr="00B457F5">
        <w:rPr>
          <w:rFonts w:ascii="Garamond" w:eastAsia="MS Mincho" w:hAnsi="Garamond" w:cs="Times New Roman"/>
          <w:bCs/>
          <w:szCs w:val="24"/>
        </w:rPr>
        <w:t xml:space="preserve">si prioritet. </w:t>
      </w:r>
      <w:r w:rsidR="00854CFB" w:rsidRPr="00B457F5">
        <w:rPr>
          <w:rFonts w:ascii="Garamond" w:eastAsia="MS Mincho" w:hAnsi="Garamond" w:cs="Times New Roman"/>
          <w:bCs/>
          <w:szCs w:val="24"/>
        </w:rPr>
        <w:t>Sa i takon list</w:t>
      </w:r>
      <w:r w:rsidR="00FD5CEE" w:rsidRPr="00B457F5">
        <w:rPr>
          <w:rFonts w:ascii="Garamond" w:eastAsia="MS Mincho" w:hAnsi="Garamond" w:cs="Times New Roman"/>
          <w:bCs/>
          <w:szCs w:val="24"/>
        </w:rPr>
        <w:t>ë</w:t>
      </w:r>
      <w:r w:rsidR="00854CFB" w:rsidRPr="00B457F5">
        <w:rPr>
          <w:rFonts w:ascii="Garamond" w:eastAsia="MS Mincho" w:hAnsi="Garamond" w:cs="Times New Roman"/>
          <w:bCs/>
          <w:szCs w:val="24"/>
        </w:rPr>
        <w:t>s s</w:t>
      </w:r>
      <w:r w:rsidR="00FD5CEE" w:rsidRPr="00B457F5">
        <w:rPr>
          <w:rFonts w:ascii="Garamond" w:eastAsia="MS Mincho" w:hAnsi="Garamond" w:cs="Times New Roman"/>
          <w:bCs/>
          <w:szCs w:val="24"/>
        </w:rPr>
        <w:t>ë</w:t>
      </w:r>
      <w:r w:rsidR="00854CFB" w:rsidRPr="00B457F5">
        <w:rPr>
          <w:rFonts w:ascii="Garamond" w:eastAsia="MS Mincho" w:hAnsi="Garamond" w:cs="Times New Roman"/>
          <w:bCs/>
          <w:szCs w:val="24"/>
        </w:rPr>
        <w:t xml:space="preserve"> vendeve t</w:t>
      </w:r>
      <w:r w:rsidR="00FD5CEE" w:rsidRPr="00B457F5">
        <w:rPr>
          <w:rFonts w:ascii="Garamond" w:eastAsia="MS Mincho" w:hAnsi="Garamond" w:cs="Times New Roman"/>
          <w:bCs/>
          <w:szCs w:val="24"/>
        </w:rPr>
        <w:t>ë</w:t>
      </w:r>
      <w:r w:rsidR="00854CFB" w:rsidRPr="00B457F5">
        <w:rPr>
          <w:rFonts w:ascii="Garamond" w:eastAsia="MS Mincho" w:hAnsi="Garamond" w:cs="Times New Roman"/>
          <w:bCs/>
          <w:szCs w:val="24"/>
        </w:rPr>
        <w:t xml:space="preserve"> treta, shtetasve t</w:t>
      </w:r>
      <w:r w:rsidR="00FD5CEE" w:rsidRPr="00B457F5">
        <w:rPr>
          <w:rFonts w:ascii="Garamond" w:eastAsia="MS Mincho" w:hAnsi="Garamond" w:cs="Times New Roman"/>
          <w:bCs/>
          <w:szCs w:val="24"/>
        </w:rPr>
        <w:t>ë</w:t>
      </w:r>
      <w:r w:rsidR="00854CFB" w:rsidRPr="00B457F5">
        <w:rPr>
          <w:rFonts w:ascii="Garamond" w:eastAsia="MS Mincho" w:hAnsi="Garamond" w:cs="Times New Roman"/>
          <w:bCs/>
          <w:szCs w:val="24"/>
        </w:rPr>
        <w:t xml:space="preserve"> s</w:t>
      </w:r>
      <w:r w:rsidR="00FD5CEE" w:rsidRPr="00B457F5">
        <w:rPr>
          <w:rFonts w:ascii="Garamond" w:eastAsia="MS Mincho" w:hAnsi="Garamond" w:cs="Times New Roman"/>
          <w:bCs/>
          <w:szCs w:val="24"/>
        </w:rPr>
        <w:t>ë</w:t>
      </w:r>
      <w:r w:rsidR="00854CFB" w:rsidRPr="00B457F5">
        <w:rPr>
          <w:rFonts w:ascii="Garamond" w:eastAsia="MS Mincho" w:hAnsi="Garamond" w:cs="Times New Roman"/>
          <w:bCs/>
          <w:szCs w:val="24"/>
        </w:rPr>
        <w:t xml:space="preserve"> cil</w:t>
      </w:r>
      <w:r w:rsidR="00FD5CEE" w:rsidRPr="00B457F5">
        <w:rPr>
          <w:rFonts w:ascii="Garamond" w:eastAsia="MS Mincho" w:hAnsi="Garamond" w:cs="Times New Roman"/>
          <w:bCs/>
          <w:szCs w:val="24"/>
        </w:rPr>
        <w:t>ë</w:t>
      </w:r>
      <w:r w:rsidR="00854CFB" w:rsidRPr="00B457F5">
        <w:rPr>
          <w:rFonts w:ascii="Garamond" w:eastAsia="MS Mincho" w:hAnsi="Garamond" w:cs="Times New Roman"/>
          <w:bCs/>
          <w:szCs w:val="24"/>
        </w:rPr>
        <w:t>ve ju k</w:t>
      </w:r>
      <w:r w:rsidR="00FD5CEE" w:rsidRPr="00B457F5">
        <w:rPr>
          <w:rFonts w:ascii="Garamond" w:eastAsia="MS Mincho" w:hAnsi="Garamond" w:cs="Times New Roman"/>
          <w:bCs/>
          <w:szCs w:val="24"/>
        </w:rPr>
        <w:t>ë</w:t>
      </w:r>
      <w:r w:rsidR="00854CFB" w:rsidRPr="00B457F5">
        <w:rPr>
          <w:rFonts w:ascii="Garamond" w:eastAsia="MS Mincho" w:hAnsi="Garamond" w:cs="Times New Roman"/>
          <w:bCs/>
          <w:szCs w:val="24"/>
        </w:rPr>
        <w:t>rkohet viz</w:t>
      </w:r>
      <w:r w:rsidR="00FD5CEE" w:rsidRPr="00B457F5">
        <w:rPr>
          <w:rFonts w:ascii="Garamond" w:eastAsia="MS Mincho" w:hAnsi="Garamond" w:cs="Times New Roman"/>
          <w:bCs/>
          <w:szCs w:val="24"/>
        </w:rPr>
        <w:t>ë</w:t>
      </w:r>
      <w:r w:rsidR="00854CFB" w:rsidRPr="00B457F5">
        <w:rPr>
          <w:rFonts w:ascii="Garamond" w:eastAsia="MS Mincho" w:hAnsi="Garamond" w:cs="Times New Roman"/>
          <w:bCs/>
          <w:szCs w:val="24"/>
        </w:rPr>
        <w:t xml:space="preserve"> p</w:t>
      </w:r>
      <w:r w:rsidR="00FD5CEE" w:rsidRPr="00B457F5">
        <w:rPr>
          <w:rFonts w:ascii="Garamond" w:eastAsia="MS Mincho" w:hAnsi="Garamond" w:cs="Times New Roman"/>
          <w:bCs/>
          <w:szCs w:val="24"/>
        </w:rPr>
        <w:t>ë</w:t>
      </w:r>
      <w:r w:rsidR="00854CFB" w:rsidRPr="00B457F5">
        <w:rPr>
          <w:rFonts w:ascii="Garamond" w:eastAsia="MS Mincho" w:hAnsi="Garamond" w:cs="Times New Roman"/>
          <w:bCs/>
          <w:szCs w:val="24"/>
        </w:rPr>
        <w:t>r</w:t>
      </w:r>
      <w:r w:rsidR="00A313AE" w:rsidRPr="00B457F5">
        <w:rPr>
          <w:rFonts w:ascii="Garamond" w:eastAsia="MS Mincho" w:hAnsi="Garamond" w:cs="Times New Roman"/>
          <w:bCs/>
          <w:szCs w:val="24"/>
        </w:rPr>
        <w:t xml:space="preserve"> t’u </w:t>
      </w:r>
      <w:r w:rsidR="00854CFB" w:rsidRPr="00B457F5">
        <w:rPr>
          <w:rFonts w:ascii="Garamond" w:eastAsia="MS Mincho" w:hAnsi="Garamond" w:cs="Times New Roman"/>
          <w:bCs/>
          <w:szCs w:val="24"/>
        </w:rPr>
        <w:t>futur n</w:t>
      </w:r>
      <w:r w:rsidR="00FD5CEE" w:rsidRPr="00B457F5">
        <w:rPr>
          <w:rFonts w:ascii="Garamond" w:eastAsia="MS Mincho" w:hAnsi="Garamond" w:cs="Times New Roman"/>
          <w:bCs/>
          <w:szCs w:val="24"/>
        </w:rPr>
        <w:t>ë</w:t>
      </w:r>
      <w:r w:rsidR="00854CFB" w:rsidRPr="00B457F5">
        <w:rPr>
          <w:rFonts w:ascii="Garamond" w:eastAsia="MS Mincho" w:hAnsi="Garamond" w:cs="Times New Roman"/>
          <w:bCs/>
          <w:szCs w:val="24"/>
        </w:rPr>
        <w:t xml:space="preserve"> Shqip</w:t>
      </w:r>
      <w:r w:rsidR="00FD5CEE" w:rsidRPr="00B457F5">
        <w:rPr>
          <w:rFonts w:ascii="Garamond" w:eastAsia="MS Mincho" w:hAnsi="Garamond" w:cs="Times New Roman"/>
          <w:bCs/>
          <w:szCs w:val="24"/>
        </w:rPr>
        <w:t>ë</w:t>
      </w:r>
      <w:r w:rsidR="00854CFB" w:rsidRPr="00B457F5">
        <w:rPr>
          <w:rFonts w:ascii="Garamond" w:eastAsia="MS Mincho" w:hAnsi="Garamond" w:cs="Times New Roman"/>
          <w:bCs/>
          <w:szCs w:val="24"/>
        </w:rPr>
        <w:t xml:space="preserve">ri, </w:t>
      </w:r>
      <w:r w:rsidR="00FD5CEE" w:rsidRPr="00B457F5">
        <w:rPr>
          <w:rFonts w:ascii="Garamond" w:eastAsia="MS Mincho" w:hAnsi="Garamond" w:cs="Times New Roman"/>
          <w:bCs/>
          <w:szCs w:val="24"/>
        </w:rPr>
        <w:t xml:space="preserve">ndërkohë </w:t>
      </w:r>
      <w:r w:rsidR="00854CFB" w:rsidRPr="00B457F5">
        <w:rPr>
          <w:rFonts w:ascii="Garamond" w:eastAsia="MS Mincho" w:hAnsi="Garamond" w:cs="Times New Roman"/>
          <w:bCs/>
          <w:szCs w:val="24"/>
        </w:rPr>
        <w:t>kjo list</w:t>
      </w:r>
      <w:r w:rsidR="00FD5CEE" w:rsidRPr="00B457F5">
        <w:rPr>
          <w:rFonts w:ascii="Garamond" w:eastAsia="MS Mincho" w:hAnsi="Garamond" w:cs="Times New Roman"/>
          <w:bCs/>
          <w:szCs w:val="24"/>
        </w:rPr>
        <w:t>ë</w:t>
      </w:r>
      <w:r w:rsidR="00854CFB" w:rsidRPr="00B457F5">
        <w:rPr>
          <w:rFonts w:ascii="Garamond" w:eastAsia="MS Mincho" w:hAnsi="Garamond" w:cs="Times New Roman"/>
          <w:bCs/>
          <w:szCs w:val="24"/>
        </w:rPr>
        <w:t xml:space="preserve"> </w:t>
      </w:r>
      <w:r w:rsidR="00FD5CEE" w:rsidRPr="00B457F5">
        <w:rPr>
          <w:rFonts w:ascii="Garamond" w:eastAsia="MS Mincho" w:hAnsi="Garamond" w:cs="Times New Roman"/>
          <w:bCs/>
          <w:szCs w:val="24"/>
        </w:rPr>
        <w:t>ë</w:t>
      </w:r>
      <w:r w:rsidR="00854CFB" w:rsidRPr="00B457F5">
        <w:rPr>
          <w:rFonts w:ascii="Garamond" w:eastAsia="MS Mincho" w:hAnsi="Garamond" w:cs="Times New Roman"/>
          <w:bCs/>
          <w:szCs w:val="24"/>
        </w:rPr>
        <w:t>sht</w:t>
      </w:r>
      <w:r w:rsidR="00FD5CEE" w:rsidRPr="00B457F5">
        <w:rPr>
          <w:rFonts w:ascii="Garamond" w:eastAsia="MS Mincho" w:hAnsi="Garamond" w:cs="Times New Roman"/>
          <w:bCs/>
          <w:szCs w:val="24"/>
        </w:rPr>
        <w:t>ë</w:t>
      </w:r>
      <w:r w:rsidR="00854CFB" w:rsidRPr="00B457F5">
        <w:rPr>
          <w:rFonts w:ascii="Garamond" w:eastAsia="MS Mincho" w:hAnsi="Garamond" w:cs="Times New Roman"/>
          <w:bCs/>
          <w:szCs w:val="24"/>
        </w:rPr>
        <w:t xml:space="preserve"> e ndryshme p</w:t>
      </w:r>
      <w:r w:rsidR="00FD5CEE" w:rsidRPr="00B457F5">
        <w:rPr>
          <w:rFonts w:ascii="Garamond" w:eastAsia="MS Mincho" w:hAnsi="Garamond" w:cs="Times New Roman"/>
          <w:bCs/>
          <w:szCs w:val="24"/>
        </w:rPr>
        <w:t>ë</w:t>
      </w:r>
      <w:r w:rsidR="00854CFB" w:rsidRPr="00B457F5">
        <w:rPr>
          <w:rFonts w:ascii="Garamond" w:eastAsia="MS Mincho" w:hAnsi="Garamond" w:cs="Times New Roman"/>
          <w:bCs/>
          <w:szCs w:val="24"/>
        </w:rPr>
        <w:t>r n</w:t>
      </w:r>
      <w:r w:rsidR="00FD5CEE" w:rsidRPr="00B457F5">
        <w:rPr>
          <w:rFonts w:ascii="Garamond" w:eastAsia="MS Mincho" w:hAnsi="Garamond" w:cs="Times New Roman"/>
          <w:bCs/>
          <w:szCs w:val="24"/>
        </w:rPr>
        <w:t>ë</w:t>
      </w:r>
      <w:r w:rsidR="00854CFB" w:rsidRPr="00B457F5">
        <w:rPr>
          <w:rFonts w:ascii="Garamond" w:eastAsia="MS Mincho" w:hAnsi="Garamond" w:cs="Times New Roman"/>
          <w:bCs/>
          <w:szCs w:val="24"/>
        </w:rPr>
        <w:t>nt</w:t>
      </w:r>
      <w:r w:rsidR="00FD5CEE" w:rsidRPr="00B457F5">
        <w:rPr>
          <w:rFonts w:ascii="Garamond" w:eastAsia="MS Mincho" w:hAnsi="Garamond" w:cs="Times New Roman"/>
          <w:bCs/>
          <w:szCs w:val="24"/>
        </w:rPr>
        <w:t>ë</w:t>
      </w:r>
      <w:r w:rsidR="00854CFB" w:rsidRPr="00B457F5">
        <w:rPr>
          <w:rFonts w:ascii="Garamond" w:eastAsia="MS Mincho" w:hAnsi="Garamond" w:cs="Times New Roman"/>
          <w:bCs/>
          <w:szCs w:val="24"/>
        </w:rPr>
        <w:t xml:space="preserve"> </w:t>
      </w:r>
      <w:r w:rsidR="00FD5CEE" w:rsidRPr="00B457F5">
        <w:rPr>
          <w:rFonts w:ascii="Garamond" w:eastAsia="MS Mincho" w:hAnsi="Garamond" w:cs="Times New Roman"/>
          <w:bCs/>
          <w:szCs w:val="24"/>
        </w:rPr>
        <w:t>shtete,</w:t>
      </w:r>
      <w:r w:rsidR="00854CFB" w:rsidRPr="00B457F5">
        <w:rPr>
          <w:rFonts w:ascii="Garamond" w:eastAsia="MS Mincho" w:hAnsi="Garamond" w:cs="Times New Roman"/>
          <w:bCs/>
          <w:szCs w:val="24"/>
        </w:rPr>
        <w:t xml:space="preserve"> </w:t>
      </w:r>
      <w:r w:rsidR="00FD5CEE" w:rsidRPr="00B457F5">
        <w:rPr>
          <w:rFonts w:ascii="Garamond" w:eastAsia="MS Mincho" w:hAnsi="Garamond" w:cs="Times New Roman"/>
          <w:bCs/>
          <w:szCs w:val="24"/>
        </w:rPr>
        <w:t>po</w:t>
      </w:r>
      <w:r w:rsidR="00DD3F57" w:rsidRPr="00B457F5">
        <w:rPr>
          <w:rFonts w:ascii="Garamond" w:eastAsia="MS Mincho" w:hAnsi="Garamond" w:cs="Times New Roman"/>
          <w:bCs/>
          <w:szCs w:val="24"/>
        </w:rPr>
        <w:t xml:space="preserve"> </w:t>
      </w:r>
      <w:r w:rsidR="00FD5CEE" w:rsidRPr="00B457F5">
        <w:rPr>
          <w:rFonts w:ascii="Garamond" w:eastAsia="MS Mincho" w:hAnsi="Garamond" w:cs="Times New Roman"/>
          <w:bCs/>
          <w:szCs w:val="24"/>
        </w:rPr>
        <w:t>ashtu</w:t>
      </w:r>
      <w:r w:rsidR="00854CFB" w:rsidRPr="00B457F5">
        <w:rPr>
          <w:rFonts w:ascii="Garamond" w:eastAsia="MS Mincho" w:hAnsi="Garamond" w:cs="Times New Roman"/>
          <w:bCs/>
          <w:szCs w:val="24"/>
        </w:rPr>
        <w:t xml:space="preserve"> ka ndryshime p</w:t>
      </w:r>
      <w:r w:rsidR="00FD5CEE" w:rsidRPr="00B457F5">
        <w:rPr>
          <w:rFonts w:ascii="Garamond" w:eastAsia="MS Mincho" w:hAnsi="Garamond" w:cs="Times New Roman"/>
          <w:bCs/>
          <w:szCs w:val="24"/>
        </w:rPr>
        <w:t>ë</w:t>
      </w:r>
      <w:r w:rsidR="00854CFB" w:rsidRPr="00B457F5">
        <w:rPr>
          <w:rFonts w:ascii="Garamond" w:eastAsia="MS Mincho" w:hAnsi="Garamond" w:cs="Times New Roman"/>
          <w:bCs/>
          <w:szCs w:val="24"/>
        </w:rPr>
        <w:t>r dhjet</w:t>
      </w:r>
      <w:r w:rsidR="00FD5CEE" w:rsidRPr="00B457F5">
        <w:rPr>
          <w:rFonts w:ascii="Garamond" w:eastAsia="MS Mincho" w:hAnsi="Garamond" w:cs="Times New Roman"/>
          <w:bCs/>
          <w:szCs w:val="24"/>
        </w:rPr>
        <w:t>ë</w:t>
      </w:r>
      <w:r w:rsidR="00854CFB" w:rsidRPr="00B457F5">
        <w:rPr>
          <w:rFonts w:ascii="Garamond" w:eastAsia="MS Mincho" w:hAnsi="Garamond" w:cs="Times New Roman"/>
          <w:bCs/>
          <w:szCs w:val="24"/>
        </w:rPr>
        <w:t xml:space="preserve"> shtete</w:t>
      </w:r>
      <w:r w:rsidRPr="00B457F5">
        <w:rPr>
          <w:rFonts w:ascii="Garamond" w:eastAsia="MS Mincho" w:hAnsi="Garamond" w:cs="Times New Roman"/>
          <w:bCs/>
          <w:szCs w:val="24"/>
        </w:rPr>
        <w:t>. Prandaj, Komisioni rekomandon rregullime të mëtejshme si për sa i përket harmonizimit të listës së vendeve të aksesit pa viza, edhe në lidhje me praktikën e heqjes së kërkesave për viza.</w:t>
      </w:r>
    </w:p>
    <w:p w14:paraId="45B9FC36" w14:textId="70C82E3B" w:rsidR="000E276A" w:rsidRPr="00B457F5" w:rsidRDefault="009A6D07" w:rsidP="002E693B">
      <w:pPr>
        <w:spacing w:before="0" w:after="0"/>
        <w:ind w:firstLine="284"/>
        <w:rPr>
          <w:rFonts w:ascii="Garamond" w:hAnsi="Garamond"/>
          <w:szCs w:val="24"/>
        </w:rPr>
      </w:pPr>
      <w:r w:rsidRPr="00B457F5">
        <w:rPr>
          <w:rFonts w:ascii="Garamond" w:eastAsia="MS Mincho" w:hAnsi="Garamond" w:cs="Times New Roman"/>
          <w:bCs/>
          <w:szCs w:val="24"/>
        </w:rPr>
        <w:t xml:space="preserve">Për sa i përket kapaciteteve institucionale, është vënë në dukje rëndësia e rritjes së konsiderueshme të niveleve të personelit dhe krijimit të strukturave të përhershme të trajnimit në Departamentin e Kufirit dhe Migracionit. Për riintegrimin e të kthyerve, veçanërisht atyre më </w:t>
      </w:r>
      <w:r w:rsidR="00D25295" w:rsidRPr="00B457F5">
        <w:rPr>
          <w:rFonts w:ascii="Garamond" w:eastAsia="MS Mincho" w:hAnsi="Garamond" w:cs="Times New Roman"/>
          <w:bCs/>
          <w:szCs w:val="24"/>
        </w:rPr>
        <w:t xml:space="preserve">të cenueshëm </w:t>
      </w:r>
      <w:r w:rsidRPr="00B457F5">
        <w:rPr>
          <w:rFonts w:ascii="Garamond" w:eastAsia="MS Mincho" w:hAnsi="Garamond" w:cs="Times New Roman"/>
          <w:bCs/>
          <w:szCs w:val="24"/>
        </w:rPr>
        <w:t>(si të miturit e pashoqëruar), Komisioni rekomandon formalizimin dhe forcimin e sporteleve të migracionit në bashki</w:t>
      </w:r>
      <w:r w:rsidR="00A619CA" w:rsidRPr="00B457F5">
        <w:rPr>
          <w:rFonts w:ascii="Garamond" w:eastAsia="MS Mincho" w:hAnsi="Garamond" w:cs="Times New Roman"/>
          <w:bCs/>
          <w:szCs w:val="24"/>
        </w:rPr>
        <w:t>.</w:t>
      </w:r>
      <w:r w:rsidR="00A619CA" w:rsidRPr="00B457F5">
        <w:rPr>
          <w:rFonts w:ascii="Garamond" w:eastAsia="MS Mincho" w:hAnsi="Garamond" w:cs="Times New Roman"/>
          <w:bCs/>
          <w:szCs w:val="24"/>
          <w:vertAlign w:val="superscript"/>
        </w:rPr>
        <w:footnoteReference w:id="20"/>
      </w:r>
      <w:r w:rsidR="00A619CA" w:rsidRPr="00B457F5">
        <w:rPr>
          <w:rFonts w:ascii="Garamond" w:eastAsia="MS Mincho" w:hAnsi="Garamond" w:cs="Times New Roman"/>
          <w:bCs/>
          <w:szCs w:val="24"/>
        </w:rPr>
        <w:t xml:space="preserve"> </w:t>
      </w:r>
      <w:r w:rsidRPr="00B457F5">
        <w:rPr>
          <w:rFonts w:ascii="Garamond" w:eastAsia="MS Mincho" w:hAnsi="Garamond" w:cs="Times New Roman"/>
          <w:bCs/>
          <w:szCs w:val="24"/>
        </w:rPr>
        <w:t xml:space="preserve">Angazhimi i fundit është </w:t>
      </w:r>
      <w:r w:rsidR="00917F66" w:rsidRPr="00B457F5">
        <w:rPr>
          <w:rFonts w:ascii="Garamond" w:eastAsia="MS Mincho" w:hAnsi="Garamond" w:cs="Times New Roman"/>
          <w:bCs/>
          <w:szCs w:val="24"/>
        </w:rPr>
        <w:t xml:space="preserve">përfshirë </w:t>
      </w:r>
      <w:r w:rsidRPr="00B457F5">
        <w:rPr>
          <w:rFonts w:ascii="Garamond" w:eastAsia="MS Mincho" w:hAnsi="Garamond" w:cs="Times New Roman"/>
          <w:bCs/>
          <w:szCs w:val="24"/>
        </w:rPr>
        <w:t xml:space="preserve">në Strategji </w:t>
      </w:r>
      <w:r w:rsidR="00917F66" w:rsidRPr="00B457F5">
        <w:rPr>
          <w:rFonts w:ascii="Garamond" w:eastAsia="MS Mincho" w:hAnsi="Garamond" w:cs="Times New Roman"/>
          <w:bCs/>
          <w:szCs w:val="24"/>
        </w:rPr>
        <w:t>në</w:t>
      </w:r>
      <w:r w:rsidRPr="00B457F5">
        <w:rPr>
          <w:rFonts w:ascii="Garamond" w:eastAsia="MS Mincho" w:hAnsi="Garamond" w:cs="Times New Roman"/>
          <w:bCs/>
          <w:szCs w:val="24"/>
        </w:rPr>
        <w:t xml:space="preserve"> </w:t>
      </w:r>
      <w:r w:rsidR="00933B82" w:rsidRPr="00B457F5">
        <w:rPr>
          <w:rFonts w:ascii="Garamond" w:eastAsia="MS Mincho" w:hAnsi="Garamond" w:cs="Times New Roman"/>
          <w:bCs/>
          <w:szCs w:val="24"/>
        </w:rPr>
        <w:t xml:space="preserve">objektivin specifik </w:t>
      </w:r>
      <w:r w:rsidRPr="00B457F5">
        <w:rPr>
          <w:rFonts w:ascii="Garamond" w:eastAsia="MS Mincho" w:hAnsi="Garamond" w:cs="Times New Roman"/>
          <w:bCs/>
          <w:szCs w:val="24"/>
        </w:rPr>
        <w:t xml:space="preserve">2.3, duke kërkuar fuqizimin e zyrës </w:t>
      </w:r>
      <w:r w:rsidR="000B5E0C" w:rsidRPr="00B457F5">
        <w:rPr>
          <w:rFonts w:ascii="Garamond" w:eastAsia="MS Mincho" w:hAnsi="Garamond" w:cs="Times New Roman"/>
          <w:bCs/>
          <w:szCs w:val="24"/>
        </w:rPr>
        <w:t xml:space="preserve">vendore </w:t>
      </w:r>
      <w:r w:rsidRPr="00B457F5">
        <w:rPr>
          <w:rFonts w:ascii="Garamond" w:eastAsia="MS Mincho" w:hAnsi="Garamond" w:cs="Times New Roman"/>
          <w:bCs/>
          <w:szCs w:val="24"/>
        </w:rPr>
        <w:t>për migrimin dhe diasporën</w:t>
      </w:r>
      <w:r w:rsidR="00933B82" w:rsidRPr="00B457F5">
        <w:rPr>
          <w:rFonts w:ascii="Garamond" w:eastAsia="MS Mincho" w:hAnsi="Garamond" w:cs="Times New Roman"/>
          <w:bCs/>
          <w:szCs w:val="24"/>
        </w:rPr>
        <w:t>,</w:t>
      </w:r>
      <w:r w:rsidRPr="00B457F5">
        <w:rPr>
          <w:rFonts w:ascii="Garamond" w:eastAsia="MS Mincho" w:hAnsi="Garamond" w:cs="Times New Roman"/>
          <w:bCs/>
          <w:szCs w:val="24"/>
        </w:rPr>
        <w:t xml:space="preserve"> dhe sportelet e migracionit në përputhje me standardet ndërkombëtare.</w:t>
      </w:r>
    </w:p>
    <w:p w14:paraId="35E8E232" w14:textId="7C39D9E4" w:rsidR="00A619CA" w:rsidRPr="00B457F5" w:rsidRDefault="008F20C3" w:rsidP="002E693B">
      <w:pPr>
        <w:spacing w:before="0" w:after="0"/>
        <w:ind w:firstLine="284"/>
        <w:rPr>
          <w:rFonts w:ascii="Garamond" w:eastAsia="MS Mincho" w:hAnsi="Garamond" w:cs="Times New Roman"/>
          <w:bCs/>
          <w:szCs w:val="24"/>
        </w:rPr>
      </w:pPr>
      <w:r w:rsidRPr="00B457F5">
        <w:rPr>
          <w:rFonts w:ascii="Garamond" w:eastAsia="MS Mincho" w:hAnsi="Garamond" w:cs="Times New Roman"/>
          <w:iCs/>
          <w:szCs w:val="24"/>
        </w:rPr>
        <w:t xml:space="preserve">Raporti i </w:t>
      </w:r>
      <w:r w:rsidR="00E61466" w:rsidRPr="00B457F5">
        <w:rPr>
          <w:rFonts w:ascii="Garamond" w:eastAsia="MS Mincho" w:hAnsi="Garamond" w:cs="Times New Roman"/>
          <w:i/>
          <w:iCs/>
          <w:szCs w:val="24"/>
        </w:rPr>
        <w:t>Screening</w:t>
      </w:r>
      <w:r w:rsidR="00D866BE" w:rsidRPr="00B457F5">
        <w:rPr>
          <w:rFonts w:ascii="Garamond" w:eastAsia="MS Mincho" w:hAnsi="Garamond" w:cs="Times New Roman"/>
          <w:b/>
          <w:i/>
          <w:iCs/>
          <w:szCs w:val="24"/>
        </w:rPr>
        <w:t xml:space="preserve"> </w:t>
      </w:r>
      <w:r w:rsidRPr="00B457F5">
        <w:rPr>
          <w:rFonts w:ascii="Garamond" w:eastAsia="MS Mincho" w:hAnsi="Garamond" w:cs="Times New Roman"/>
          <w:bCs/>
          <w:szCs w:val="24"/>
        </w:rPr>
        <w:t>i publikuar nga BE</w:t>
      </w:r>
      <w:r w:rsidR="000B5E0C" w:rsidRPr="00B457F5">
        <w:rPr>
          <w:rFonts w:ascii="Garamond" w:eastAsia="MS Mincho" w:hAnsi="Garamond" w:cs="Times New Roman"/>
          <w:bCs/>
          <w:szCs w:val="24"/>
        </w:rPr>
        <w:t>-ja</w:t>
      </w:r>
      <w:r w:rsidRPr="00B457F5">
        <w:rPr>
          <w:rFonts w:ascii="Garamond" w:eastAsia="MS Mincho" w:hAnsi="Garamond" w:cs="Times New Roman"/>
          <w:bCs/>
          <w:szCs w:val="24"/>
        </w:rPr>
        <w:t xml:space="preserve"> n</w:t>
      </w:r>
      <w:r w:rsidR="00B0743F" w:rsidRPr="00B457F5">
        <w:rPr>
          <w:rFonts w:ascii="Garamond" w:eastAsia="MS Mincho" w:hAnsi="Garamond" w:cs="Times New Roman"/>
          <w:bCs/>
          <w:szCs w:val="24"/>
        </w:rPr>
        <w:t>ë</w:t>
      </w:r>
      <w:r w:rsidRPr="00B457F5">
        <w:rPr>
          <w:rFonts w:ascii="Garamond" w:eastAsia="MS Mincho" w:hAnsi="Garamond" w:cs="Times New Roman"/>
          <w:bCs/>
          <w:szCs w:val="24"/>
        </w:rPr>
        <w:t xml:space="preserve"> 29 korrik </w:t>
      </w:r>
      <w:r w:rsidR="000B5E0C" w:rsidRPr="00B457F5">
        <w:rPr>
          <w:rFonts w:ascii="Garamond" w:eastAsia="MS Mincho" w:hAnsi="Garamond" w:cs="Times New Roman"/>
          <w:bCs/>
          <w:szCs w:val="24"/>
        </w:rPr>
        <w:t xml:space="preserve">të vitit </w:t>
      </w:r>
      <w:r w:rsidRPr="00B457F5">
        <w:rPr>
          <w:rFonts w:ascii="Garamond" w:eastAsia="MS Mincho" w:hAnsi="Garamond" w:cs="Times New Roman"/>
          <w:bCs/>
          <w:szCs w:val="24"/>
        </w:rPr>
        <w:t>2023</w:t>
      </w:r>
      <w:r w:rsidR="00A619CA" w:rsidRPr="00B457F5">
        <w:rPr>
          <w:rFonts w:ascii="Garamond" w:eastAsia="MS Mincho" w:hAnsi="Garamond" w:cs="Times New Roman"/>
          <w:bCs/>
          <w:szCs w:val="24"/>
        </w:rPr>
        <w:t>,</w:t>
      </w:r>
      <w:r w:rsidR="00A619CA" w:rsidRPr="00B457F5">
        <w:rPr>
          <w:rFonts w:ascii="Garamond" w:eastAsia="MS Mincho" w:hAnsi="Garamond" w:cs="Times New Roman"/>
          <w:bCs/>
          <w:szCs w:val="24"/>
          <w:vertAlign w:val="superscript"/>
        </w:rPr>
        <w:footnoteReference w:id="21"/>
      </w:r>
      <w:r w:rsidR="00A619CA" w:rsidRPr="00B457F5">
        <w:rPr>
          <w:rFonts w:ascii="Garamond" w:eastAsia="MS Mincho" w:hAnsi="Garamond" w:cs="Times New Roman"/>
          <w:bCs/>
          <w:szCs w:val="24"/>
        </w:rPr>
        <w:t xml:space="preserve"> </w:t>
      </w:r>
      <w:r w:rsidR="00090350" w:rsidRPr="00B457F5">
        <w:rPr>
          <w:rFonts w:ascii="Garamond" w:eastAsia="MS Mincho" w:hAnsi="Garamond" w:cs="Times New Roman"/>
          <w:bCs/>
          <w:szCs w:val="24"/>
        </w:rPr>
        <w:t xml:space="preserve">vlerësoi progresin e Shqipërisë në fushën e menaxhimit të migracionit dhe theksoi disa veprime prioritare. U rekomandua përditësimi i Strategjisë Kombëtare për Migracionin dhe </w:t>
      </w:r>
      <w:r w:rsidR="00CD6740" w:rsidRPr="00B457F5">
        <w:rPr>
          <w:rFonts w:ascii="Garamond" w:eastAsia="MS Mincho" w:hAnsi="Garamond" w:cs="Times New Roman"/>
          <w:bCs/>
          <w:szCs w:val="24"/>
        </w:rPr>
        <w:t>P</w:t>
      </w:r>
      <w:r w:rsidR="00090350" w:rsidRPr="00B457F5">
        <w:rPr>
          <w:rFonts w:ascii="Garamond" w:eastAsia="MS Mincho" w:hAnsi="Garamond" w:cs="Times New Roman"/>
          <w:bCs/>
          <w:szCs w:val="24"/>
        </w:rPr>
        <w:t>lanit t</w:t>
      </w:r>
      <w:r w:rsidR="00B0743F" w:rsidRPr="00B457F5">
        <w:rPr>
          <w:rFonts w:ascii="Garamond" w:eastAsia="MS Mincho" w:hAnsi="Garamond" w:cs="Times New Roman"/>
          <w:bCs/>
          <w:szCs w:val="24"/>
        </w:rPr>
        <w:t>ë</w:t>
      </w:r>
      <w:r w:rsidR="00090350" w:rsidRPr="00B457F5">
        <w:rPr>
          <w:rFonts w:ascii="Garamond" w:eastAsia="MS Mincho" w:hAnsi="Garamond" w:cs="Times New Roman"/>
          <w:bCs/>
          <w:szCs w:val="24"/>
        </w:rPr>
        <w:t xml:space="preserve"> </w:t>
      </w:r>
      <w:r w:rsidR="00CD6740" w:rsidRPr="00B457F5">
        <w:rPr>
          <w:rFonts w:ascii="Garamond" w:eastAsia="MS Mincho" w:hAnsi="Garamond" w:cs="Times New Roman"/>
          <w:bCs/>
          <w:szCs w:val="24"/>
        </w:rPr>
        <w:t>V</w:t>
      </w:r>
      <w:r w:rsidR="00090350" w:rsidRPr="00B457F5">
        <w:rPr>
          <w:rFonts w:ascii="Garamond" w:eastAsia="MS Mincho" w:hAnsi="Garamond" w:cs="Times New Roman"/>
          <w:bCs/>
          <w:szCs w:val="24"/>
        </w:rPr>
        <w:t xml:space="preserve">eprimit përkatës, si dhe ndryshimi </w:t>
      </w:r>
      <w:r w:rsidR="00093A30" w:rsidRPr="00B457F5">
        <w:rPr>
          <w:rFonts w:ascii="Garamond" w:eastAsia="MS Mincho" w:hAnsi="Garamond" w:cs="Times New Roman"/>
          <w:bCs/>
          <w:szCs w:val="24"/>
        </w:rPr>
        <w:t>i</w:t>
      </w:r>
      <w:r w:rsidR="00090350" w:rsidRPr="00B457F5">
        <w:rPr>
          <w:rFonts w:ascii="Garamond" w:eastAsia="MS Mincho" w:hAnsi="Garamond" w:cs="Times New Roman"/>
          <w:bCs/>
          <w:szCs w:val="24"/>
        </w:rPr>
        <w:t xml:space="preserve"> planit të </w:t>
      </w:r>
      <w:r w:rsidR="00093A30" w:rsidRPr="00B457F5">
        <w:rPr>
          <w:rFonts w:ascii="Garamond" w:eastAsia="MS Mincho" w:hAnsi="Garamond" w:cs="Times New Roman"/>
          <w:bCs/>
          <w:szCs w:val="24"/>
        </w:rPr>
        <w:t>konti</w:t>
      </w:r>
      <w:r w:rsidR="00090350" w:rsidRPr="00B457F5">
        <w:rPr>
          <w:rFonts w:ascii="Garamond" w:eastAsia="MS Mincho" w:hAnsi="Garamond" w:cs="Times New Roman"/>
          <w:bCs/>
          <w:szCs w:val="24"/>
        </w:rPr>
        <w:t>gjencës të Ministrisë së Brendshme për një numër të konsiderueshëm</w:t>
      </w:r>
      <w:r w:rsidR="0037116F" w:rsidRPr="00B457F5">
        <w:rPr>
          <w:rFonts w:ascii="Garamond" w:eastAsia="MS Mincho" w:hAnsi="Garamond" w:cs="Times New Roman"/>
          <w:bCs/>
          <w:szCs w:val="24"/>
        </w:rPr>
        <w:t>,</w:t>
      </w:r>
      <w:r w:rsidR="00090350" w:rsidRPr="00B457F5">
        <w:rPr>
          <w:rFonts w:ascii="Garamond" w:eastAsia="MS Mincho" w:hAnsi="Garamond" w:cs="Times New Roman"/>
          <w:bCs/>
          <w:szCs w:val="24"/>
        </w:rPr>
        <w:t xml:space="preserve"> të mundshëm</w:t>
      </w:r>
      <w:r w:rsidR="0037116F" w:rsidRPr="00B457F5">
        <w:rPr>
          <w:rFonts w:ascii="Garamond" w:eastAsia="MS Mincho" w:hAnsi="Garamond" w:cs="Times New Roman"/>
          <w:bCs/>
          <w:szCs w:val="24"/>
        </w:rPr>
        <w:t>,</w:t>
      </w:r>
      <w:r w:rsidR="00090350" w:rsidRPr="00B457F5">
        <w:rPr>
          <w:rFonts w:ascii="Garamond" w:eastAsia="MS Mincho" w:hAnsi="Garamond" w:cs="Times New Roman"/>
          <w:bCs/>
          <w:szCs w:val="24"/>
        </w:rPr>
        <w:t xml:space="preserve"> të </w:t>
      </w:r>
      <w:r w:rsidR="00CD6740" w:rsidRPr="00B457F5">
        <w:rPr>
          <w:rFonts w:ascii="Garamond" w:eastAsia="MS Mincho" w:hAnsi="Garamond" w:cs="Times New Roman"/>
          <w:bCs/>
          <w:szCs w:val="24"/>
        </w:rPr>
        <w:t xml:space="preserve">flukseve </w:t>
      </w:r>
      <w:r w:rsidR="00090350" w:rsidRPr="00B457F5">
        <w:rPr>
          <w:rFonts w:ascii="Garamond" w:eastAsia="MS Mincho" w:hAnsi="Garamond" w:cs="Times New Roman"/>
          <w:bCs/>
          <w:szCs w:val="24"/>
        </w:rPr>
        <w:t>të migrantëve dhe azilkërkuesve</w:t>
      </w:r>
      <w:r w:rsidR="00093A30" w:rsidRPr="00B457F5">
        <w:rPr>
          <w:rFonts w:ascii="Garamond" w:eastAsia="MS Mincho" w:hAnsi="Garamond" w:cs="Times New Roman"/>
          <w:bCs/>
          <w:szCs w:val="24"/>
        </w:rPr>
        <w:t>,</w:t>
      </w:r>
      <w:r w:rsidR="00090350" w:rsidRPr="00B457F5">
        <w:rPr>
          <w:rFonts w:ascii="Garamond" w:eastAsia="MS Mincho" w:hAnsi="Garamond" w:cs="Times New Roman"/>
          <w:bCs/>
          <w:szCs w:val="24"/>
        </w:rPr>
        <w:t xml:space="preserve"> për të detajuar ndarjet buxhetore dhe modalitetet operacionale.</w:t>
      </w:r>
      <w:r w:rsidR="00A619CA" w:rsidRPr="00B457F5">
        <w:rPr>
          <w:rFonts w:ascii="Garamond" w:eastAsia="MS Mincho" w:hAnsi="Garamond" w:cs="Times New Roman"/>
          <w:bCs/>
          <w:szCs w:val="24"/>
        </w:rPr>
        <w:t xml:space="preserve"> </w:t>
      </w:r>
      <w:r w:rsidR="0050165A" w:rsidRPr="00B457F5">
        <w:rPr>
          <w:rFonts w:ascii="Garamond" w:eastAsia="MS Mincho" w:hAnsi="Garamond" w:cs="Times New Roman"/>
          <w:bCs/>
          <w:szCs w:val="24"/>
        </w:rPr>
        <w:t xml:space="preserve">BE-ja ka theksuar se marrëveshja e ripranimit me BE-në është përcjellë me protokolle zbatuese që janë lidhur me 15 shtete anëtare të BE-së. U njoh gjithashtu nisma e Shqipërisë për të propozuar nënshkrimin e marrëveshjeve të ripranimit </w:t>
      </w:r>
      <w:r w:rsidR="008F4C2C" w:rsidRPr="00B457F5">
        <w:rPr>
          <w:rFonts w:ascii="Garamond" w:eastAsia="MS Mincho" w:hAnsi="Garamond" w:cs="Times New Roman"/>
          <w:bCs/>
          <w:szCs w:val="24"/>
        </w:rPr>
        <w:t xml:space="preserve">me </w:t>
      </w:r>
      <w:r w:rsidR="0050165A" w:rsidRPr="00B457F5">
        <w:rPr>
          <w:rFonts w:ascii="Garamond" w:eastAsia="MS Mincho" w:hAnsi="Garamond" w:cs="Times New Roman"/>
          <w:bCs/>
          <w:szCs w:val="24"/>
        </w:rPr>
        <w:t>disa vende të origjinës, por u vu</w:t>
      </w:r>
      <w:r w:rsidR="002C1849" w:rsidRPr="00B457F5">
        <w:rPr>
          <w:rFonts w:ascii="Garamond" w:eastAsia="MS Mincho" w:hAnsi="Garamond" w:cs="Times New Roman"/>
          <w:bCs/>
          <w:szCs w:val="24"/>
        </w:rPr>
        <w:t>n</w:t>
      </w:r>
      <w:r w:rsidR="00B0743F" w:rsidRPr="00B457F5">
        <w:rPr>
          <w:rFonts w:ascii="Garamond" w:eastAsia="MS Mincho" w:hAnsi="Garamond" w:cs="Times New Roman"/>
          <w:bCs/>
          <w:szCs w:val="24"/>
        </w:rPr>
        <w:t>ë</w:t>
      </w:r>
      <w:r w:rsidR="0050165A" w:rsidRPr="00B457F5">
        <w:rPr>
          <w:rFonts w:ascii="Garamond" w:eastAsia="MS Mincho" w:hAnsi="Garamond" w:cs="Times New Roman"/>
          <w:bCs/>
          <w:szCs w:val="24"/>
        </w:rPr>
        <w:t xml:space="preserve"> në dukje vështirësitë </w:t>
      </w:r>
      <w:r w:rsidR="008F4C2C" w:rsidRPr="00B457F5">
        <w:rPr>
          <w:rFonts w:ascii="Garamond" w:eastAsia="MS Mincho" w:hAnsi="Garamond" w:cs="Times New Roman"/>
          <w:bCs/>
          <w:szCs w:val="24"/>
        </w:rPr>
        <w:t>me të cilat u përball vendi sa i takon përfundimit të tyre</w:t>
      </w:r>
      <w:r w:rsidR="0050165A" w:rsidRPr="00B457F5">
        <w:rPr>
          <w:rFonts w:ascii="Garamond" w:eastAsia="MS Mincho" w:hAnsi="Garamond" w:cs="Times New Roman"/>
          <w:bCs/>
          <w:szCs w:val="24"/>
        </w:rPr>
        <w:t xml:space="preserve">. </w:t>
      </w:r>
      <w:r w:rsidR="00C45E6D" w:rsidRPr="00B457F5">
        <w:rPr>
          <w:rFonts w:ascii="Garamond" w:eastAsia="MS Mincho" w:hAnsi="Garamond" w:cs="Times New Roman"/>
          <w:bCs/>
          <w:szCs w:val="24"/>
        </w:rPr>
        <w:t xml:space="preserve">Në lidhje me migracionin e rregullt, Komisioni Evropian pranoi qëndrimin e Shqipërisë për nevojën e mbështetjes së ekspertëve </w:t>
      </w:r>
      <w:r w:rsidR="00530684" w:rsidRPr="00B457F5">
        <w:rPr>
          <w:rFonts w:ascii="Garamond" w:eastAsia="MS Mincho" w:hAnsi="Garamond" w:cs="Times New Roman"/>
          <w:bCs/>
          <w:szCs w:val="24"/>
        </w:rPr>
        <w:t xml:space="preserve">për </w:t>
      </w:r>
      <w:r w:rsidR="00C45E6D" w:rsidRPr="00B457F5">
        <w:rPr>
          <w:rFonts w:ascii="Garamond" w:eastAsia="MS Mincho" w:hAnsi="Garamond" w:cs="Times New Roman"/>
          <w:bCs/>
          <w:szCs w:val="24"/>
        </w:rPr>
        <w:t>zhvillimin e dispozitave ligjore, zbatimin e direktivave të BE-së për Kartën Blu, lejen e vetme dhe bashkimin familjar.</w:t>
      </w:r>
      <w:r w:rsidR="00F96FF8" w:rsidRPr="00B457F5">
        <w:rPr>
          <w:rFonts w:ascii="Garamond" w:hAnsi="Garamond"/>
          <w:szCs w:val="24"/>
        </w:rPr>
        <w:t xml:space="preserve"> </w:t>
      </w:r>
      <w:r w:rsidR="00F96FF8" w:rsidRPr="00B457F5">
        <w:rPr>
          <w:rFonts w:ascii="Garamond" w:eastAsia="MS Mincho" w:hAnsi="Garamond" w:cs="Times New Roman"/>
          <w:bCs/>
          <w:szCs w:val="24"/>
        </w:rPr>
        <w:t>Në përputhje me raportin e BE-së, Strategjia Kombëtare për Migracionin 2024</w:t>
      </w:r>
      <w:r w:rsidR="0037116F" w:rsidRPr="00B457F5">
        <w:rPr>
          <w:rFonts w:ascii="Garamond" w:eastAsia="MS Mincho" w:hAnsi="Garamond" w:cs="Times New Roman"/>
          <w:bCs/>
          <w:szCs w:val="24"/>
        </w:rPr>
        <w:t>–</w:t>
      </w:r>
      <w:r w:rsidR="00F96FF8" w:rsidRPr="00B457F5">
        <w:rPr>
          <w:rFonts w:ascii="Garamond" w:eastAsia="MS Mincho" w:hAnsi="Garamond" w:cs="Times New Roman"/>
          <w:bCs/>
          <w:szCs w:val="24"/>
        </w:rPr>
        <w:t>2030 përfaqëson një përditësim të madh të strategjisë së migracionit, duke parashikuar në mënyrë specifike miratimin e ndryshimeve ligjore për migracionin</w:t>
      </w:r>
      <w:r w:rsidR="0037116F" w:rsidRPr="00B457F5">
        <w:rPr>
          <w:rFonts w:ascii="Garamond" w:eastAsia="MS Mincho" w:hAnsi="Garamond" w:cs="Times New Roman"/>
          <w:bCs/>
          <w:szCs w:val="24"/>
        </w:rPr>
        <w:t>,</w:t>
      </w:r>
      <w:r w:rsidR="00F96FF8" w:rsidRPr="00B457F5">
        <w:rPr>
          <w:rFonts w:ascii="Garamond" w:eastAsia="MS Mincho" w:hAnsi="Garamond" w:cs="Times New Roman"/>
          <w:bCs/>
          <w:szCs w:val="24"/>
        </w:rPr>
        <w:t xml:space="preserve"> për motive punësimi dhe përafrimin e mëtejshëm me </w:t>
      </w:r>
      <w:r w:rsidR="00F96FF8" w:rsidRPr="00B457F5">
        <w:rPr>
          <w:rFonts w:ascii="Garamond" w:eastAsia="MS Mincho" w:hAnsi="Garamond" w:cs="Times New Roman"/>
          <w:bCs/>
          <w:i/>
          <w:szCs w:val="24"/>
        </w:rPr>
        <w:t>acquis</w:t>
      </w:r>
      <w:r w:rsidR="00F96FF8" w:rsidRPr="00B457F5">
        <w:rPr>
          <w:rFonts w:ascii="Garamond" w:eastAsia="MS Mincho" w:hAnsi="Garamond" w:cs="Times New Roman"/>
          <w:bCs/>
          <w:szCs w:val="24"/>
        </w:rPr>
        <w:t xml:space="preserve"> të BE-së.</w:t>
      </w:r>
      <w:r w:rsidR="00F96FF8" w:rsidRPr="00B457F5">
        <w:rPr>
          <w:rStyle w:val="FootnoteReference"/>
          <w:rFonts w:ascii="Garamond" w:eastAsia="MS Mincho" w:hAnsi="Garamond" w:cs="Times New Roman"/>
          <w:bCs/>
          <w:szCs w:val="24"/>
        </w:rPr>
        <w:footnoteReference w:id="22"/>
      </w:r>
    </w:p>
    <w:p w14:paraId="588792C6" w14:textId="5268F3E4" w:rsidR="00A619CA" w:rsidRPr="00B457F5" w:rsidRDefault="00314FD7"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Strategjia e BE</w:t>
      </w:r>
      <w:r w:rsidR="00923628" w:rsidRPr="00B457F5">
        <w:rPr>
          <w:rFonts w:ascii="Garamond" w:eastAsia="MS Mincho" w:hAnsi="Garamond" w:cs="Times New Roman"/>
          <w:szCs w:val="24"/>
        </w:rPr>
        <w:t>-së</w:t>
      </w:r>
      <w:r w:rsidRPr="00B457F5">
        <w:rPr>
          <w:rFonts w:ascii="Garamond" w:eastAsia="MS Mincho" w:hAnsi="Garamond" w:cs="Times New Roman"/>
          <w:szCs w:val="24"/>
        </w:rPr>
        <w:t xml:space="preserve"> p</w:t>
      </w:r>
      <w:r w:rsidR="00B0743F" w:rsidRPr="00B457F5">
        <w:rPr>
          <w:rFonts w:ascii="Garamond" w:eastAsia="MS Mincho" w:hAnsi="Garamond" w:cs="Times New Roman"/>
          <w:szCs w:val="24"/>
        </w:rPr>
        <w:t>ë</w:t>
      </w:r>
      <w:r w:rsidRPr="00B457F5">
        <w:rPr>
          <w:rFonts w:ascii="Garamond" w:eastAsia="MS Mincho" w:hAnsi="Garamond" w:cs="Times New Roman"/>
          <w:szCs w:val="24"/>
        </w:rPr>
        <w:t>r Kthimin Vullnetar dhe Riintegrimin</w:t>
      </w:r>
      <w:r w:rsidR="00A619CA" w:rsidRPr="00B457F5">
        <w:rPr>
          <w:rFonts w:ascii="Garamond" w:eastAsia="MS Mincho" w:hAnsi="Garamond" w:cs="Times New Roman"/>
          <w:szCs w:val="24"/>
        </w:rPr>
        <w:t>,</w:t>
      </w:r>
      <w:r w:rsidR="00A619CA" w:rsidRPr="00B457F5">
        <w:rPr>
          <w:rFonts w:ascii="Garamond" w:eastAsia="MS Mincho" w:hAnsi="Garamond" w:cs="Times New Roman"/>
          <w:bCs/>
          <w:szCs w:val="24"/>
          <w:vertAlign w:val="superscript"/>
        </w:rPr>
        <w:footnoteReference w:id="23"/>
      </w:r>
      <w:r w:rsidR="00A619CA" w:rsidRPr="00B457F5">
        <w:rPr>
          <w:rFonts w:ascii="Garamond" w:eastAsia="MS Mincho" w:hAnsi="Garamond" w:cs="Times New Roman"/>
          <w:b/>
          <w:szCs w:val="24"/>
        </w:rPr>
        <w:t xml:space="preserve"> </w:t>
      </w:r>
      <w:r w:rsidR="000162A1" w:rsidRPr="00B457F5">
        <w:rPr>
          <w:rFonts w:ascii="Garamond" w:eastAsia="MS Mincho" w:hAnsi="Garamond" w:cs="Times New Roman"/>
          <w:bCs/>
          <w:szCs w:val="24"/>
        </w:rPr>
        <w:t>publikuar</w:t>
      </w:r>
      <w:r w:rsidR="00A619CA" w:rsidRPr="00B457F5">
        <w:rPr>
          <w:rFonts w:ascii="Garamond" w:eastAsia="MS Mincho" w:hAnsi="Garamond" w:cs="Times New Roman"/>
          <w:bCs/>
          <w:szCs w:val="24"/>
        </w:rPr>
        <w:t xml:space="preserve"> </w:t>
      </w:r>
      <w:r w:rsidRPr="00B457F5">
        <w:rPr>
          <w:rFonts w:ascii="Garamond" w:eastAsia="MS Mincho" w:hAnsi="Garamond" w:cs="Times New Roman"/>
          <w:bCs/>
          <w:szCs w:val="24"/>
        </w:rPr>
        <w:t>në vitin 2021, promovon kthimin dhe riintegrimin vullnetar</w:t>
      </w:r>
      <w:r w:rsidR="0037116F" w:rsidRPr="00B457F5">
        <w:rPr>
          <w:rFonts w:ascii="Garamond" w:eastAsia="MS Mincho" w:hAnsi="Garamond" w:cs="Times New Roman"/>
          <w:bCs/>
          <w:szCs w:val="24"/>
        </w:rPr>
        <w:t>,</w:t>
      </w:r>
      <w:r w:rsidRPr="00B457F5">
        <w:rPr>
          <w:rFonts w:ascii="Garamond" w:eastAsia="MS Mincho" w:hAnsi="Garamond" w:cs="Times New Roman"/>
          <w:bCs/>
          <w:szCs w:val="24"/>
        </w:rPr>
        <w:t xml:space="preserve"> në kuadër të një sistemi të përbashkët të kthimit të BE-së. Në kuadër të Strategjisë, BE-ja synon të nxisë qëndrueshmërinë e mbështetjes për riintegrim dhe pronësinë e vendeve partnere në proces.</w:t>
      </w:r>
    </w:p>
    <w:p w14:paraId="5262358C" w14:textId="1F61599B" w:rsidR="00A619CA" w:rsidRPr="00B457F5" w:rsidRDefault="009611ED"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Strategjia vë në dukje se </w:t>
      </w:r>
      <w:r w:rsidR="00530DF7" w:rsidRPr="00B457F5">
        <w:rPr>
          <w:rFonts w:ascii="Garamond" w:eastAsia="MS Mincho" w:hAnsi="Garamond" w:cs="Times New Roman"/>
          <w:szCs w:val="24"/>
        </w:rPr>
        <w:t xml:space="preserve">ka disa </w:t>
      </w:r>
      <w:r w:rsidRPr="00B457F5">
        <w:rPr>
          <w:rFonts w:ascii="Garamond" w:eastAsia="MS Mincho" w:hAnsi="Garamond" w:cs="Times New Roman"/>
          <w:szCs w:val="24"/>
        </w:rPr>
        <w:t>arsye</w:t>
      </w:r>
      <w:r w:rsidR="00530DF7" w:rsidRPr="00B457F5">
        <w:rPr>
          <w:rFonts w:ascii="Garamond" w:eastAsia="MS Mincho" w:hAnsi="Garamond" w:cs="Times New Roman"/>
          <w:szCs w:val="24"/>
        </w:rPr>
        <w:t xml:space="preserve"> që</w:t>
      </w:r>
      <w:r w:rsidRPr="00B457F5">
        <w:rPr>
          <w:rFonts w:ascii="Garamond" w:eastAsia="MS Mincho" w:hAnsi="Garamond" w:cs="Times New Roman"/>
          <w:szCs w:val="24"/>
        </w:rPr>
        <w:t xml:space="preserve"> ndikojnë negativisht </w:t>
      </w:r>
      <w:r w:rsidR="00530DF7" w:rsidRPr="00B457F5">
        <w:rPr>
          <w:rFonts w:ascii="Garamond" w:eastAsia="MS Mincho" w:hAnsi="Garamond" w:cs="Times New Roman"/>
          <w:szCs w:val="24"/>
        </w:rPr>
        <w:t xml:space="preserve">për </w:t>
      </w:r>
      <w:r w:rsidRPr="00B457F5">
        <w:rPr>
          <w:rFonts w:ascii="Garamond" w:eastAsia="MS Mincho" w:hAnsi="Garamond" w:cs="Times New Roman"/>
          <w:szCs w:val="24"/>
        </w:rPr>
        <w:t xml:space="preserve">ndjenjën e pronësisë </w:t>
      </w:r>
      <w:r w:rsidR="00530DF7" w:rsidRPr="00B457F5">
        <w:rPr>
          <w:rFonts w:ascii="Garamond" w:eastAsia="MS Mincho" w:hAnsi="Garamond" w:cs="Times New Roman"/>
          <w:szCs w:val="24"/>
        </w:rPr>
        <w:t xml:space="preserve">mbi </w:t>
      </w:r>
      <w:r w:rsidRPr="00B457F5">
        <w:rPr>
          <w:rFonts w:ascii="Garamond" w:eastAsia="MS Mincho" w:hAnsi="Garamond" w:cs="Times New Roman"/>
          <w:szCs w:val="24"/>
        </w:rPr>
        <w:t>procesi</w:t>
      </w:r>
      <w:r w:rsidR="00530DF7" w:rsidRPr="00B457F5">
        <w:rPr>
          <w:rFonts w:ascii="Garamond" w:eastAsia="MS Mincho" w:hAnsi="Garamond" w:cs="Times New Roman"/>
          <w:szCs w:val="24"/>
        </w:rPr>
        <w:t>n e</w:t>
      </w:r>
      <w:r w:rsidRPr="00B457F5">
        <w:rPr>
          <w:rFonts w:ascii="Garamond" w:eastAsia="MS Mincho" w:hAnsi="Garamond" w:cs="Times New Roman"/>
          <w:szCs w:val="24"/>
        </w:rPr>
        <w:t xml:space="preserve"> riintegrimit të vendeve të origjinës, si: mangësitë në lidhje me kapacitetet, shërbimet publike</w:t>
      </w:r>
      <w:r w:rsidR="0037116F" w:rsidRPr="00B457F5">
        <w:rPr>
          <w:rFonts w:ascii="Garamond" w:eastAsia="MS Mincho" w:hAnsi="Garamond" w:cs="Times New Roman"/>
          <w:szCs w:val="24"/>
        </w:rPr>
        <w:t>,</w:t>
      </w:r>
      <w:r w:rsidRPr="00B457F5">
        <w:rPr>
          <w:rFonts w:ascii="Garamond" w:eastAsia="MS Mincho" w:hAnsi="Garamond" w:cs="Times New Roman"/>
          <w:szCs w:val="24"/>
        </w:rPr>
        <w:t xml:space="preserve"> si dhe kuadrin politik, legjislativ dhe operacional. </w:t>
      </w:r>
      <w:r w:rsidR="004167AD" w:rsidRPr="00B457F5">
        <w:rPr>
          <w:rFonts w:ascii="Garamond" w:eastAsia="MS Mincho" w:hAnsi="Garamond" w:cs="Times New Roman"/>
          <w:szCs w:val="24"/>
        </w:rPr>
        <w:t xml:space="preserve">Referimi te shërbimet publike të përfshira në procesin e riintegrimit, duke përfshirë ofruesit e kujdesit shëndetësor, shërbimet e trajnimit dhe arsimit, si dhe agjencitë e punësimit, mund të vuajë nga moszhvillimi për shkak të mungesës së koordinimit dhe cilësisë së papërshtatshme të shërbimit. Kjo mund të pengojë efektivitetin e përpjekjeve për riintegrim, duke e bërë </w:t>
      </w:r>
      <w:r w:rsidR="003F5761" w:rsidRPr="00B457F5">
        <w:rPr>
          <w:rFonts w:ascii="Garamond" w:eastAsia="MS Mincho" w:hAnsi="Garamond" w:cs="Times New Roman"/>
          <w:szCs w:val="24"/>
        </w:rPr>
        <w:t xml:space="preserve">të vështirë </w:t>
      </w:r>
      <w:r w:rsidR="004167AD" w:rsidRPr="00B457F5">
        <w:rPr>
          <w:rFonts w:ascii="Garamond" w:eastAsia="MS Mincho" w:hAnsi="Garamond" w:cs="Times New Roman"/>
          <w:szCs w:val="24"/>
        </w:rPr>
        <w:t xml:space="preserve">për individët aksesin në mbështetjen që u nevojitet. Për më tepër, mungesa e sinergjive ndërmjet punës së aktorëve ndërkombëtarë dhe kornizave dhe nismave të zhvilluara nga vendet e origjinës, duke përfshirë strukturat paralele, mund të ketë një ndikim të dëmshëm në procesin e riintegrimit. Mungesa e koordinimit dhe bashkëpunimit ndërmjet këtyre </w:t>
      </w:r>
      <w:r w:rsidR="004167AD" w:rsidRPr="00B457F5">
        <w:rPr>
          <w:rFonts w:ascii="Garamond" w:eastAsia="MS Mincho" w:hAnsi="Garamond" w:cs="Times New Roman"/>
          <w:szCs w:val="24"/>
        </w:rPr>
        <w:lastRenderedPageBreak/>
        <w:t xml:space="preserve">subjekteve mund të çojë në </w:t>
      </w:r>
      <w:r w:rsidR="003F5761" w:rsidRPr="00B457F5">
        <w:rPr>
          <w:rFonts w:ascii="Garamond" w:eastAsia="MS Mincho" w:hAnsi="Garamond" w:cs="Times New Roman"/>
          <w:szCs w:val="24"/>
        </w:rPr>
        <w:t xml:space="preserve">mungesë </w:t>
      </w:r>
      <w:r w:rsidR="004167AD" w:rsidRPr="00B457F5">
        <w:rPr>
          <w:rFonts w:ascii="Garamond" w:eastAsia="MS Mincho" w:hAnsi="Garamond" w:cs="Times New Roman"/>
          <w:szCs w:val="24"/>
        </w:rPr>
        <w:t>efikasitet</w:t>
      </w:r>
      <w:r w:rsidR="003F5761" w:rsidRPr="00B457F5">
        <w:rPr>
          <w:rFonts w:ascii="Garamond" w:eastAsia="MS Mincho" w:hAnsi="Garamond" w:cs="Times New Roman"/>
          <w:szCs w:val="24"/>
        </w:rPr>
        <w:t>i</w:t>
      </w:r>
      <w:r w:rsidR="004167AD" w:rsidRPr="00B457F5">
        <w:rPr>
          <w:rFonts w:ascii="Garamond" w:eastAsia="MS Mincho" w:hAnsi="Garamond" w:cs="Times New Roman"/>
          <w:szCs w:val="24"/>
        </w:rPr>
        <w:t xml:space="preserve"> dhe përpjekje të fragmentuara, duke penguar</w:t>
      </w:r>
      <w:r w:rsidR="00156434" w:rsidRPr="00B457F5">
        <w:rPr>
          <w:rFonts w:ascii="Garamond" w:eastAsia="MS Mincho" w:hAnsi="Garamond" w:cs="Times New Roman"/>
          <w:szCs w:val="24"/>
        </w:rPr>
        <w:t xml:space="preserve"> kështu</w:t>
      </w:r>
      <w:r w:rsidR="004167AD" w:rsidRPr="00B457F5">
        <w:rPr>
          <w:rFonts w:ascii="Garamond" w:eastAsia="MS Mincho" w:hAnsi="Garamond" w:cs="Times New Roman"/>
          <w:szCs w:val="24"/>
        </w:rPr>
        <w:t xml:space="preserve"> riintegrimin e suksesshëm të individëve në vendet e tyre.</w:t>
      </w:r>
    </w:p>
    <w:p w14:paraId="5211B399" w14:textId="7593D20E" w:rsidR="00602070" w:rsidRPr="00B457F5" w:rsidRDefault="00F81E0F" w:rsidP="002E693B">
      <w:pPr>
        <w:spacing w:before="0" w:after="0"/>
        <w:ind w:firstLine="284"/>
        <w:rPr>
          <w:rFonts w:ascii="Garamond" w:eastAsia="Times New Roman" w:hAnsi="Garamond" w:cs="Times New Roman"/>
          <w:color w:val="0D0D0D"/>
          <w:szCs w:val="24"/>
        </w:rPr>
      </w:pPr>
      <w:r w:rsidRPr="00B457F5">
        <w:rPr>
          <w:rFonts w:ascii="Garamond" w:eastAsia="MS Mincho" w:hAnsi="Garamond" w:cs="Times New Roman"/>
          <w:szCs w:val="24"/>
        </w:rPr>
        <w:t xml:space="preserve">BE-ja do të promovojë një rritje graduale të pronësisë së vendeve të origjinës mbi procesin e riintegrimit në nismat kombëtare dhe </w:t>
      </w:r>
      <w:r w:rsidR="00156434" w:rsidRPr="00B457F5">
        <w:rPr>
          <w:rFonts w:ascii="Garamond" w:eastAsia="MS Mincho" w:hAnsi="Garamond" w:cs="Times New Roman"/>
          <w:szCs w:val="24"/>
        </w:rPr>
        <w:t xml:space="preserve">vendore </w:t>
      </w:r>
      <w:r w:rsidRPr="00B457F5">
        <w:rPr>
          <w:rFonts w:ascii="Garamond" w:eastAsia="MS Mincho" w:hAnsi="Garamond" w:cs="Times New Roman"/>
          <w:szCs w:val="24"/>
        </w:rPr>
        <w:t xml:space="preserve">në vendet partnere, duke siguruar qëndrueshmëri dhe kontekstualizim, si dhe duke rritur efektivitetin, duke </w:t>
      </w:r>
      <w:r w:rsidR="004B410E" w:rsidRPr="00B457F5">
        <w:rPr>
          <w:rFonts w:ascii="Garamond" w:eastAsia="MS Mincho" w:hAnsi="Garamond" w:cs="Times New Roman"/>
          <w:szCs w:val="24"/>
        </w:rPr>
        <w:t xml:space="preserve">përfshirë </w:t>
      </w:r>
      <w:r w:rsidRPr="00B457F5">
        <w:rPr>
          <w:rFonts w:ascii="Garamond" w:eastAsia="MS Mincho" w:hAnsi="Garamond" w:cs="Times New Roman"/>
          <w:szCs w:val="24"/>
        </w:rPr>
        <w:t xml:space="preserve">gjithashtu shoqërinë civile dhe sektorin privat për të mobilizuar pikat e tyre të forta. </w:t>
      </w:r>
      <w:r w:rsidR="00A2088F" w:rsidRPr="00B457F5">
        <w:rPr>
          <w:rFonts w:ascii="Garamond" w:eastAsia="MS Mincho" w:hAnsi="Garamond" w:cs="Times New Roman"/>
          <w:szCs w:val="24"/>
        </w:rPr>
        <w:t>FRONTEX</w:t>
      </w:r>
      <w:r w:rsidR="004B410E" w:rsidRPr="00B457F5">
        <w:rPr>
          <w:rFonts w:ascii="Garamond" w:eastAsia="MS Mincho" w:hAnsi="Garamond" w:cs="Times New Roman"/>
          <w:szCs w:val="24"/>
        </w:rPr>
        <w:t>-i</w:t>
      </w:r>
      <w:r w:rsidRPr="00B457F5">
        <w:rPr>
          <w:rFonts w:ascii="Garamond" w:eastAsia="MS Mincho" w:hAnsi="Garamond" w:cs="Times New Roman"/>
          <w:szCs w:val="24"/>
        </w:rPr>
        <w:t xml:space="preserve"> do të kontribuojë </w:t>
      </w:r>
      <w:r w:rsidR="004B410E" w:rsidRPr="00B457F5">
        <w:rPr>
          <w:rFonts w:ascii="Garamond" w:eastAsia="MS Mincho" w:hAnsi="Garamond" w:cs="Times New Roman"/>
          <w:szCs w:val="24"/>
        </w:rPr>
        <w:t>për</w:t>
      </w:r>
      <w:r w:rsidRPr="00B457F5">
        <w:rPr>
          <w:rFonts w:ascii="Garamond" w:eastAsia="MS Mincho" w:hAnsi="Garamond" w:cs="Times New Roman"/>
          <w:szCs w:val="24"/>
        </w:rPr>
        <w:t xml:space="preserve"> forcimin e kapaciteteve për kthimin dhe riintegrimin vullnetar, duke përfshirë vendosjen e oficerëve ndërlidhës në vendet e treta për të ndihmuar në organizimin e ripranimit dhe riintegrimit, ndërtimin e kapaciteteve </w:t>
      </w:r>
      <w:r w:rsidR="00E15895" w:rsidRPr="00B457F5">
        <w:rPr>
          <w:rFonts w:ascii="Garamond" w:eastAsia="MS Mincho" w:hAnsi="Garamond" w:cs="Times New Roman"/>
          <w:szCs w:val="24"/>
        </w:rPr>
        <w:t xml:space="preserve">vendore </w:t>
      </w:r>
      <w:r w:rsidRPr="00B457F5">
        <w:rPr>
          <w:rFonts w:ascii="Garamond" w:eastAsia="MS Mincho" w:hAnsi="Garamond" w:cs="Times New Roman"/>
          <w:szCs w:val="24"/>
        </w:rPr>
        <w:t xml:space="preserve">dhe nxitjen e pronësisë. </w:t>
      </w:r>
      <w:r w:rsidR="00A47844" w:rsidRPr="00B457F5">
        <w:rPr>
          <w:rFonts w:ascii="Garamond" w:eastAsia="Times New Roman" w:hAnsi="Garamond" w:cs="Times New Roman"/>
          <w:color w:val="0D0D0D"/>
          <w:szCs w:val="24"/>
        </w:rPr>
        <w:t xml:space="preserve">BE-ja do të ndihmojë </w:t>
      </w:r>
      <w:r w:rsidR="00E15895" w:rsidRPr="00B457F5">
        <w:rPr>
          <w:rFonts w:ascii="Garamond" w:eastAsia="Times New Roman" w:hAnsi="Garamond" w:cs="Times New Roman"/>
          <w:color w:val="0D0D0D"/>
          <w:szCs w:val="24"/>
        </w:rPr>
        <w:t xml:space="preserve">për </w:t>
      </w:r>
      <w:r w:rsidR="00A47844" w:rsidRPr="00B457F5">
        <w:rPr>
          <w:rFonts w:ascii="Garamond" w:eastAsia="Times New Roman" w:hAnsi="Garamond" w:cs="Times New Roman"/>
          <w:color w:val="0D0D0D"/>
          <w:szCs w:val="24"/>
        </w:rPr>
        <w:t xml:space="preserve">forcimin e organeve qeveritare dhe strukturave të qeverisjes së migracionit dhe shmangien e vendosjes së sistemeve paralele, duke ofruar trajnime dhe duke mbështetur zhvillimin dhe zbatimin e politikave dhe </w:t>
      </w:r>
      <w:r w:rsidR="00734269" w:rsidRPr="00B457F5">
        <w:rPr>
          <w:rFonts w:ascii="Garamond" w:eastAsia="Times New Roman" w:hAnsi="Garamond" w:cs="Times New Roman"/>
          <w:color w:val="0D0D0D"/>
          <w:szCs w:val="24"/>
        </w:rPr>
        <w:t>kuadrove</w:t>
      </w:r>
      <w:r w:rsidR="00E15895" w:rsidRPr="00B457F5">
        <w:rPr>
          <w:rFonts w:ascii="Garamond" w:eastAsia="Times New Roman" w:hAnsi="Garamond" w:cs="Times New Roman"/>
          <w:color w:val="0D0D0D"/>
          <w:szCs w:val="24"/>
        </w:rPr>
        <w:t xml:space="preserve"> </w:t>
      </w:r>
      <w:r w:rsidR="00A47844" w:rsidRPr="00B457F5">
        <w:rPr>
          <w:rFonts w:ascii="Garamond" w:eastAsia="Times New Roman" w:hAnsi="Garamond" w:cs="Times New Roman"/>
          <w:color w:val="0D0D0D"/>
          <w:szCs w:val="24"/>
        </w:rPr>
        <w:t xml:space="preserve">operacionale, duke përmirësuar kështu qëndrueshmërinë dhe duke </w:t>
      </w:r>
      <w:r w:rsidR="00727C63" w:rsidRPr="00B457F5">
        <w:rPr>
          <w:rFonts w:ascii="Garamond" w:eastAsia="Times New Roman" w:hAnsi="Garamond" w:cs="Times New Roman"/>
          <w:color w:val="0D0D0D"/>
          <w:szCs w:val="24"/>
        </w:rPr>
        <w:t xml:space="preserve">zvogëluar </w:t>
      </w:r>
      <w:r w:rsidR="00A47844" w:rsidRPr="00B457F5">
        <w:rPr>
          <w:rFonts w:ascii="Garamond" w:eastAsia="Times New Roman" w:hAnsi="Garamond" w:cs="Times New Roman"/>
          <w:color w:val="0D0D0D"/>
          <w:szCs w:val="24"/>
        </w:rPr>
        <w:t xml:space="preserve">varësinë nga ofruesit e jashtëm dhe financimi i donatorëve. Vendet e origjinës do të mbështeten për të rritur përgjegjësitë </w:t>
      </w:r>
      <w:r w:rsidR="00727C63" w:rsidRPr="00B457F5">
        <w:rPr>
          <w:rFonts w:ascii="Garamond" w:eastAsia="Times New Roman" w:hAnsi="Garamond" w:cs="Times New Roman"/>
          <w:color w:val="0D0D0D"/>
          <w:szCs w:val="24"/>
        </w:rPr>
        <w:t xml:space="preserve">për </w:t>
      </w:r>
      <w:r w:rsidR="00A47844" w:rsidRPr="00B457F5">
        <w:rPr>
          <w:rFonts w:ascii="Garamond" w:eastAsia="Times New Roman" w:hAnsi="Garamond" w:cs="Times New Roman"/>
          <w:color w:val="0D0D0D"/>
          <w:szCs w:val="24"/>
        </w:rPr>
        <w:t xml:space="preserve">pritjen dhe orientimin e të kthyerve, duke ngritur </w:t>
      </w:r>
      <w:r w:rsidR="009D318B" w:rsidRPr="00B457F5">
        <w:rPr>
          <w:rFonts w:ascii="Garamond" w:eastAsia="Times New Roman" w:hAnsi="Garamond" w:cs="Times New Roman"/>
          <w:color w:val="0D0D0D"/>
          <w:szCs w:val="24"/>
        </w:rPr>
        <w:t>qendra të integruara të shërbimit publik me një ndalesë (</w:t>
      </w:r>
      <w:r w:rsidR="009D318B" w:rsidRPr="00B457F5">
        <w:rPr>
          <w:rFonts w:ascii="Garamond" w:eastAsia="Times New Roman" w:hAnsi="Garamond" w:cs="Times New Roman"/>
          <w:i/>
          <w:iCs/>
          <w:color w:val="0D0D0D"/>
          <w:szCs w:val="24"/>
        </w:rPr>
        <w:t>one stop shop desks</w:t>
      </w:r>
      <w:r w:rsidR="009D318B" w:rsidRPr="00B457F5">
        <w:rPr>
          <w:rFonts w:ascii="Garamond" w:eastAsia="Times New Roman" w:hAnsi="Garamond" w:cs="Times New Roman"/>
          <w:color w:val="0D0D0D"/>
          <w:szCs w:val="24"/>
        </w:rPr>
        <w:t>)</w:t>
      </w:r>
      <w:r w:rsidR="00727C63" w:rsidRPr="00B457F5">
        <w:rPr>
          <w:rFonts w:ascii="Garamond" w:eastAsia="Times New Roman" w:hAnsi="Garamond" w:cs="Times New Roman"/>
          <w:color w:val="0D0D0D"/>
          <w:szCs w:val="24"/>
        </w:rPr>
        <w:t>, të cilat</w:t>
      </w:r>
      <w:r w:rsidR="00A47844" w:rsidRPr="00B457F5">
        <w:rPr>
          <w:rFonts w:ascii="Garamond" w:eastAsia="Times New Roman" w:hAnsi="Garamond" w:cs="Times New Roman"/>
          <w:color w:val="0D0D0D"/>
          <w:szCs w:val="24"/>
        </w:rPr>
        <w:t xml:space="preserve"> do të lehtësojnë aksesin në shërbimet publike dhe do të koordinojnë referimet për riintegrim dhe projekte të tjera zhvillimore. </w:t>
      </w:r>
      <w:r w:rsidR="00602070" w:rsidRPr="00B457F5">
        <w:rPr>
          <w:rFonts w:ascii="Garamond" w:eastAsia="Times New Roman" w:hAnsi="Garamond" w:cs="Times New Roman"/>
          <w:color w:val="0D0D0D"/>
          <w:szCs w:val="24"/>
        </w:rPr>
        <w:t>Në nivel strategjik, dialogu do të faktorizojë prioritetet strategjike në hartimin dhe ofrimin e programeve të riintegrimit ndërsa, në nivel operacional, n</w:t>
      </w:r>
      <w:r w:rsidR="00B0743F" w:rsidRPr="00B457F5">
        <w:rPr>
          <w:rFonts w:ascii="Garamond" w:eastAsia="Times New Roman" w:hAnsi="Garamond" w:cs="Times New Roman"/>
          <w:color w:val="0D0D0D"/>
          <w:szCs w:val="24"/>
        </w:rPr>
        <w:t>ë</w:t>
      </w:r>
      <w:r w:rsidR="00602070" w:rsidRPr="00B457F5">
        <w:rPr>
          <w:rFonts w:ascii="Garamond" w:eastAsia="Times New Roman" w:hAnsi="Garamond" w:cs="Times New Roman"/>
          <w:color w:val="0D0D0D"/>
          <w:szCs w:val="24"/>
        </w:rPr>
        <w:t>p</w:t>
      </w:r>
      <w:r w:rsidR="00B0743F" w:rsidRPr="00B457F5">
        <w:rPr>
          <w:rFonts w:ascii="Garamond" w:eastAsia="Times New Roman" w:hAnsi="Garamond" w:cs="Times New Roman"/>
          <w:color w:val="0D0D0D"/>
          <w:szCs w:val="24"/>
        </w:rPr>
        <w:t>ë</w:t>
      </w:r>
      <w:r w:rsidR="00602070" w:rsidRPr="00B457F5">
        <w:rPr>
          <w:rFonts w:ascii="Garamond" w:eastAsia="Times New Roman" w:hAnsi="Garamond" w:cs="Times New Roman"/>
          <w:color w:val="0D0D0D"/>
          <w:szCs w:val="24"/>
        </w:rPr>
        <w:t xml:space="preserve">rmjet </w:t>
      </w:r>
      <w:r w:rsidR="003F490B" w:rsidRPr="00B457F5">
        <w:rPr>
          <w:rFonts w:ascii="Garamond" w:eastAsia="Times New Roman" w:hAnsi="Garamond" w:cs="Times New Roman"/>
          <w:color w:val="0D0D0D"/>
          <w:szCs w:val="24"/>
        </w:rPr>
        <w:t>leht</w:t>
      </w:r>
      <w:r w:rsidR="00B0743F" w:rsidRPr="00B457F5">
        <w:rPr>
          <w:rFonts w:ascii="Garamond" w:eastAsia="Times New Roman" w:hAnsi="Garamond" w:cs="Times New Roman"/>
          <w:color w:val="0D0D0D"/>
          <w:szCs w:val="24"/>
        </w:rPr>
        <w:t>ë</w:t>
      </w:r>
      <w:r w:rsidR="003F490B" w:rsidRPr="00B457F5">
        <w:rPr>
          <w:rFonts w:ascii="Garamond" w:eastAsia="Times New Roman" w:hAnsi="Garamond" w:cs="Times New Roman"/>
          <w:color w:val="0D0D0D"/>
          <w:szCs w:val="24"/>
        </w:rPr>
        <w:t>simit t</w:t>
      </w:r>
      <w:r w:rsidR="00B0743F" w:rsidRPr="00B457F5">
        <w:rPr>
          <w:rFonts w:ascii="Garamond" w:eastAsia="Times New Roman" w:hAnsi="Garamond" w:cs="Times New Roman"/>
          <w:color w:val="0D0D0D"/>
          <w:szCs w:val="24"/>
        </w:rPr>
        <w:t>ë</w:t>
      </w:r>
      <w:r w:rsidR="003F490B" w:rsidRPr="00B457F5">
        <w:rPr>
          <w:rFonts w:ascii="Garamond" w:eastAsia="Times New Roman" w:hAnsi="Garamond" w:cs="Times New Roman"/>
          <w:color w:val="0D0D0D"/>
          <w:szCs w:val="24"/>
        </w:rPr>
        <w:t xml:space="preserve"> </w:t>
      </w:r>
      <w:r w:rsidR="00602070" w:rsidRPr="00B457F5">
        <w:rPr>
          <w:rFonts w:ascii="Garamond" w:eastAsia="Times New Roman" w:hAnsi="Garamond" w:cs="Times New Roman"/>
          <w:color w:val="0D0D0D"/>
          <w:szCs w:val="24"/>
        </w:rPr>
        <w:t>koordinimit dhe menaxhimi</w:t>
      </w:r>
      <w:r w:rsidR="003F490B" w:rsidRPr="00B457F5">
        <w:rPr>
          <w:rFonts w:ascii="Garamond" w:eastAsia="Times New Roman" w:hAnsi="Garamond" w:cs="Times New Roman"/>
          <w:color w:val="0D0D0D"/>
          <w:szCs w:val="24"/>
        </w:rPr>
        <w:t>t</w:t>
      </w:r>
      <w:r w:rsidR="00602070" w:rsidRPr="00B457F5">
        <w:rPr>
          <w:rFonts w:ascii="Garamond" w:eastAsia="Times New Roman" w:hAnsi="Garamond" w:cs="Times New Roman"/>
          <w:color w:val="0D0D0D"/>
          <w:szCs w:val="24"/>
        </w:rPr>
        <w:t xml:space="preserve"> </w:t>
      </w:r>
      <w:r w:rsidR="005A1294" w:rsidRPr="00B457F5">
        <w:rPr>
          <w:rFonts w:ascii="Garamond" w:eastAsia="Times New Roman" w:hAnsi="Garamond" w:cs="Times New Roman"/>
          <w:color w:val="0D0D0D"/>
          <w:szCs w:val="24"/>
        </w:rPr>
        <w:t>t</w:t>
      </w:r>
      <w:r w:rsidR="00B0743F" w:rsidRPr="00B457F5">
        <w:rPr>
          <w:rFonts w:ascii="Garamond" w:eastAsia="Times New Roman" w:hAnsi="Garamond" w:cs="Times New Roman"/>
          <w:color w:val="0D0D0D"/>
          <w:szCs w:val="24"/>
        </w:rPr>
        <w:t>ë</w:t>
      </w:r>
      <w:r w:rsidR="00602070" w:rsidRPr="00B457F5">
        <w:rPr>
          <w:rFonts w:ascii="Garamond" w:eastAsia="Times New Roman" w:hAnsi="Garamond" w:cs="Times New Roman"/>
          <w:color w:val="0D0D0D"/>
          <w:szCs w:val="24"/>
        </w:rPr>
        <w:t xml:space="preserve"> informacionit</w:t>
      </w:r>
      <w:r w:rsidR="002E5E91" w:rsidRPr="00B457F5">
        <w:rPr>
          <w:rFonts w:ascii="Garamond" w:eastAsia="Times New Roman" w:hAnsi="Garamond" w:cs="Times New Roman"/>
          <w:color w:val="0D0D0D"/>
          <w:szCs w:val="24"/>
        </w:rPr>
        <w:t>,</w:t>
      </w:r>
      <w:r w:rsidR="003F490B" w:rsidRPr="00B457F5">
        <w:rPr>
          <w:rFonts w:ascii="Garamond" w:eastAsia="Times New Roman" w:hAnsi="Garamond" w:cs="Times New Roman"/>
          <w:color w:val="0D0D0D"/>
          <w:szCs w:val="24"/>
        </w:rPr>
        <w:t xml:space="preserve"> duke p</w:t>
      </w:r>
      <w:r w:rsidR="00B0743F" w:rsidRPr="00B457F5">
        <w:rPr>
          <w:rFonts w:ascii="Garamond" w:eastAsia="Times New Roman" w:hAnsi="Garamond" w:cs="Times New Roman"/>
          <w:color w:val="0D0D0D"/>
          <w:szCs w:val="24"/>
        </w:rPr>
        <w:t>ë</w:t>
      </w:r>
      <w:r w:rsidR="003F490B" w:rsidRPr="00B457F5">
        <w:rPr>
          <w:rFonts w:ascii="Garamond" w:eastAsia="Times New Roman" w:hAnsi="Garamond" w:cs="Times New Roman"/>
          <w:color w:val="0D0D0D"/>
          <w:szCs w:val="24"/>
        </w:rPr>
        <w:t>rdorur</w:t>
      </w:r>
      <w:r w:rsidR="00602070" w:rsidRPr="00B457F5">
        <w:rPr>
          <w:rFonts w:ascii="Garamond" w:eastAsia="Times New Roman" w:hAnsi="Garamond" w:cs="Times New Roman"/>
          <w:color w:val="0D0D0D"/>
          <w:szCs w:val="24"/>
        </w:rPr>
        <w:t xml:space="preserve"> mjetet e referimit dhe shkëmbimit të informacionit të përshkruara në strategji</w:t>
      </w:r>
      <w:r w:rsidR="003F490B" w:rsidRPr="00B457F5">
        <w:rPr>
          <w:rFonts w:ascii="Garamond" w:eastAsia="Times New Roman" w:hAnsi="Garamond" w:cs="Times New Roman"/>
          <w:color w:val="0D0D0D"/>
          <w:szCs w:val="24"/>
        </w:rPr>
        <w:t>, do t</w:t>
      </w:r>
      <w:r w:rsidR="00B0743F" w:rsidRPr="00B457F5">
        <w:rPr>
          <w:rFonts w:ascii="Garamond" w:eastAsia="Times New Roman" w:hAnsi="Garamond" w:cs="Times New Roman"/>
          <w:color w:val="0D0D0D"/>
          <w:szCs w:val="24"/>
        </w:rPr>
        <w:t>ë</w:t>
      </w:r>
      <w:r w:rsidR="00386CEF" w:rsidRPr="00B457F5">
        <w:rPr>
          <w:rFonts w:ascii="Garamond" w:eastAsia="Times New Roman" w:hAnsi="Garamond" w:cs="Times New Roman"/>
          <w:color w:val="0D0D0D"/>
          <w:szCs w:val="24"/>
        </w:rPr>
        <w:t xml:space="preserve"> maksimizohet pë</w:t>
      </w:r>
      <w:r w:rsidR="003F490B" w:rsidRPr="00B457F5">
        <w:rPr>
          <w:rFonts w:ascii="Garamond" w:eastAsia="Times New Roman" w:hAnsi="Garamond" w:cs="Times New Roman"/>
          <w:color w:val="0D0D0D"/>
          <w:szCs w:val="24"/>
        </w:rPr>
        <w:t>rdorimi i burimeve dhe do të përmirësohet cilësi</w:t>
      </w:r>
      <w:r w:rsidR="007B5C34" w:rsidRPr="00B457F5">
        <w:rPr>
          <w:rFonts w:ascii="Garamond" w:eastAsia="Times New Roman" w:hAnsi="Garamond" w:cs="Times New Roman"/>
          <w:color w:val="0D0D0D"/>
          <w:szCs w:val="24"/>
        </w:rPr>
        <w:t>a</w:t>
      </w:r>
      <w:r w:rsidR="003F490B" w:rsidRPr="00B457F5">
        <w:rPr>
          <w:rFonts w:ascii="Garamond" w:eastAsia="Times New Roman" w:hAnsi="Garamond" w:cs="Times New Roman"/>
          <w:color w:val="0D0D0D"/>
          <w:szCs w:val="24"/>
        </w:rPr>
        <w:t xml:space="preserve"> e referime</w:t>
      </w:r>
      <w:r w:rsidR="007B5C34" w:rsidRPr="00B457F5">
        <w:rPr>
          <w:rFonts w:ascii="Garamond" w:eastAsia="Times New Roman" w:hAnsi="Garamond" w:cs="Times New Roman"/>
          <w:color w:val="0D0D0D"/>
          <w:szCs w:val="24"/>
        </w:rPr>
        <w:t>ve</w:t>
      </w:r>
      <w:r w:rsidR="003F490B" w:rsidRPr="00B457F5">
        <w:rPr>
          <w:rFonts w:ascii="Garamond" w:eastAsia="Times New Roman" w:hAnsi="Garamond" w:cs="Times New Roman"/>
          <w:color w:val="0D0D0D"/>
          <w:szCs w:val="24"/>
        </w:rPr>
        <w:t xml:space="preserve"> në të gjitha programet.</w:t>
      </w:r>
    </w:p>
    <w:p w14:paraId="7275A6F1" w14:textId="22AA131D" w:rsidR="00E657BE" w:rsidRPr="00B457F5" w:rsidRDefault="00E657BE" w:rsidP="002E693B">
      <w:pPr>
        <w:spacing w:before="0" w:after="0"/>
        <w:ind w:firstLine="284"/>
        <w:rPr>
          <w:rFonts w:ascii="Garamond" w:eastAsia="Times New Roman" w:hAnsi="Garamond" w:cs="Times New Roman"/>
          <w:color w:val="0D0D0D"/>
          <w:szCs w:val="24"/>
        </w:rPr>
      </w:pPr>
      <w:r w:rsidRPr="00B457F5">
        <w:rPr>
          <w:rFonts w:ascii="Garamond" w:eastAsia="Times New Roman" w:hAnsi="Garamond" w:cs="Times New Roman"/>
          <w:color w:val="0D0D0D"/>
          <w:szCs w:val="24"/>
        </w:rPr>
        <w:t xml:space="preserve">Strategjia e BE-së për </w:t>
      </w:r>
      <w:r w:rsidR="002E5E91" w:rsidRPr="00B457F5">
        <w:rPr>
          <w:rFonts w:ascii="Garamond" w:eastAsia="Times New Roman" w:hAnsi="Garamond" w:cs="Times New Roman"/>
          <w:color w:val="0D0D0D"/>
          <w:szCs w:val="24"/>
        </w:rPr>
        <w:t xml:space="preserve">kthim vullnetar dhe riintegrim </w:t>
      </w:r>
      <w:r w:rsidRPr="00B457F5">
        <w:rPr>
          <w:rFonts w:ascii="Garamond" w:eastAsia="Times New Roman" w:hAnsi="Garamond" w:cs="Times New Roman"/>
          <w:color w:val="0D0D0D"/>
          <w:szCs w:val="24"/>
        </w:rPr>
        <w:t>ka ndikuar n</w:t>
      </w:r>
      <w:r w:rsidR="006E667E" w:rsidRPr="00B457F5">
        <w:rPr>
          <w:rFonts w:ascii="Garamond" w:eastAsia="Times New Roman" w:hAnsi="Garamond" w:cs="Times New Roman"/>
          <w:color w:val="0D0D0D"/>
          <w:szCs w:val="24"/>
        </w:rPr>
        <w:t xml:space="preserve">ë </w:t>
      </w:r>
      <w:r w:rsidRPr="00B457F5">
        <w:rPr>
          <w:rFonts w:ascii="Garamond" w:eastAsia="Times New Roman" w:hAnsi="Garamond" w:cs="Times New Roman"/>
          <w:color w:val="0D0D0D"/>
          <w:szCs w:val="24"/>
        </w:rPr>
        <w:t>hartimin 2024</w:t>
      </w:r>
      <w:r w:rsidR="00734269" w:rsidRPr="00B457F5">
        <w:rPr>
          <w:rStyle w:val="contentpasted1"/>
          <w:rFonts w:ascii="Garamond" w:hAnsi="Garamond" w:cs="Times New Roman"/>
          <w:color w:val="000000"/>
        </w:rPr>
        <w:t>–</w:t>
      </w:r>
      <w:r w:rsidRPr="00B457F5">
        <w:rPr>
          <w:rFonts w:ascii="Garamond" w:eastAsia="Times New Roman" w:hAnsi="Garamond" w:cs="Times New Roman"/>
          <w:color w:val="0D0D0D"/>
          <w:szCs w:val="24"/>
        </w:rPr>
        <w:t>2030</w:t>
      </w:r>
      <w:r w:rsidR="002E5E91" w:rsidRPr="00B457F5">
        <w:rPr>
          <w:rFonts w:ascii="Garamond" w:eastAsia="Times New Roman" w:hAnsi="Garamond" w:cs="Times New Roman"/>
          <w:color w:val="0D0D0D"/>
          <w:szCs w:val="24"/>
        </w:rPr>
        <w:t>,</w:t>
      </w:r>
      <w:r w:rsidRPr="00B457F5">
        <w:rPr>
          <w:rFonts w:ascii="Garamond" w:eastAsia="Times New Roman" w:hAnsi="Garamond" w:cs="Times New Roman"/>
          <w:color w:val="0D0D0D"/>
          <w:szCs w:val="24"/>
        </w:rPr>
        <w:t xml:space="preserve"> në disa aspekte kyçe. Së pari, në </w:t>
      </w:r>
      <w:r w:rsidR="002E5E91" w:rsidRPr="00B457F5">
        <w:rPr>
          <w:rFonts w:ascii="Garamond" w:eastAsia="Times New Roman" w:hAnsi="Garamond" w:cs="Times New Roman"/>
          <w:color w:val="0D0D0D"/>
          <w:szCs w:val="24"/>
        </w:rPr>
        <w:t xml:space="preserve">objektivin e politikës </w:t>
      </w:r>
      <w:r w:rsidRPr="00B457F5">
        <w:rPr>
          <w:rFonts w:ascii="Garamond" w:eastAsia="Times New Roman" w:hAnsi="Garamond" w:cs="Times New Roman"/>
          <w:color w:val="0D0D0D"/>
          <w:szCs w:val="24"/>
        </w:rPr>
        <w:t>II janë përfshirë një sërë masash për të lehtësuar mënyra të ndryshme në të cilat migrantët shqiptarë mund të kontribuojnë në zhvillimin lokal, duke filluar nga përfshirja e tyre financiare deri te</w:t>
      </w:r>
      <w:r w:rsidR="00164C66" w:rsidRPr="00B457F5">
        <w:rPr>
          <w:rFonts w:ascii="Garamond" w:eastAsia="Times New Roman" w:hAnsi="Garamond" w:cs="Times New Roman"/>
          <w:color w:val="0D0D0D"/>
          <w:szCs w:val="24"/>
        </w:rPr>
        <w:t>k</w:t>
      </w:r>
      <w:r w:rsidRPr="00B457F5">
        <w:rPr>
          <w:rFonts w:ascii="Garamond" w:eastAsia="Times New Roman" w:hAnsi="Garamond" w:cs="Times New Roman"/>
          <w:color w:val="0D0D0D"/>
          <w:szCs w:val="24"/>
        </w:rPr>
        <w:t xml:space="preserve"> kthimi i sigurt dhe i rregullt deri te</w:t>
      </w:r>
      <w:r w:rsidR="00164C66" w:rsidRPr="00B457F5">
        <w:rPr>
          <w:rFonts w:ascii="Garamond" w:eastAsia="Times New Roman" w:hAnsi="Garamond" w:cs="Times New Roman"/>
          <w:color w:val="0D0D0D"/>
          <w:szCs w:val="24"/>
        </w:rPr>
        <w:t>k</w:t>
      </w:r>
      <w:r w:rsidRPr="00B457F5">
        <w:rPr>
          <w:rFonts w:ascii="Garamond" w:eastAsia="Times New Roman" w:hAnsi="Garamond" w:cs="Times New Roman"/>
          <w:color w:val="0D0D0D"/>
          <w:szCs w:val="24"/>
        </w:rPr>
        <w:t xml:space="preserve"> mbështetja e synuar për riintegrim. Së dyti, janë planifikuar përpjekje për të koordinuar ofrimin e shërbimeve për të kthyerit</w:t>
      </w:r>
      <w:r w:rsidR="002E5E91" w:rsidRPr="00B457F5">
        <w:rPr>
          <w:rFonts w:ascii="Garamond" w:eastAsia="Times New Roman" w:hAnsi="Garamond" w:cs="Times New Roman"/>
          <w:color w:val="0D0D0D"/>
          <w:szCs w:val="24"/>
        </w:rPr>
        <w:t>,</w:t>
      </w:r>
      <w:r w:rsidRPr="00B457F5">
        <w:rPr>
          <w:rFonts w:ascii="Garamond" w:eastAsia="Times New Roman" w:hAnsi="Garamond" w:cs="Times New Roman"/>
          <w:color w:val="0D0D0D"/>
          <w:szCs w:val="24"/>
        </w:rPr>
        <w:t xml:space="preserve"> përmes zhvillimit të udhëzimeve në fushat e punësimit, arsimit dhe trajnimit profesional, investimeve dhe strehimit (masa prioritare 2.3.1). Së fundi, të gjitha ministritë e linjës duhet të përfshihen në zhvillimin e një mekanizmi ndërinstitucional për kthimin dhe riintegrimin</w:t>
      </w:r>
      <w:r w:rsidR="00DB0989" w:rsidRPr="00B457F5">
        <w:rPr>
          <w:rFonts w:ascii="Garamond" w:eastAsia="Times New Roman" w:hAnsi="Garamond" w:cs="Times New Roman"/>
          <w:color w:val="0D0D0D"/>
          <w:szCs w:val="24"/>
        </w:rPr>
        <w:t>.</w:t>
      </w:r>
    </w:p>
    <w:p w14:paraId="1A9773DF" w14:textId="4F44158B" w:rsidR="00DB0989" w:rsidRPr="00B457F5" w:rsidRDefault="008B3637" w:rsidP="002E693B">
      <w:pPr>
        <w:spacing w:before="0" w:after="0"/>
        <w:ind w:firstLine="284"/>
        <w:rPr>
          <w:rFonts w:ascii="Garamond" w:eastAsia="Times New Roman" w:hAnsi="Garamond" w:cs="Times New Roman"/>
          <w:color w:val="0D0D0D"/>
          <w:szCs w:val="24"/>
        </w:rPr>
      </w:pPr>
      <w:r w:rsidRPr="00B457F5">
        <w:rPr>
          <w:rFonts w:ascii="Garamond" w:eastAsia="Times New Roman" w:hAnsi="Garamond" w:cs="Times New Roman"/>
          <w:color w:val="0D0D0D"/>
          <w:szCs w:val="24"/>
        </w:rPr>
        <w:t xml:space="preserve">Plani i Veprimit </w:t>
      </w:r>
      <w:r w:rsidR="002E5E91" w:rsidRPr="00B457F5">
        <w:rPr>
          <w:rFonts w:ascii="Garamond" w:eastAsia="MS Mincho" w:hAnsi="Garamond" w:cs="Times New Roman"/>
          <w:bCs/>
          <w:szCs w:val="24"/>
        </w:rPr>
        <w:t>të</w:t>
      </w:r>
      <w:r w:rsidRPr="00B457F5">
        <w:rPr>
          <w:rFonts w:ascii="Garamond" w:eastAsia="Times New Roman" w:hAnsi="Garamond" w:cs="Times New Roman"/>
          <w:color w:val="0D0D0D"/>
          <w:szCs w:val="24"/>
        </w:rPr>
        <w:t xml:space="preserve"> BE-së për Ballkanin Perëndimor</w:t>
      </w:r>
      <w:r w:rsidR="00DC73C3" w:rsidRPr="00B457F5">
        <w:rPr>
          <w:rStyle w:val="FootnoteReference"/>
          <w:rFonts w:ascii="Garamond" w:eastAsia="Times New Roman" w:hAnsi="Garamond" w:cs="Times New Roman"/>
          <w:color w:val="0D0D0D"/>
          <w:szCs w:val="24"/>
        </w:rPr>
        <w:footnoteReference w:id="24"/>
      </w:r>
      <w:r w:rsidRPr="00B457F5">
        <w:rPr>
          <w:rFonts w:ascii="Garamond" w:eastAsia="Times New Roman" w:hAnsi="Garamond" w:cs="Times New Roman"/>
          <w:color w:val="0D0D0D"/>
          <w:szCs w:val="24"/>
        </w:rPr>
        <w:t>, i paraqitur përpara samitit të dhjetorit 2022 dhe Këshillit të Drejtësisë dhe Çështjeve të Brendshme, fokusohet në 20 masa operacionale të strukturuara në pesë shtylla. Këto shtylla përfshijnë forcimin e menaxhimit të kufijve, procedurat e shpejta të azilit, luftimin e kontrabandës së migrantëve, rritjen e bashkëpunimit për ripranimin dhe arritjen e harmonizimit të politikave të vizave. Masat përqendrohen në mbështetjen ose veprimet e partnerëve të Ballkanit Perëndimor dhe veprimin në BE. Ai synon të forcojë bashkëpunimin për migracionin dhe menaxhimin e kufijve me partnerët në Ballkanin Perëndimor</w:t>
      </w:r>
      <w:r w:rsidR="002E5E91" w:rsidRPr="00B457F5">
        <w:rPr>
          <w:rFonts w:ascii="Garamond" w:eastAsia="Times New Roman" w:hAnsi="Garamond" w:cs="Times New Roman"/>
          <w:color w:val="0D0D0D"/>
          <w:szCs w:val="24"/>
        </w:rPr>
        <w:t>,</w:t>
      </w:r>
      <w:r w:rsidRPr="00B457F5">
        <w:rPr>
          <w:rFonts w:ascii="Garamond" w:eastAsia="Times New Roman" w:hAnsi="Garamond" w:cs="Times New Roman"/>
          <w:color w:val="0D0D0D"/>
          <w:szCs w:val="24"/>
        </w:rPr>
        <w:t xml:space="preserve"> në dritën e statusit të tyre unik me perspektivën e anëtarësimit në BE dhe përpjekjeve të tyre të vazhdueshme për të harmonizuar rregullat e BE-së. Masat kryesore përfshijnë forcimin e menaxhimit të kufijve përmes </w:t>
      </w:r>
      <w:r w:rsidR="00A2088F" w:rsidRPr="00B457F5">
        <w:rPr>
          <w:rFonts w:ascii="Garamond" w:eastAsia="Times New Roman" w:hAnsi="Garamond" w:cs="Times New Roman"/>
          <w:color w:val="0D0D0D"/>
          <w:szCs w:val="24"/>
        </w:rPr>
        <w:t>FRONTEX</w:t>
      </w:r>
      <w:r w:rsidRPr="00B457F5">
        <w:rPr>
          <w:rFonts w:ascii="Garamond" w:eastAsia="Times New Roman" w:hAnsi="Garamond" w:cs="Times New Roman"/>
          <w:color w:val="0D0D0D"/>
          <w:szCs w:val="24"/>
        </w:rPr>
        <w:t xml:space="preserve">-it, mbështetjen </w:t>
      </w:r>
      <w:r w:rsidRPr="00B457F5">
        <w:rPr>
          <w:rFonts w:ascii="Garamond" w:eastAsia="Times New Roman" w:hAnsi="Garamond" w:cs="Times New Roman"/>
          <w:szCs w:val="24"/>
        </w:rPr>
        <w:t>e kapaciteteve për azil</w:t>
      </w:r>
      <w:r w:rsidR="00C14C74" w:rsidRPr="00B457F5">
        <w:rPr>
          <w:rFonts w:ascii="Garamond" w:eastAsia="Times New Roman" w:hAnsi="Garamond" w:cs="Times New Roman"/>
          <w:szCs w:val="24"/>
        </w:rPr>
        <w:t xml:space="preserve"> përmes bashkëpunimit me EUAA</w:t>
      </w:r>
      <w:r w:rsidR="002E5E91" w:rsidRPr="00B457F5">
        <w:rPr>
          <w:rFonts w:ascii="Garamond" w:eastAsia="Times New Roman" w:hAnsi="Garamond" w:cs="Times New Roman"/>
          <w:szCs w:val="24"/>
        </w:rPr>
        <w:t>-</w:t>
      </w:r>
      <w:r w:rsidR="002E5E91" w:rsidRPr="00B457F5">
        <w:rPr>
          <w:rFonts w:ascii="Garamond" w:eastAsia="MS Mincho" w:hAnsi="Garamond" w:cs="Times New Roman"/>
          <w:bCs/>
          <w:szCs w:val="24"/>
        </w:rPr>
        <w:t>në</w:t>
      </w:r>
      <w:r w:rsidRPr="00B457F5">
        <w:rPr>
          <w:rFonts w:ascii="Garamond" w:eastAsia="Times New Roman" w:hAnsi="Garamond" w:cs="Times New Roman"/>
          <w:szCs w:val="24"/>
        </w:rPr>
        <w:t xml:space="preserve">, luftimin </w:t>
      </w:r>
      <w:r w:rsidRPr="00B457F5">
        <w:rPr>
          <w:rFonts w:ascii="Garamond" w:eastAsia="Times New Roman" w:hAnsi="Garamond" w:cs="Times New Roman"/>
          <w:color w:val="0D0D0D"/>
          <w:szCs w:val="24"/>
        </w:rPr>
        <w:t>e kontrabandës, zbatimin e marrëveshjeve të ripranimit dhe harmonizimin e politikave të vizave. Plani thekson bashkëpunimin e ngushtë me partnerët e Ballkanit Perëndimor për të adresuar sfidat e përbashkëta të migracionit.</w:t>
      </w:r>
    </w:p>
    <w:p w14:paraId="7C23BA65" w14:textId="061C31A0" w:rsidR="008B3637" w:rsidRPr="00B457F5" w:rsidRDefault="00816265" w:rsidP="002E693B">
      <w:pPr>
        <w:spacing w:before="0" w:after="0"/>
        <w:ind w:firstLine="284"/>
        <w:rPr>
          <w:rFonts w:ascii="Garamond" w:eastAsia="Times New Roman" w:hAnsi="Garamond" w:cs="Times New Roman"/>
          <w:color w:val="0D0D0D"/>
          <w:szCs w:val="24"/>
        </w:rPr>
      </w:pPr>
      <w:r w:rsidRPr="00B457F5">
        <w:rPr>
          <w:rFonts w:ascii="Garamond" w:eastAsia="Times New Roman" w:hAnsi="Garamond" w:cs="Times New Roman"/>
          <w:color w:val="0D0D0D"/>
          <w:szCs w:val="24"/>
        </w:rPr>
        <w:t>Shtyll</w:t>
      </w:r>
      <w:r w:rsidR="00AD0974" w:rsidRPr="00B457F5">
        <w:rPr>
          <w:rFonts w:ascii="Garamond" w:eastAsia="Times New Roman" w:hAnsi="Garamond" w:cs="Times New Roman"/>
          <w:color w:val="0D0D0D"/>
          <w:szCs w:val="24"/>
        </w:rPr>
        <w:t xml:space="preserve">at e </w:t>
      </w:r>
      <w:r w:rsidR="00BF1C08" w:rsidRPr="00B457F5">
        <w:rPr>
          <w:rFonts w:ascii="Garamond" w:eastAsia="Times New Roman" w:hAnsi="Garamond" w:cs="Times New Roman"/>
          <w:color w:val="0D0D0D"/>
          <w:szCs w:val="24"/>
        </w:rPr>
        <w:t xml:space="preserve">planit </w:t>
      </w:r>
      <w:r w:rsidR="00AD0974" w:rsidRPr="00B457F5">
        <w:rPr>
          <w:rFonts w:ascii="Garamond" w:eastAsia="Times New Roman" w:hAnsi="Garamond" w:cs="Times New Roman"/>
          <w:color w:val="0D0D0D"/>
          <w:szCs w:val="24"/>
        </w:rPr>
        <w:t>të veprimit janë ko</w:t>
      </w:r>
      <w:r w:rsidRPr="00B457F5">
        <w:rPr>
          <w:rFonts w:ascii="Garamond" w:eastAsia="Times New Roman" w:hAnsi="Garamond" w:cs="Times New Roman"/>
          <w:color w:val="0D0D0D"/>
          <w:szCs w:val="24"/>
        </w:rPr>
        <w:t>n</w:t>
      </w:r>
      <w:r w:rsidR="00AD0974" w:rsidRPr="00B457F5">
        <w:rPr>
          <w:rFonts w:ascii="Garamond" w:eastAsia="Times New Roman" w:hAnsi="Garamond" w:cs="Times New Roman"/>
          <w:color w:val="0D0D0D"/>
          <w:szCs w:val="24"/>
        </w:rPr>
        <w:t>sideruar si çështje p</w:t>
      </w:r>
      <w:r w:rsidRPr="00B457F5">
        <w:rPr>
          <w:rFonts w:ascii="Garamond" w:eastAsia="Times New Roman" w:hAnsi="Garamond" w:cs="Times New Roman"/>
          <w:color w:val="0D0D0D"/>
          <w:szCs w:val="24"/>
        </w:rPr>
        <w:t>r</w:t>
      </w:r>
      <w:r w:rsidR="00AD0974" w:rsidRPr="00B457F5">
        <w:rPr>
          <w:rFonts w:ascii="Garamond" w:eastAsia="Times New Roman" w:hAnsi="Garamond" w:cs="Times New Roman"/>
          <w:color w:val="0D0D0D"/>
          <w:szCs w:val="24"/>
        </w:rPr>
        <w:t>i</w:t>
      </w:r>
      <w:r w:rsidRPr="00B457F5">
        <w:rPr>
          <w:rFonts w:ascii="Garamond" w:eastAsia="Times New Roman" w:hAnsi="Garamond" w:cs="Times New Roman"/>
          <w:color w:val="0D0D0D"/>
          <w:szCs w:val="24"/>
        </w:rPr>
        <w:t xml:space="preserve">oritare në këtë strategji për të përforcuar </w:t>
      </w:r>
      <w:r w:rsidR="008B3637" w:rsidRPr="00B457F5">
        <w:rPr>
          <w:rFonts w:ascii="Garamond" w:eastAsia="Times New Roman" w:hAnsi="Garamond" w:cs="Times New Roman"/>
          <w:color w:val="0D0D0D"/>
          <w:szCs w:val="24"/>
        </w:rPr>
        <w:t>bash</w:t>
      </w:r>
      <w:r w:rsidRPr="00B457F5">
        <w:rPr>
          <w:rFonts w:ascii="Garamond" w:eastAsia="Times New Roman" w:hAnsi="Garamond" w:cs="Times New Roman"/>
          <w:color w:val="0D0D0D"/>
          <w:szCs w:val="24"/>
        </w:rPr>
        <w:t>këpunimin rajonal në kuadër të</w:t>
      </w:r>
      <w:r w:rsidR="008B3637" w:rsidRPr="00B457F5">
        <w:rPr>
          <w:rFonts w:ascii="Garamond" w:eastAsia="Times New Roman" w:hAnsi="Garamond" w:cs="Times New Roman"/>
          <w:color w:val="0D0D0D"/>
          <w:szCs w:val="24"/>
        </w:rPr>
        <w:t xml:space="preserve"> </w:t>
      </w:r>
      <w:r w:rsidR="00BF1C08" w:rsidRPr="00B457F5">
        <w:rPr>
          <w:rFonts w:ascii="Garamond" w:eastAsia="Times New Roman" w:hAnsi="Garamond" w:cs="Times New Roman"/>
          <w:color w:val="0D0D0D"/>
          <w:szCs w:val="24"/>
        </w:rPr>
        <w:t>p</w:t>
      </w:r>
      <w:r w:rsidR="008B3637" w:rsidRPr="00B457F5">
        <w:rPr>
          <w:rFonts w:ascii="Garamond" w:eastAsia="Times New Roman" w:hAnsi="Garamond" w:cs="Times New Roman"/>
          <w:color w:val="0D0D0D"/>
          <w:szCs w:val="24"/>
        </w:rPr>
        <w:t>olitik</w:t>
      </w:r>
      <w:r w:rsidRPr="00B457F5">
        <w:rPr>
          <w:rFonts w:ascii="Garamond" w:eastAsia="Times New Roman" w:hAnsi="Garamond" w:cs="Times New Roman"/>
          <w:color w:val="0D0D0D"/>
          <w:szCs w:val="24"/>
        </w:rPr>
        <w:t>ë</w:t>
      </w:r>
      <w:r w:rsidR="008B3637" w:rsidRPr="00B457F5">
        <w:rPr>
          <w:rFonts w:ascii="Garamond" w:eastAsia="Times New Roman" w:hAnsi="Garamond" w:cs="Times New Roman"/>
          <w:color w:val="0D0D0D"/>
          <w:szCs w:val="24"/>
        </w:rPr>
        <w:t>s 1 të strategjis</w:t>
      </w:r>
      <w:r w:rsidRPr="00B457F5">
        <w:rPr>
          <w:rFonts w:ascii="Garamond" w:eastAsia="Times New Roman" w:hAnsi="Garamond" w:cs="Times New Roman"/>
          <w:color w:val="0D0D0D"/>
          <w:szCs w:val="24"/>
        </w:rPr>
        <w:t>ë,</w:t>
      </w:r>
      <w:r w:rsidR="008B3637" w:rsidRPr="00B457F5">
        <w:rPr>
          <w:rFonts w:ascii="Garamond" w:eastAsia="Times New Roman" w:hAnsi="Garamond" w:cs="Times New Roman"/>
          <w:color w:val="0D0D0D"/>
          <w:szCs w:val="24"/>
        </w:rPr>
        <w:t xml:space="preserve"> garantimi i </w:t>
      </w:r>
      <w:r w:rsidRPr="00B457F5">
        <w:rPr>
          <w:rFonts w:ascii="Garamond" w:eastAsia="Times New Roman" w:hAnsi="Garamond" w:cs="Times New Roman"/>
          <w:color w:val="0D0D0D"/>
          <w:szCs w:val="24"/>
        </w:rPr>
        <w:t>qeverisjes strategjike të</w:t>
      </w:r>
      <w:r w:rsidR="00AD0974" w:rsidRPr="00B457F5">
        <w:rPr>
          <w:rFonts w:ascii="Garamond" w:eastAsia="Times New Roman" w:hAnsi="Garamond" w:cs="Times New Roman"/>
          <w:color w:val="0D0D0D"/>
          <w:szCs w:val="24"/>
        </w:rPr>
        <w:t xml:space="preserve"> migracionit</w:t>
      </w:r>
      <w:r w:rsidR="008B3637" w:rsidRPr="00B457F5">
        <w:rPr>
          <w:rFonts w:ascii="Garamond" w:eastAsia="Times New Roman" w:hAnsi="Garamond" w:cs="Times New Roman"/>
          <w:color w:val="0D0D0D"/>
          <w:szCs w:val="24"/>
        </w:rPr>
        <w:t>, objektivi specifik 1.3</w:t>
      </w:r>
      <w:r w:rsidR="00BF1C08" w:rsidRPr="00B457F5">
        <w:rPr>
          <w:rFonts w:ascii="Garamond" w:eastAsia="Times New Roman" w:hAnsi="Garamond" w:cs="Times New Roman"/>
          <w:color w:val="0D0D0D"/>
          <w:szCs w:val="24"/>
        </w:rPr>
        <w:t>:</w:t>
      </w:r>
      <w:r w:rsidRPr="00B457F5">
        <w:rPr>
          <w:rFonts w:ascii="Garamond" w:eastAsia="Times New Roman" w:hAnsi="Garamond" w:cs="Times New Roman"/>
          <w:color w:val="0D0D0D"/>
          <w:szCs w:val="24"/>
        </w:rPr>
        <w:t xml:space="preserve"> </w:t>
      </w:r>
      <w:r w:rsidR="00BF1C08" w:rsidRPr="00B457F5">
        <w:rPr>
          <w:rFonts w:ascii="Garamond" w:eastAsia="Times New Roman" w:hAnsi="Garamond" w:cs="Times New Roman"/>
          <w:color w:val="0D0D0D"/>
          <w:szCs w:val="24"/>
        </w:rPr>
        <w:t>f</w:t>
      </w:r>
      <w:r w:rsidR="008B3637" w:rsidRPr="00B457F5">
        <w:rPr>
          <w:rFonts w:ascii="Garamond" w:eastAsia="Times New Roman" w:hAnsi="Garamond" w:cs="Times New Roman"/>
          <w:color w:val="0D0D0D"/>
          <w:szCs w:val="24"/>
        </w:rPr>
        <w:t>orcimi i bashkëpunimit ndërkombëtar dhe partneriteteve për m</w:t>
      </w:r>
      <w:r w:rsidRPr="00B457F5">
        <w:rPr>
          <w:rFonts w:ascii="Garamond" w:eastAsia="Times New Roman" w:hAnsi="Garamond" w:cs="Times New Roman"/>
          <w:color w:val="0D0D0D"/>
          <w:szCs w:val="24"/>
        </w:rPr>
        <w:t>igrim të sigurt dhe të rregullt</w:t>
      </w:r>
      <w:r w:rsidR="008B3637" w:rsidRPr="00B457F5">
        <w:rPr>
          <w:rFonts w:ascii="Garamond" w:eastAsia="Times New Roman" w:hAnsi="Garamond" w:cs="Times New Roman"/>
          <w:color w:val="0D0D0D"/>
          <w:szCs w:val="24"/>
        </w:rPr>
        <w:t>.</w:t>
      </w:r>
      <w:r w:rsidR="00FD346C" w:rsidRPr="00B457F5">
        <w:rPr>
          <w:rFonts w:ascii="Garamond" w:eastAsia="Times New Roman" w:hAnsi="Garamond" w:cs="Times New Roman"/>
          <w:color w:val="0D0D0D"/>
          <w:szCs w:val="24"/>
        </w:rPr>
        <w:t xml:space="preserve"> </w:t>
      </w:r>
      <w:r w:rsidRPr="00B457F5">
        <w:rPr>
          <w:rFonts w:ascii="Garamond" w:eastAsia="Times New Roman" w:hAnsi="Garamond" w:cs="Times New Roman"/>
          <w:color w:val="0D0D0D"/>
          <w:szCs w:val="24"/>
        </w:rPr>
        <w:t>Zhvillimi i bashkë</w:t>
      </w:r>
      <w:r w:rsidR="008B3637" w:rsidRPr="00B457F5">
        <w:rPr>
          <w:rFonts w:ascii="Garamond" w:eastAsia="Times New Roman" w:hAnsi="Garamond" w:cs="Times New Roman"/>
          <w:color w:val="0D0D0D"/>
          <w:szCs w:val="24"/>
        </w:rPr>
        <w:t xml:space="preserve">punimit dhe </w:t>
      </w:r>
      <w:r w:rsidRPr="00B457F5">
        <w:rPr>
          <w:rFonts w:ascii="Garamond" w:eastAsia="Times New Roman" w:hAnsi="Garamond" w:cs="Times New Roman"/>
          <w:color w:val="0D0D0D"/>
          <w:szCs w:val="24"/>
        </w:rPr>
        <w:t>partneriteteve rajonale mbetet çështje kyçe në qeverisjen</w:t>
      </w:r>
      <w:r w:rsidR="008B3637" w:rsidRPr="00B457F5">
        <w:rPr>
          <w:rFonts w:ascii="Garamond" w:eastAsia="Times New Roman" w:hAnsi="Garamond" w:cs="Times New Roman"/>
          <w:color w:val="0D0D0D"/>
          <w:szCs w:val="24"/>
        </w:rPr>
        <w:t xml:space="preserve"> efe</w:t>
      </w:r>
      <w:r w:rsidR="00734269" w:rsidRPr="00B457F5">
        <w:rPr>
          <w:rFonts w:ascii="Garamond" w:eastAsia="Times New Roman" w:hAnsi="Garamond" w:cs="Times New Roman"/>
          <w:color w:val="0D0D0D"/>
          <w:szCs w:val="24"/>
        </w:rPr>
        <w:t>k</w:t>
      </w:r>
      <w:r w:rsidRPr="00B457F5">
        <w:rPr>
          <w:rFonts w:ascii="Garamond" w:eastAsia="Times New Roman" w:hAnsi="Garamond" w:cs="Times New Roman"/>
          <w:color w:val="0D0D0D"/>
          <w:szCs w:val="24"/>
        </w:rPr>
        <w:t>tive të</w:t>
      </w:r>
      <w:r w:rsidR="008B3637" w:rsidRPr="00B457F5">
        <w:rPr>
          <w:rFonts w:ascii="Garamond" w:eastAsia="Times New Roman" w:hAnsi="Garamond" w:cs="Times New Roman"/>
          <w:color w:val="0D0D0D"/>
          <w:szCs w:val="24"/>
        </w:rPr>
        <w:t xml:space="preserve"> migracionit, duke synuar partneritet dhe platforma ra</w:t>
      </w:r>
      <w:r w:rsidRPr="00B457F5">
        <w:rPr>
          <w:rFonts w:ascii="Garamond" w:eastAsia="Times New Roman" w:hAnsi="Garamond" w:cs="Times New Roman"/>
          <w:color w:val="0D0D0D"/>
          <w:szCs w:val="24"/>
        </w:rPr>
        <w:t xml:space="preserve">jonale të orientuara nga shtyllat e </w:t>
      </w:r>
      <w:r w:rsidR="008B3637" w:rsidRPr="00B457F5">
        <w:rPr>
          <w:rFonts w:ascii="Garamond" w:eastAsia="Times New Roman" w:hAnsi="Garamond" w:cs="Times New Roman"/>
          <w:color w:val="0D0D0D"/>
          <w:szCs w:val="24"/>
        </w:rPr>
        <w:t>Plan</w:t>
      </w:r>
      <w:r w:rsidRPr="00B457F5">
        <w:rPr>
          <w:rFonts w:ascii="Garamond" w:eastAsia="Times New Roman" w:hAnsi="Garamond" w:cs="Times New Roman"/>
          <w:color w:val="0D0D0D"/>
          <w:szCs w:val="24"/>
        </w:rPr>
        <w:t xml:space="preserve">it të Veprimit të BE-së për Ballkanin </w:t>
      </w:r>
      <w:r w:rsidR="00734269" w:rsidRPr="00B457F5">
        <w:rPr>
          <w:rFonts w:ascii="Garamond" w:eastAsia="Times New Roman" w:hAnsi="Garamond" w:cs="Times New Roman"/>
          <w:color w:val="0D0D0D"/>
          <w:szCs w:val="24"/>
        </w:rPr>
        <w:t>Perëndimor</w:t>
      </w:r>
      <w:r w:rsidR="008B3637" w:rsidRPr="00B457F5">
        <w:rPr>
          <w:rFonts w:ascii="Garamond" w:eastAsia="Times New Roman" w:hAnsi="Garamond" w:cs="Times New Roman"/>
          <w:color w:val="0D0D0D"/>
          <w:szCs w:val="24"/>
        </w:rPr>
        <w:t>.</w:t>
      </w:r>
    </w:p>
    <w:p w14:paraId="73274982" w14:textId="7ABE93CF" w:rsidR="0028600D" w:rsidRPr="00B457F5" w:rsidRDefault="00D866BE" w:rsidP="002E693B">
      <w:pPr>
        <w:spacing w:before="0" w:after="0"/>
        <w:ind w:firstLine="284"/>
        <w:rPr>
          <w:rFonts w:ascii="Garamond" w:hAnsi="Garamond" w:cs="Times New Roman"/>
          <w:bCs/>
          <w:color w:val="0D0D0D" w:themeColor="text1" w:themeTint="F2"/>
          <w:szCs w:val="24"/>
        </w:rPr>
      </w:pPr>
      <w:r w:rsidRPr="00B457F5">
        <w:rPr>
          <w:rFonts w:ascii="Garamond" w:hAnsi="Garamond" w:cs="Times New Roman"/>
          <w:bCs/>
          <w:color w:val="0D0D0D" w:themeColor="text1" w:themeTint="F2"/>
          <w:szCs w:val="24"/>
        </w:rPr>
        <w:lastRenderedPageBreak/>
        <w:t xml:space="preserve">Raporti </w:t>
      </w:r>
      <w:r w:rsidR="00AD0CC9" w:rsidRPr="00B457F5">
        <w:rPr>
          <w:rFonts w:ascii="Garamond" w:hAnsi="Garamond" w:cs="Times New Roman"/>
          <w:bCs/>
          <w:color w:val="0D0D0D" w:themeColor="text1" w:themeTint="F2"/>
          <w:szCs w:val="24"/>
        </w:rPr>
        <w:t>i</w:t>
      </w:r>
      <w:r w:rsidRPr="00B457F5">
        <w:rPr>
          <w:rFonts w:ascii="Garamond" w:hAnsi="Garamond" w:cs="Times New Roman"/>
          <w:bCs/>
          <w:color w:val="0D0D0D" w:themeColor="text1" w:themeTint="F2"/>
          <w:szCs w:val="24"/>
        </w:rPr>
        <w:t xml:space="preserve"> gjashtë në mekanizmin e pezullimit të </w:t>
      </w:r>
      <w:r w:rsidR="00BF1C08" w:rsidRPr="00B457F5">
        <w:rPr>
          <w:rFonts w:ascii="Garamond" w:hAnsi="Garamond" w:cs="Times New Roman"/>
          <w:bCs/>
          <w:color w:val="0D0D0D" w:themeColor="text1" w:themeTint="F2"/>
          <w:szCs w:val="24"/>
        </w:rPr>
        <w:t>v</w:t>
      </w:r>
      <w:r w:rsidRPr="00B457F5">
        <w:rPr>
          <w:rFonts w:ascii="Garamond" w:hAnsi="Garamond" w:cs="Times New Roman"/>
          <w:bCs/>
          <w:color w:val="0D0D0D" w:themeColor="text1" w:themeTint="F2"/>
          <w:szCs w:val="24"/>
        </w:rPr>
        <w:t>izave</w:t>
      </w:r>
      <w:r w:rsidRPr="00B457F5">
        <w:rPr>
          <w:rStyle w:val="FootnoteReference"/>
          <w:rFonts w:ascii="Garamond" w:eastAsia="Times New Roman" w:hAnsi="Garamond" w:cs="Times New Roman"/>
          <w:bCs/>
          <w:color w:val="0D0D0D" w:themeColor="text1" w:themeTint="F2"/>
          <w:szCs w:val="24"/>
        </w:rPr>
        <w:footnoteReference w:id="25"/>
      </w:r>
      <w:r w:rsidRPr="00B457F5">
        <w:rPr>
          <w:rFonts w:ascii="Garamond" w:hAnsi="Garamond" w:cs="Times New Roman"/>
          <w:b/>
          <w:bCs/>
          <w:color w:val="0D0D0D" w:themeColor="text1" w:themeTint="F2"/>
          <w:szCs w:val="24"/>
        </w:rPr>
        <w:t xml:space="preserve"> </w:t>
      </w:r>
      <w:bookmarkStart w:id="12" w:name="_Hlk156895335"/>
      <w:r w:rsidR="00C10570" w:rsidRPr="00B457F5">
        <w:rPr>
          <w:rFonts w:ascii="Garamond" w:hAnsi="Garamond" w:cs="Times New Roman"/>
          <w:bCs/>
          <w:color w:val="0D0D0D" w:themeColor="text1" w:themeTint="F2"/>
          <w:szCs w:val="24"/>
        </w:rPr>
        <w:t>vler</w:t>
      </w:r>
      <w:r w:rsidR="006E667E" w:rsidRPr="00B457F5">
        <w:rPr>
          <w:rFonts w:ascii="Garamond" w:hAnsi="Garamond" w:cs="Times New Roman"/>
          <w:bCs/>
          <w:color w:val="0D0D0D" w:themeColor="text1" w:themeTint="F2"/>
          <w:szCs w:val="24"/>
        </w:rPr>
        <w:t>ë</w:t>
      </w:r>
      <w:r w:rsidR="00C10570" w:rsidRPr="00B457F5">
        <w:rPr>
          <w:rFonts w:ascii="Garamond" w:hAnsi="Garamond" w:cs="Times New Roman"/>
          <w:bCs/>
          <w:color w:val="0D0D0D" w:themeColor="text1" w:themeTint="F2"/>
          <w:szCs w:val="24"/>
        </w:rPr>
        <w:t>son se Shqipëria ka arritje pozitive n</w:t>
      </w:r>
      <w:r w:rsidR="006E667E" w:rsidRPr="00B457F5">
        <w:rPr>
          <w:rFonts w:ascii="Garamond" w:hAnsi="Garamond" w:cs="Times New Roman"/>
          <w:bCs/>
          <w:color w:val="0D0D0D" w:themeColor="text1" w:themeTint="F2"/>
          <w:szCs w:val="24"/>
        </w:rPr>
        <w:t>ë</w:t>
      </w:r>
      <w:r w:rsidR="0006016F" w:rsidRPr="00B457F5">
        <w:rPr>
          <w:rFonts w:ascii="Garamond" w:hAnsi="Garamond" w:cs="Times New Roman"/>
          <w:bCs/>
          <w:color w:val="0D0D0D" w:themeColor="text1" w:themeTint="F2"/>
          <w:szCs w:val="24"/>
        </w:rPr>
        <w:t xml:space="preserve"> </w:t>
      </w:r>
      <w:r w:rsidR="00C10570" w:rsidRPr="00B457F5">
        <w:rPr>
          <w:rFonts w:ascii="Garamond" w:hAnsi="Garamond" w:cs="Times New Roman"/>
          <w:bCs/>
          <w:color w:val="0D0D0D" w:themeColor="text1" w:themeTint="F2"/>
          <w:szCs w:val="24"/>
        </w:rPr>
        <w:t>politikën e saj të vizave, pasi m</w:t>
      </w:r>
      <w:r w:rsidR="00BF1C08" w:rsidRPr="00B457F5">
        <w:rPr>
          <w:rFonts w:ascii="Garamond" w:hAnsi="Garamond" w:cs="Times New Roman"/>
          <w:bCs/>
          <w:color w:val="0D0D0D" w:themeColor="text1" w:themeTint="F2"/>
          <w:szCs w:val="24"/>
        </w:rPr>
        <w:t>ë</w:t>
      </w:r>
      <w:r w:rsidR="00C10570" w:rsidRPr="00B457F5">
        <w:rPr>
          <w:rFonts w:ascii="Garamond" w:hAnsi="Garamond" w:cs="Times New Roman"/>
          <w:bCs/>
          <w:color w:val="0D0D0D" w:themeColor="text1" w:themeTint="F2"/>
          <w:szCs w:val="24"/>
        </w:rPr>
        <w:t xml:space="preserve"> shumë vende kanë përjashtim të përhershëm dhe </w:t>
      </w:r>
      <w:r w:rsidR="00734269" w:rsidRPr="00B457F5">
        <w:rPr>
          <w:rFonts w:ascii="Garamond" w:hAnsi="Garamond" w:cs="Times New Roman"/>
          <w:bCs/>
          <w:color w:val="0D0D0D" w:themeColor="text1" w:themeTint="F2"/>
          <w:szCs w:val="24"/>
        </w:rPr>
        <w:t>për</w:t>
      </w:r>
      <w:r w:rsidR="00C10570" w:rsidRPr="00B457F5">
        <w:rPr>
          <w:rFonts w:ascii="Garamond" w:hAnsi="Garamond" w:cs="Times New Roman"/>
          <w:bCs/>
          <w:color w:val="0D0D0D" w:themeColor="text1" w:themeTint="F2"/>
          <w:szCs w:val="24"/>
        </w:rPr>
        <w:t xml:space="preserve"> disa kanë një përjashtim sezonal. Po ashtu </w:t>
      </w:r>
      <w:r w:rsidR="00734269" w:rsidRPr="00B457F5">
        <w:rPr>
          <w:rFonts w:ascii="Garamond" w:hAnsi="Garamond" w:cs="Times New Roman"/>
          <w:bCs/>
          <w:color w:val="0D0D0D" w:themeColor="text1" w:themeTint="F2"/>
          <w:szCs w:val="24"/>
        </w:rPr>
        <w:t>vlerësohen</w:t>
      </w:r>
      <w:r w:rsidR="00C10570" w:rsidRPr="00B457F5">
        <w:rPr>
          <w:rFonts w:ascii="Garamond" w:hAnsi="Garamond" w:cs="Times New Roman"/>
          <w:bCs/>
          <w:color w:val="0D0D0D" w:themeColor="text1" w:themeTint="F2"/>
          <w:szCs w:val="24"/>
        </w:rPr>
        <w:t xml:space="preserve"> si arritjet e </w:t>
      </w:r>
      <w:r w:rsidR="00734269" w:rsidRPr="00B457F5">
        <w:rPr>
          <w:rFonts w:ascii="Garamond" w:hAnsi="Garamond" w:cs="Times New Roman"/>
          <w:bCs/>
          <w:color w:val="0D0D0D" w:themeColor="text1" w:themeTint="F2"/>
          <w:szCs w:val="24"/>
        </w:rPr>
        <w:t>rëndësishme</w:t>
      </w:r>
      <w:r w:rsidR="00C10570" w:rsidRPr="00B457F5">
        <w:rPr>
          <w:rFonts w:ascii="Garamond" w:hAnsi="Garamond" w:cs="Times New Roman"/>
          <w:bCs/>
          <w:color w:val="0D0D0D" w:themeColor="text1" w:themeTint="F2"/>
          <w:szCs w:val="24"/>
        </w:rPr>
        <w:t xml:space="preserve"> rritja e aplikimeve </w:t>
      </w:r>
      <w:r w:rsidR="00734269" w:rsidRPr="00B457F5">
        <w:rPr>
          <w:rFonts w:ascii="Garamond" w:hAnsi="Garamond" w:cs="Times New Roman"/>
          <w:bCs/>
          <w:color w:val="0D0D0D" w:themeColor="text1" w:themeTint="F2"/>
          <w:szCs w:val="24"/>
        </w:rPr>
        <w:t>për</w:t>
      </w:r>
      <w:r w:rsidR="00C10570" w:rsidRPr="00B457F5">
        <w:rPr>
          <w:rFonts w:ascii="Garamond" w:hAnsi="Garamond" w:cs="Times New Roman"/>
          <w:bCs/>
          <w:color w:val="0D0D0D" w:themeColor="text1" w:themeTint="F2"/>
          <w:szCs w:val="24"/>
        </w:rPr>
        <w:t xml:space="preserve"> mbrojtje </w:t>
      </w:r>
      <w:r w:rsidR="00734269" w:rsidRPr="00B457F5">
        <w:rPr>
          <w:rFonts w:ascii="Garamond" w:hAnsi="Garamond" w:cs="Times New Roman"/>
          <w:bCs/>
          <w:color w:val="0D0D0D" w:themeColor="text1" w:themeTint="F2"/>
          <w:szCs w:val="24"/>
        </w:rPr>
        <w:t>ndërkombëtare</w:t>
      </w:r>
      <w:r w:rsidR="00C10570" w:rsidRPr="00B457F5">
        <w:rPr>
          <w:rFonts w:ascii="Garamond" w:hAnsi="Garamond" w:cs="Times New Roman"/>
          <w:bCs/>
          <w:color w:val="0D0D0D" w:themeColor="text1" w:themeTint="F2"/>
          <w:szCs w:val="24"/>
        </w:rPr>
        <w:t xml:space="preserve">, ulja e numrit </w:t>
      </w:r>
      <w:r w:rsidR="00164C66" w:rsidRPr="00B457F5">
        <w:rPr>
          <w:rFonts w:ascii="Garamond" w:hAnsi="Garamond" w:cs="Times New Roman"/>
          <w:bCs/>
          <w:color w:val="0D0D0D" w:themeColor="text1" w:themeTint="F2"/>
          <w:szCs w:val="24"/>
        </w:rPr>
        <w:t>të</w:t>
      </w:r>
      <w:r w:rsidR="00C10570" w:rsidRPr="00B457F5">
        <w:rPr>
          <w:rFonts w:ascii="Garamond" w:hAnsi="Garamond" w:cs="Times New Roman"/>
          <w:bCs/>
          <w:color w:val="0D0D0D" w:themeColor="text1" w:themeTint="F2"/>
          <w:szCs w:val="24"/>
        </w:rPr>
        <w:t xml:space="preserve"> kalimeve </w:t>
      </w:r>
      <w:r w:rsidR="00164C66" w:rsidRPr="00B457F5">
        <w:rPr>
          <w:rFonts w:ascii="Garamond" w:hAnsi="Garamond" w:cs="Times New Roman"/>
          <w:bCs/>
          <w:color w:val="0D0D0D" w:themeColor="text1" w:themeTint="F2"/>
          <w:szCs w:val="24"/>
        </w:rPr>
        <w:t>të</w:t>
      </w:r>
      <w:r w:rsidR="00C10570" w:rsidRPr="00B457F5">
        <w:rPr>
          <w:rFonts w:ascii="Garamond" w:hAnsi="Garamond" w:cs="Times New Roman"/>
          <w:bCs/>
          <w:color w:val="0D0D0D" w:themeColor="text1" w:themeTint="F2"/>
          <w:szCs w:val="24"/>
        </w:rPr>
        <w:t xml:space="preserve"> ligjshme </w:t>
      </w:r>
      <w:r w:rsidR="00164C66" w:rsidRPr="00B457F5">
        <w:rPr>
          <w:rFonts w:ascii="Garamond" w:hAnsi="Garamond" w:cs="Times New Roman"/>
          <w:bCs/>
          <w:color w:val="0D0D0D" w:themeColor="text1" w:themeTint="F2"/>
          <w:szCs w:val="24"/>
        </w:rPr>
        <w:t>të</w:t>
      </w:r>
      <w:r w:rsidR="00C10570" w:rsidRPr="00B457F5">
        <w:rPr>
          <w:rFonts w:ascii="Garamond" w:hAnsi="Garamond" w:cs="Times New Roman"/>
          <w:bCs/>
          <w:color w:val="0D0D0D" w:themeColor="text1" w:themeTint="F2"/>
          <w:szCs w:val="24"/>
        </w:rPr>
        <w:t xml:space="preserve"> kufirit</w:t>
      </w:r>
      <w:r w:rsidR="00164C66" w:rsidRPr="00B457F5">
        <w:rPr>
          <w:rFonts w:ascii="Garamond" w:hAnsi="Garamond" w:cs="Times New Roman"/>
          <w:bCs/>
          <w:color w:val="0D0D0D" w:themeColor="text1" w:themeTint="F2"/>
          <w:szCs w:val="24"/>
        </w:rPr>
        <w:t>,</w:t>
      </w:r>
      <w:r w:rsidR="00C10570" w:rsidRPr="00B457F5">
        <w:rPr>
          <w:rFonts w:ascii="Garamond" w:hAnsi="Garamond" w:cs="Times New Roman"/>
          <w:bCs/>
          <w:color w:val="0D0D0D" w:themeColor="text1" w:themeTint="F2"/>
          <w:szCs w:val="24"/>
        </w:rPr>
        <w:t xml:space="preserve"> si dhe intensifikimi i </w:t>
      </w:r>
      <w:r w:rsidR="00734269" w:rsidRPr="00B457F5">
        <w:rPr>
          <w:rFonts w:ascii="Garamond" w:hAnsi="Garamond" w:cs="Times New Roman"/>
          <w:bCs/>
          <w:color w:val="0D0D0D" w:themeColor="text1" w:themeTint="F2"/>
          <w:szCs w:val="24"/>
        </w:rPr>
        <w:t>bashkëpunimit</w:t>
      </w:r>
      <w:r w:rsidR="00C10570" w:rsidRPr="00B457F5">
        <w:rPr>
          <w:rFonts w:ascii="Garamond" w:hAnsi="Garamond" w:cs="Times New Roman"/>
          <w:bCs/>
          <w:color w:val="0D0D0D" w:themeColor="text1" w:themeTint="F2"/>
          <w:szCs w:val="24"/>
        </w:rPr>
        <w:t xml:space="preserve"> me </w:t>
      </w:r>
      <w:r w:rsidR="00A2088F" w:rsidRPr="00B457F5">
        <w:rPr>
          <w:rFonts w:ascii="Garamond" w:hAnsi="Garamond" w:cs="Times New Roman"/>
          <w:bCs/>
          <w:color w:val="0D0D0D" w:themeColor="text1" w:themeTint="F2"/>
          <w:szCs w:val="24"/>
        </w:rPr>
        <w:t>FRONTEX</w:t>
      </w:r>
      <w:r w:rsidR="00302C7C" w:rsidRPr="00B457F5">
        <w:rPr>
          <w:rFonts w:ascii="Garamond" w:hAnsi="Garamond" w:cs="Times New Roman"/>
          <w:bCs/>
          <w:color w:val="0D0D0D" w:themeColor="text1" w:themeTint="F2"/>
          <w:szCs w:val="24"/>
        </w:rPr>
        <w:t>-in</w:t>
      </w:r>
      <w:r w:rsidR="00C10570" w:rsidRPr="00B457F5">
        <w:rPr>
          <w:rFonts w:ascii="Garamond" w:hAnsi="Garamond" w:cs="Times New Roman"/>
          <w:bCs/>
          <w:color w:val="0D0D0D" w:themeColor="text1" w:themeTint="F2"/>
          <w:szCs w:val="24"/>
        </w:rPr>
        <w:t xml:space="preserve">. Në fushën e sigurisë, Shqipëria është aktive në operacione policore ndërkombëtare dhe ka rritur bashkëpunimin me </w:t>
      </w:r>
      <w:r w:rsidR="00A2088F" w:rsidRPr="00B457F5">
        <w:rPr>
          <w:rFonts w:ascii="Garamond" w:hAnsi="Garamond" w:cs="Times New Roman"/>
          <w:bCs/>
          <w:color w:val="0D0D0D" w:themeColor="text1" w:themeTint="F2"/>
          <w:szCs w:val="24"/>
        </w:rPr>
        <w:t>EUROPOL</w:t>
      </w:r>
      <w:r w:rsidR="00BF1C08" w:rsidRPr="00B457F5">
        <w:rPr>
          <w:rFonts w:ascii="Garamond" w:hAnsi="Garamond" w:cs="Times New Roman"/>
          <w:bCs/>
          <w:color w:val="0D0D0D" w:themeColor="text1" w:themeTint="F2"/>
          <w:szCs w:val="24"/>
        </w:rPr>
        <w:t>-in</w:t>
      </w:r>
      <w:r w:rsidR="00C10570" w:rsidRPr="00B457F5">
        <w:rPr>
          <w:rFonts w:ascii="Garamond" w:hAnsi="Garamond" w:cs="Times New Roman"/>
          <w:bCs/>
          <w:color w:val="0D0D0D" w:themeColor="text1" w:themeTint="F2"/>
          <w:szCs w:val="24"/>
        </w:rPr>
        <w:t xml:space="preserve">. Po ashtu, ka ngritur një oficer të dytë ndërlidhës në </w:t>
      </w:r>
      <w:r w:rsidR="00A2088F" w:rsidRPr="00B457F5">
        <w:rPr>
          <w:rFonts w:ascii="Garamond" w:hAnsi="Garamond" w:cs="Times New Roman"/>
          <w:bCs/>
          <w:color w:val="0D0D0D" w:themeColor="text1" w:themeTint="F2"/>
          <w:szCs w:val="24"/>
        </w:rPr>
        <w:t>EUROPOL</w:t>
      </w:r>
      <w:r w:rsidR="00C10570" w:rsidRPr="00B457F5">
        <w:rPr>
          <w:rFonts w:ascii="Garamond" w:hAnsi="Garamond" w:cs="Times New Roman"/>
          <w:bCs/>
          <w:color w:val="0D0D0D" w:themeColor="text1" w:themeTint="F2"/>
          <w:szCs w:val="24"/>
        </w:rPr>
        <w:t xml:space="preserve">. </w:t>
      </w:r>
    </w:p>
    <w:p w14:paraId="4C302101" w14:textId="352AA151" w:rsidR="00D866BE" w:rsidRPr="00B457F5" w:rsidRDefault="00C10570" w:rsidP="002E693B">
      <w:pPr>
        <w:spacing w:before="0" w:after="0"/>
        <w:ind w:firstLine="284"/>
        <w:rPr>
          <w:rFonts w:ascii="Garamond" w:eastAsia="Times New Roman" w:hAnsi="Garamond" w:cs="Times New Roman"/>
          <w:color w:val="0D0D0D" w:themeColor="text1" w:themeTint="F2"/>
          <w:szCs w:val="24"/>
        </w:rPr>
      </w:pPr>
      <w:r w:rsidRPr="00B457F5">
        <w:rPr>
          <w:rFonts w:ascii="Garamond" w:hAnsi="Garamond" w:cs="Times New Roman"/>
          <w:bCs/>
          <w:color w:val="0D0D0D" w:themeColor="text1" w:themeTint="F2"/>
          <w:szCs w:val="24"/>
        </w:rPr>
        <w:t xml:space="preserve">Gjithashtu, është pjesë e platformës </w:t>
      </w:r>
      <w:r w:rsidR="00734269" w:rsidRPr="00B457F5">
        <w:rPr>
          <w:rFonts w:ascii="Garamond" w:hAnsi="Garamond" w:cs="Times New Roman"/>
          <w:bCs/>
          <w:color w:val="0D0D0D" w:themeColor="text1" w:themeTint="F2"/>
          <w:szCs w:val="24"/>
        </w:rPr>
        <w:t>evropiane</w:t>
      </w:r>
      <w:r w:rsidRPr="00B457F5">
        <w:rPr>
          <w:rFonts w:ascii="Garamond" w:hAnsi="Garamond" w:cs="Times New Roman"/>
          <w:bCs/>
          <w:color w:val="0D0D0D" w:themeColor="text1" w:themeTint="F2"/>
          <w:szCs w:val="24"/>
        </w:rPr>
        <w:t xml:space="preserve"> kundër kërcënimeve kriminale. Rekomandimet kryesore </w:t>
      </w:r>
      <w:r w:rsidR="00666959" w:rsidRPr="00B457F5">
        <w:rPr>
          <w:rFonts w:ascii="Garamond" w:hAnsi="Garamond" w:cs="Times New Roman"/>
          <w:bCs/>
          <w:color w:val="0D0D0D" w:themeColor="text1" w:themeTint="F2"/>
          <w:szCs w:val="24"/>
        </w:rPr>
        <w:t>t</w:t>
      </w:r>
      <w:r w:rsidR="00734269" w:rsidRPr="00B457F5">
        <w:rPr>
          <w:rFonts w:ascii="Garamond" w:hAnsi="Garamond" w:cs="Times New Roman"/>
          <w:bCs/>
          <w:color w:val="0D0D0D" w:themeColor="text1" w:themeTint="F2"/>
          <w:szCs w:val="24"/>
        </w:rPr>
        <w:t>ë</w:t>
      </w:r>
      <w:r w:rsidR="00666959" w:rsidRPr="00B457F5">
        <w:rPr>
          <w:rFonts w:ascii="Garamond" w:hAnsi="Garamond" w:cs="Times New Roman"/>
          <w:bCs/>
          <w:color w:val="0D0D0D" w:themeColor="text1" w:themeTint="F2"/>
          <w:szCs w:val="24"/>
        </w:rPr>
        <w:t xml:space="preserve"> </w:t>
      </w:r>
      <w:r w:rsidR="00734269" w:rsidRPr="00B457F5">
        <w:rPr>
          <w:rFonts w:ascii="Garamond" w:hAnsi="Garamond" w:cs="Times New Roman"/>
          <w:bCs/>
          <w:color w:val="0D0D0D" w:themeColor="text1" w:themeTint="F2"/>
          <w:szCs w:val="24"/>
        </w:rPr>
        <w:t>këtij</w:t>
      </w:r>
      <w:r w:rsidR="00666959" w:rsidRPr="00B457F5">
        <w:rPr>
          <w:rFonts w:ascii="Garamond" w:hAnsi="Garamond" w:cs="Times New Roman"/>
          <w:bCs/>
          <w:color w:val="0D0D0D" w:themeColor="text1" w:themeTint="F2"/>
          <w:szCs w:val="24"/>
        </w:rPr>
        <w:t xml:space="preserve"> raporti</w:t>
      </w:r>
      <w:r w:rsidR="00BF1C08" w:rsidRPr="00B457F5">
        <w:rPr>
          <w:rFonts w:ascii="Garamond" w:hAnsi="Garamond" w:cs="Times New Roman"/>
          <w:bCs/>
          <w:color w:val="0D0D0D" w:themeColor="text1" w:themeTint="F2"/>
          <w:szCs w:val="24"/>
        </w:rPr>
        <w:t>,</w:t>
      </w:r>
      <w:r w:rsidR="00666959" w:rsidRPr="00B457F5">
        <w:rPr>
          <w:rFonts w:ascii="Garamond" w:hAnsi="Garamond" w:cs="Times New Roman"/>
          <w:bCs/>
          <w:color w:val="0D0D0D" w:themeColor="text1" w:themeTint="F2"/>
          <w:szCs w:val="24"/>
        </w:rPr>
        <w:t xml:space="preserve"> si vazhdimi i përafrimit të</w:t>
      </w:r>
      <w:r w:rsidRPr="00B457F5">
        <w:rPr>
          <w:rFonts w:ascii="Garamond" w:hAnsi="Garamond" w:cs="Times New Roman"/>
          <w:bCs/>
          <w:color w:val="0D0D0D" w:themeColor="text1" w:themeTint="F2"/>
          <w:szCs w:val="24"/>
        </w:rPr>
        <w:t xml:space="preserve"> politikës së vizave me listën e vendeve të BE-së dhe intensifikimi i</w:t>
      </w:r>
      <w:r w:rsidR="0006016F" w:rsidRPr="00B457F5">
        <w:rPr>
          <w:rFonts w:ascii="Garamond" w:hAnsi="Garamond" w:cs="Times New Roman"/>
          <w:bCs/>
          <w:color w:val="0D0D0D" w:themeColor="text1" w:themeTint="F2"/>
          <w:szCs w:val="24"/>
        </w:rPr>
        <w:t xml:space="preserve"> </w:t>
      </w:r>
      <w:r w:rsidR="00734269" w:rsidRPr="00B457F5">
        <w:rPr>
          <w:rFonts w:ascii="Garamond" w:hAnsi="Garamond" w:cs="Times New Roman"/>
          <w:bCs/>
          <w:color w:val="0D0D0D" w:themeColor="text1" w:themeTint="F2"/>
          <w:szCs w:val="24"/>
        </w:rPr>
        <w:t>bashkëpunimit</w:t>
      </w:r>
      <w:r w:rsidRPr="00B457F5">
        <w:rPr>
          <w:rFonts w:ascii="Garamond" w:hAnsi="Garamond" w:cs="Times New Roman"/>
          <w:bCs/>
          <w:color w:val="0D0D0D" w:themeColor="text1" w:themeTint="F2"/>
          <w:szCs w:val="24"/>
        </w:rPr>
        <w:t xml:space="preserve"> për menaxhimin e kufijve dhe para</w:t>
      </w:r>
      <w:r w:rsidR="00666959" w:rsidRPr="00B457F5">
        <w:rPr>
          <w:rFonts w:ascii="Garamond" w:hAnsi="Garamond" w:cs="Times New Roman"/>
          <w:bCs/>
          <w:color w:val="0D0D0D" w:themeColor="text1" w:themeTint="F2"/>
          <w:szCs w:val="24"/>
        </w:rPr>
        <w:t xml:space="preserve">ndalimin e azilkërkimit abuziv, </w:t>
      </w:r>
      <w:r w:rsidRPr="00B457F5">
        <w:rPr>
          <w:rFonts w:ascii="Garamond" w:hAnsi="Garamond" w:cs="Times New Roman"/>
          <w:bCs/>
          <w:color w:val="0D0D0D" w:themeColor="text1" w:themeTint="F2"/>
          <w:szCs w:val="24"/>
        </w:rPr>
        <w:t>jan</w:t>
      </w:r>
      <w:r w:rsidR="006E667E" w:rsidRPr="00B457F5">
        <w:rPr>
          <w:rFonts w:ascii="Garamond" w:hAnsi="Garamond" w:cs="Times New Roman"/>
          <w:bCs/>
          <w:color w:val="0D0D0D" w:themeColor="text1" w:themeTint="F2"/>
          <w:szCs w:val="24"/>
        </w:rPr>
        <w:t>ë</w:t>
      </w:r>
      <w:r w:rsidR="00666959" w:rsidRPr="00B457F5">
        <w:rPr>
          <w:rFonts w:ascii="Garamond" w:hAnsi="Garamond" w:cs="Times New Roman"/>
          <w:bCs/>
          <w:color w:val="0D0D0D" w:themeColor="text1" w:themeTint="F2"/>
          <w:szCs w:val="24"/>
        </w:rPr>
        <w:t xml:space="preserve"> ç</w:t>
      </w:r>
      <w:r w:rsidR="006E667E" w:rsidRPr="00B457F5">
        <w:rPr>
          <w:rFonts w:ascii="Garamond" w:hAnsi="Garamond" w:cs="Times New Roman"/>
          <w:bCs/>
          <w:color w:val="0D0D0D" w:themeColor="text1" w:themeTint="F2"/>
          <w:szCs w:val="24"/>
        </w:rPr>
        <w:t>ë</w:t>
      </w:r>
      <w:r w:rsidRPr="00B457F5">
        <w:rPr>
          <w:rFonts w:ascii="Garamond" w:hAnsi="Garamond" w:cs="Times New Roman"/>
          <w:bCs/>
          <w:color w:val="0D0D0D" w:themeColor="text1" w:themeTint="F2"/>
          <w:szCs w:val="24"/>
        </w:rPr>
        <w:t>shtje pritoritare t</w:t>
      </w:r>
      <w:r w:rsidR="006E667E" w:rsidRPr="00B457F5">
        <w:rPr>
          <w:rFonts w:ascii="Garamond" w:hAnsi="Garamond" w:cs="Times New Roman"/>
          <w:bCs/>
          <w:color w:val="0D0D0D" w:themeColor="text1" w:themeTint="F2"/>
          <w:szCs w:val="24"/>
        </w:rPr>
        <w:t>ë</w:t>
      </w:r>
      <w:r w:rsidRPr="00B457F5">
        <w:rPr>
          <w:rFonts w:ascii="Garamond" w:hAnsi="Garamond" w:cs="Times New Roman"/>
          <w:bCs/>
          <w:color w:val="0D0D0D" w:themeColor="text1" w:themeTint="F2"/>
          <w:szCs w:val="24"/>
        </w:rPr>
        <w:t xml:space="preserve"> cilat trajton SKM</w:t>
      </w:r>
      <w:r w:rsidR="00BF1C08" w:rsidRPr="00B457F5">
        <w:rPr>
          <w:rFonts w:ascii="Garamond" w:hAnsi="Garamond" w:cs="Times New Roman"/>
          <w:bCs/>
          <w:color w:val="0D0D0D" w:themeColor="text1" w:themeTint="F2"/>
          <w:szCs w:val="24"/>
        </w:rPr>
        <w:t>-ja</w:t>
      </w:r>
      <w:r w:rsidRPr="00B457F5">
        <w:rPr>
          <w:rFonts w:ascii="Garamond" w:hAnsi="Garamond" w:cs="Times New Roman"/>
          <w:bCs/>
          <w:color w:val="0D0D0D" w:themeColor="text1" w:themeTint="F2"/>
          <w:szCs w:val="24"/>
        </w:rPr>
        <w:t>, duke vendosur objektiva specifik</w:t>
      </w:r>
      <w:r w:rsidR="00AF4731" w:rsidRPr="00B457F5">
        <w:rPr>
          <w:rFonts w:ascii="Garamond" w:hAnsi="Garamond" w:cs="Times New Roman"/>
          <w:bCs/>
          <w:color w:val="0D0D0D" w:themeColor="text1" w:themeTint="F2"/>
          <w:szCs w:val="24"/>
        </w:rPr>
        <w:t>ë</w:t>
      </w:r>
      <w:r w:rsidRPr="00B457F5">
        <w:rPr>
          <w:rFonts w:ascii="Garamond" w:hAnsi="Garamond" w:cs="Times New Roman"/>
          <w:bCs/>
          <w:color w:val="0D0D0D" w:themeColor="text1" w:themeTint="F2"/>
          <w:szCs w:val="24"/>
        </w:rPr>
        <w:t xml:space="preserve"> dhe </w:t>
      </w:r>
      <w:r w:rsidR="00734269" w:rsidRPr="00B457F5">
        <w:rPr>
          <w:rFonts w:ascii="Garamond" w:hAnsi="Garamond" w:cs="Times New Roman"/>
          <w:bCs/>
          <w:color w:val="0D0D0D" w:themeColor="text1" w:themeTint="F2"/>
          <w:szCs w:val="24"/>
        </w:rPr>
        <w:t>ndërmarrjen</w:t>
      </w:r>
      <w:r w:rsidRPr="00B457F5">
        <w:rPr>
          <w:rFonts w:ascii="Garamond" w:hAnsi="Garamond" w:cs="Times New Roman"/>
          <w:bCs/>
          <w:color w:val="0D0D0D" w:themeColor="text1" w:themeTint="F2"/>
          <w:szCs w:val="24"/>
        </w:rPr>
        <w:t xml:space="preserve"> e masave konkrete n</w:t>
      </w:r>
      <w:r w:rsidR="00AD0CC9" w:rsidRPr="00B457F5">
        <w:rPr>
          <w:rFonts w:ascii="Garamond" w:hAnsi="Garamond" w:cs="Times New Roman"/>
          <w:bCs/>
          <w:color w:val="0D0D0D" w:themeColor="text1" w:themeTint="F2"/>
          <w:szCs w:val="24"/>
        </w:rPr>
        <w:t>ë</w:t>
      </w:r>
      <w:r w:rsidRPr="00B457F5">
        <w:rPr>
          <w:rFonts w:ascii="Garamond" w:hAnsi="Garamond" w:cs="Times New Roman"/>
          <w:bCs/>
          <w:color w:val="0D0D0D" w:themeColor="text1" w:themeTint="F2"/>
          <w:szCs w:val="24"/>
        </w:rPr>
        <w:t xml:space="preserve"> t</w:t>
      </w:r>
      <w:r w:rsidR="00A00523" w:rsidRPr="00B457F5">
        <w:rPr>
          <w:rFonts w:ascii="Garamond" w:hAnsi="Garamond" w:cs="Times New Roman"/>
          <w:bCs/>
          <w:color w:val="0D0D0D" w:themeColor="text1" w:themeTint="F2"/>
          <w:szCs w:val="24"/>
        </w:rPr>
        <w:t>ë</w:t>
      </w:r>
      <w:r w:rsidRPr="00B457F5">
        <w:rPr>
          <w:rFonts w:ascii="Garamond" w:hAnsi="Garamond" w:cs="Times New Roman"/>
          <w:bCs/>
          <w:color w:val="0D0D0D" w:themeColor="text1" w:themeTint="F2"/>
          <w:szCs w:val="24"/>
        </w:rPr>
        <w:t xml:space="preserve"> 4</w:t>
      </w:r>
      <w:r w:rsidR="00BF1C08" w:rsidRPr="00B457F5">
        <w:rPr>
          <w:rFonts w:ascii="Garamond" w:hAnsi="Garamond" w:cs="Times New Roman"/>
          <w:bCs/>
          <w:color w:val="0D0D0D" w:themeColor="text1" w:themeTint="F2"/>
          <w:szCs w:val="24"/>
        </w:rPr>
        <w:t>-ta</w:t>
      </w:r>
      <w:r w:rsidRPr="00B457F5">
        <w:rPr>
          <w:rFonts w:ascii="Garamond" w:hAnsi="Garamond" w:cs="Times New Roman"/>
          <w:bCs/>
          <w:color w:val="0D0D0D" w:themeColor="text1" w:themeTint="F2"/>
          <w:szCs w:val="24"/>
        </w:rPr>
        <w:t xml:space="preserve"> politikat e saj.</w:t>
      </w:r>
      <w:bookmarkEnd w:id="12"/>
    </w:p>
    <w:p w14:paraId="0603B7DE" w14:textId="3F7B7073" w:rsidR="00605E1B" w:rsidRPr="00B457F5" w:rsidRDefault="00605E1B" w:rsidP="002E693B">
      <w:pPr>
        <w:pStyle w:val="BodyText1"/>
        <w:spacing w:before="0" w:after="0"/>
        <w:ind w:firstLine="284"/>
        <w:rPr>
          <w:rFonts w:ascii="Garamond" w:hAnsi="Garamond"/>
          <w:color w:val="0D0D0D" w:themeColor="text1" w:themeTint="F2"/>
          <w:sz w:val="24"/>
          <w:szCs w:val="24"/>
          <w:lang w:val="sq-AL"/>
        </w:rPr>
      </w:pPr>
      <w:bookmarkStart w:id="13" w:name="_Toc148097431"/>
      <w:r w:rsidRPr="00B457F5">
        <w:rPr>
          <w:rFonts w:ascii="Garamond" w:hAnsi="Garamond"/>
          <w:color w:val="0D0D0D" w:themeColor="text1" w:themeTint="F2"/>
          <w:sz w:val="24"/>
          <w:szCs w:val="24"/>
          <w:lang w:val="sq-AL"/>
        </w:rPr>
        <w:t>Gjatë hartimit të Strategjisë Kombëtare për Migracionin dhe Planit të Veprimit 2024</w:t>
      </w:r>
      <w:r w:rsidR="00734269" w:rsidRPr="00B457F5">
        <w:rPr>
          <w:rStyle w:val="contentpasted1"/>
          <w:rFonts w:ascii="Garamond" w:hAnsi="Garamond"/>
          <w:color w:val="000000"/>
          <w:lang w:val="sq-AL"/>
        </w:rPr>
        <w:t>–</w:t>
      </w:r>
      <w:r w:rsidRPr="00B457F5">
        <w:rPr>
          <w:rFonts w:ascii="Garamond" w:hAnsi="Garamond"/>
          <w:color w:val="0D0D0D" w:themeColor="text1" w:themeTint="F2"/>
          <w:sz w:val="24"/>
          <w:szCs w:val="24"/>
          <w:lang w:val="sq-AL"/>
        </w:rPr>
        <w:t>2030, i është kushtuar vëmendja e duhur rezultateve të vlerësimeve të fundit të zbatimit dhe arritjes së objektivave të qeverisjes së migracionit të SKM-së dhe PV-së 2019</w:t>
      </w:r>
      <w:r w:rsidR="00734269" w:rsidRPr="00B457F5">
        <w:rPr>
          <w:rStyle w:val="contentpasted1"/>
          <w:rFonts w:ascii="Garamond" w:hAnsi="Garamond"/>
          <w:color w:val="000000"/>
          <w:lang w:val="sq-AL"/>
        </w:rPr>
        <w:t>–</w:t>
      </w:r>
      <w:r w:rsidRPr="00B457F5">
        <w:rPr>
          <w:rFonts w:ascii="Garamond" w:hAnsi="Garamond"/>
          <w:color w:val="0D0D0D" w:themeColor="text1" w:themeTint="F2"/>
          <w:sz w:val="24"/>
          <w:szCs w:val="24"/>
          <w:lang w:val="sq-AL"/>
        </w:rPr>
        <w:t>2022</w:t>
      </w:r>
      <w:r w:rsidR="00BF1C08" w:rsidRPr="00B457F5">
        <w:rPr>
          <w:rFonts w:ascii="Garamond" w:hAnsi="Garamond"/>
          <w:color w:val="0D0D0D" w:themeColor="text1" w:themeTint="F2"/>
          <w:sz w:val="24"/>
          <w:szCs w:val="24"/>
          <w:lang w:val="sq-AL"/>
        </w:rPr>
        <w:t>,</w:t>
      </w:r>
      <w:r w:rsidRPr="00B457F5">
        <w:rPr>
          <w:rFonts w:ascii="Garamond" w:hAnsi="Garamond"/>
          <w:color w:val="0D0D0D" w:themeColor="text1" w:themeTint="F2"/>
          <w:sz w:val="24"/>
          <w:szCs w:val="24"/>
          <w:lang w:val="sq-AL"/>
        </w:rPr>
        <w:t xml:space="preserve"> në këndvështrimin e instrumenteve të ndryshme ndërkombëtare:</w:t>
      </w:r>
    </w:p>
    <w:p w14:paraId="4E05CF27" w14:textId="294D1438" w:rsidR="00151C91" w:rsidRPr="00B457F5" w:rsidRDefault="00783BF2" w:rsidP="002E693B">
      <w:pPr>
        <w:tabs>
          <w:tab w:val="left" w:pos="0"/>
        </w:tabs>
        <w:autoSpaceDE w:val="0"/>
        <w:autoSpaceDN w:val="0"/>
        <w:adjustRightInd w:val="0"/>
        <w:spacing w:before="0" w:after="0"/>
        <w:ind w:firstLine="284"/>
        <w:rPr>
          <w:rFonts w:ascii="Garamond" w:eastAsiaTheme="minorHAnsi" w:hAnsi="Garamond" w:cs="Times New Roman"/>
          <w:color w:val="0D0D0D"/>
          <w:szCs w:val="24"/>
        </w:rPr>
      </w:pPr>
      <w:r w:rsidRPr="00B457F5">
        <w:rPr>
          <w:rFonts w:ascii="Garamond" w:eastAsiaTheme="minorHAnsi" w:hAnsi="Garamond" w:cs="Times New Roman"/>
          <w:color w:val="0D0D0D"/>
          <w:szCs w:val="24"/>
        </w:rPr>
        <w:t xml:space="preserve">- </w:t>
      </w:r>
      <w:r w:rsidR="00151C91" w:rsidRPr="00B457F5">
        <w:rPr>
          <w:rFonts w:ascii="Garamond" w:eastAsiaTheme="minorHAnsi" w:hAnsi="Garamond" w:cs="Times New Roman"/>
          <w:color w:val="0D0D0D"/>
          <w:szCs w:val="24"/>
        </w:rPr>
        <w:t>Vlerësimi i Kapaciteteve Institucionale për Qeverisje Efektive të Migracionit në Republikën e Shqipërisë (2021);</w:t>
      </w:r>
    </w:p>
    <w:p w14:paraId="4FE8E29C" w14:textId="511AB484" w:rsidR="00151C91" w:rsidRPr="00B457F5" w:rsidRDefault="00783BF2" w:rsidP="002E693B">
      <w:pPr>
        <w:tabs>
          <w:tab w:val="left" w:pos="0"/>
        </w:tabs>
        <w:autoSpaceDE w:val="0"/>
        <w:autoSpaceDN w:val="0"/>
        <w:adjustRightInd w:val="0"/>
        <w:spacing w:before="0" w:after="0"/>
        <w:ind w:firstLine="284"/>
        <w:rPr>
          <w:rFonts w:ascii="Garamond" w:eastAsiaTheme="minorHAnsi" w:hAnsi="Garamond" w:cs="Times New Roman"/>
          <w:color w:val="0D0D0D"/>
          <w:szCs w:val="24"/>
        </w:rPr>
      </w:pPr>
      <w:r w:rsidRPr="00B457F5">
        <w:rPr>
          <w:rFonts w:ascii="Garamond" w:eastAsiaTheme="minorHAnsi" w:hAnsi="Garamond" w:cs="Times New Roman"/>
          <w:color w:val="0D0D0D"/>
          <w:szCs w:val="24"/>
        </w:rPr>
        <w:t xml:space="preserve">- </w:t>
      </w:r>
      <w:r w:rsidR="00151C91" w:rsidRPr="00B457F5">
        <w:rPr>
          <w:rFonts w:ascii="Garamond" w:eastAsiaTheme="minorHAnsi" w:hAnsi="Garamond" w:cs="Times New Roman"/>
          <w:color w:val="0D0D0D"/>
          <w:szCs w:val="24"/>
        </w:rPr>
        <w:t>Udhëzues/</w:t>
      </w:r>
      <w:r w:rsidR="00BF1C08" w:rsidRPr="00B457F5">
        <w:rPr>
          <w:rFonts w:ascii="Garamond" w:eastAsiaTheme="minorHAnsi" w:hAnsi="Garamond" w:cs="Times New Roman"/>
          <w:color w:val="0D0D0D"/>
          <w:szCs w:val="24"/>
        </w:rPr>
        <w:t>m</w:t>
      </w:r>
      <w:r w:rsidR="00151C91" w:rsidRPr="00B457F5">
        <w:rPr>
          <w:rFonts w:ascii="Garamond" w:eastAsiaTheme="minorHAnsi" w:hAnsi="Garamond" w:cs="Times New Roman"/>
          <w:color w:val="0D0D0D"/>
          <w:szCs w:val="24"/>
        </w:rPr>
        <w:t>anual referencë për raportimin e GCM</w:t>
      </w:r>
      <w:r w:rsidR="00BF1C08" w:rsidRPr="00B457F5">
        <w:rPr>
          <w:rFonts w:ascii="Garamond" w:eastAsia="MS Mincho" w:hAnsi="Garamond" w:cs="Times New Roman"/>
          <w:bCs/>
          <w:szCs w:val="24"/>
        </w:rPr>
        <w:t>-së</w:t>
      </w:r>
      <w:r w:rsidR="00151C91" w:rsidRPr="00B457F5">
        <w:rPr>
          <w:rFonts w:ascii="Garamond" w:eastAsiaTheme="minorHAnsi" w:hAnsi="Garamond" w:cs="Times New Roman"/>
          <w:color w:val="0D0D0D"/>
          <w:szCs w:val="24"/>
        </w:rPr>
        <w:t xml:space="preserve"> për </w:t>
      </w:r>
      <w:r w:rsidR="00E47A10" w:rsidRPr="00B457F5">
        <w:rPr>
          <w:rFonts w:ascii="Garamond" w:eastAsiaTheme="minorHAnsi" w:hAnsi="Garamond" w:cs="Times New Roman"/>
          <w:color w:val="0D0D0D"/>
          <w:szCs w:val="24"/>
        </w:rPr>
        <w:t xml:space="preserve">qeverinë </w:t>
      </w:r>
      <w:r w:rsidR="00151C91" w:rsidRPr="00B457F5">
        <w:rPr>
          <w:rFonts w:ascii="Garamond" w:eastAsiaTheme="minorHAnsi" w:hAnsi="Garamond" w:cs="Times New Roman"/>
          <w:color w:val="0D0D0D"/>
          <w:szCs w:val="24"/>
        </w:rPr>
        <w:t>e Shqipërisë (2021);</w:t>
      </w:r>
    </w:p>
    <w:p w14:paraId="344A538A" w14:textId="088C06B2" w:rsidR="00151C91" w:rsidRPr="00B457F5" w:rsidRDefault="00783BF2" w:rsidP="002E693B">
      <w:pPr>
        <w:tabs>
          <w:tab w:val="left" w:pos="0"/>
        </w:tabs>
        <w:autoSpaceDE w:val="0"/>
        <w:autoSpaceDN w:val="0"/>
        <w:adjustRightInd w:val="0"/>
        <w:spacing w:before="0" w:after="0"/>
        <w:ind w:firstLine="284"/>
        <w:rPr>
          <w:rFonts w:ascii="Garamond" w:eastAsiaTheme="minorHAnsi" w:hAnsi="Garamond" w:cs="Times New Roman"/>
          <w:color w:val="0D0D0D"/>
          <w:szCs w:val="24"/>
        </w:rPr>
      </w:pPr>
      <w:r w:rsidRPr="00B457F5">
        <w:rPr>
          <w:rFonts w:ascii="Garamond" w:eastAsiaTheme="minorHAnsi" w:hAnsi="Garamond" w:cs="Times New Roman"/>
          <w:color w:val="0D0D0D"/>
          <w:szCs w:val="24"/>
        </w:rPr>
        <w:t xml:space="preserve">- </w:t>
      </w:r>
      <w:r w:rsidR="00151C91" w:rsidRPr="00B457F5">
        <w:rPr>
          <w:rFonts w:ascii="Garamond" w:eastAsiaTheme="minorHAnsi" w:hAnsi="Garamond" w:cs="Times New Roman"/>
          <w:color w:val="0D0D0D"/>
          <w:szCs w:val="24"/>
        </w:rPr>
        <w:t>Raport mbi prioritizimin e objektivave të GCM</w:t>
      </w:r>
      <w:r w:rsidR="00BF1C08" w:rsidRPr="00B457F5">
        <w:rPr>
          <w:rFonts w:ascii="Garamond" w:eastAsia="MS Mincho" w:hAnsi="Garamond" w:cs="Times New Roman"/>
          <w:bCs/>
          <w:szCs w:val="24"/>
        </w:rPr>
        <w:t>-së</w:t>
      </w:r>
      <w:r w:rsidR="00151C91" w:rsidRPr="00B457F5">
        <w:rPr>
          <w:rFonts w:ascii="Garamond" w:eastAsiaTheme="minorHAnsi" w:hAnsi="Garamond" w:cs="Times New Roman"/>
          <w:color w:val="0D0D0D"/>
          <w:szCs w:val="24"/>
        </w:rPr>
        <w:t xml:space="preserve"> për zhvillimin e Strategjisë së re Kombëtare për Migracionin dhe Planit të Veprimit në Shqipëri (2023);</w:t>
      </w:r>
    </w:p>
    <w:p w14:paraId="227398F2" w14:textId="7F17D62C" w:rsidR="00151C91" w:rsidRPr="00B457F5" w:rsidRDefault="00783BF2" w:rsidP="002E693B">
      <w:pPr>
        <w:tabs>
          <w:tab w:val="left" w:pos="0"/>
        </w:tabs>
        <w:autoSpaceDE w:val="0"/>
        <w:autoSpaceDN w:val="0"/>
        <w:adjustRightInd w:val="0"/>
        <w:spacing w:before="0" w:after="0"/>
        <w:ind w:firstLine="284"/>
        <w:rPr>
          <w:rFonts w:ascii="Garamond" w:eastAsiaTheme="minorHAnsi" w:hAnsi="Garamond" w:cs="Times New Roman"/>
          <w:color w:val="0D0D0D"/>
          <w:szCs w:val="24"/>
        </w:rPr>
      </w:pPr>
      <w:r w:rsidRPr="00B457F5">
        <w:rPr>
          <w:rFonts w:ascii="Garamond" w:eastAsiaTheme="minorHAnsi" w:hAnsi="Garamond" w:cs="Times New Roman"/>
          <w:color w:val="0D0D0D"/>
          <w:szCs w:val="24"/>
        </w:rPr>
        <w:t xml:space="preserve">- </w:t>
      </w:r>
      <w:r w:rsidR="00151C91" w:rsidRPr="00B457F5">
        <w:rPr>
          <w:rFonts w:ascii="Garamond" w:eastAsiaTheme="minorHAnsi" w:hAnsi="Garamond" w:cs="Times New Roman"/>
          <w:color w:val="0D0D0D"/>
          <w:szCs w:val="24"/>
        </w:rPr>
        <w:t>Indikatorët e Qeverisjes së Migracionit: Profili i Dytë i Republikës së Shqipërisë (2023).</w:t>
      </w:r>
    </w:p>
    <w:p w14:paraId="4AC7B646" w14:textId="7EE98CDD" w:rsidR="00605E1B" w:rsidRPr="00B457F5" w:rsidRDefault="00605E1B" w:rsidP="002E693B">
      <w:pPr>
        <w:pStyle w:val="BodyText1"/>
        <w:spacing w:before="0" w:after="0"/>
        <w:ind w:firstLine="284"/>
        <w:rPr>
          <w:rFonts w:ascii="Garamond" w:hAnsi="Garamond"/>
          <w:color w:val="0D0D0D" w:themeColor="text1" w:themeTint="F2"/>
          <w:sz w:val="24"/>
          <w:szCs w:val="24"/>
          <w:lang w:val="sq-AL"/>
        </w:rPr>
      </w:pPr>
      <w:r w:rsidRPr="00B457F5">
        <w:rPr>
          <w:rFonts w:ascii="Garamond" w:hAnsi="Garamond"/>
          <w:color w:val="0D0D0D" w:themeColor="text1" w:themeTint="F2"/>
          <w:sz w:val="24"/>
          <w:szCs w:val="24"/>
          <w:lang w:val="sq-AL"/>
        </w:rPr>
        <w:t>Vlerësimi i Indikatorëve të Q</w:t>
      </w:r>
      <w:r w:rsidR="00EF65A1" w:rsidRPr="00B457F5">
        <w:rPr>
          <w:rFonts w:ascii="Garamond" w:hAnsi="Garamond"/>
          <w:color w:val="0D0D0D" w:themeColor="text1" w:themeTint="F2"/>
          <w:sz w:val="24"/>
          <w:szCs w:val="24"/>
          <w:lang w:val="sq-AL"/>
        </w:rPr>
        <w:t xml:space="preserve">everisjes së Migracionit (IQM) </w:t>
      </w:r>
      <w:r w:rsidRPr="00B457F5">
        <w:rPr>
          <w:rFonts w:ascii="Garamond" w:hAnsi="Garamond"/>
          <w:color w:val="0D0D0D" w:themeColor="text1" w:themeTint="F2"/>
          <w:sz w:val="24"/>
          <w:szCs w:val="24"/>
          <w:lang w:val="sq-AL"/>
        </w:rPr>
        <w:t>është një dokument që monitoron progresin e Shqipërisë për arritjen e IQM-ve që nga viti 2018, ndërsa identifikon nevojat e pazgjidhura brenda gjashtë dimensioneve të kuadrit të qeverisjes së migracionit. Për sa i përket mbrojtjes së të drejtave të migrantëve, profili IQM ka nxjerrë në pah pengesa për aksesin në tregun e punës për migrantët me qëndrim jo të përhershëm. Në të theksohet se dhënia e lejes së punës rregullohet me kuota vjetore pa një sistem monitorimi të kërkesës dhe ofertës kombëtare për punë. Mungesa e një mekanizmi koordinues të krijuar për të përpiluar dhe harmonizuar të dhënat e migracionit të mbledhura nga agjenci të ndryshme qeveritare ka penguar politikëbërjen e bazuar në të dhëna.</w:t>
      </w:r>
      <w:r w:rsidR="0006016F" w:rsidRPr="00B457F5">
        <w:rPr>
          <w:rFonts w:ascii="Garamond" w:hAnsi="Garamond"/>
          <w:color w:val="0D0D0D" w:themeColor="text1" w:themeTint="F2"/>
          <w:sz w:val="24"/>
          <w:szCs w:val="24"/>
          <w:lang w:val="sq-AL"/>
        </w:rPr>
        <w:t xml:space="preserve"> </w:t>
      </w:r>
      <w:r w:rsidRPr="00B457F5">
        <w:rPr>
          <w:rFonts w:ascii="Garamond" w:hAnsi="Garamond"/>
          <w:color w:val="0D0D0D" w:themeColor="text1" w:themeTint="F2"/>
          <w:sz w:val="24"/>
          <w:szCs w:val="24"/>
          <w:lang w:val="sq-AL"/>
        </w:rPr>
        <w:t xml:space="preserve">Për të trajtuar çështjen e burimeve të shpërndara të informacionit, u rekomandua zhvillimi i një portali qendror </w:t>
      </w:r>
      <w:r w:rsidRPr="00B457F5">
        <w:rPr>
          <w:rFonts w:ascii="Garamond" w:hAnsi="Garamond"/>
          <w:i/>
          <w:color w:val="0D0D0D" w:themeColor="text1" w:themeTint="F2"/>
          <w:sz w:val="24"/>
          <w:szCs w:val="24"/>
          <w:lang w:val="sq-AL"/>
        </w:rPr>
        <w:t>online</w:t>
      </w:r>
      <w:r w:rsidR="00BF1C08" w:rsidRPr="00B457F5">
        <w:rPr>
          <w:rFonts w:ascii="Garamond" w:hAnsi="Garamond"/>
          <w:i/>
          <w:color w:val="0D0D0D" w:themeColor="text1" w:themeTint="F2"/>
          <w:sz w:val="24"/>
          <w:szCs w:val="24"/>
          <w:lang w:val="sq-AL"/>
        </w:rPr>
        <w:t>,</w:t>
      </w:r>
      <w:r w:rsidRPr="00B457F5">
        <w:rPr>
          <w:rFonts w:ascii="Garamond" w:hAnsi="Garamond"/>
          <w:color w:val="0D0D0D" w:themeColor="text1" w:themeTint="F2"/>
          <w:sz w:val="24"/>
          <w:szCs w:val="24"/>
          <w:lang w:val="sq-AL"/>
        </w:rPr>
        <w:t xml:space="preserve"> që konsolidon informacionin mbi rregullat e migracionit dhe shërbimet e disponueshme për migrantët. </w:t>
      </w:r>
    </w:p>
    <w:p w14:paraId="1CEFE5AD" w14:textId="60CDEEF2" w:rsidR="00783BF2" w:rsidRPr="00B457F5" w:rsidRDefault="00605E1B" w:rsidP="00783BF2">
      <w:pPr>
        <w:pStyle w:val="BodyText1"/>
        <w:spacing w:before="0" w:after="0"/>
        <w:ind w:firstLine="284"/>
        <w:rPr>
          <w:rFonts w:ascii="Garamond" w:hAnsi="Garamond"/>
          <w:color w:val="0D0D0D" w:themeColor="text1" w:themeTint="F2"/>
          <w:sz w:val="24"/>
          <w:szCs w:val="24"/>
          <w:lang w:val="sq-AL"/>
        </w:rPr>
      </w:pPr>
      <w:r w:rsidRPr="00B457F5">
        <w:rPr>
          <w:rFonts w:ascii="Garamond" w:hAnsi="Garamond"/>
          <w:color w:val="0D0D0D" w:themeColor="text1" w:themeTint="F2"/>
          <w:sz w:val="24"/>
          <w:szCs w:val="24"/>
          <w:lang w:val="sq-AL"/>
        </w:rPr>
        <w:t>Sa i takon përfshirjes së aktorëve joshtetërorë në zbatimin e politikave të migracionit, IQM-ja ripohon diagnozën e SKM-së dhe PV</w:t>
      </w:r>
      <w:r w:rsidR="00BF1C08" w:rsidRPr="00B457F5">
        <w:rPr>
          <w:rFonts w:ascii="Garamond" w:hAnsi="Garamond"/>
          <w:color w:val="0D0D0D" w:themeColor="text1" w:themeTint="F2"/>
          <w:sz w:val="24"/>
          <w:szCs w:val="24"/>
          <w:lang w:val="sq-AL"/>
        </w:rPr>
        <w:t>-</w:t>
      </w:r>
      <w:r w:rsidRPr="00B457F5">
        <w:rPr>
          <w:rFonts w:ascii="Garamond" w:hAnsi="Garamond"/>
          <w:color w:val="0D0D0D" w:themeColor="text1" w:themeTint="F2"/>
          <w:sz w:val="24"/>
          <w:szCs w:val="24"/>
          <w:lang w:val="sq-AL"/>
        </w:rPr>
        <w:t xml:space="preserve">së lidhur me natyrën e kufizuar dhe </w:t>
      </w:r>
      <w:r w:rsidRPr="00B457F5">
        <w:rPr>
          <w:rFonts w:ascii="Garamond" w:hAnsi="Garamond"/>
          <w:i/>
          <w:color w:val="0D0D0D" w:themeColor="text1" w:themeTint="F2"/>
          <w:sz w:val="24"/>
          <w:szCs w:val="24"/>
          <w:lang w:val="sq-AL"/>
        </w:rPr>
        <w:t>ad hoc</w:t>
      </w:r>
      <w:r w:rsidRPr="00B457F5">
        <w:rPr>
          <w:rFonts w:ascii="Garamond" w:hAnsi="Garamond"/>
          <w:color w:val="0D0D0D" w:themeColor="text1" w:themeTint="F2"/>
          <w:sz w:val="24"/>
          <w:szCs w:val="24"/>
          <w:lang w:val="sq-AL"/>
        </w:rPr>
        <w:t xml:space="preserve"> të pjesëmarrjes.</w:t>
      </w:r>
      <w:r w:rsidR="0006016F" w:rsidRPr="00B457F5">
        <w:rPr>
          <w:rFonts w:ascii="Garamond" w:hAnsi="Garamond"/>
          <w:color w:val="0D0D0D" w:themeColor="text1" w:themeTint="F2"/>
          <w:sz w:val="24"/>
          <w:szCs w:val="24"/>
          <w:lang w:val="sq-AL"/>
        </w:rPr>
        <w:t xml:space="preserve"> </w:t>
      </w:r>
      <w:r w:rsidRPr="00B457F5">
        <w:rPr>
          <w:rFonts w:ascii="Garamond" w:hAnsi="Garamond"/>
          <w:color w:val="0D0D0D" w:themeColor="text1" w:themeTint="F2"/>
          <w:sz w:val="24"/>
          <w:szCs w:val="24"/>
          <w:lang w:val="sq-AL"/>
        </w:rPr>
        <w:t>Për më tepër, u vu re se nuk kishte politika të dedikuara që lidhin politikat e ndryshimeve klimatike me lëvizshmërinë njerëzore në rapo</w:t>
      </w:r>
      <w:r w:rsidR="00EF65A1" w:rsidRPr="00B457F5">
        <w:rPr>
          <w:rFonts w:ascii="Garamond" w:hAnsi="Garamond"/>
          <w:color w:val="0D0D0D" w:themeColor="text1" w:themeTint="F2"/>
          <w:sz w:val="24"/>
          <w:szCs w:val="24"/>
          <w:lang w:val="sq-AL"/>
        </w:rPr>
        <w:t>rtet SKM dhe PV për 2019</w:t>
      </w:r>
      <w:r w:rsidR="00734269" w:rsidRPr="00B457F5">
        <w:rPr>
          <w:rStyle w:val="contentpasted1"/>
          <w:rFonts w:ascii="Garamond" w:hAnsi="Garamond"/>
          <w:color w:val="000000"/>
          <w:lang w:val="sq-AL"/>
        </w:rPr>
        <w:t>–</w:t>
      </w:r>
      <w:r w:rsidR="00EF65A1" w:rsidRPr="00B457F5">
        <w:rPr>
          <w:rFonts w:ascii="Garamond" w:hAnsi="Garamond"/>
          <w:color w:val="0D0D0D" w:themeColor="text1" w:themeTint="F2"/>
          <w:sz w:val="24"/>
          <w:szCs w:val="24"/>
          <w:lang w:val="sq-AL"/>
        </w:rPr>
        <w:t xml:space="preserve">2022. </w:t>
      </w:r>
      <w:r w:rsidRPr="00B457F5">
        <w:rPr>
          <w:rFonts w:ascii="Garamond" w:hAnsi="Garamond"/>
          <w:color w:val="0D0D0D" w:themeColor="text1" w:themeTint="F2"/>
          <w:sz w:val="24"/>
          <w:szCs w:val="24"/>
          <w:lang w:val="sq-AL"/>
        </w:rPr>
        <w:t>Në kuadër të avancimit të mirëqenies social-ekonomike të migrantëve dhe shoqërisë, profili IQM nënvizoi domosdoshmërinë e kryerjes së vlerësimeve të rregullta të kërkesës kombëtare të tregut të punës për emigrantët.</w:t>
      </w:r>
      <w:r w:rsidR="0006016F" w:rsidRPr="00B457F5">
        <w:rPr>
          <w:rFonts w:ascii="Garamond" w:hAnsi="Garamond"/>
          <w:color w:val="0D0D0D" w:themeColor="text1" w:themeTint="F2"/>
          <w:sz w:val="24"/>
          <w:szCs w:val="24"/>
          <w:lang w:val="sq-AL"/>
        </w:rPr>
        <w:t xml:space="preserve"> </w:t>
      </w:r>
      <w:r w:rsidRPr="00B457F5">
        <w:rPr>
          <w:rFonts w:ascii="Garamond" w:hAnsi="Garamond"/>
          <w:color w:val="0D0D0D" w:themeColor="text1" w:themeTint="F2"/>
          <w:sz w:val="24"/>
          <w:szCs w:val="24"/>
          <w:lang w:val="sq-AL"/>
        </w:rPr>
        <w:t xml:space="preserve">Një fushë tjetër që kërkon zhvillim të mëtejshëm është ngritja e </w:t>
      </w:r>
      <w:r w:rsidR="00A313AE" w:rsidRPr="00B457F5">
        <w:rPr>
          <w:rFonts w:ascii="Garamond" w:hAnsi="Garamond"/>
          <w:color w:val="0D0D0D" w:themeColor="text1" w:themeTint="F2"/>
          <w:sz w:val="24"/>
          <w:szCs w:val="24"/>
          <w:lang w:val="sq-AL"/>
        </w:rPr>
        <w:t>“</w:t>
      </w:r>
      <w:r w:rsidRPr="00B457F5">
        <w:rPr>
          <w:rFonts w:ascii="Garamond" w:hAnsi="Garamond"/>
          <w:color w:val="0D0D0D" w:themeColor="text1" w:themeTint="F2"/>
          <w:sz w:val="24"/>
          <w:szCs w:val="24"/>
          <w:lang w:val="sq-AL"/>
        </w:rPr>
        <w:t>një mekanizmi gjithëpërfshirës të përqendruar te tërheqja e shtetasve shqiptarë që kanë emigruar jashtë vendit</w:t>
      </w:r>
      <w:r w:rsidR="00A313AE" w:rsidRPr="00B457F5">
        <w:rPr>
          <w:rFonts w:ascii="Garamond" w:hAnsi="Garamond"/>
          <w:color w:val="0D0D0D" w:themeColor="text1" w:themeTint="F2"/>
          <w:sz w:val="24"/>
          <w:szCs w:val="24"/>
          <w:lang w:val="sq-AL"/>
        </w:rPr>
        <w:t>”</w:t>
      </w:r>
      <w:r w:rsidRPr="00B457F5">
        <w:rPr>
          <w:rFonts w:ascii="Garamond" w:hAnsi="Garamond"/>
          <w:color w:val="0D0D0D" w:themeColor="text1" w:themeTint="F2"/>
          <w:sz w:val="24"/>
          <w:szCs w:val="24"/>
          <w:lang w:val="sq-AL"/>
        </w:rPr>
        <w:t>.</w:t>
      </w:r>
      <w:bookmarkStart w:id="14" w:name="_Toc155620719"/>
    </w:p>
    <w:p w14:paraId="49D6EC0D" w14:textId="3429CF6C" w:rsidR="00B01901" w:rsidRPr="00B457F5" w:rsidRDefault="006E6763" w:rsidP="00783BF2">
      <w:pPr>
        <w:pStyle w:val="BodyText1"/>
        <w:spacing w:before="0" w:after="0"/>
        <w:ind w:firstLine="284"/>
        <w:rPr>
          <w:rFonts w:ascii="Garamond" w:hAnsi="Garamond"/>
          <w:b/>
          <w:sz w:val="24"/>
          <w:szCs w:val="24"/>
          <w:lang w:val="sq-AL"/>
        </w:rPr>
      </w:pPr>
      <w:r w:rsidRPr="00B457F5">
        <w:rPr>
          <w:rFonts w:ascii="Garamond" w:hAnsi="Garamond"/>
          <w:b/>
          <w:sz w:val="24"/>
          <w:szCs w:val="24"/>
          <w:lang w:val="sq-AL"/>
        </w:rPr>
        <w:t xml:space="preserve">Kuadri </w:t>
      </w:r>
      <w:r w:rsidR="00734269" w:rsidRPr="00B457F5">
        <w:rPr>
          <w:rFonts w:ascii="Garamond" w:hAnsi="Garamond"/>
          <w:b/>
          <w:sz w:val="24"/>
          <w:szCs w:val="24"/>
          <w:lang w:val="sq-AL"/>
        </w:rPr>
        <w:t>i</w:t>
      </w:r>
      <w:r w:rsidRPr="00B457F5">
        <w:rPr>
          <w:rFonts w:ascii="Garamond" w:hAnsi="Garamond"/>
          <w:b/>
          <w:sz w:val="24"/>
          <w:szCs w:val="24"/>
          <w:lang w:val="sq-AL"/>
        </w:rPr>
        <w:t>nstitucional</w:t>
      </w:r>
      <w:bookmarkEnd w:id="13"/>
      <w:bookmarkEnd w:id="14"/>
    </w:p>
    <w:p w14:paraId="491EF271" w14:textId="77777777" w:rsidR="00783BF2" w:rsidRPr="00B457F5" w:rsidRDefault="0092348E" w:rsidP="00783BF2">
      <w:pPr>
        <w:spacing w:before="0" w:after="0"/>
        <w:ind w:firstLine="284"/>
        <w:rPr>
          <w:rFonts w:ascii="Garamond" w:eastAsia="Calibri" w:hAnsi="Garamond" w:cs="Times New Roman"/>
          <w:bCs/>
          <w:color w:val="000000"/>
          <w:szCs w:val="24"/>
        </w:rPr>
      </w:pPr>
      <w:r w:rsidRPr="00B457F5">
        <w:rPr>
          <w:rFonts w:ascii="Garamond" w:eastAsia="Calibri" w:hAnsi="Garamond" w:cs="Times New Roman"/>
          <w:bCs/>
          <w:iCs/>
          <w:color w:val="000000"/>
          <w:szCs w:val="24"/>
        </w:rPr>
        <w:t>Ministria e Brendshme</w:t>
      </w:r>
      <w:r w:rsidRPr="00B457F5">
        <w:rPr>
          <w:rFonts w:ascii="Garamond" w:eastAsia="Calibri" w:hAnsi="Garamond" w:cs="Times New Roman"/>
          <w:bCs/>
          <w:color w:val="000000"/>
          <w:szCs w:val="24"/>
        </w:rPr>
        <w:t xml:space="preserve"> është autoriteti kryesor në fushën e migracionit. Organet kryesore nën mbikëqyrjen e saj, përgjegjëse për zbatimin e politikave të migracionit janë</w:t>
      </w:r>
      <w:r w:rsidR="00DC1638" w:rsidRPr="00B457F5">
        <w:rPr>
          <w:rFonts w:ascii="Garamond" w:eastAsia="Calibri" w:hAnsi="Garamond" w:cs="Times New Roman"/>
          <w:bCs/>
          <w:color w:val="000000"/>
          <w:szCs w:val="24"/>
        </w:rPr>
        <w:t>:</w:t>
      </w:r>
      <w:r w:rsidRPr="00B457F5">
        <w:rPr>
          <w:rFonts w:ascii="Garamond" w:eastAsia="Calibri" w:hAnsi="Garamond" w:cs="Times New Roman"/>
          <w:bCs/>
          <w:color w:val="000000"/>
          <w:szCs w:val="24"/>
        </w:rPr>
        <w:t xml:space="preserve"> Drejtoria e Politikave për Migracionin dhe Antitrafikun, si struktura kryesore që garanton monitorim efektiv, raportim dhe bashkëpunim ndërmjet institucioneve të përfshira për çështjet e migracionit, Drejtoria e Politikave për Azilin, të Huajt dhe Shtetësinë, Drejtoria e Përgjithshme e Gjendjes Civile.</w:t>
      </w:r>
    </w:p>
    <w:p w14:paraId="2CA5063D" w14:textId="43FFD86F" w:rsidR="0092348E" w:rsidRPr="00B457F5" w:rsidRDefault="00783BF2" w:rsidP="00783BF2">
      <w:pPr>
        <w:spacing w:before="0" w:after="0"/>
        <w:ind w:firstLine="284"/>
        <w:rPr>
          <w:rFonts w:ascii="Garamond" w:hAnsi="Garamond" w:cs="Times New Roman"/>
          <w:szCs w:val="24"/>
        </w:rPr>
      </w:pPr>
      <w:r w:rsidRPr="00B457F5">
        <w:rPr>
          <w:rFonts w:ascii="Garamond" w:hAnsi="Garamond" w:cs="Times New Roman"/>
          <w:iCs/>
          <w:szCs w:val="24"/>
        </w:rPr>
        <w:lastRenderedPageBreak/>
        <w:t xml:space="preserve">- </w:t>
      </w:r>
      <w:r w:rsidR="0092348E" w:rsidRPr="00B457F5">
        <w:rPr>
          <w:rFonts w:ascii="Garamond" w:hAnsi="Garamond" w:cs="Times New Roman"/>
          <w:iCs/>
          <w:szCs w:val="24"/>
        </w:rPr>
        <w:t>Departamenti për Kufirin dhe Migracionin</w:t>
      </w:r>
      <w:r w:rsidR="0092348E" w:rsidRPr="00B457F5">
        <w:rPr>
          <w:rFonts w:ascii="Garamond" w:hAnsi="Garamond" w:cs="Times New Roman"/>
          <w:b/>
          <w:szCs w:val="24"/>
        </w:rPr>
        <w:t xml:space="preserve"> </w:t>
      </w:r>
      <w:r w:rsidR="0092348E" w:rsidRPr="00B457F5">
        <w:rPr>
          <w:rFonts w:ascii="Garamond" w:hAnsi="Garamond" w:cs="Times New Roman"/>
          <w:szCs w:val="24"/>
        </w:rPr>
        <w:t xml:space="preserve">është autoriteti shtetëror qendror përgjegjës për trajtimin e të huajve në Republikën e Shqipërisë, </w:t>
      </w:r>
      <w:r w:rsidR="00664329" w:rsidRPr="00B457F5">
        <w:rPr>
          <w:rFonts w:ascii="Garamond" w:hAnsi="Garamond" w:cs="Times New Roman"/>
          <w:szCs w:val="24"/>
        </w:rPr>
        <w:t>i cili i shtrin</w:t>
      </w:r>
      <w:r w:rsidR="0092348E" w:rsidRPr="00B457F5">
        <w:rPr>
          <w:rFonts w:ascii="Garamond" w:hAnsi="Garamond" w:cs="Times New Roman"/>
          <w:szCs w:val="24"/>
        </w:rPr>
        <w:t xml:space="preserve"> kompetencat e tij në të gjithë territorin e vendit, nëpërmjet strukturave përgjegjëse në nivel vendor për trajtimin, </w:t>
      </w:r>
      <w:r w:rsidR="00C40C0C" w:rsidRPr="00B457F5">
        <w:rPr>
          <w:rFonts w:ascii="Garamond" w:hAnsi="Garamond" w:cs="Times New Roman"/>
          <w:szCs w:val="24"/>
        </w:rPr>
        <w:t>përkatësisht</w:t>
      </w:r>
      <w:r w:rsidR="0092348E" w:rsidRPr="00B457F5">
        <w:rPr>
          <w:rFonts w:ascii="Garamond" w:hAnsi="Garamond" w:cs="Times New Roman"/>
          <w:szCs w:val="24"/>
        </w:rPr>
        <w:t xml:space="preserve"> Drejtoritë Vendore për Kufirin dhe Migracionin. Ky autoritet është përgjegjës edhe për qendrat e ndalimit, për kthimet, organizimin e fluturimeve të përbashkëta, bashkëpunimin rajonal e ndërkombëtar me vendet e tjera, si dhe për trajtimin e rasteve të aplikim</w:t>
      </w:r>
      <w:r w:rsidR="00C40C0C" w:rsidRPr="00B457F5">
        <w:rPr>
          <w:rFonts w:ascii="Garamond" w:hAnsi="Garamond" w:cs="Times New Roman"/>
          <w:szCs w:val="24"/>
        </w:rPr>
        <w:t>eve</w:t>
      </w:r>
      <w:r w:rsidR="0092348E" w:rsidRPr="00B457F5">
        <w:rPr>
          <w:rFonts w:ascii="Garamond" w:hAnsi="Garamond" w:cs="Times New Roman"/>
          <w:szCs w:val="24"/>
        </w:rPr>
        <w:t xml:space="preserve"> për leje qëndrimi, leje unike, apo dhe konstatimit të ligjshmërisë së të huajve në territor.</w:t>
      </w:r>
    </w:p>
    <w:p w14:paraId="229D4C79" w14:textId="69D91A9F" w:rsidR="00CB630D" w:rsidRPr="00B457F5" w:rsidRDefault="0092348E" w:rsidP="002E693B">
      <w:pPr>
        <w:spacing w:before="0" w:after="0"/>
        <w:ind w:firstLine="284"/>
        <w:rPr>
          <w:rFonts w:ascii="Garamond" w:eastAsia="Calibri" w:hAnsi="Garamond" w:cs="Times New Roman"/>
          <w:bCs/>
          <w:szCs w:val="24"/>
        </w:rPr>
      </w:pPr>
      <w:r w:rsidRPr="00B457F5">
        <w:rPr>
          <w:rFonts w:ascii="Garamond" w:eastAsia="Calibri" w:hAnsi="Garamond" w:cs="Times New Roman"/>
          <w:bCs/>
          <w:szCs w:val="24"/>
        </w:rPr>
        <w:t xml:space="preserve">Ministria e Financave (MF) është përgjegjëse për </w:t>
      </w:r>
      <w:r w:rsidR="00041729" w:rsidRPr="00B457F5">
        <w:rPr>
          <w:rFonts w:ascii="Garamond" w:eastAsia="Calibri" w:hAnsi="Garamond" w:cs="Times New Roman"/>
          <w:bCs/>
          <w:szCs w:val="24"/>
        </w:rPr>
        <w:t>arritjen e stabilitetit ekonomik, nëpërmjet drejtimit me efektshmëri, efektivitet dhe transparencë të financave publike</w:t>
      </w:r>
      <w:r w:rsidRPr="00B457F5">
        <w:rPr>
          <w:rFonts w:ascii="Garamond" w:eastAsia="Calibri" w:hAnsi="Garamond" w:cs="Times New Roman"/>
          <w:bCs/>
          <w:szCs w:val="24"/>
        </w:rPr>
        <w:t>.</w:t>
      </w:r>
    </w:p>
    <w:p w14:paraId="0D548C70" w14:textId="41C9C2B0" w:rsidR="00CB630D" w:rsidRPr="00B457F5" w:rsidRDefault="00CB630D" w:rsidP="002E693B">
      <w:pPr>
        <w:spacing w:before="0" w:after="0"/>
        <w:ind w:firstLine="284"/>
        <w:rPr>
          <w:rFonts w:ascii="Garamond" w:eastAsia="Calibri" w:hAnsi="Garamond" w:cs="Times New Roman"/>
          <w:bCs/>
          <w:szCs w:val="24"/>
        </w:rPr>
      </w:pPr>
      <w:r w:rsidRPr="00B457F5">
        <w:rPr>
          <w:rFonts w:ascii="Garamond" w:eastAsia="Calibri" w:hAnsi="Garamond" w:cs="Times New Roman"/>
          <w:bCs/>
          <w:szCs w:val="24"/>
        </w:rPr>
        <w:t>Ministria e Ekonomisë, Kulturës dhe Inovacionit (MEKI) është institucioni përgjegjës për garantimin e të drejtës për arsim dhe formim profesional si dhe punësim të denjë, duke përfshi</w:t>
      </w:r>
      <w:r w:rsidR="00A82C80" w:rsidRPr="00B457F5">
        <w:rPr>
          <w:rFonts w:ascii="Garamond" w:eastAsia="Calibri" w:hAnsi="Garamond" w:cs="Times New Roman"/>
          <w:bCs/>
          <w:szCs w:val="24"/>
        </w:rPr>
        <w:t>rë edhe</w:t>
      </w:r>
      <w:r w:rsidR="0006016F" w:rsidRPr="00B457F5">
        <w:rPr>
          <w:rFonts w:ascii="Garamond" w:eastAsia="Calibri" w:hAnsi="Garamond" w:cs="Times New Roman"/>
          <w:bCs/>
          <w:szCs w:val="24"/>
        </w:rPr>
        <w:t xml:space="preserve"> </w:t>
      </w:r>
      <w:r w:rsidR="00A82C80" w:rsidRPr="00B457F5">
        <w:rPr>
          <w:rFonts w:ascii="Garamond" w:eastAsia="Calibri" w:hAnsi="Garamond" w:cs="Times New Roman"/>
          <w:bCs/>
          <w:szCs w:val="24"/>
        </w:rPr>
        <w:t xml:space="preserve">migracionin për motive </w:t>
      </w:r>
      <w:r w:rsidRPr="00B457F5">
        <w:rPr>
          <w:rFonts w:ascii="Garamond" w:eastAsia="Calibri" w:hAnsi="Garamond" w:cs="Times New Roman"/>
          <w:bCs/>
          <w:szCs w:val="24"/>
        </w:rPr>
        <w:t>punësimi. Kjo ministri është institucioni përgjegjës për qeverisjen e migracionit për motive punësimi, në bashkëpunim me ministritë e tjera, për krijimin e skemave të migracionit për motive punësimi, si dhe për negocimin dhe zbatimin e marrëveshjeve dypalëshe dhe shumëpalëshe të punës. ME</w:t>
      </w:r>
      <w:r w:rsidR="006674A8" w:rsidRPr="00B457F5">
        <w:rPr>
          <w:rFonts w:ascii="Garamond" w:eastAsia="Calibri" w:hAnsi="Garamond" w:cs="Times New Roman"/>
          <w:bCs/>
          <w:szCs w:val="24"/>
        </w:rPr>
        <w:t>KI</w:t>
      </w:r>
      <w:r w:rsidR="002014D7" w:rsidRPr="00B457F5">
        <w:rPr>
          <w:rFonts w:ascii="Garamond" w:eastAsia="Calibri" w:hAnsi="Garamond" w:cs="Times New Roman"/>
          <w:bCs/>
          <w:szCs w:val="24"/>
        </w:rPr>
        <w:t>-ja</w:t>
      </w:r>
      <w:r w:rsidRPr="00B457F5">
        <w:rPr>
          <w:rFonts w:ascii="Garamond" w:eastAsia="Calibri" w:hAnsi="Garamond" w:cs="Times New Roman"/>
          <w:bCs/>
          <w:szCs w:val="24"/>
        </w:rPr>
        <w:t xml:space="preserve"> gjithashtu monitoron veprimtarinë e agjencive të punësimit dhe agjencive të punësimit të përkohshëm, që janë aktorë të rëndësishëm jo</w:t>
      </w:r>
      <w:r w:rsidR="00130AF0" w:rsidRPr="00B457F5">
        <w:rPr>
          <w:rFonts w:ascii="Garamond" w:eastAsia="Calibri" w:hAnsi="Garamond" w:cs="Times New Roman"/>
          <w:bCs/>
          <w:szCs w:val="24"/>
        </w:rPr>
        <w:t>p</w:t>
      </w:r>
      <w:r w:rsidRPr="00B457F5">
        <w:rPr>
          <w:rFonts w:ascii="Garamond" w:eastAsia="Calibri" w:hAnsi="Garamond" w:cs="Times New Roman"/>
          <w:bCs/>
          <w:szCs w:val="24"/>
        </w:rPr>
        <w:t>ublikë.</w:t>
      </w:r>
    </w:p>
    <w:p w14:paraId="44A1034B" w14:textId="3163F042" w:rsidR="00151C91" w:rsidRPr="00B457F5" w:rsidRDefault="00783BF2" w:rsidP="002E693B">
      <w:pPr>
        <w:autoSpaceDE w:val="0"/>
        <w:autoSpaceDN w:val="0"/>
        <w:adjustRightInd w:val="0"/>
        <w:spacing w:before="0" w:after="0"/>
        <w:ind w:firstLine="284"/>
        <w:rPr>
          <w:rFonts w:ascii="Garamond" w:eastAsiaTheme="minorHAnsi" w:hAnsi="Garamond" w:cs="Times New Roman"/>
          <w:b/>
          <w:bCs/>
          <w:i/>
          <w:iCs/>
          <w:szCs w:val="24"/>
        </w:rPr>
      </w:pPr>
      <w:r w:rsidRPr="00B457F5">
        <w:rPr>
          <w:rFonts w:ascii="Garamond" w:eastAsiaTheme="minorHAnsi" w:hAnsi="Garamond" w:cs="Symbol"/>
          <w:color w:val="000000"/>
          <w:szCs w:val="24"/>
        </w:rPr>
        <w:t xml:space="preserve">- </w:t>
      </w:r>
      <w:r w:rsidR="00151C91" w:rsidRPr="00B457F5">
        <w:rPr>
          <w:rFonts w:ascii="Garamond" w:eastAsiaTheme="minorHAnsi" w:hAnsi="Garamond" w:cs="Times New Roman"/>
          <w:szCs w:val="24"/>
        </w:rPr>
        <w:t>Agjencia Kombëtare për Punësimin dhe Aftësitë (AKPA) mbulon shërbimet, programet e punësimit dhe programet e formimit profesional për të huajt dhe migrantët e kthyer. Zyrat vendore të AKPA-së kanë krijuar sportele migracioni për të ofruar shërbime dhe ndihmë për këtë grup të veçantë. Sipas rregullores së brendshme të AKPA-së, sektori i migracionit dhe marrëdhënieve të punës është përgjegjës për mbikëqyrjen dhe përditësimin e udhëzimeve operacionale, për zbatimin e shërbimeve që lidhen me lëvizjet migratore, për menaxhimin e</w:t>
      </w:r>
      <w:r w:rsidR="0006016F" w:rsidRPr="00B457F5">
        <w:rPr>
          <w:rFonts w:ascii="Garamond" w:eastAsiaTheme="minorHAnsi" w:hAnsi="Garamond" w:cs="Times New Roman"/>
          <w:szCs w:val="24"/>
        </w:rPr>
        <w:t xml:space="preserve"> </w:t>
      </w:r>
      <w:r w:rsidR="00151C91" w:rsidRPr="00B457F5">
        <w:rPr>
          <w:rFonts w:ascii="Garamond" w:eastAsiaTheme="minorHAnsi" w:hAnsi="Garamond" w:cs="Times New Roman"/>
          <w:szCs w:val="24"/>
        </w:rPr>
        <w:t>procesit të dhënies së lejes së punës për të huajt dhe harton raporte periodike</w:t>
      </w:r>
      <w:r w:rsidR="002014D7" w:rsidRPr="00B457F5">
        <w:rPr>
          <w:rFonts w:ascii="Garamond" w:eastAsiaTheme="minorHAnsi" w:hAnsi="Garamond" w:cs="Times New Roman"/>
          <w:szCs w:val="24"/>
        </w:rPr>
        <w:t>,</w:t>
      </w:r>
      <w:r w:rsidR="00151C91" w:rsidRPr="00B457F5">
        <w:rPr>
          <w:rFonts w:ascii="Garamond" w:eastAsiaTheme="minorHAnsi" w:hAnsi="Garamond" w:cs="Times New Roman"/>
          <w:szCs w:val="24"/>
        </w:rPr>
        <w:t xml:space="preserve"> në lidhje me monitorimi</w:t>
      </w:r>
      <w:r w:rsidR="002014D7" w:rsidRPr="00B457F5">
        <w:rPr>
          <w:rFonts w:ascii="Garamond" w:eastAsiaTheme="minorHAnsi" w:hAnsi="Garamond" w:cs="Times New Roman"/>
          <w:szCs w:val="24"/>
        </w:rPr>
        <w:t>n</w:t>
      </w:r>
      <w:r w:rsidR="00151C91" w:rsidRPr="00B457F5">
        <w:rPr>
          <w:rFonts w:ascii="Garamond" w:eastAsiaTheme="minorHAnsi" w:hAnsi="Garamond" w:cs="Times New Roman"/>
          <w:szCs w:val="24"/>
        </w:rPr>
        <w:t xml:space="preserve"> </w:t>
      </w:r>
      <w:r w:rsidR="002014D7" w:rsidRPr="00B457F5">
        <w:rPr>
          <w:rFonts w:ascii="Garamond" w:eastAsiaTheme="minorHAnsi" w:hAnsi="Garamond" w:cs="Times New Roman"/>
          <w:szCs w:val="24"/>
        </w:rPr>
        <w:t>e</w:t>
      </w:r>
      <w:r w:rsidR="00151C91" w:rsidRPr="00B457F5">
        <w:rPr>
          <w:rFonts w:ascii="Garamond" w:eastAsiaTheme="minorHAnsi" w:hAnsi="Garamond" w:cs="Times New Roman"/>
          <w:szCs w:val="24"/>
        </w:rPr>
        <w:t xml:space="preserve"> lëvizjeve migratore në tregun e punës</w:t>
      </w:r>
      <w:r w:rsidR="00151C91" w:rsidRPr="00B457F5">
        <w:rPr>
          <w:rFonts w:ascii="Garamond" w:eastAsiaTheme="minorHAnsi" w:hAnsi="Garamond" w:cs="Times New Roman"/>
          <w:bCs/>
          <w:iCs/>
          <w:szCs w:val="24"/>
        </w:rPr>
        <w:t>.</w:t>
      </w:r>
      <w:r w:rsidR="00151C91" w:rsidRPr="00B457F5">
        <w:rPr>
          <w:rFonts w:ascii="Garamond" w:eastAsiaTheme="minorHAnsi" w:hAnsi="Garamond" w:cs="Times New Roman"/>
          <w:b/>
          <w:bCs/>
          <w:i/>
          <w:iCs/>
          <w:szCs w:val="24"/>
        </w:rPr>
        <w:t xml:space="preserve"> </w:t>
      </w:r>
    </w:p>
    <w:p w14:paraId="06F65B7C" w14:textId="43072EC6" w:rsidR="00151C91" w:rsidRPr="00B457F5" w:rsidRDefault="00783BF2" w:rsidP="00734269">
      <w:pPr>
        <w:autoSpaceDE w:val="0"/>
        <w:autoSpaceDN w:val="0"/>
        <w:adjustRightInd w:val="0"/>
        <w:spacing w:before="0" w:after="0"/>
        <w:ind w:firstLine="284"/>
        <w:rPr>
          <w:rFonts w:ascii="Garamond" w:eastAsiaTheme="minorHAnsi" w:hAnsi="Garamond" w:cs="Times New Roman"/>
          <w:b/>
          <w:bCs/>
          <w:i/>
          <w:iCs/>
          <w:szCs w:val="24"/>
        </w:rPr>
      </w:pPr>
      <w:r w:rsidRPr="00B457F5">
        <w:rPr>
          <w:rFonts w:ascii="Garamond" w:eastAsiaTheme="minorHAnsi" w:hAnsi="Garamond" w:cs="Symbol"/>
          <w:szCs w:val="24"/>
        </w:rPr>
        <w:t xml:space="preserve">- </w:t>
      </w:r>
      <w:r w:rsidR="00151C91" w:rsidRPr="00B457F5">
        <w:rPr>
          <w:rFonts w:ascii="Garamond" w:eastAsiaTheme="minorHAnsi" w:hAnsi="Garamond" w:cs="Times New Roman"/>
          <w:szCs w:val="24"/>
        </w:rPr>
        <w:t>Inspektorati Shtetëror i Punës dhe Shërbimeve Sociale</w:t>
      </w:r>
      <w:r w:rsidR="00151C91" w:rsidRPr="00B457F5">
        <w:rPr>
          <w:rFonts w:ascii="Garamond" w:eastAsiaTheme="minorHAnsi" w:hAnsi="Garamond" w:cs="Times New Roman"/>
          <w:b/>
          <w:bCs/>
          <w:i/>
          <w:iCs/>
          <w:szCs w:val="24"/>
        </w:rPr>
        <w:t xml:space="preserve"> </w:t>
      </w:r>
      <w:r w:rsidR="00151C91" w:rsidRPr="00B457F5">
        <w:rPr>
          <w:rFonts w:ascii="Garamond" w:eastAsiaTheme="minorHAnsi" w:hAnsi="Garamond" w:cs="Times New Roman"/>
          <w:szCs w:val="24"/>
        </w:rPr>
        <w:t>kryen inspektime për të siguruar zbatimin e dispozitave ligjore për kushtet e punës dhe mbrojtjen e punonjësve</w:t>
      </w:r>
      <w:r w:rsidR="00151C91" w:rsidRPr="00B457F5">
        <w:rPr>
          <w:rFonts w:ascii="Garamond" w:eastAsiaTheme="minorHAnsi" w:hAnsi="Garamond" w:cs="Times New Roman"/>
          <w:bCs/>
          <w:iCs/>
          <w:szCs w:val="24"/>
        </w:rPr>
        <w:t>.</w:t>
      </w:r>
    </w:p>
    <w:p w14:paraId="13FBD8EA" w14:textId="6204DBD5" w:rsidR="000766C8" w:rsidRPr="00B457F5" w:rsidRDefault="000766C8" w:rsidP="002E693B">
      <w:pPr>
        <w:spacing w:before="0" w:after="0"/>
        <w:ind w:firstLine="284"/>
        <w:rPr>
          <w:rFonts w:ascii="Garamond" w:eastAsia="Calibri" w:hAnsi="Garamond" w:cs="Times New Roman"/>
          <w:iCs/>
          <w:color w:val="000000"/>
          <w:szCs w:val="24"/>
        </w:rPr>
      </w:pPr>
      <w:r w:rsidRPr="00B457F5">
        <w:rPr>
          <w:rFonts w:ascii="Garamond" w:eastAsia="Calibri" w:hAnsi="Garamond" w:cs="Times New Roman"/>
          <w:bCs/>
          <w:color w:val="000000"/>
          <w:szCs w:val="24"/>
        </w:rPr>
        <w:t>Ministria për Evropën dhe Punët e Jashtme</w:t>
      </w:r>
      <w:r w:rsidRPr="00B457F5">
        <w:rPr>
          <w:rFonts w:ascii="Garamond" w:eastAsia="Calibri" w:hAnsi="Garamond" w:cs="Times New Roman"/>
          <w:b/>
          <w:bCs/>
          <w:iCs/>
          <w:color w:val="000000"/>
          <w:szCs w:val="24"/>
        </w:rPr>
        <w:t xml:space="preserve"> </w:t>
      </w:r>
      <w:r w:rsidRPr="00B457F5">
        <w:rPr>
          <w:rFonts w:ascii="Garamond" w:eastAsia="Calibri" w:hAnsi="Garamond" w:cs="Times New Roman"/>
          <w:iCs/>
          <w:color w:val="000000"/>
          <w:szCs w:val="24"/>
        </w:rPr>
        <w:t>është përgjegjëse për hartimin dhe zbatimin e politikës së vizave dhe negocimin e akteve të nevojshme të bashkëpunimit ndërkombëtar në fushën e migracionit</w:t>
      </w:r>
      <w:r w:rsidR="00267C7C" w:rsidRPr="00B457F5">
        <w:rPr>
          <w:rFonts w:ascii="Garamond" w:eastAsia="Calibri" w:hAnsi="Garamond" w:cs="Times New Roman"/>
          <w:iCs/>
          <w:color w:val="000000"/>
          <w:szCs w:val="24"/>
        </w:rPr>
        <w:t>,</w:t>
      </w:r>
      <w:r w:rsidRPr="00B457F5">
        <w:rPr>
          <w:rFonts w:ascii="Garamond" w:eastAsia="Calibri" w:hAnsi="Garamond" w:cs="Times New Roman"/>
          <w:iCs/>
          <w:color w:val="000000"/>
          <w:szCs w:val="24"/>
        </w:rPr>
        <w:t xml:space="preserve"> mbështetjen e emigrantëve shqiptarë jashtë vendit dhe mbrojtjen e të drejtave të tyre</w:t>
      </w:r>
      <w:r w:rsidR="00267C7C" w:rsidRPr="00B457F5">
        <w:rPr>
          <w:rFonts w:ascii="Garamond" w:eastAsia="Calibri" w:hAnsi="Garamond" w:cs="Times New Roman"/>
          <w:iCs/>
          <w:color w:val="000000"/>
          <w:szCs w:val="24"/>
        </w:rPr>
        <w:t>,</w:t>
      </w:r>
      <w:r w:rsidRPr="00B457F5">
        <w:rPr>
          <w:rFonts w:ascii="Garamond" w:eastAsia="Calibri" w:hAnsi="Garamond" w:cs="Times New Roman"/>
          <w:iCs/>
          <w:color w:val="000000"/>
          <w:szCs w:val="24"/>
        </w:rPr>
        <w:t xml:space="preserve"> organizimi</w:t>
      </w:r>
      <w:r w:rsidR="00267C7C" w:rsidRPr="00B457F5">
        <w:rPr>
          <w:rFonts w:ascii="Garamond" w:eastAsia="Calibri" w:hAnsi="Garamond" w:cs="Times New Roman"/>
          <w:iCs/>
          <w:color w:val="000000"/>
          <w:szCs w:val="24"/>
        </w:rPr>
        <w:t>n e</w:t>
      </w:r>
      <w:r w:rsidRPr="00B457F5">
        <w:rPr>
          <w:rFonts w:ascii="Garamond" w:eastAsia="Calibri" w:hAnsi="Garamond" w:cs="Times New Roman"/>
          <w:iCs/>
          <w:color w:val="000000"/>
          <w:szCs w:val="24"/>
        </w:rPr>
        <w:t xml:space="preserve"> diasporës shqiptare etj., në bashkëpunim me ministritë e tjera.</w:t>
      </w:r>
      <w:r w:rsidR="00966A7A" w:rsidRPr="00B457F5">
        <w:rPr>
          <w:rFonts w:ascii="Garamond" w:hAnsi="Garamond"/>
          <w:szCs w:val="24"/>
        </w:rPr>
        <w:t xml:space="preserve"> </w:t>
      </w:r>
      <w:r w:rsidR="00966A7A" w:rsidRPr="00B457F5">
        <w:rPr>
          <w:rFonts w:ascii="Garamond" w:eastAsia="Calibri" w:hAnsi="Garamond" w:cs="Times New Roman"/>
          <w:iCs/>
          <w:color w:val="000000"/>
          <w:szCs w:val="24"/>
        </w:rPr>
        <w:t>Për sa i përket marrëdhënieve me diasporën, Ministria për Evropën dhe Punët e Jashtme ka për mision zhvillimin dhe konsolidimin e bashkëpunimit institucional me diasporën nëpërmjet pranisë diplomatike dhe konsullore në vendet ku jetojnë dhe punojnë shqiptarët. Promovimi i bashkëpunimit ekonomik ndërmjet Shqipërisë dhe diasporës</w:t>
      </w:r>
      <w:r w:rsidR="002014D7" w:rsidRPr="00B457F5">
        <w:rPr>
          <w:rFonts w:ascii="Garamond" w:eastAsia="Calibri" w:hAnsi="Garamond" w:cs="Times New Roman"/>
          <w:iCs/>
          <w:color w:val="000000"/>
          <w:szCs w:val="24"/>
        </w:rPr>
        <w:t>,</w:t>
      </w:r>
      <w:r w:rsidR="00966A7A" w:rsidRPr="00B457F5">
        <w:rPr>
          <w:rFonts w:ascii="Garamond" w:eastAsia="Calibri" w:hAnsi="Garamond" w:cs="Times New Roman"/>
          <w:iCs/>
          <w:color w:val="000000"/>
          <w:szCs w:val="24"/>
        </w:rPr>
        <w:t xml:space="preserve"> dhe përfshirja e diasporës në zhvillimin politik, ekonomik dhe kulturor në vend janë ndër objektivat kryesor</w:t>
      </w:r>
      <w:r w:rsidR="00AF4731" w:rsidRPr="00B457F5">
        <w:rPr>
          <w:rFonts w:ascii="Garamond" w:eastAsia="Calibri" w:hAnsi="Garamond" w:cs="Times New Roman"/>
          <w:iCs/>
          <w:color w:val="000000"/>
          <w:szCs w:val="24"/>
        </w:rPr>
        <w:t>ë</w:t>
      </w:r>
      <w:r w:rsidR="00966A7A" w:rsidRPr="00B457F5">
        <w:rPr>
          <w:rFonts w:ascii="Garamond" w:eastAsia="Calibri" w:hAnsi="Garamond" w:cs="Times New Roman"/>
          <w:iCs/>
          <w:color w:val="000000"/>
          <w:szCs w:val="24"/>
        </w:rPr>
        <w:t xml:space="preserve"> kombëtar</w:t>
      </w:r>
      <w:r w:rsidR="00AF4731" w:rsidRPr="00B457F5">
        <w:rPr>
          <w:rFonts w:ascii="Garamond" w:eastAsia="Calibri" w:hAnsi="Garamond" w:cs="Times New Roman"/>
          <w:iCs/>
          <w:color w:val="000000"/>
          <w:szCs w:val="24"/>
        </w:rPr>
        <w:t>ë</w:t>
      </w:r>
      <w:r w:rsidR="00966A7A" w:rsidRPr="00B457F5">
        <w:rPr>
          <w:rFonts w:ascii="Garamond" w:eastAsia="Calibri" w:hAnsi="Garamond" w:cs="Times New Roman"/>
          <w:iCs/>
          <w:color w:val="000000"/>
          <w:szCs w:val="24"/>
        </w:rPr>
        <w:t>.</w:t>
      </w:r>
    </w:p>
    <w:p w14:paraId="61A5AD2F" w14:textId="11324D37" w:rsidR="00696DD0" w:rsidRPr="00B457F5" w:rsidRDefault="0060481E" w:rsidP="002E693B">
      <w:pPr>
        <w:spacing w:before="0" w:after="0"/>
        <w:ind w:firstLine="284"/>
        <w:rPr>
          <w:rFonts w:ascii="Garamond" w:eastAsia="MS Mincho" w:hAnsi="Garamond" w:cs="Times New Roman"/>
          <w:bCs/>
          <w:szCs w:val="24"/>
        </w:rPr>
      </w:pPr>
      <w:r w:rsidRPr="00B457F5">
        <w:rPr>
          <w:rFonts w:ascii="Garamond" w:eastAsia="MS Mincho" w:hAnsi="Garamond" w:cs="Times New Roman"/>
          <w:bCs/>
          <w:iCs/>
          <w:szCs w:val="24"/>
        </w:rPr>
        <w:t>Ministria e Drejtësisë</w:t>
      </w:r>
      <w:r w:rsidRPr="00B457F5">
        <w:rPr>
          <w:rFonts w:ascii="Garamond" w:eastAsia="MS Mincho" w:hAnsi="Garamond" w:cs="Times New Roman"/>
          <w:b/>
          <w:bCs/>
          <w:szCs w:val="24"/>
        </w:rPr>
        <w:t xml:space="preserve"> </w:t>
      </w:r>
      <w:r w:rsidR="00696DD0" w:rsidRPr="00B457F5">
        <w:rPr>
          <w:rFonts w:ascii="Garamond" w:eastAsia="MS Mincho" w:hAnsi="Garamond" w:cs="Times New Roman"/>
          <w:bCs/>
          <w:szCs w:val="24"/>
        </w:rPr>
        <w:t>është institucioni përgjegjës për hartimin dhe ndjekjen e politikave, përgatitjen e akteve ligjore dhe nënligjore, si dhe ushtrimin e shërbimeve të nevojshme</w:t>
      </w:r>
      <w:r w:rsidR="002014D7" w:rsidRPr="00B457F5">
        <w:rPr>
          <w:rFonts w:ascii="Garamond" w:eastAsia="MS Mincho" w:hAnsi="Garamond" w:cs="Times New Roman"/>
          <w:bCs/>
          <w:szCs w:val="24"/>
        </w:rPr>
        <w:t>,</w:t>
      </w:r>
      <w:r w:rsidR="00696DD0" w:rsidRPr="00B457F5">
        <w:rPr>
          <w:rFonts w:ascii="Garamond" w:eastAsia="MS Mincho" w:hAnsi="Garamond" w:cs="Times New Roman"/>
          <w:bCs/>
          <w:szCs w:val="24"/>
        </w:rPr>
        <w:t xml:space="preserve"> lidhur me sistemin gjyqësor, sistemin e ekzekutimit të vendimeve penale a civile, sistemin e shërbimeve të lira juridiko-profesionale, bashkëpunimin ndërkombëtar në fushën civile dhe penale, fushat e tjera të drejtësisë dhe të kompetencës së saj sipas ligjit, si dhe për bashkërendimin, harmonizimin dhe reformimin e legjislacionit shqiptar në tërësi.</w:t>
      </w:r>
    </w:p>
    <w:p w14:paraId="3D51B286" w14:textId="2A8113EB" w:rsidR="009F2C96" w:rsidRPr="00B457F5" w:rsidRDefault="0025780C" w:rsidP="002E693B">
      <w:pPr>
        <w:spacing w:before="0" w:after="0"/>
        <w:ind w:firstLine="284"/>
        <w:rPr>
          <w:rFonts w:ascii="Garamond" w:eastAsia="Calibri" w:hAnsi="Garamond" w:cs="Times New Roman"/>
          <w:b/>
          <w:bCs/>
          <w:iCs/>
          <w:color w:val="000000"/>
          <w:szCs w:val="24"/>
        </w:rPr>
      </w:pPr>
      <w:r w:rsidRPr="00B457F5">
        <w:rPr>
          <w:rFonts w:ascii="Garamond" w:eastAsia="Calibri" w:hAnsi="Garamond" w:cs="Times New Roman"/>
          <w:bCs/>
          <w:iCs/>
          <w:color w:val="000000"/>
          <w:szCs w:val="24"/>
        </w:rPr>
        <w:t>Ministria e Arsimit dhe Sportit</w:t>
      </w:r>
      <w:r w:rsidRPr="00B457F5">
        <w:rPr>
          <w:rFonts w:ascii="Garamond" w:eastAsia="Calibri" w:hAnsi="Garamond" w:cs="Times New Roman"/>
          <w:b/>
          <w:bCs/>
          <w:iCs/>
          <w:color w:val="000000"/>
          <w:szCs w:val="24"/>
        </w:rPr>
        <w:t xml:space="preserve"> </w:t>
      </w:r>
      <w:r w:rsidRPr="00B457F5">
        <w:rPr>
          <w:rFonts w:ascii="Garamond" w:eastAsia="Calibri" w:hAnsi="Garamond" w:cs="Times New Roman"/>
          <w:bCs/>
          <w:iCs/>
          <w:color w:val="000000"/>
          <w:szCs w:val="24"/>
        </w:rPr>
        <w:t>harton dhe zbaton politika që synojnë sigurimin e një sistemi</w:t>
      </w:r>
      <w:r w:rsidR="00090AF2" w:rsidRPr="00B457F5">
        <w:rPr>
          <w:rFonts w:ascii="Garamond" w:eastAsia="Calibri" w:hAnsi="Garamond" w:cs="Times New Roman"/>
          <w:bCs/>
          <w:iCs/>
          <w:color w:val="000000"/>
          <w:szCs w:val="24"/>
        </w:rPr>
        <w:t xml:space="preserve"> </w:t>
      </w:r>
      <w:r w:rsidRPr="00B457F5">
        <w:rPr>
          <w:rFonts w:ascii="Garamond" w:eastAsia="Calibri" w:hAnsi="Garamond" w:cs="Times New Roman"/>
          <w:bCs/>
          <w:iCs/>
          <w:color w:val="000000"/>
          <w:szCs w:val="24"/>
        </w:rPr>
        <w:t>arsimor cilësor, zhvillimin perspektiv të arsimit, respektimin e interesave të individit, të komunitetit e</w:t>
      </w:r>
      <w:r w:rsidR="00090AF2" w:rsidRPr="00B457F5">
        <w:rPr>
          <w:rFonts w:ascii="Garamond" w:eastAsia="Calibri" w:hAnsi="Garamond" w:cs="Times New Roman"/>
          <w:bCs/>
          <w:iCs/>
          <w:color w:val="000000"/>
          <w:szCs w:val="24"/>
        </w:rPr>
        <w:t xml:space="preserve"> </w:t>
      </w:r>
      <w:r w:rsidRPr="00B457F5">
        <w:rPr>
          <w:rFonts w:ascii="Garamond" w:eastAsia="Calibri" w:hAnsi="Garamond" w:cs="Times New Roman"/>
          <w:bCs/>
          <w:iCs/>
          <w:color w:val="000000"/>
          <w:szCs w:val="24"/>
        </w:rPr>
        <w:t>të shoqërisë dhe pajisjen me njohuritë e nevojshme për</w:t>
      </w:r>
      <w:r w:rsidR="00A313AE" w:rsidRPr="00B457F5">
        <w:rPr>
          <w:rFonts w:ascii="Garamond" w:eastAsia="Calibri" w:hAnsi="Garamond" w:cs="Times New Roman"/>
          <w:bCs/>
          <w:iCs/>
          <w:color w:val="000000"/>
          <w:szCs w:val="24"/>
        </w:rPr>
        <w:t xml:space="preserve"> t’u </w:t>
      </w:r>
      <w:r w:rsidRPr="00B457F5">
        <w:rPr>
          <w:rFonts w:ascii="Garamond" w:eastAsia="Calibri" w:hAnsi="Garamond" w:cs="Times New Roman"/>
          <w:bCs/>
          <w:iCs/>
          <w:color w:val="000000"/>
          <w:szCs w:val="24"/>
        </w:rPr>
        <w:t>përballur me kërkesat e ekonomisë së</w:t>
      </w:r>
      <w:r w:rsidR="00734269" w:rsidRPr="00B457F5">
        <w:rPr>
          <w:rFonts w:ascii="Garamond" w:eastAsia="Calibri" w:hAnsi="Garamond" w:cs="Times New Roman"/>
          <w:bCs/>
          <w:iCs/>
          <w:color w:val="000000"/>
          <w:szCs w:val="24"/>
        </w:rPr>
        <w:t xml:space="preserve"> </w:t>
      </w:r>
      <w:r w:rsidRPr="00B457F5">
        <w:rPr>
          <w:rFonts w:ascii="Garamond" w:eastAsia="Calibri" w:hAnsi="Garamond" w:cs="Times New Roman"/>
          <w:bCs/>
          <w:iCs/>
          <w:color w:val="000000"/>
          <w:szCs w:val="24"/>
        </w:rPr>
        <w:t>tregut, në përputhje me përpa</w:t>
      </w:r>
      <w:r w:rsidR="00090AF2" w:rsidRPr="00B457F5">
        <w:rPr>
          <w:rFonts w:ascii="Garamond" w:eastAsia="Calibri" w:hAnsi="Garamond" w:cs="Times New Roman"/>
          <w:bCs/>
          <w:iCs/>
          <w:color w:val="000000"/>
          <w:szCs w:val="24"/>
        </w:rPr>
        <w:t xml:space="preserve">rësitë kombëtare dhe evropiane; </w:t>
      </w:r>
      <w:r w:rsidRPr="00B457F5">
        <w:rPr>
          <w:rFonts w:ascii="Garamond" w:eastAsia="Calibri" w:hAnsi="Garamond" w:cs="Times New Roman"/>
          <w:bCs/>
          <w:iCs/>
          <w:color w:val="000000"/>
          <w:szCs w:val="24"/>
        </w:rPr>
        <w:t>krijimin, transmetimin, zhvillimin dhe</w:t>
      </w:r>
      <w:r w:rsidR="00090AF2" w:rsidRPr="00B457F5">
        <w:rPr>
          <w:rFonts w:ascii="Garamond" w:eastAsia="Calibri" w:hAnsi="Garamond" w:cs="Times New Roman"/>
          <w:bCs/>
          <w:iCs/>
          <w:color w:val="000000"/>
          <w:szCs w:val="24"/>
        </w:rPr>
        <w:t xml:space="preserve"> </w:t>
      </w:r>
      <w:r w:rsidRPr="00B457F5">
        <w:rPr>
          <w:rFonts w:ascii="Garamond" w:eastAsia="Calibri" w:hAnsi="Garamond" w:cs="Times New Roman"/>
          <w:bCs/>
          <w:iCs/>
          <w:color w:val="000000"/>
          <w:szCs w:val="24"/>
        </w:rPr>
        <w:t>mbrojtjen e dijeve me anë të mësimdhënies, kërkimit shkencor e shërbimeve.</w:t>
      </w:r>
      <w:r w:rsidR="00734269" w:rsidRPr="00B457F5">
        <w:rPr>
          <w:rFonts w:ascii="Garamond" w:eastAsia="Calibri" w:hAnsi="Garamond" w:cs="Times New Roman"/>
          <w:bCs/>
          <w:iCs/>
          <w:color w:val="000000"/>
          <w:szCs w:val="24"/>
        </w:rPr>
        <w:t xml:space="preserve"> </w:t>
      </w:r>
      <w:r w:rsidRPr="00B457F5">
        <w:rPr>
          <w:rFonts w:ascii="Garamond" w:eastAsia="Calibri" w:hAnsi="Garamond" w:cs="Times New Roman"/>
          <w:bCs/>
          <w:iCs/>
          <w:color w:val="000000"/>
          <w:szCs w:val="24"/>
        </w:rPr>
        <w:t>Ministria e Arsimit dhe Sportit harton dhe zbaton politikat për zhvillimin e kërkimit shkencor dhe</w:t>
      </w:r>
      <w:r w:rsidR="00734269" w:rsidRPr="00B457F5">
        <w:rPr>
          <w:rFonts w:ascii="Garamond" w:eastAsia="Calibri" w:hAnsi="Garamond" w:cs="Times New Roman"/>
          <w:bCs/>
          <w:iCs/>
          <w:color w:val="000000"/>
          <w:szCs w:val="24"/>
        </w:rPr>
        <w:t xml:space="preserve"> </w:t>
      </w:r>
      <w:r w:rsidRPr="00B457F5">
        <w:rPr>
          <w:rFonts w:ascii="Garamond" w:eastAsia="Calibri" w:hAnsi="Garamond" w:cs="Times New Roman"/>
          <w:bCs/>
          <w:iCs/>
          <w:color w:val="000000"/>
          <w:szCs w:val="24"/>
        </w:rPr>
        <w:t>inovacionit, në mbështetje të politikave të zhvillimit të vendit.</w:t>
      </w:r>
      <w:r w:rsidR="00090AF2" w:rsidRPr="00B457F5">
        <w:rPr>
          <w:rFonts w:ascii="Garamond" w:eastAsia="Calibri" w:hAnsi="Garamond" w:cs="Times New Roman"/>
          <w:bCs/>
          <w:iCs/>
          <w:color w:val="000000"/>
          <w:szCs w:val="24"/>
        </w:rPr>
        <w:t xml:space="preserve"> </w:t>
      </w:r>
      <w:r w:rsidRPr="00B457F5">
        <w:rPr>
          <w:rFonts w:ascii="Garamond" w:eastAsia="Calibri" w:hAnsi="Garamond" w:cs="Times New Roman"/>
          <w:bCs/>
          <w:iCs/>
          <w:color w:val="000000"/>
          <w:szCs w:val="24"/>
        </w:rPr>
        <w:t>Ministria e Arsimit dhe Sportit harton, programon, zhvillon dhe bashkërendon punën për</w:t>
      </w:r>
      <w:r w:rsidR="00090AF2" w:rsidRPr="00B457F5">
        <w:rPr>
          <w:rFonts w:ascii="Garamond" w:eastAsia="Calibri" w:hAnsi="Garamond" w:cs="Times New Roman"/>
          <w:bCs/>
          <w:iCs/>
          <w:color w:val="000000"/>
          <w:szCs w:val="24"/>
        </w:rPr>
        <w:t xml:space="preserve"> </w:t>
      </w:r>
      <w:r w:rsidRPr="00B457F5">
        <w:rPr>
          <w:rFonts w:ascii="Garamond" w:eastAsia="Calibri" w:hAnsi="Garamond" w:cs="Times New Roman"/>
          <w:bCs/>
          <w:iCs/>
          <w:color w:val="000000"/>
          <w:szCs w:val="24"/>
        </w:rPr>
        <w:t>politikat kombëtare në fushën e sportit, harton politikat mbrojtëse dhe promovuese, si dhe krijon</w:t>
      </w:r>
      <w:r w:rsidR="00090AF2" w:rsidRPr="00B457F5">
        <w:rPr>
          <w:rFonts w:ascii="Garamond" w:eastAsia="Calibri" w:hAnsi="Garamond" w:cs="Times New Roman"/>
          <w:bCs/>
          <w:iCs/>
          <w:color w:val="000000"/>
          <w:szCs w:val="24"/>
        </w:rPr>
        <w:t xml:space="preserve"> </w:t>
      </w:r>
      <w:r w:rsidRPr="00B457F5">
        <w:rPr>
          <w:rFonts w:ascii="Garamond" w:eastAsia="Calibri" w:hAnsi="Garamond" w:cs="Times New Roman"/>
          <w:bCs/>
          <w:iCs/>
          <w:color w:val="000000"/>
          <w:szCs w:val="24"/>
        </w:rPr>
        <w:t>hapësirat e nevojshme për zhvillimin dhe përmirësimin e sportit shqiptar.</w:t>
      </w:r>
    </w:p>
    <w:p w14:paraId="5F9BD590" w14:textId="793253B6" w:rsidR="00966A7A" w:rsidRPr="00B457F5" w:rsidRDefault="00A95A6F" w:rsidP="002E693B">
      <w:pPr>
        <w:spacing w:before="0" w:after="0"/>
        <w:ind w:firstLine="284"/>
        <w:rPr>
          <w:rFonts w:ascii="Garamond" w:eastAsia="Calibri" w:hAnsi="Garamond" w:cs="Times New Roman"/>
          <w:bCs/>
          <w:iCs/>
          <w:color w:val="000000"/>
          <w:szCs w:val="24"/>
        </w:rPr>
      </w:pPr>
      <w:r w:rsidRPr="00B457F5">
        <w:rPr>
          <w:rFonts w:ascii="Garamond" w:eastAsia="Calibri" w:hAnsi="Garamond" w:cs="Times New Roman"/>
          <w:bCs/>
          <w:iCs/>
          <w:color w:val="000000"/>
          <w:szCs w:val="24"/>
        </w:rPr>
        <w:t>Misioni i</w:t>
      </w:r>
      <w:r w:rsidRPr="00B457F5">
        <w:rPr>
          <w:rFonts w:ascii="Garamond" w:eastAsia="Calibri" w:hAnsi="Garamond" w:cs="Times New Roman"/>
          <w:b/>
          <w:iCs/>
          <w:color w:val="000000"/>
          <w:szCs w:val="24"/>
        </w:rPr>
        <w:t xml:space="preserve"> </w:t>
      </w:r>
      <w:r w:rsidRPr="00B457F5">
        <w:rPr>
          <w:rFonts w:ascii="Garamond" w:eastAsia="Calibri" w:hAnsi="Garamond" w:cs="Times New Roman"/>
          <w:color w:val="000000"/>
          <w:szCs w:val="24"/>
        </w:rPr>
        <w:t>Ministrisë së Shëndetësisë dhe Mbrojtjes Sociale</w:t>
      </w:r>
      <w:r w:rsidRPr="00B457F5">
        <w:rPr>
          <w:rFonts w:ascii="Garamond" w:eastAsia="Calibri" w:hAnsi="Garamond" w:cs="Times New Roman"/>
          <w:b/>
          <w:iCs/>
          <w:color w:val="000000"/>
          <w:szCs w:val="24"/>
        </w:rPr>
        <w:t xml:space="preserve"> </w:t>
      </w:r>
      <w:r w:rsidRPr="00B457F5">
        <w:rPr>
          <w:rFonts w:ascii="Garamond" w:eastAsia="Calibri" w:hAnsi="Garamond" w:cs="Times New Roman"/>
          <w:bCs/>
          <w:iCs/>
          <w:color w:val="000000"/>
          <w:szCs w:val="24"/>
        </w:rPr>
        <w:t xml:space="preserve">është hartimi dhe zbatimi i politikave dhe strategjive zhvillimore në sektorët e shëndetësisë dhe të kujdesit social. </w:t>
      </w:r>
      <w:r w:rsidR="00230804" w:rsidRPr="00B457F5">
        <w:rPr>
          <w:rFonts w:ascii="Garamond" w:eastAsia="Calibri" w:hAnsi="Garamond" w:cs="Times New Roman"/>
          <w:bCs/>
          <w:iCs/>
          <w:color w:val="000000"/>
          <w:szCs w:val="24"/>
        </w:rPr>
        <w:t>Ajo ë</w:t>
      </w:r>
      <w:r w:rsidRPr="00B457F5">
        <w:rPr>
          <w:rFonts w:ascii="Garamond" w:eastAsia="Calibri" w:hAnsi="Garamond" w:cs="Times New Roman"/>
          <w:bCs/>
          <w:iCs/>
          <w:color w:val="000000"/>
          <w:szCs w:val="24"/>
        </w:rPr>
        <w:t xml:space="preserve">shtë gjithashtu </w:t>
      </w:r>
      <w:r w:rsidRPr="00B457F5">
        <w:rPr>
          <w:rFonts w:ascii="Garamond" w:eastAsia="Calibri" w:hAnsi="Garamond" w:cs="Times New Roman"/>
          <w:bCs/>
          <w:iCs/>
          <w:color w:val="000000"/>
          <w:szCs w:val="24"/>
        </w:rPr>
        <w:lastRenderedPageBreak/>
        <w:t xml:space="preserve">përgjegjëse për rregullimin e të gjitha shërbimeve për popullsinë dhe nëpërmjet saj agjencitë dhe drejtoritë duhet të garantojnë shërbime sociale dhe shëndetësore për të huajt që janë rezidentë, fëmijët e pashoqëruar dhe të huajt e tjerë </w:t>
      </w:r>
      <w:r w:rsidR="00FD11F6" w:rsidRPr="00B457F5">
        <w:rPr>
          <w:rFonts w:ascii="Garamond" w:eastAsia="Calibri" w:hAnsi="Garamond" w:cs="Times New Roman"/>
          <w:bCs/>
          <w:iCs/>
          <w:color w:val="000000"/>
          <w:szCs w:val="24"/>
        </w:rPr>
        <w:t xml:space="preserve">të cenueshëm </w:t>
      </w:r>
      <w:r w:rsidRPr="00B457F5">
        <w:rPr>
          <w:rFonts w:ascii="Garamond" w:eastAsia="Calibri" w:hAnsi="Garamond" w:cs="Times New Roman"/>
          <w:bCs/>
          <w:iCs/>
          <w:color w:val="000000"/>
          <w:szCs w:val="24"/>
        </w:rPr>
        <w:t>që kanë nevojë për shërbime.</w:t>
      </w:r>
    </w:p>
    <w:p w14:paraId="0513A9DC" w14:textId="1AC26588" w:rsidR="00151C91" w:rsidRPr="00B457F5" w:rsidRDefault="00783BF2" w:rsidP="002E693B">
      <w:pPr>
        <w:autoSpaceDE w:val="0"/>
        <w:autoSpaceDN w:val="0"/>
        <w:adjustRightInd w:val="0"/>
        <w:spacing w:before="0" w:after="0"/>
        <w:ind w:firstLine="284"/>
        <w:rPr>
          <w:rFonts w:ascii="Garamond" w:eastAsiaTheme="minorHAnsi" w:hAnsi="Garamond" w:cs="Times New Roman"/>
          <w:b/>
          <w:bCs/>
          <w:szCs w:val="24"/>
        </w:rPr>
      </w:pPr>
      <w:r w:rsidRPr="00B457F5">
        <w:rPr>
          <w:rFonts w:ascii="Garamond" w:eastAsiaTheme="minorHAnsi" w:hAnsi="Garamond" w:cs="Symbol"/>
          <w:szCs w:val="24"/>
        </w:rPr>
        <w:t xml:space="preserve">- </w:t>
      </w:r>
      <w:r w:rsidR="00151C91" w:rsidRPr="00B457F5">
        <w:rPr>
          <w:rFonts w:ascii="Garamond" w:eastAsiaTheme="minorHAnsi" w:hAnsi="Garamond" w:cs="Times New Roman"/>
          <w:szCs w:val="24"/>
        </w:rPr>
        <w:t>Shërbimit Social Shtetëror, i cili ofron shërbime thelbësore për kategoritë e cenueshme, përfshirë migrantët viktima të trafikimit dhe të miturit e pashoqëruar.</w:t>
      </w:r>
    </w:p>
    <w:p w14:paraId="5E68065B" w14:textId="08405E79" w:rsidR="00151C91" w:rsidRPr="00B457F5" w:rsidRDefault="00783BF2" w:rsidP="002E693B">
      <w:pPr>
        <w:autoSpaceDE w:val="0"/>
        <w:autoSpaceDN w:val="0"/>
        <w:adjustRightInd w:val="0"/>
        <w:spacing w:before="0" w:after="0"/>
        <w:ind w:firstLine="284"/>
        <w:rPr>
          <w:rFonts w:ascii="Garamond" w:eastAsiaTheme="minorHAnsi" w:hAnsi="Garamond" w:cs="Times New Roman"/>
          <w:szCs w:val="24"/>
        </w:rPr>
      </w:pPr>
      <w:r w:rsidRPr="00B457F5">
        <w:rPr>
          <w:rFonts w:ascii="Garamond" w:eastAsiaTheme="minorHAnsi" w:hAnsi="Garamond" w:cs="Symbol"/>
          <w:szCs w:val="24"/>
        </w:rPr>
        <w:t xml:space="preserve">- </w:t>
      </w:r>
      <w:r w:rsidR="00151C91" w:rsidRPr="00B457F5">
        <w:rPr>
          <w:rFonts w:ascii="Garamond" w:eastAsiaTheme="minorHAnsi" w:hAnsi="Garamond" w:cs="Times New Roman"/>
          <w:szCs w:val="24"/>
        </w:rPr>
        <w:t>Agjencia Shtetërore për të Drejtat dhe Mbrojtjen e Fëmijës</w:t>
      </w:r>
      <w:r w:rsidR="00151C91" w:rsidRPr="00B457F5">
        <w:rPr>
          <w:rFonts w:ascii="Garamond" w:eastAsiaTheme="minorHAnsi" w:hAnsi="Garamond" w:cs="Times New Roman"/>
          <w:b/>
          <w:bCs/>
          <w:szCs w:val="24"/>
        </w:rPr>
        <w:t xml:space="preserve"> </w:t>
      </w:r>
      <w:r w:rsidR="00151C91" w:rsidRPr="00B457F5">
        <w:rPr>
          <w:rFonts w:ascii="Garamond" w:eastAsiaTheme="minorHAnsi" w:hAnsi="Garamond" w:cs="Times New Roman"/>
          <w:szCs w:val="24"/>
        </w:rPr>
        <w:t xml:space="preserve">(ASHDMF) është autoriteti shtetëror përgjegjës, për të garantuar funksionimin e sistemit të integruar të mbrojtjes për fëmijët e pashoqëruar, brenda dhe jashtë territorit të Republikës së Shqipërisë, nëpërmjet bashkërendimit të punës midis autoriteteve përgjegjëse të përfshira në procesin e mbrojtjes. Kjo agjenci luan rol të rëndësishëm dhe në nivelin vendor, nëpërmjet </w:t>
      </w:r>
      <w:r w:rsidR="002014D7" w:rsidRPr="00B457F5">
        <w:rPr>
          <w:rFonts w:ascii="Garamond" w:eastAsiaTheme="minorHAnsi" w:hAnsi="Garamond" w:cs="Times New Roman"/>
          <w:szCs w:val="24"/>
        </w:rPr>
        <w:t xml:space="preserve">njësive të mbrojtjes së fëmijëve </w:t>
      </w:r>
      <w:r w:rsidR="00151C91" w:rsidRPr="00B457F5">
        <w:rPr>
          <w:rFonts w:ascii="Garamond" w:eastAsiaTheme="minorHAnsi" w:hAnsi="Garamond" w:cs="Times New Roman"/>
          <w:szCs w:val="24"/>
        </w:rPr>
        <w:t>(NJMF) të ngritura pranë bashkive të vendit për të funksionuar si struktura të posaçme brenda strukturës përgjegjëse për shërbimet shoqërore në nivel bashkie.</w:t>
      </w:r>
    </w:p>
    <w:p w14:paraId="03654976" w14:textId="2F0D7848" w:rsidR="0026509A" w:rsidRPr="00B457F5" w:rsidRDefault="0007734A" w:rsidP="002E693B">
      <w:pPr>
        <w:spacing w:before="0" w:after="0"/>
        <w:ind w:firstLine="284"/>
        <w:rPr>
          <w:rFonts w:ascii="Garamond" w:eastAsia="Calibri" w:hAnsi="Garamond" w:cs="Times New Roman"/>
          <w:b/>
          <w:bCs/>
          <w:i/>
          <w:szCs w:val="24"/>
        </w:rPr>
      </w:pPr>
      <w:r w:rsidRPr="00B457F5">
        <w:rPr>
          <w:rFonts w:ascii="Garamond" w:eastAsia="Calibri" w:hAnsi="Garamond" w:cs="Times New Roman"/>
          <w:bCs/>
          <w:szCs w:val="24"/>
        </w:rPr>
        <w:t>Ministri i Shtetit p</w:t>
      </w:r>
      <w:r w:rsidR="00994216" w:rsidRPr="00B457F5">
        <w:rPr>
          <w:rFonts w:ascii="Garamond" w:eastAsia="Calibri" w:hAnsi="Garamond" w:cs="Times New Roman"/>
          <w:bCs/>
          <w:szCs w:val="24"/>
        </w:rPr>
        <w:t>ë</w:t>
      </w:r>
      <w:r w:rsidR="0026509A" w:rsidRPr="00B457F5">
        <w:rPr>
          <w:rFonts w:ascii="Garamond" w:eastAsia="Calibri" w:hAnsi="Garamond" w:cs="Times New Roman"/>
          <w:bCs/>
          <w:szCs w:val="24"/>
        </w:rPr>
        <w:t>r Rinin</w:t>
      </w:r>
      <w:r w:rsidR="00994216" w:rsidRPr="00B457F5">
        <w:rPr>
          <w:rFonts w:ascii="Garamond" w:eastAsia="Calibri" w:hAnsi="Garamond" w:cs="Times New Roman"/>
          <w:bCs/>
          <w:szCs w:val="24"/>
        </w:rPr>
        <w:t>ë</w:t>
      </w:r>
      <w:r w:rsidR="0026509A" w:rsidRPr="00B457F5">
        <w:rPr>
          <w:rFonts w:ascii="Garamond" w:eastAsia="Calibri" w:hAnsi="Garamond" w:cs="Times New Roman"/>
          <w:bCs/>
          <w:szCs w:val="24"/>
        </w:rPr>
        <w:t xml:space="preserve"> dhe F</w:t>
      </w:r>
      <w:r w:rsidR="00994216" w:rsidRPr="00B457F5">
        <w:rPr>
          <w:rFonts w:ascii="Garamond" w:eastAsia="Calibri" w:hAnsi="Garamond" w:cs="Times New Roman"/>
          <w:bCs/>
          <w:szCs w:val="24"/>
        </w:rPr>
        <w:t>ë</w:t>
      </w:r>
      <w:r w:rsidR="0026509A" w:rsidRPr="00B457F5">
        <w:rPr>
          <w:rFonts w:ascii="Garamond" w:eastAsia="Calibri" w:hAnsi="Garamond" w:cs="Times New Roman"/>
          <w:bCs/>
          <w:szCs w:val="24"/>
        </w:rPr>
        <w:t>mij</w:t>
      </w:r>
      <w:r w:rsidR="00994216" w:rsidRPr="00B457F5">
        <w:rPr>
          <w:rFonts w:ascii="Garamond" w:eastAsia="Calibri" w:hAnsi="Garamond" w:cs="Times New Roman"/>
          <w:bCs/>
          <w:szCs w:val="24"/>
        </w:rPr>
        <w:t>ë</w:t>
      </w:r>
      <w:r w:rsidR="00691911" w:rsidRPr="00B457F5">
        <w:rPr>
          <w:rFonts w:ascii="Garamond" w:eastAsia="Calibri" w:hAnsi="Garamond" w:cs="Times New Roman"/>
          <w:bCs/>
          <w:szCs w:val="24"/>
        </w:rPr>
        <w:t>t</w:t>
      </w:r>
      <w:r w:rsidR="00691911" w:rsidRPr="00B457F5">
        <w:rPr>
          <w:rFonts w:ascii="Garamond" w:eastAsia="Calibri" w:hAnsi="Garamond" w:cs="Times New Roman"/>
          <w:b/>
          <w:bCs/>
          <w:i/>
          <w:szCs w:val="24"/>
        </w:rPr>
        <w:t xml:space="preserve"> </w:t>
      </w:r>
      <w:r w:rsidR="00FD346C" w:rsidRPr="00B457F5">
        <w:rPr>
          <w:rFonts w:ascii="Garamond" w:eastAsia="Calibri" w:hAnsi="Garamond" w:cs="Times New Roman"/>
          <w:iCs/>
          <w:szCs w:val="24"/>
        </w:rPr>
        <w:t>harton dhe zbaton politika që synojnë mbrojtjen e të drejtave të të rinjve, garantimin e pjesëmarrjes së të rinjve në jetën shoqërore dhe koordinimin e çështjeve që lidhen me mbrojtjen, kujdesin, shëndetin, mirëqenien dhe edukimin e mirë të fëmijëve. Ministri bashkëpunon me organizatat e shoqërisë civile dhe diasporën.</w:t>
      </w:r>
    </w:p>
    <w:p w14:paraId="16DB9AFA" w14:textId="71D54ACD" w:rsidR="0026509A" w:rsidRPr="00B457F5" w:rsidRDefault="0007734A" w:rsidP="002E693B">
      <w:pPr>
        <w:spacing w:before="0" w:after="0"/>
        <w:ind w:firstLine="284"/>
        <w:rPr>
          <w:rFonts w:ascii="Garamond" w:eastAsia="Calibri" w:hAnsi="Garamond" w:cs="Times New Roman"/>
          <w:iCs/>
          <w:szCs w:val="24"/>
        </w:rPr>
      </w:pPr>
      <w:r w:rsidRPr="00B457F5">
        <w:rPr>
          <w:rFonts w:ascii="Garamond" w:eastAsia="Calibri" w:hAnsi="Garamond" w:cs="Times New Roman"/>
          <w:bCs/>
          <w:szCs w:val="24"/>
        </w:rPr>
        <w:t xml:space="preserve">Ministri </w:t>
      </w:r>
      <w:r w:rsidR="00E935E2" w:rsidRPr="00B457F5">
        <w:rPr>
          <w:rFonts w:ascii="Garamond" w:eastAsia="Calibri" w:hAnsi="Garamond" w:cs="Times New Roman"/>
          <w:bCs/>
          <w:szCs w:val="24"/>
        </w:rPr>
        <w:t>i</w:t>
      </w:r>
      <w:r w:rsidRPr="00B457F5">
        <w:rPr>
          <w:rFonts w:ascii="Garamond" w:eastAsia="Calibri" w:hAnsi="Garamond" w:cs="Times New Roman"/>
          <w:bCs/>
          <w:szCs w:val="24"/>
        </w:rPr>
        <w:t xml:space="preserve"> Shtetit p</w:t>
      </w:r>
      <w:r w:rsidR="00994216" w:rsidRPr="00B457F5">
        <w:rPr>
          <w:rFonts w:ascii="Garamond" w:eastAsia="Calibri" w:hAnsi="Garamond" w:cs="Times New Roman"/>
          <w:bCs/>
          <w:szCs w:val="24"/>
        </w:rPr>
        <w:t>ë</w:t>
      </w:r>
      <w:r w:rsidR="0026509A" w:rsidRPr="00B457F5">
        <w:rPr>
          <w:rFonts w:ascii="Garamond" w:eastAsia="Calibri" w:hAnsi="Garamond" w:cs="Times New Roman"/>
          <w:bCs/>
          <w:szCs w:val="24"/>
        </w:rPr>
        <w:t>r Pushteti</w:t>
      </w:r>
      <w:r w:rsidR="00691911" w:rsidRPr="00B457F5">
        <w:rPr>
          <w:rFonts w:ascii="Garamond" w:eastAsia="Calibri" w:hAnsi="Garamond" w:cs="Times New Roman"/>
          <w:bCs/>
          <w:szCs w:val="24"/>
        </w:rPr>
        <w:t>n Vendor</w:t>
      </w:r>
      <w:r w:rsidR="00691911" w:rsidRPr="00B457F5">
        <w:rPr>
          <w:rFonts w:ascii="Garamond" w:eastAsia="Calibri" w:hAnsi="Garamond" w:cs="Times New Roman"/>
          <w:b/>
          <w:bCs/>
          <w:i/>
          <w:szCs w:val="24"/>
        </w:rPr>
        <w:t xml:space="preserve"> </w:t>
      </w:r>
      <w:r w:rsidR="00FD346C" w:rsidRPr="00B457F5">
        <w:rPr>
          <w:rFonts w:ascii="Garamond" w:eastAsia="Calibri" w:hAnsi="Garamond" w:cs="Times New Roman"/>
          <w:iCs/>
          <w:szCs w:val="24"/>
        </w:rPr>
        <w:t>koordinon zbatimin e politikës shtetërore të migracionit në njësitë e qeverisjes vendore. Ministria është përgjegjëse edhe për monitorimin e veprimtarisë së NJQV-ve në drejtim të procesit të integrimit në Bashkimin Evropian dhe marrëveshjeve ndërkombëtare.</w:t>
      </w:r>
    </w:p>
    <w:p w14:paraId="1FCCD738" w14:textId="4110E636" w:rsidR="006B7820" w:rsidRPr="00B457F5" w:rsidRDefault="006B7820" w:rsidP="002E693B">
      <w:pPr>
        <w:spacing w:before="0" w:after="0"/>
        <w:ind w:firstLine="284"/>
        <w:rPr>
          <w:rFonts w:ascii="Garamond" w:eastAsia="Calibri" w:hAnsi="Garamond" w:cs="Times New Roman"/>
          <w:bCs/>
          <w:szCs w:val="24"/>
        </w:rPr>
      </w:pPr>
      <w:r w:rsidRPr="00B457F5">
        <w:rPr>
          <w:rFonts w:ascii="Garamond" w:eastAsia="Calibri" w:hAnsi="Garamond" w:cs="Times New Roman"/>
          <w:bCs/>
          <w:szCs w:val="24"/>
        </w:rPr>
        <w:t>Agjencia për Mbështetjen e Vetëqeverisjes Vendore</w:t>
      </w:r>
      <w:r w:rsidRPr="00B457F5">
        <w:rPr>
          <w:rFonts w:ascii="Garamond" w:eastAsia="Calibri" w:hAnsi="Garamond" w:cs="Times New Roman"/>
          <w:b/>
          <w:bCs/>
          <w:szCs w:val="24"/>
        </w:rPr>
        <w:t xml:space="preserve"> </w:t>
      </w:r>
      <w:r w:rsidRPr="00B457F5">
        <w:rPr>
          <w:rFonts w:ascii="Garamond" w:eastAsia="Calibri" w:hAnsi="Garamond" w:cs="Times New Roman"/>
          <w:bCs/>
          <w:szCs w:val="24"/>
        </w:rPr>
        <w:t xml:space="preserve">është institucioni koordinues në varësi të </w:t>
      </w:r>
      <w:r w:rsidR="002014D7" w:rsidRPr="00B457F5">
        <w:rPr>
          <w:rFonts w:ascii="Garamond" w:eastAsia="Calibri" w:hAnsi="Garamond" w:cs="Times New Roman"/>
          <w:bCs/>
          <w:szCs w:val="24"/>
        </w:rPr>
        <w:t>m</w:t>
      </w:r>
      <w:r w:rsidRPr="00B457F5">
        <w:rPr>
          <w:rFonts w:ascii="Garamond" w:eastAsia="Calibri" w:hAnsi="Garamond" w:cs="Times New Roman"/>
          <w:bCs/>
          <w:szCs w:val="24"/>
        </w:rPr>
        <w:t>inistrit t</w:t>
      </w:r>
      <w:r w:rsidR="00090AF2" w:rsidRPr="00B457F5">
        <w:rPr>
          <w:rFonts w:ascii="Garamond" w:eastAsia="Calibri" w:hAnsi="Garamond" w:cs="Times New Roman"/>
          <w:bCs/>
          <w:szCs w:val="24"/>
        </w:rPr>
        <w:t>ë</w:t>
      </w:r>
      <w:r w:rsidRPr="00B457F5">
        <w:rPr>
          <w:rFonts w:ascii="Garamond" w:eastAsia="Calibri" w:hAnsi="Garamond" w:cs="Times New Roman"/>
          <w:bCs/>
          <w:szCs w:val="24"/>
        </w:rPr>
        <w:t xml:space="preserve"> Shtetit p</w:t>
      </w:r>
      <w:r w:rsidR="00090AF2" w:rsidRPr="00B457F5">
        <w:rPr>
          <w:rFonts w:ascii="Garamond" w:eastAsia="Calibri" w:hAnsi="Garamond" w:cs="Times New Roman"/>
          <w:bCs/>
          <w:szCs w:val="24"/>
        </w:rPr>
        <w:t>ë</w:t>
      </w:r>
      <w:r w:rsidR="00B01901" w:rsidRPr="00B457F5">
        <w:rPr>
          <w:rFonts w:ascii="Garamond" w:eastAsia="Calibri" w:hAnsi="Garamond" w:cs="Times New Roman"/>
          <w:bCs/>
          <w:szCs w:val="24"/>
        </w:rPr>
        <w:t>r Pushtetin Vendor</w:t>
      </w:r>
      <w:r w:rsidRPr="00B457F5">
        <w:rPr>
          <w:rFonts w:ascii="Garamond" w:eastAsia="Calibri" w:hAnsi="Garamond" w:cs="Times New Roman"/>
          <w:bCs/>
          <w:szCs w:val="24"/>
        </w:rPr>
        <w:t>, i cili mbështet qeverisjen vendore për zgjidhjen e problematikave dhe vështirësive që shfaqen gjatë ushtrimit të funksioneve prej tyre. Konkretisht</w:t>
      </w:r>
      <w:r w:rsidR="002014D7" w:rsidRPr="00B457F5">
        <w:rPr>
          <w:rFonts w:ascii="Garamond" w:eastAsia="Calibri" w:hAnsi="Garamond" w:cs="Times New Roman"/>
          <w:bCs/>
          <w:szCs w:val="24"/>
        </w:rPr>
        <w:t>,</w:t>
      </w:r>
      <w:r w:rsidRPr="00B457F5">
        <w:rPr>
          <w:rFonts w:ascii="Garamond" w:eastAsia="Calibri" w:hAnsi="Garamond" w:cs="Times New Roman"/>
          <w:bCs/>
          <w:szCs w:val="24"/>
        </w:rPr>
        <w:t xml:space="preserve"> AMVV-ja shërben edhe si hallkë ndërmjetëse midis qeverisjes qendrore dhe asaj vendore për përmirësimin dhe pasurimin e legjislacionit në funksion të rritjes së nivelit të shërbimeve që ju ofrohen komuniteteve. Në këtë funksion</w:t>
      </w:r>
      <w:r w:rsidR="002014D7" w:rsidRPr="00B457F5">
        <w:rPr>
          <w:rFonts w:ascii="Garamond" w:eastAsia="Calibri" w:hAnsi="Garamond" w:cs="Times New Roman"/>
          <w:bCs/>
          <w:szCs w:val="24"/>
        </w:rPr>
        <w:t>,</w:t>
      </w:r>
      <w:r w:rsidRPr="00B457F5">
        <w:rPr>
          <w:rFonts w:ascii="Garamond" w:eastAsia="Calibri" w:hAnsi="Garamond" w:cs="Times New Roman"/>
          <w:bCs/>
          <w:szCs w:val="24"/>
        </w:rPr>
        <w:t xml:space="preserve"> ky institucion kryen edhe detyrën e Sekretariatit Teknik të Këshillit Konsultativ ndërmjet qeverisjes qendrore dhe vetëqeverisjes vendore. Ky është një organizëm që ka për funksion të konsultojë akte, strategji të qeverisjes qendrore që kanë ndikim mbi vetëqeverisjen vendore, dhe është një risi që ka bërë të mundur përfshirjen e njësive të vetëqeverisjes vendore në diskutimet me vendimmarrësit</w:t>
      </w:r>
      <w:r w:rsidR="002014D7" w:rsidRPr="00B457F5">
        <w:rPr>
          <w:rFonts w:ascii="Garamond" w:eastAsia="Calibri" w:hAnsi="Garamond" w:cs="Times New Roman"/>
          <w:bCs/>
          <w:szCs w:val="24"/>
        </w:rPr>
        <w:t>,</w:t>
      </w:r>
      <w:r w:rsidRPr="00B457F5">
        <w:rPr>
          <w:rFonts w:ascii="Garamond" w:eastAsia="Calibri" w:hAnsi="Garamond" w:cs="Times New Roman"/>
          <w:bCs/>
          <w:szCs w:val="24"/>
        </w:rPr>
        <w:t xml:space="preserve"> me qëllim përafrimin sa më të mirë të vendimmarrjes me hapësirat për zgjidhjen e problemeve dhe rritjen e cilësisë së shërbimeve. Për realizimin e misionit të saj, AMVV-ja është në kontakt të vazhdueshëm me drejtuesit dhe personelin e njësive të qeverisjes vendore</w:t>
      </w:r>
      <w:r w:rsidR="002014D7" w:rsidRPr="00B457F5">
        <w:rPr>
          <w:rFonts w:ascii="Garamond" w:eastAsia="Calibri" w:hAnsi="Garamond" w:cs="Times New Roman"/>
          <w:bCs/>
          <w:szCs w:val="24"/>
        </w:rPr>
        <w:t>,</w:t>
      </w:r>
      <w:r w:rsidRPr="00B457F5">
        <w:rPr>
          <w:rFonts w:ascii="Garamond" w:eastAsia="Calibri" w:hAnsi="Garamond" w:cs="Times New Roman"/>
          <w:bCs/>
          <w:szCs w:val="24"/>
        </w:rPr>
        <w:t xml:space="preserve"> si dhe të institucioneve të ndryshme të qeverisjes qendrore, me synim mbështetjen e tyre për trajtimin e të gjitha problemati</w:t>
      </w:r>
      <w:r w:rsidR="00D765E2" w:rsidRPr="00B457F5">
        <w:rPr>
          <w:rFonts w:ascii="Garamond" w:eastAsia="Calibri" w:hAnsi="Garamond" w:cs="Times New Roman"/>
          <w:bCs/>
          <w:szCs w:val="24"/>
        </w:rPr>
        <w:t>kave dhe sfidave</w:t>
      </w:r>
      <w:r w:rsidR="002014D7" w:rsidRPr="00B457F5">
        <w:rPr>
          <w:rFonts w:ascii="Garamond" w:eastAsia="Calibri" w:hAnsi="Garamond" w:cs="Times New Roman"/>
          <w:bCs/>
          <w:szCs w:val="24"/>
        </w:rPr>
        <w:t>,</w:t>
      </w:r>
      <w:r w:rsidR="00D765E2" w:rsidRPr="00B457F5">
        <w:rPr>
          <w:rFonts w:ascii="Garamond" w:eastAsia="Calibri" w:hAnsi="Garamond" w:cs="Times New Roman"/>
          <w:bCs/>
          <w:szCs w:val="24"/>
        </w:rPr>
        <w:t xml:space="preserve"> të lidhura me </w:t>
      </w:r>
      <w:r w:rsidRPr="00B457F5">
        <w:rPr>
          <w:rFonts w:ascii="Garamond" w:eastAsia="Calibri" w:hAnsi="Garamond" w:cs="Times New Roman"/>
          <w:bCs/>
          <w:szCs w:val="24"/>
        </w:rPr>
        <w:t>ushtrimin e funksioneve dhe kompetencave qeverisëse.</w:t>
      </w:r>
    </w:p>
    <w:p w14:paraId="78180250" w14:textId="38898963" w:rsidR="00015E2B" w:rsidRPr="00B457F5" w:rsidRDefault="00015E2B" w:rsidP="002E693B">
      <w:pPr>
        <w:spacing w:before="0" w:after="0"/>
        <w:ind w:firstLine="284"/>
        <w:rPr>
          <w:rFonts w:ascii="Garamond" w:eastAsia="Calibri" w:hAnsi="Garamond" w:cs="Times New Roman"/>
          <w:iCs/>
          <w:szCs w:val="24"/>
        </w:rPr>
      </w:pPr>
      <w:r w:rsidRPr="00B457F5">
        <w:rPr>
          <w:rFonts w:ascii="Garamond" w:eastAsia="Calibri" w:hAnsi="Garamond" w:cs="Times New Roman"/>
          <w:bCs/>
          <w:szCs w:val="24"/>
        </w:rPr>
        <w:t>Agjencia e Ofrimit të Shërbimeve Publike të Integruara</w:t>
      </w:r>
      <w:r w:rsidRPr="00B457F5">
        <w:rPr>
          <w:rFonts w:ascii="Garamond" w:eastAsia="Calibri" w:hAnsi="Garamond" w:cs="Times New Roman"/>
          <w:b/>
          <w:bCs/>
          <w:iCs/>
          <w:szCs w:val="24"/>
        </w:rPr>
        <w:t xml:space="preserve"> </w:t>
      </w:r>
      <w:r w:rsidRPr="00B457F5">
        <w:rPr>
          <w:rFonts w:ascii="Garamond" w:eastAsia="Calibri" w:hAnsi="Garamond" w:cs="Times New Roman"/>
          <w:iCs/>
          <w:szCs w:val="24"/>
        </w:rPr>
        <w:t>ofron shërbime publike nëpërmjet vendosjes dhe administrimit të sporteleve të pritjes për qytetarët (</w:t>
      </w:r>
      <w:r w:rsidRPr="00B457F5">
        <w:rPr>
          <w:rFonts w:ascii="Garamond" w:eastAsia="Calibri" w:hAnsi="Garamond" w:cs="Times New Roman"/>
          <w:i/>
          <w:szCs w:val="24"/>
        </w:rPr>
        <w:t>front office</w:t>
      </w:r>
      <w:r w:rsidRPr="00B457F5">
        <w:rPr>
          <w:rFonts w:ascii="Garamond" w:eastAsia="Calibri" w:hAnsi="Garamond" w:cs="Times New Roman"/>
          <w:iCs/>
          <w:szCs w:val="24"/>
        </w:rPr>
        <w:t>)</w:t>
      </w:r>
      <w:r w:rsidR="002014D7" w:rsidRPr="00B457F5">
        <w:rPr>
          <w:rFonts w:ascii="Garamond" w:eastAsia="Calibri" w:hAnsi="Garamond" w:cs="Times New Roman"/>
          <w:iCs/>
          <w:szCs w:val="24"/>
        </w:rPr>
        <w:t>,</w:t>
      </w:r>
      <w:r w:rsidRPr="00B457F5">
        <w:rPr>
          <w:rFonts w:ascii="Garamond" w:eastAsia="Calibri" w:hAnsi="Garamond" w:cs="Times New Roman"/>
          <w:iCs/>
          <w:szCs w:val="24"/>
        </w:rPr>
        <w:t xml:space="preserve"> si dhe qendrave të integruara të shërbimit publik me një ndalesë (</w:t>
      </w:r>
      <w:r w:rsidRPr="00B457F5">
        <w:rPr>
          <w:rFonts w:ascii="Garamond" w:eastAsia="Calibri" w:hAnsi="Garamond" w:cs="Times New Roman"/>
          <w:i/>
          <w:szCs w:val="24"/>
        </w:rPr>
        <w:t>one</w:t>
      </w:r>
      <w:r w:rsidR="002014D7" w:rsidRPr="00B457F5">
        <w:rPr>
          <w:rFonts w:ascii="Garamond" w:eastAsia="Calibri" w:hAnsi="Garamond" w:cs="Times New Roman"/>
          <w:i/>
          <w:szCs w:val="24"/>
        </w:rPr>
        <w:t xml:space="preserve"> </w:t>
      </w:r>
      <w:r w:rsidRPr="00B457F5">
        <w:rPr>
          <w:rFonts w:ascii="Garamond" w:eastAsia="Calibri" w:hAnsi="Garamond" w:cs="Times New Roman"/>
          <w:i/>
          <w:szCs w:val="24"/>
        </w:rPr>
        <w:t>stop</w:t>
      </w:r>
      <w:r w:rsidR="002014D7" w:rsidRPr="00B457F5">
        <w:rPr>
          <w:rFonts w:ascii="Garamond" w:eastAsia="Calibri" w:hAnsi="Garamond" w:cs="Times New Roman"/>
          <w:i/>
          <w:szCs w:val="24"/>
        </w:rPr>
        <w:t xml:space="preserve"> </w:t>
      </w:r>
      <w:r w:rsidRPr="00B457F5">
        <w:rPr>
          <w:rFonts w:ascii="Garamond" w:eastAsia="Calibri" w:hAnsi="Garamond" w:cs="Times New Roman"/>
          <w:i/>
          <w:szCs w:val="24"/>
        </w:rPr>
        <w:t>shop</w:t>
      </w:r>
      <w:r w:rsidRPr="00B457F5">
        <w:rPr>
          <w:rFonts w:ascii="Garamond" w:eastAsia="Calibri" w:hAnsi="Garamond" w:cs="Times New Roman"/>
          <w:iCs/>
          <w:szCs w:val="24"/>
        </w:rPr>
        <w:t>), për shërbimet e kryera nga institucionet dhe agjencitë e qeverisë qendrore dhe/ose të njësive të qeverisjes vendore.</w:t>
      </w:r>
    </w:p>
    <w:p w14:paraId="3B198667" w14:textId="0F686885" w:rsidR="00A619CA" w:rsidRPr="00B457F5" w:rsidRDefault="009D318B" w:rsidP="002E693B">
      <w:pPr>
        <w:spacing w:before="0" w:after="0"/>
        <w:ind w:firstLine="284"/>
        <w:rPr>
          <w:rFonts w:ascii="Garamond" w:eastAsia="Calibri" w:hAnsi="Garamond" w:cs="Times New Roman"/>
          <w:bCs/>
          <w:iCs/>
          <w:color w:val="000000"/>
          <w:szCs w:val="24"/>
        </w:rPr>
      </w:pPr>
      <w:r w:rsidRPr="00B457F5">
        <w:rPr>
          <w:rFonts w:ascii="Garamond" w:eastAsia="Calibri" w:hAnsi="Garamond" w:cs="Times New Roman"/>
          <w:bCs/>
          <w:szCs w:val="24"/>
        </w:rPr>
        <w:t>Banka e Shqip</w:t>
      </w:r>
      <w:r w:rsidR="00B0743F" w:rsidRPr="00B457F5">
        <w:rPr>
          <w:rFonts w:ascii="Garamond" w:eastAsia="Calibri" w:hAnsi="Garamond" w:cs="Times New Roman"/>
          <w:bCs/>
          <w:szCs w:val="24"/>
        </w:rPr>
        <w:t>ë</w:t>
      </w:r>
      <w:r w:rsidRPr="00B457F5">
        <w:rPr>
          <w:rFonts w:ascii="Garamond" w:eastAsia="Calibri" w:hAnsi="Garamond" w:cs="Times New Roman"/>
          <w:bCs/>
          <w:szCs w:val="24"/>
        </w:rPr>
        <w:t>ris</w:t>
      </w:r>
      <w:r w:rsidR="00B0743F" w:rsidRPr="00B457F5">
        <w:rPr>
          <w:rFonts w:ascii="Garamond" w:eastAsia="Calibri" w:hAnsi="Garamond" w:cs="Times New Roman"/>
          <w:bCs/>
          <w:szCs w:val="24"/>
        </w:rPr>
        <w:t>ë</w:t>
      </w:r>
      <w:r w:rsidRPr="00B457F5">
        <w:rPr>
          <w:rFonts w:ascii="Garamond" w:eastAsia="Calibri" w:hAnsi="Garamond" w:cs="Times New Roman"/>
          <w:b/>
          <w:bCs/>
          <w:iCs/>
          <w:szCs w:val="24"/>
        </w:rPr>
        <w:t xml:space="preserve"> </w:t>
      </w:r>
      <w:r w:rsidR="00B0743F" w:rsidRPr="00B457F5">
        <w:rPr>
          <w:rFonts w:ascii="Garamond" w:eastAsia="Calibri" w:hAnsi="Garamond" w:cs="Times New Roman"/>
          <w:iCs/>
          <w:szCs w:val="24"/>
        </w:rPr>
        <w:t>ë</w:t>
      </w:r>
      <w:r w:rsidRPr="00B457F5">
        <w:rPr>
          <w:rFonts w:ascii="Garamond" w:eastAsia="Calibri" w:hAnsi="Garamond" w:cs="Times New Roman"/>
          <w:iCs/>
          <w:szCs w:val="24"/>
        </w:rPr>
        <w:t>sht</w:t>
      </w:r>
      <w:r w:rsidR="00B0743F" w:rsidRPr="00B457F5">
        <w:rPr>
          <w:rFonts w:ascii="Garamond" w:eastAsia="Calibri" w:hAnsi="Garamond" w:cs="Times New Roman"/>
          <w:iCs/>
          <w:szCs w:val="24"/>
        </w:rPr>
        <w:t>ë</w:t>
      </w:r>
      <w:r w:rsidRPr="00B457F5">
        <w:rPr>
          <w:rFonts w:ascii="Garamond" w:eastAsia="Calibri" w:hAnsi="Garamond" w:cs="Times New Roman"/>
          <w:iCs/>
          <w:szCs w:val="24"/>
        </w:rPr>
        <w:t xml:space="preserve"> p</w:t>
      </w:r>
      <w:r w:rsidR="00B0743F" w:rsidRPr="00B457F5">
        <w:rPr>
          <w:rFonts w:ascii="Garamond" w:eastAsia="Calibri" w:hAnsi="Garamond" w:cs="Times New Roman"/>
          <w:iCs/>
          <w:szCs w:val="24"/>
        </w:rPr>
        <w:t>ë</w:t>
      </w:r>
      <w:r w:rsidRPr="00B457F5">
        <w:rPr>
          <w:rFonts w:ascii="Garamond" w:eastAsia="Calibri" w:hAnsi="Garamond" w:cs="Times New Roman"/>
          <w:iCs/>
          <w:szCs w:val="24"/>
        </w:rPr>
        <w:t>rgjegj</w:t>
      </w:r>
      <w:r w:rsidR="00B0743F" w:rsidRPr="00B457F5">
        <w:rPr>
          <w:rFonts w:ascii="Garamond" w:eastAsia="Calibri" w:hAnsi="Garamond" w:cs="Times New Roman"/>
          <w:iCs/>
          <w:szCs w:val="24"/>
        </w:rPr>
        <w:t>ë</w:t>
      </w:r>
      <w:r w:rsidRPr="00B457F5">
        <w:rPr>
          <w:rFonts w:ascii="Garamond" w:eastAsia="Calibri" w:hAnsi="Garamond" w:cs="Times New Roman"/>
          <w:iCs/>
          <w:szCs w:val="24"/>
        </w:rPr>
        <w:t>se p</w:t>
      </w:r>
      <w:r w:rsidR="00B0743F" w:rsidRPr="00B457F5">
        <w:rPr>
          <w:rFonts w:ascii="Garamond" w:eastAsia="Calibri" w:hAnsi="Garamond" w:cs="Times New Roman"/>
          <w:iCs/>
          <w:szCs w:val="24"/>
        </w:rPr>
        <w:t>ë</w:t>
      </w:r>
      <w:r w:rsidRPr="00B457F5">
        <w:rPr>
          <w:rFonts w:ascii="Garamond" w:eastAsia="Calibri" w:hAnsi="Garamond" w:cs="Times New Roman"/>
          <w:iCs/>
          <w:szCs w:val="24"/>
        </w:rPr>
        <w:t>r mund</w:t>
      </w:r>
      <w:r w:rsidR="00B0743F" w:rsidRPr="00B457F5">
        <w:rPr>
          <w:rFonts w:ascii="Garamond" w:eastAsia="Calibri" w:hAnsi="Garamond" w:cs="Times New Roman"/>
          <w:iCs/>
          <w:szCs w:val="24"/>
        </w:rPr>
        <w:t>ë</w:t>
      </w:r>
      <w:r w:rsidRPr="00B457F5">
        <w:rPr>
          <w:rFonts w:ascii="Garamond" w:eastAsia="Calibri" w:hAnsi="Garamond" w:cs="Times New Roman"/>
          <w:iCs/>
          <w:szCs w:val="24"/>
        </w:rPr>
        <w:t>simin e kanaleve të sigurta dhe të ligjshme për transferimin e remitancave.</w:t>
      </w:r>
    </w:p>
    <w:p w14:paraId="7138838D" w14:textId="0C025AF6" w:rsidR="00B8436C" w:rsidRPr="00B457F5" w:rsidRDefault="00B8436C" w:rsidP="002E693B">
      <w:pPr>
        <w:spacing w:before="0" w:after="0"/>
        <w:ind w:firstLine="284"/>
        <w:rPr>
          <w:rFonts w:ascii="Garamond" w:eastAsia="Calibri" w:hAnsi="Garamond" w:cs="Times New Roman"/>
          <w:iCs/>
          <w:color w:val="000000"/>
          <w:szCs w:val="24"/>
        </w:rPr>
      </w:pPr>
      <w:r w:rsidRPr="00B457F5">
        <w:rPr>
          <w:rFonts w:ascii="Garamond" w:eastAsia="Calibri" w:hAnsi="Garamond" w:cs="Times New Roman"/>
          <w:bCs/>
          <w:color w:val="000000"/>
          <w:szCs w:val="24"/>
        </w:rPr>
        <w:t>Agjencia Shqiptare e Zhvillimit të Investimeve</w:t>
      </w:r>
      <w:r w:rsidRPr="00B457F5">
        <w:rPr>
          <w:rFonts w:ascii="Garamond" w:eastAsia="Calibri" w:hAnsi="Garamond" w:cs="Times New Roman"/>
          <w:bCs/>
          <w:iCs/>
          <w:color w:val="000000"/>
          <w:szCs w:val="24"/>
        </w:rPr>
        <w:t xml:space="preserve"> </w:t>
      </w:r>
      <w:r w:rsidRPr="00B457F5">
        <w:rPr>
          <w:rFonts w:ascii="Garamond" w:eastAsia="Calibri" w:hAnsi="Garamond" w:cs="Times New Roman"/>
          <w:iCs/>
          <w:color w:val="000000"/>
          <w:szCs w:val="24"/>
        </w:rPr>
        <w:t>lehtëson dhe mbështet investimet direkte në Shqipëri, nëpërmjet identifikimit dhe promovimit të mundësive për investime, duke ofruar shërbime dhe mbështetje për investitorët ekzistues ose potencial.</w:t>
      </w:r>
    </w:p>
    <w:p w14:paraId="59FFD65F" w14:textId="728584D4" w:rsidR="00966A7A" w:rsidRPr="00B457F5" w:rsidRDefault="00966A7A" w:rsidP="002E693B">
      <w:pPr>
        <w:spacing w:before="0" w:after="0"/>
        <w:ind w:firstLine="284"/>
        <w:rPr>
          <w:rFonts w:ascii="Garamond" w:eastAsia="Calibri" w:hAnsi="Garamond" w:cs="Times New Roman"/>
          <w:bCs/>
          <w:color w:val="000000"/>
          <w:szCs w:val="24"/>
        </w:rPr>
      </w:pPr>
      <w:r w:rsidRPr="00B457F5">
        <w:rPr>
          <w:rFonts w:ascii="Garamond" w:eastAsia="Calibri" w:hAnsi="Garamond" w:cs="Times New Roman"/>
          <w:bCs/>
          <w:color w:val="000000"/>
          <w:szCs w:val="24"/>
        </w:rPr>
        <w:t xml:space="preserve">Shkolla Shqiptare </w:t>
      </w:r>
      <w:r w:rsidR="00CF542F" w:rsidRPr="00B457F5">
        <w:rPr>
          <w:rFonts w:ascii="Garamond" w:eastAsia="Calibri" w:hAnsi="Garamond" w:cs="Times New Roman"/>
          <w:bCs/>
          <w:color w:val="000000"/>
          <w:szCs w:val="24"/>
        </w:rPr>
        <w:t>e</w:t>
      </w:r>
      <w:r w:rsidRPr="00B457F5">
        <w:rPr>
          <w:rFonts w:ascii="Garamond" w:eastAsia="Calibri" w:hAnsi="Garamond" w:cs="Times New Roman"/>
          <w:bCs/>
          <w:color w:val="000000"/>
          <w:szCs w:val="24"/>
        </w:rPr>
        <w:t xml:space="preserve"> Administratës Publike (ASPA) </w:t>
      </w:r>
      <w:r w:rsidR="00CF542F" w:rsidRPr="00B457F5">
        <w:rPr>
          <w:rFonts w:ascii="Garamond" w:eastAsia="Calibri" w:hAnsi="Garamond" w:cs="Times New Roman"/>
          <w:bCs/>
          <w:color w:val="000000"/>
          <w:szCs w:val="24"/>
        </w:rPr>
        <w:t xml:space="preserve">luan </w:t>
      </w:r>
      <w:r w:rsidRPr="00B457F5">
        <w:rPr>
          <w:rFonts w:ascii="Garamond" w:eastAsia="Calibri" w:hAnsi="Garamond" w:cs="Times New Roman"/>
          <w:bCs/>
          <w:color w:val="000000"/>
          <w:szCs w:val="24"/>
        </w:rPr>
        <w:t>rol t</w:t>
      </w:r>
      <w:r w:rsidR="00994216" w:rsidRPr="00B457F5">
        <w:rPr>
          <w:rFonts w:ascii="Garamond" w:eastAsia="Calibri" w:hAnsi="Garamond" w:cs="Times New Roman"/>
          <w:bCs/>
          <w:color w:val="000000"/>
          <w:szCs w:val="24"/>
        </w:rPr>
        <w:t>ë</w:t>
      </w:r>
      <w:r w:rsidRPr="00B457F5">
        <w:rPr>
          <w:rFonts w:ascii="Garamond" w:eastAsia="Calibri" w:hAnsi="Garamond" w:cs="Times New Roman"/>
          <w:bCs/>
          <w:color w:val="000000"/>
          <w:szCs w:val="24"/>
        </w:rPr>
        <w:t xml:space="preserve"> r</w:t>
      </w:r>
      <w:r w:rsidR="00994216" w:rsidRPr="00B457F5">
        <w:rPr>
          <w:rFonts w:ascii="Garamond" w:eastAsia="Calibri" w:hAnsi="Garamond" w:cs="Times New Roman"/>
          <w:bCs/>
          <w:color w:val="000000"/>
          <w:szCs w:val="24"/>
        </w:rPr>
        <w:t>ë</w:t>
      </w:r>
      <w:r w:rsidRPr="00B457F5">
        <w:rPr>
          <w:rFonts w:ascii="Garamond" w:eastAsia="Calibri" w:hAnsi="Garamond" w:cs="Times New Roman"/>
          <w:bCs/>
          <w:color w:val="000000"/>
          <w:szCs w:val="24"/>
        </w:rPr>
        <w:t>nd</w:t>
      </w:r>
      <w:r w:rsidR="00994216" w:rsidRPr="00B457F5">
        <w:rPr>
          <w:rFonts w:ascii="Garamond" w:eastAsia="Calibri" w:hAnsi="Garamond" w:cs="Times New Roman"/>
          <w:bCs/>
          <w:color w:val="000000"/>
          <w:szCs w:val="24"/>
        </w:rPr>
        <w:t>ë</w:t>
      </w:r>
      <w:r w:rsidRPr="00B457F5">
        <w:rPr>
          <w:rFonts w:ascii="Garamond" w:eastAsia="Calibri" w:hAnsi="Garamond" w:cs="Times New Roman"/>
          <w:bCs/>
          <w:color w:val="000000"/>
          <w:szCs w:val="24"/>
        </w:rPr>
        <w:t>sish</w:t>
      </w:r>
      <w:r w:rsidR="00994216" w:rsidRPr="00B457F5">
        <w:rPr>
          <w:rFonts w:ascii="Garamond" w:eastAsia="Calibri" w:hAnsi="Garamond" w:cs="Times New Roman"/>
          <w:bCs/>
          <w:color w:val="000000"/>
          <w:szCs w:val="24"/>
        </w:rPr>
        <w:t>ë</w:t>
      </w:r>
      <w:r w:rsidRPr="00B457F5">
        <w:rPr>
          <w:rFonts w:ascii="Garamond" w:eastAsia="Calibri" w:hAnsi="Garamond" w:cs="Times New Roman"/>
          <w:bCs/>
          <w:color w:val="000000"/>
          <w:szCs w:val="24"/>
        </w:rPr>
        <w:t xml:space="preserve">m </w:t>
      </w:r>
      <w:r w:rsidR="00CF542F" w:rsidRPr="00B457F5">
        <w:rPr>
          <w:rFonts w:ascii="Garamond" w:eastAsia="Calibri" w:hAnsi="Garamond" w:cs="Times New Roman"/>
          <w:bCs/>
          <w:color w:val="000000"/>
          <w:szCs w:val="24"/>
        </w:rPr>
        <w:t>për</w:t>
      </w:r>
      <w:r w:rsidRPr="00B457F5">
        <w:rPr>
          <w:rFonts w:ascii="Garamond" w:eastAsia="Calibri" w:hAnsi="Garamond" w:cs="Times New Roman"/>
          <w:bCs/>
          <w:color w:val="000000"/>
          <w:szCs w:val="24"/>
        </w:rPr>
        <w:t xml:space="preserve"> forcimin e kapaciteteve të nëpunësve civilë, pjesë e departamenteve dhe sektorëve përgjegjës për zbatimin e ligjeve dhe politikave në fushën e migracionit dhe </w:t>
      </w:r>
      <w:r w:rsidR="00CF542F" w:rsidRPr="00B457F5">
        <w:rPr>
          <w:rFonts w:ascii="Garamond" w:eastAsia="Calibri" w:hAnsi="Garamond" w:cs="Times New Roman"/>
          <w:bCs/>
          <w:color w:val="000000"/>
          <w:szCs w:val="24"/>
        </w:rPr>
        <w:t xml:space="preserve">për </w:t>
      </w:r>
      <w:r w:rsidRPr="00B457F5">
        <w:rPr>
          <w:rFonts w:ascii="Garamond" w:eastAsia="Calibri" w:hAnsi="Garamond" w:cs="Times New Roman"/>
          <w:bCs/>
          <w:color w:val="000000"/>
          <w:szCs w:val="24"/>
        </w:rPr>
        <w:t>monitorimin e zbatimit të strategjisë së migracionit.</w:t>
      </w:r>
    </w:p>
    <w:p w14:paraId="6863AA03" w14:textId="71911F78" w:rsidR="00B8436C" w:rsidRPr="00B457F5" w:rsidRDefault="00B8436C" w:rsidP="002E693B">
      <w:pPr>
        <w:spacing w:before="0" w:after="0"/>
        <w:ind w:firstLine="284"/>
        <w:rPr>
          <w:rFonts w:ascii="Garamond" w:eastAsia="Calibri" w:hAnsi="Garamond" w:cs="Times New Roman"/>
          <w:iCs/>
          <w:color w:val="000000"/>
          <w:szCs w:val="24"/>
        </w:rPr>
      </w:pPr>
      <w:r w:rsidRPr="00B457F5">
        <w:rPr>
          <w:rFonts w:ascii="Garamond" w:eastAsia="Calibri" w:hAnsi="Garamond" w:cs="Times New Roman"/>
          <w:bCs/>
          <w:color w:val="000000"/>
          <w:szCs w:val="24"/>
        </w:rPr>
        <w:t>Instituti i Statistikave</w:t>
      </w:r>
      <w:r w:rsidR="00DC73C3" w:rsidRPr="00B457F5">
        <w:rPr>
          <w:rFonts w:ascii="Garamond" w:eastAsia="Calibri" w:hAnsi="Garamond" w:cs="Times New Roman"/>
          <w:bCs/>
          <w:color w:val="000000"/>
          <w:szCs w:val="24"/>
        </w:rPr>
        <w:t xml:space="preserve"> </w:t>
      </w:r>
      <w:r w:rsidR="00DC73C3" w:rsidRPr="00B457F5">
        <w:rPr>
          <w:rFonts w:ascii="Garamond" w:eastAsia="Calibri" w:hAnsi="Garamond" w:cs="Times New Roman"/>
          <w:bCs/>
          <w:iCs/>
          <w:color w:val="000000"/>
          <w:szCs w:val="24"/>
        </w:rPr>
        <w:t>(INSTAT)</w:t>
      </w:r>
      <w:r w:rsidR="0006016F" w:rsidRPr="00B457F5">
        <w:rPr>
          <w:rFonts w:ascii="Garamond" w:eastAsia="Calibri" w:hAnsi="Garamond" w:cs="Times New Roman"/>
          <w:b/>
          <w:bCs/>
          <w:i/>
          <w:color w:val="000000"/>
          <w:szCs w:val="24"/>
        </w:rPr>
        <w:t xml:space="preserve"> </w:t>
      </w:r>
      <w:r w:rsidRPr="00B457F5">
        <w:rPr>
          <w:rFonts w:ascii="Garamond" w:eastAsia="Calibri" w:hAnsi="Garamond" w:cs="Times New Roman"/>
          <w:iCs/>
          <w:color w:val="000000"/>
          <w:szCs w:val="24"/>
        </w:rPr>
        <w:t xml:space="preserve">është përgjegjës për mbledhjen, përpunimin dhe shkëmbimin e të dhënave administrative, si dhe </w:t>
      </w:r>
      <w:r w:rsidR="00CF542F" w:rsidRPr="00B457F5">
        <w:rPr>
          <w:rFonts w:ascii="Garamond" w:eastAsia="Calibri" w:hAnsi="Garamond" w:cs="Times New Roman"/>
          <w:iCs/>
          <w:color w:val="000000"/>
          <w:szCs w:val="24"/>
        </w:rPr>
        <w:t xml:space="preserve">për </w:t>
      </w:r>
      <w:r w:rsidRPr="00B457F5">
        <w:rPr>
          <w:rFonts w:ascii="Garamond" w:eastAsia="Calibri" w:hAnsi="Garamond" w:cs="Times New Roman"/>
          <w:iCs/>
          <w:color w:val="000000"/>
          <w:szCs w:val="24"/>
        </w:rPr>
        <w:t>sigurimin e statistikave për migracionin.</w:t>
      </w:r>
    </w:p>
    <w:p w14:paraId="72620295" w14:textId="13AA828D" w:rsidR="00966A7A" w:rsidRPr="00B457F5" w:rsidRDefault="00966A7A" w:rsidP="002E693B">
      <w:pPr>
        <w:spacing w:before="0" w:after="0"/>
        <w:ind w:firstLine="284"/>
        <w:rPr>
          <w:rFonts w:ascii="Garamond" w:eastAsia="Calibri" w:hAnsi="Garamond" w:cs="Times New Roman"/>
          <w:iCs/>
          <w:color w:val="000000"/>
          <w:szCs w:val="24"/>
        </w:rPr>
      </w:pPr>
      <w:r w:rsidRPr="00B457F5">
        <w:rPr>
          <w:rFonts w:ascii="Garamond" w:eastAsia="Calibri" w:hAnsi="Garamond" w:cs="Times New Roman"/>
          <w:iCs/>
          <w:color w:val="000000"/>
          <w:szCs w:val="24"/>
        </w:rPr>
        <w:lastRenderedPageBreak/>
        <w:t>ASPA dhe INSTAT</w:t>
      </w:r>
      <w:r w:rsidR="002014D7" w:rsidRPr="00B457F5">
        <w:rPr>
          <w:rFonts w:ascii="Garamond" w:eastAsia="Calibri" w:hAnsi="Garamond" w:cs="Times New Roman"/>
          <w:iCs/>
          <w:color w:val="000000"/>
          <w:szCs w:val="24"/>
        </w:rPr>
        <w:t>-i</w:t>
      </w:r>
      <w:r w:rsidRPr="00B457F5">
        <w:rPr>
          <w:rFonts w:ascii="Garamond" w:eastAsia="Calibri" w:hAnsi="Garamond" w:cs="Times New Roman"/>
          <w:iCs/>
          <w:color w:val="000000"/>
          <w:szCs w:val="24"/>
        </w:rPr>
        <w:t xml:space="preserve"> mund të kontribuojnë gjithashtu </w:t>
      </w:r>
      <w:r w:rsidR="00CF542F" w:rsidRPr="00B457F5">
        <w:rPr>
          <w:rFonts w:ascii="Garamond" w:eastAsia="Calibri" w:hAnsi="Garamond" w:cs="Times New Roman"/>
          <w:iCs/>
          <w:color w:val="000000"/>
          <w:szCs w:val="24"/>
        </w:rPr>
        <w:t xml:space="preserve">për </w:t>
      </w:r>
      <w:r w:rsidRPr="00B457F5">
        <w:rPr>
          <w:rFonts w:ascii="Garamond" w:eastAsia="Calibri" w:hAnsi="Garamond" w:cs="Times New Roman"/>
          <w:iCs/>
          <w:color w:val="000000"/>
          <w:szCs w:val="24"/>
        </w:rPr>
        <w:t>rritjen e kapaciteteve institucionale</w:t>
      </w:r>
      <w:r w:rsidR="00ED416B" w:rsidRPr="00B457F5">
        <w:rPr>
          <w:rFonts w:ascii="Garamond" w:eastAsia="Calibri" w:hAnsi="Garamond" w:cs="Times New Roman"/>
          <w:iCs/>
          <w:color w:val="000000"/>
          <w:szCs w:val="24"/>
        </w:rPr>
        <w:t>,</w:t>
      </w:r>
      <w:r w:rsidRPr="00B457F5">
        <w:rPr>
          <w:rFonts w:ascii="Garamond" w:eastAsia="Calibri" w:hAnsi="Garamond" w:cs="Times New Roman"/>
          <w:iCs/>
          <w:color w:val="000000"/>
          <w:szCs w:val="24"/>
        </w:rPr>
        <w:t xml:space="preserve"> mbledhjen e të dhënave administrative për migracionin</w:t>
      </w:r>
      <w:r w:rsidR="00ED416B" w:rsidRPr="00B457F5">
        <w:rPr>
          <w:rFonts w:ascii="Garamond" w:eastAsia="Calibri" w:hAnsi="Garamond" w:cs="Times New Roman"/>
          <w:iCs/>
          <w:color w:val="000000"/>
          <w:szCs w:val="24"/>
        </w:rPr>
        <w:t>,</w:t>
      </w:r>
      <w:r w:rsidRPr="00B457F5">
        <w:rPr>
          <w:rFonts w:ascii="Garamond" w:eastAsia="Calibri" w:hAnsi="Garamond" w:cs="Times New Roman"/>
          <w:iCs/>
          <w:color w:val="000000"/>
          <w:szCs w:val="24"/>
        </w:rPr>
        <w:t xml:space="preserve"> si dhe për kryerjen e studimeve mbi migracionin nëpërmjet trajnimeve, përfshirë trajnime në vendin e punës, vizita studimore</w:t>
      </w:r>
      <w:r w:rsidR="00ED416B" w:rsidRPr="00B457F5">
        <w:rPr>
          <w:rFonts w:ascii="Garamond" w:eastAsia="Calibri" w:hAnsi="Garamond" w:cs="Times New Roman"/>
          <w:iCs/>
          <w:color w:val="000000"/>
          <w:szCs w:val="24"/>
        </w:rPr>
        <w:t>, etj</w:t>
      </w:r>
      <w:r w:rsidRPr="00B457F5">
        <w:rPr>
          <w:rFonts w:ascii="Garamond" w:eastAsia="Calibri" w:hAnsi="Garamond" w:cs="Times New Roman"/>
          <w:iCs/>
          <w:color w:val="000000"/>
          <w:szCs w:val="24"/>
        </w:rPr>
        <w:t>.</w:t>
      </w:r>
    </w:p>
    <w:p w14:paraId="6090566F" w14:textId="658EA46B" w:rsidR="001D7347" w:rsidRPr="00B457F5" w:rsidRDefault="001D7347" w:rsidP="002E693B">
      <w:pPr>
        <w:spacing w:before="0" w:after="0"/>
        <w:ind w:firstLine="284"/>
        <w:rPr>
          <w:rFonts w:ascii="Garamond" w:eastAsia="Calibri" w:hAnsi="Garamond" w:cs="Times New Roman"/>
          <w:iCs/>
          <w:color w:val="000000"/>
          <w:szCs w:val="24"/>
        </w:rPr>
      </w:pPr>
      <w:r w:rsidRPr="00B457F5">
        <w:rPr>
          <w:rFonts w:ascii="Garamond" w:eastAsia="Calibri" w:hAnsi="Garamond" w:cs="Times New Roman"/>
          <w:iCs/>
          <w:color w:val="000000"/>
          <w:szCs w:val="24"/>
        </w:rPr>
        <w:t>Instituti i Sigurimeve Shoqërore administron sigurimet shoqërore për të gjithë personat e siguruar, përfshirë të huajt, si dhe menaxhon politikat e pensionit.</w:t>
      </w:r>
    </w:p>
    <w:p w14:paraId="023A3314" w14:textId="3B80B7D8" w:rsidR="00966A7A" w:rsidRPr="00B457F5" w:rsidRDefault="00966A7A" w:rsidP="002E693B">
      <w:pPr>
        <w:spacing w:before="0" w:after="0"/>
        <w:ind w:firstLine="284"/>
        <w:rPr>
          <w:rFonts w:ascii="Garamond" w:eastAsia="Calibri" w:hAnsi="Garamond" w:cs="Times New Roman"/>
          <w:iCs/>
          <w:color w:val="000000"/>
          <w:szCs w:val="24"/>
        </w:rPr>
      </w:pPr>
      <w:bookmarkStart w:id="15" w:name="_Hlk156900988"/>
      <w:r w:rsidRPr="00B457F5">
        <w:rPr>
          <w:rFonts w:ascii="Garamond" w:eastAsia="Calibri" w:hAnsi="Garamond" w:cs="Times New Roman"/>
          <w:iCs/>
          <w:color w:val="000000"/>
          <w:szCs w:val="24"/>
        </w:rPr>
        <w:t>Bashkitë janë gjithashtu përgjegjës</w:t>
      </w:r>
      <w:r w:rsidR="00E73215" w:rsidRPr="00B457F5">
        <w:rPr>
          <w:rFonts w:ascii="Garamond" w:eastAsia="Calibri" w:hAnsi="Garamond" w:cs="Times New Roman"/>
          <w:iCs/>
          <w:color w:val="000000"/>
          <w:szCs w:val="24"/>
        </w:rPr>
        <w:t>e</w:t>
      </w:r>
      <w:r w:rsidRPr="00B457F5">
        <w:rPr>
          <w:rFonts w:ascii="Garamond" w:eastAsia="Calibri" w:hAnsi="Garamond" w:cs="Times New Roman"/>
          <w:iCs/>
          <w:color w:val="000000"/>
          <w:szCs w:val="24"/>
        </w:rPr>
        <w:t xml:space="preserve"> dhe kontribues</w:t>
      </w:r>
      <w:r w:rsidR="00E73215" w:rsidRPr="00B457F5">
        <w:rPr>
          <w:rFonts w:ascii="Garamond" w:eastAsia="Calibri" w:hAnsi="Garamond" w:cs="Times New Roman"/>
          <w:iCs/>
          <w:color w:val="000000"/>
          <w:szCs w:val="24"/>
        </w:rPr>
        <w:t>e</w:t>
      </w:r>
      <w:r w:rsidRPr="00B457F5">
        <w:rPr>
          <w:rFonts w:ascii="Garamond" w:eastAsia="Calibri" w:hAnsi="Garamond" w:cs="Times New Roman"/>
          <w:iCs/>
          <w:color w:val="000000"/>
          <w:szCs w:val="24"/>
        </w:rPr>
        <w:t xml:space="preserve"> të rëndësishm</w:t>
      </w:r>
      <w:r w:rsidR="00E73215" w:rsidRPr="00B457F5">
        <w:rPr>
          <w:rFonts w:ascii="Garamond" w:eastAsia="Calibri" w:hAnsi="Garamond" w:cs="Times New Roman"/>
          <w:iCs/>
          <w:color w:val="000000"/>
          <w:szCs w:val="24"/>
        </w:rPr>
        <w:t>e</w:t>
      </w:r>
      <w:r w:rsidRPr="00B457F5">
        <w:rPr>
          <w:rFonts w:ascii="Garamond" w:eastAsia="Calibri" w:hAnsi="Garamond" w:cs="Times New Roman"/>
          <w:iCs/>
          <w:color w:val="000000"/>
          <w:szCs w:val="24"/>
        </w:rPr>
        <w:t xml:space="preserve"> </w:t>
      </w:r>
      <w:r w:rsidR="00A12B83" w:rsidRPr="00B457F5">
        <w:rPr>
          <w:rFonts w:ascii="Garamond" w:eastAsia="Calibri" w:hAnsi="Garamond" w:cs="Times New Roman"/>
          <w:iCs/>
          <w:color w:val="000000"/>
          <w:szCs w:val="24"/>
        </w:rPr>
        <w:t xml:space="preserve">për </w:t>
      </w:r>
      <w:r w:rsidRPr="00B457F5">
        <w:rPr>
          <w:rFonts w:ascii="Garamond" w:eastAsia="Calibri" w:hAnsi="Garamond" w:cs="Times New Roman"/>
          <w:iCs/>
          <w:color w:val="000000"/>
          <w:szCs w:val="24"/>
        </w:rPr>
        <w:t>ruajtjen e marrëdhënieve me diasporën dhe forcimin e bashkëpunimit me emigrantët, ku sipas parashikimeve të ligjit nr. 139/2019</w:t>
      </w:r>
      <w:r w:rsidR="00E73215" w:rsidRPr="00B457F5">
        <w:rPr>
          <w:rFonts w:ascii="Garamond" w:eastAsia="Calibri" w:hAnsi="Garamond" w:cs="Times New Roman"/>
          <w:iCs/>
          <w:color w:val="000000"/>
          <w:szCs w:val="24"/>
        </w:rPr>
        <w:t>,</w:t>
      </w:r>
      <w:r w:rsidRPr="00B457F5">
        <w:rPr>
          <w:rFonts w:ascii="Garamond" w:eastAsia="Calibri" w:hAnsi="Garamond" w:cs="Times New Roman"/>
          <w:iCs/>
          <w:color w:val="000000"/>
          <w:szCs w:val="24"/>
        </w:rPr>
        <w:t xml:space="preserve"> </w:t>
      </w:r>
      <w:r w:rsidR="00A313AE" w:rsidRPr="00B457F5">
        <w:rPr>
          <w:rFonts w:ascii="Garamond" w:eastAsia="Calibri" w:hAnsi="Garamond" w:cs="Times New Roman"/>
          <w:iCs/>
          <w:color w:val="000000"/>
          <w:szCs w:val="24"/>
        </w:rPr>
        <w:t>“</w:t>
      </w:r>
      <w:r w:rsidRPr="00B457F5">
        <w:rPr>
          <w:rFonts w:ascii="Garamond" w:eastAsia="Calibri" w:hAnsi="Garamond" w:cs="Times New Roman"/>
          <w:iCs/>
          <w:color w:val="000000"/>
          <w:szCs w:val="24"/>
        </w:rPr>
        <w:t>Për vetëqeverisjen vendore</w:t>
      </w:r>
      <w:r w:rsidR="00A313AE" w:rsidRPr="00B457F5">
        <w:rPr>
          <w:rFonts w:ascii="Garamond" w:eastAsia="Calibri" w:hAnsi="Garamond" w:cs="Times New Roman"/>
          <w:iCs/>
          <w:color w:val="000000"/>
          <w:szCs w:val="24"/>
        </w:rPr>
        <w:t>”</w:t>
      </w:r>
      <w:r w:rsidRPr="00B457F5">
        <w:rPr>
          <w:rFonts w:ascii="Garamond" w:eastAsia="Calibri" w:hAnsi="Garamond" w:cs="Times New Roman"/>
          <w:iCs/>
          <w:color w:val="000000"/>
          <w:szCs w:val="24"/>
        </w:rPr>
        <w:t xml:space="preserve">, të ndryshuar në vitin 2019, </w:t>
      </w:r>
      <w:r w:rsidR="004B1C88" w:rsidRPr="00B457F5">
        <w:rPr>
          <w:rFonts w:ascii="Garamond" w:eastAsia="Calibri" w:hAnsi="Garamond" w:cs="Times New Roman"/>
          <w:iCs/>
          <w:color w:val="000000"/>
          <w:szCs w:val="24"/>
        </w:rPr>
        <w:t xml:space="preserve">atyre iu </w:t>
      </w:r>
      <w:r w:rsidRPr="00B457F5">
        <w:rPr>
          <w:rFonts w:ascii="Garamond" w:eastAsia="Calibri" w:hAnsi="Garamond" w:cs="Times New Roman"/>
          <w:iCs/>
          <w:color w:val="000000"/>
          <w:szCs w:val="24"/>
        </w:rPr>
        <w:t>ngarkuan përgjegjësi të reja për ngritjen dhe funksionimin e njësive të posaçme</w:t>
      </w:r>
      <w:r w:rsidR="00D765E2" w:rsidRPr="00B457F5">
        <w:rPr>
          <w:rFonts w:ascii="Garamond" w:eastAsia="Calibri" w:hAnsi="Garamond" w:cs="Times New Roman"/>
          <w:iCs/>
          <w:color w:val="000000"/>
          <w:szCs w:val="24"/>
        </w:rPr>
        <w:t xml:space="preserve"> për diasporën dhe migracionin. </w:t>
      </w:r>
      <w:r w:rsidRPr="00B457F5">
        <w:rPr>
          <w:rFonts w:ascii="Garamond" w:eastAsia="Calibri" w:hAnsi="Garamond" w:cs="Times New Roman"/>
          <w:iCs/>
          <w:color w:val="000000"/>
          <w:szCs w:val="24"/>
        </w:rPr>
        <w:t>Konkretisht</w:t>
      </w:r>
      <w:r w:rsidR="004B1C88" w:rsidRPr="00B457F5">
        <w:rPr>
          <w:rFonts w:ascii="Garamond" w:eastAsia="Calibri" w:hAnsi="Garamond" w:cs="Times New Roman"/>
          <w:iCs/>
          <w:color w:val="000000"/>
          <w:szCs w:val="24"/>
        </w:rPr>
        <w:t>,</w:t>
      </w:r>
      <w:r w:rsidRPr="00B457F5">
        <w:rPr>
          <w:rFonts w:ascii="Garamond" w:eastAsia="Calibri" w:hAnsi="Garamond" w:cs="Times New Roman"/>
          <w:iCs/>
          <w:color w:val="000000"/>
          <w:szCs w:val="24"/>
        </w:rPr>
        <w:t xml:space="preserve"> funksionet e kësaj strukture përfshijnë ofrimin e mbështetjes, informacionit dhe shërbimeve për migrantët</w:t>
      </w:r>
      <w:r w:rsidR="00E73215" w:rsidRPr="00B457F5">
        <w:rPr>
          <w:rFonts w:ascii="Garamond" w:eastAsia="Calibri" w:hAnsi="Garamond" w:cs="Times New Roman"/>
          <w:iCs/>
          <w:color w:val="000000"/>
          <w:szCs w:val="24"/>
        </w:rPr>
        <w:t>,</w:t>
      </w:r>
      <w:r w:rsidRPr="00B457F5">
        <w:rPr>
          <w:rFonts w:ascii="Garamond" w:eastAsia="Calibri" w:hAnsi="Garamond" w:cs="Times New Roman"/>
          <w:iCs/>
          <w:color w:val="000000"/>
          <w:szCs w:val="24"/>
        </w:rPr>
        <w:t xml:space="preserve"> në lidhje me mundësitë e riintegrimin social dhe ekonomik të migrantëve të kthyer, mundësitë e investimit të tyre apo investimit nga diaspora, si dhe</w:t>
      </w:r>
      <w:r w:rsidR="0006016F" w:rsidRPr="00B457F5">
        <w:rPr>
          <w:rFonts w:ascii="Garamond" w:eastAsia="Calibri" w:hAnsi="Garamond" w:cs="Times New Roman"/>
          <w:iCs/>
          <w:color w:val="000000"/>
          <w:szCs w:val="24"/>
        </w:rPr>
        <w:t xml:space="preserve"> </w:t>
      </w:r>
      <w:r w:rsidRPr="00B457F5">
        <w:rPr>
          <w:rFonts w:ascii="Garamond" w:eastAsia="Calibri" w:hAnsi="Garamond" w:cs="Times New Roman"/>
          <w:iCs/>
          <w:color w:val="000000"/>
          <w:szCs w:val="24"/>
        </w:rPr>
        <w:t xml:space="preserve">koordinimin e bashkërendimin e punës me strukturat e tjera vendore dhe ministritë përgjegjëse </w:t>
      </w:r>
      <w:r w:rsidR="004B1C88" w:rsidRPr="00B457F5">
        <w:rPr>
          <w:rFonts w:ascii="Garamond" w:eastAsia="Calibri" w:hAnsi="Garamond" w:cs="Times New Roman"/>
          <w:iCs/>
          <w:color w:val="000000"/>
          <w:szCs w:val="24"/>
        </w:rPr>
        <w:t xml:space="preserve">për </w:t>
      </w:r>
      <w:r w:rsidRPr="00B457F5">
        <w:rPr>
          <w:rFonts w:ascii="Garamond" w:eastAsia="Calibri" w:hAnsi="Garamond" w:cs="Times New Roman"/>
          <w:iCs/>
          <w:color w:val="000000"/>
          <w:szCs w:val="24"/>
        </w:rPr>
        <w:t>punët e brendshme, për punët e jashtme dhe për diasporën, për garantimin e dhënies së ndihmës e të informacionit për çështjet që lidhen me diasporën dhe migracionin.</w:t>
      </w:r>
    </w:p>
    <w:bookmarkEnd w:id="15"/>
    <w:p w14:paraId="2DFB9A93" w14:textId="5419B21C" w:rsidR="00966A7A" w:rsidRPr="00B457F5" w:rsidRDefault="00966A7A" w:rsidP="002E693B">
      <w:pPr>
        <w:spacing w:before="0" w:after="0"/>
        <w:ind w:firstLine="284"/>
        <w:rPr>
          <w:rFonts w:ascii="Garamond" w:eastAsia="Calibri" w:hAnsi="Garamond" w:cs="Times New Roman"/>
          <w:iCs/>
          <w:color w:val="000000"/>
          <w:szCs w:val="24"/>
        </w:rPr>
      </w:pPr>
      <w:r w:rsidRPr="00B457F5">
        <w:rPr>
          <w:rFonts w:ascii="Garamond" w:eastAsia="Calibri" w:hAnsi="Garamond" w:cs="Times New Roman"/>
          <w:iCs/>
          <w:color w:val="000000"/>
          <w:szCs w:val="24"/>
        </w:rPr>
        <w:t>Duke marrë parasysh dimensionin e të drejtave të njeriut të integrimit të emigrantëve</w:t>
      </w:r>
      <w:r w:rsidR="00E73215" w:rsidRPr="00B457F5">
        <w:rPr>
          <w:rFonts w:ascii="Garamond" w:eastAsia="Calibri" w:hAnsi="Garamond" w:cs="Times New Roman"/>
          <w:iCs/>
          <w:color w:val="000000"/>
          <w:szCs w:val="24"/>
        </w:rPr>
        <w:t>,</w:t>
      </w:r>
      <w:r w:rsidRPr="00B457F5">
        <w:rPr>
          <w:rFonts w:ascii="Garamond" w:eastAsia="Calibri" w:hAnsi="Garamond" w:cs="Times New Roman"/>
          <w:iCs/>
          <w:color w:val="000000"/>
          <w:szCs w:val="24"/>
        </w:rPr>
        <w:t xml:space="preserve"> si dhe trendin në rritje të imigracionit, roli i institucioneve të të drejtave të njeriut </w:t>
      </w:r>
      <w:r w:rsidRPr="00B457F5">
        <w:rPr>
          <w:rFonts w:ascii="Garamond" w:eastAsia="Calibri" w:hAnsi="Garamond" w:cs="Times New Roman"/>
          <w:bCs/>
          <w:iCs/>
          <w:color w:val="000000"/>
          <w:szCs w:val="24"/>
        </w:rPr>
        <w:t>si</w:t>
      </w:r>
      <w:r w:rsidRPr="00B457F5">
        <w:rPr>
          <w:rFonts w:ascii="Garamond" w:eastAsia="Calibri" w:hAnsi="Garamond" w:cs="Times New Roman"/>
          <w:iCs/>
          <w:color w:val="000000"/>
          <w:szCs w:val="24"/>
        </w:rPr>
        <w:t xml:space="preserve"> Avokati i Popullit dhe Komisioneri për Mbrojtjen nga Diskriminimi bëhet më i rëndësishëm në fushën e migracionit për të garantuar të drejtat civile, ekonomike, sociale dhe kulturore të tyre.</w:t>
      </w:r>
    </w:p>
    <w:p w14:paraId="42A94864" w14:textId="34A87FDB" w:rsidR="00DC73C3" w:rsidRPr="00B457F5" w:rsidRDefault="00DC73C3" w:rsidP="002E693B">
      <w:pPr>
        <w:spacing w:before="0" w:after="0"/>
        <w:ind w:firstLine="284"/>
        <w:rPr>
          <w:rFonts w:ascii="Garamond" w:eastAsia="Calibri" w:hAnsi="Garamond" w:cs="Times New Roman"/>
          <w:iCs/>
          <w:color w:val="000000"/>
          <w:szCs w:val="24"/>
        </w:rPr>
      </w:pPr>
      <w:r w:rsidRPr="00B457F5">
        <w:rPr>
          <w:rFonts w:ascii="Garamond" w:eastAsia="Calibri" w:hAnsi="Garamond" w:cs="Times New Roman"/>
          <w:bCs/>
          <w:iCs/>
          <w:color w:val="000000"/>
          <w:szCs w:val="24"/>
        </w:rPr>
        <w:t>Komisioneri për Mbrojtjen e të Dhënave Personale</w:t>
      </w:r>
      <w:r w:rsidRPr="00B457F5">
        <w:rPr>
          <w:rFonts w:ascii="Garamond" w:eastAsia="Calibri" w:hAnsi="Garamond" w:cs="Times New Roman"/>
          <w:iCs/>
          <w:color w:val="000000"/>
          <w:szCs w:val="24"/>
        </w:rPr>
        <w:t xml:space="preserve"> është autoriteti përgjegjës që mbikëqyr dhe monitoron, në përputhje me ligjin, mbrojtjen e të dhënave personale, duke respektuar dhe garantuar të drejtat dhe liritë themelore të njeriut.</w:t>
      </w:r>
    </w:p>
    <w:p w14:paraId="6CEDEBA1" w14:textId="3D680950" w:rsidR="00883086" w:rsidRPr="00B457F5" w:rsidRDefault="00966A7A" w:rsidP="002E693B">
      <w:pPr>
        <w:spacing w:before="0" w:after="0"/>
        <w:ind w:firstLine="284"/>
        <w:rPr>
          <w:rFonts w:ascii="Garamond" w:eastAsia="Calibri" w:hAnsi="Garamond" w:cs="Times New Roman"/>
          <w:iCs/>
          <w:color w:val="000000"/>
          <w:szCs w:val="24"/>
        </w:rPr>
      </w:pPr>
      <w:r w:rsidRPr="00B457F5">
        <w:rPr>
          <w:rFonts w:ascii="Garamond" w:eastAsia="Calibri" w:hAnsi="Garamond" w:cs="Times New Roman"/>
          <w:iCs/>
          <w:color w:val="000000"/>
          <w:szCs w:val="24"/>
        </w:rPr>
        <w:t>Një tjetër aktor i rëndësishëm, që ka një rol të dyfishtë në migrimin për motive punësimi, janë agjencitë private të punësimit dhe agjencitë e punësimit të përkohshëm. Edhe pse nuk janë aktorë publikë, por duke qenë se veprimtaria e tyre i shërben dhe prek drejtpërdrejt interesin publik, veprimtaria e tyre licencohet dhe monitorohet. Veprimtaria e tyre licencohet nga ministria përgjegjëse për çështjet e punës dhe kontrollohet nga Inspektorati Shtetëror i Punës dhe Shërbimeve Shoqërore. At</w:t>
      </w:r>
      <w:r w:rsidR="00B04C4C" w:rsidRPr="00B457F5">
        <w:rPr>
          <w:rFonts w:ascii="Garamond" w:eastAsia="Calibri" w:hAnsi="Garamond" w:cs="Times New Roman"/>
          <w:iCs/>
          <w:color w:val="000000"/>
          <w:szCs w:val="24"/>
        </w:rPr>
        <w:t>o</w:t>
      </w:r>
      <w:r w:rsidRPr="00B457F5">
        <w:rPr>
          <w:rFonts w:ascii="Garamond" w:eastAsia="Calibri" w:hAnsi="Garamond" w:cs="Times New Roman"/>
          <w:iCs/>
          <w:color w:val="000000"/>
          <w:szCs w:val="24"/>
        </w:rPr>
        <w:t xml:space="preserve"> janë të detyruar</w:t>
      </w:r>
      <w:r w:rsidR="004603C3" w:rsidRPr="00B457F5">
        <w:rPr>
          <w:rFonts w:ascii="Garamond" w:eastAsia="Calibri" w:hAnsi="Garamond" w:cs="Times New Roman"/>
          <w:iCs/>
          <w:color w:val="000000"/>
          <w:szCs w:val="24"/>
        </w:rPr>
        <w:t xml:space="preserve"> t’i </w:t>
      </w:r>
      <w:r w:rsidRPr="00B457F5">
        <w:rPr>
          <w:rFonts w:ascii="Garamond" w:eastAsia="Calibri" w:hAnsi="Garamond" w:cs="Times New Roman"/>
          <w:iCs/>
          <w:color w:val="000000"/>
          <w:szCs w:val="24"/>
        </w:rPr>
        <w:t xml:space="preserve">paraqesin </w:t>
      </w:r>
      <w:r w:rsidR="00272570" w:rsidRPr="00B457F5">
        <w:rPr>
          <w:rFonts w:ascii="Garamond" w:eastAsia="Calibri" w:hAnsi="Garamond" w:cs="Times New Roman"/>
          <w:iCs/>
          <w:color w:val="000000"/>
          <w:szCs w:val="24"/>
        </w:rPr>
        <w:t>MEKI</w:t>
      </w:r>
      <w:r w:rsidRPr="00B457F5">
        <w:rPr>
          <w:rFonts w:ascii="Garamond" w:eastAsia="Calibri" w:hAnsi="Garamond" w:cs="Times New Roman"/>
          <w:iCs/>
          <w:color w:val="000000"/>
          <w:szCs w:val="24"/>
        </w:rPr>
        <w:t>-</w:t>
      </w:r>
      <w:r w:rsidR="00272570" w:rsidRPr="00B457F5">
        <w:rPr>
          <w:rFonts w:ascii="Garamond" w:eastAsia="Calibri" w:hAnsi="Garamond" w:cs="Times New Roman"/>
          <w:iCs/>
          <w:color w:val="000000"/>
          <w:szCs w:val="24"/>
        </w:rPr>
        <w:t>t</w:t>
      </w:r>
      <w:r w:rsidRPr="00B457F5">
        <w:rPr>
          <w:rFonts w:ascii="Garamond" w:eastAsia="Calibri" w:hAnsi="Garamond" w:cs="Times New Roman"/>
          <w:iCs/>
          <w:color w:val="000000"/>
          <w:szCs w:val="24"/>
        </w:rPr>
        <w:t xml:space="preserve"> raporte per</w:t>
      </w:r>
      <w:r w:rsidR="001D7347" w:rsidRPr="00B457F5">
        <w:rPr>
          <w:rFonts w:ascii="Garamond" w:eastAsia="Calibri" w:hAnsi="Garamond" w:cs="Times New Roman"/>
          <w:iCs/>
          <w:color w:val="000000"/>
          <w:szCs w:val="24"/>
        </w:rPr>
        <w:t>iodike për veprimtarinë e tyre.</w:t>
      </w:r>
    </w:p>
    <w:p w14:paraId="1BB60BD8" w14:textId="0266B392" w:rsidR="001D7347" w:rsidRPr="00B457F5" w:rsidRDefault="001D7347" w:rsidP="002E693B">
      <w:pPr>
        <w:pStyle w:val="Heading1"/>
        <w:spacing w:before="0" w:after="0"/>
        <w:ind w:left="0" w:firstLine="284"/>
        <w:rPr>
          <w:rFonts w:ascii="Garamond" w:hAnsi="Garamond" w:cs="Times New Roman"/>
          <w:color w:val="auto"/>
          <w:sz w:val="24"/>
          <w:szCs w:val="24"/>
        </w:rPr>
      </w:pPr>
      <w:bookmarkStart w:id="16" w:name="_Toc155620720"/>
      <w:r w:rsidRPr="00B457F5">
        <w:rPr>
          <w:rFonts w:ascii="Garamond" w:hAnsi="Garamond" w:cs="Times New Roman"/>
          <w:color w:val="auto"/>
          <w:sz w:val="24"/>
          <w:szCs w:val="24"/>
        </w:rPr>
        <w:t>Arritjet dhe m</w:t>
      </w:r>
      <w:r w:rsidR="00994216" w:rsidRPr="00B457F5">
        <w:rPr>
          <w:rFonts w:ascii="Garamond" w:hAnsi="Garamond" w:cs="Times New Roman"/>
          <w:color w:val="auto"/>
          <w:sz w:val="24"/>
          <w:szCs w:val="24"/>
        </w:rPr>
        <w:t>ë</w:t>
      </w:r>
      <w:r w:rsidRPr="00B457F5">
        <w:rPr>
          <w:rFonts w:ascii="Garamond" w:hAnsi="Garamond" w:cs="Times New Roman"/>
          <w:color w:val="auto"/>
          <w:sz w:val="24"/>
          <w:szCs w:val="24"/>
        </w:rPr>
        <w:t xml:space="preserve">simet </w:t>
      </w:r>
      <w:r w:rsidR="00B04C4C" w:rsidRPr="00B457F5">
        <w:rPr>
          <w:rFonts w:ascii="Garamond" w:hAnsi="Garamond" w:cs="Times New Roman"/>
          <w:color w:val="auto"/>
          <w:sz w:val="24"/>
          <w:szCs w:val="24"/>
        </w:rPr>
        <w:t xml:space="preserve">e nxjerra </w:t>
      </w:r>
      <w:r w:rsidR="00A5135A" w:rsidRPr="00B457F5">
        <w:rPr>
          <w:rFonts w:ascii="Garamond" w:hAnsi="Garamond" w:cs="Times New Roman"/>
          <w:color w:val="auto"/>
          <w:sz w:val="24"/>
          <w:szCs w:val="24"/>
        </w:rPr>
        <w:t xml:space="preserve">për periudhën </w:t>
      </w:r>
      <w:r w:rsidRPr="00B457F5">
        <w:rPr>
          <w:rFonts w:ascii="Garamond" w:hAnsi="Garamond" w:cs="Times New Roman"/>
          <w:color w:val="auto"/>
          <w:sz w:val="24"/>
          <w:szCs w:val="24"/>
        </w:rPr>
        <w:t>2019</w:t>
      </w:r>
      <w:r w:rsidR="00734269" w:rsidRPr="00B457F5">
        <w:rPr>
          <w:rStyle w:val="contentpasted1"/>
          <w:rFonts w:ascii="Garamond" w:hAnsi="Garamond" w:cs="Times New Roman"/>
          <w:color w:val="000000"/>
        </w:rPr>
        <w:t>–</w:t>
      </w:r>
      <w:r w:rsidRPr="00B457F5">
        <w:rPr>
          <w:rFonts w:ascii="Garamond" w:hAnsi="Garamond" w:cs="Times New Roman"/>
          <w:color w:val="auto"/>
          <w:sz w:val="24"/>
          <w:szCs w:val="24"/>
        </w:rPr>
        <w:t>2022</w:t>
      </w:r>
      <w:bookmarkEnd w:id="16"/>
    </w:p>
    <w:p w14:paraId="79B0FD80" w14:textId="321108B1" w:rsidR="00A619CA" w:rsidRPr="00B457F5" w:rsidRDefault="00DF3C67" w:rsidP="002E693B">
      <w:pPr>
        <w:spacing w:before="0" w:after="0"/>
        <w:ind w:firstLine="284"/>
        <w:rPr>
          <w:rFonts w:ascii="Garamond" w:eastAsia="MS Mincho" w:hAnsi="Garamond" w:cs="Times New Roman"/>
          <w:szCs w:val="24"/>
          <w:lang w:eastAsia="fr-RE"/>
        </w:rPr>
      </w:pPr>
      <w:r w:rsidRPr="00B457F5">
        <w:rPr>
          <w:rFonts w:ascii="Garamond" w:eastAsia="MS Mincho" w:hAnsi="Garamond" w:cs="Times New Roman"/>
          <w:bCs/>
          <w:i/>
          <w:iCs/>
          <w:szCs w:val="24"/>
          <w:lang w:eastAsia="fr-RE"/>
        </w:rPr>
        <w:t>Bilanci migrator</w:t>
      </w:r>
      <w:r w:rsidRPr="00B457F5">
        <w:rPr>
          <w:rFonts w:ascii="Garamond" w:eastAsia="MS Mincho" w:hAnsi="Garamond" w:cs="Times New Roman"/>
          <w:bCs/>
          <w:iCs/>
          <w:szCs w:val="24"/>
          <w:lang w:eastAsia="fr-RE"/>
        </w:rPr>
        <w:t>.</w:t>
      </w:r>
      <w:r w:rsidRPr="00B457F5">
        <w:rPr>
          <w:rFonts w:ascii="Garamond" w:eastAsia="MS Mincho" w:hAnsi="Garamond" w:cs="Times New Roman"/>
          <w:i/>
          <w:iCs/>
          <w:szCs w:val="24"/>
          <w:lang w:eastAsia="fr-RE"/>
        </w:rPr>
        <w:t xml:space="preserve"> </w:t>
      </w:r>
      <w:bookmarkStart w:id="17" w:name="_Hlk148355930"/>
      <w:r w:rsidRPr="00B457F5">
        <w:rPr>
          <w:rFonts w:ascii="Garamond" w:eastAsia="MS Mincho" w:hAnsi="Garamond" w:cs="Times New Roman"/>
          <w:szCs w:val="24"/>
          <w:lang w:eastAsia="fr-RE"/>
        </w:rPr>
        <w:t>Shqipëria vazhdon të konsiderohet si vend</w:t>
      </w:r>
      <w:r w:rsidR="00CD79DF" w:rsidRPr="00B457F5">
        <w:rPr>
          <w:rFonts w:ascii="Garamond" w:eastAsia="MS Mincho" w:hAnsi="Garamond" w:cs="Times New Roman"/>
          <w:szCs w:val="24"/>
          <w:lang w:eastAsia="fr-RE"/>
        </w:rPr>
        <w:t>i</w:t>
      </w:r>
      <w:r w:rsidRPr="00B457F5">
        <w:rPr>
          <w:rFonts w:ascii="Garamond" w:eastAsia="MS Mincho" w:hAnsi="Garamond" w:cs="Times New Roman"/>
          <w:szCs w:val="24"/>
          <w:lang w:eastAsia="fr-RE"/>
        </w:rPr>
        <w:t xml:space="preserve"> i origjinës për emigrantët ekonomikë, vend tranzit</w:t>
      </w:r>
      <w:r w:rsidR="00CD79DF" w:rsidRPr="00B457F5">
        <w:rPr>
          <w:rFonts w:ascii="Garamond" w:eastAsia="MS Mincho" w:hAnsi="Garamond" w:cs="Times New Roman"/>
          <w:szCs w:val="24"/>
          <w:lang w:eastAsia="fr-RE"/>
        </w:rPr>
        <w:t>i</w:t>
      </w:r>
      <w:r w:rsidRPr="00B457F5">
        <w:rPr>
          <w:rFonts w:ascii="Garamond" w:eastAsia="MS Mincho" w:hAnsi="Garamond" w:cs="Times New Roman"/>
          <w:szCs w:val="24"/>
          <w:lang w:eastAsia="fr-RE"/>
        </w:rPr>
        <w:t xml:space="preserve"> dhe destinacion</w:t>
      </w:r>
      <w:r w:rsidR="00CD79DF" w:rsidRPr="00B457F5">
        <w:rPr>
          <w:rFonts w:ascii="Garamond" w:eastAsia="MS Mincho" w:hAnsi="Garamond" w:cs="Times New Roman"/>
          <w:szCs w:val="24"/>
          <w:lang w:eastAsia="fr-RE"/>
        </w:rPr>
        <w:t>i</w:t>
      </w:r>
      <w:r w:rsidRPr="00B457F5">
        <w:rPr>
          <w:rFonts w:ascii="Garamond" w:eastAsia="MS Mincho" w:hAnsi="Garamond" w:cs="Times New Roman"/>
          <w:szCs w:val="24"/>
          <w:lang w:eastAsia="fr-RE"/>
        </w:rPr>
        <w:t xml:space="preserve"> për emigrantët ekonomikë, azilkërkuesit dhe refugjatët. Migrimi në kontekstin shqiptar vazhdon të karakterizohet më shumë nga emigracioni ndërkombëtar i popullsisë vendase dhe më pak nga imigrimi i të huajve në vend. Migrimi neto është rritur ndjeshëm që nga viti 2018 (-15 030 persona) në -32 853 në 2021</w:t>
      </w:r>
      <w:r w:rsidR="00E73215" w:rsidRPr="00B457F5">
        <w:rPr>
          <w:rFonts w:ascii="Garamond" w:eastAsia="MS Mincho" w:hAnsi="Garamond" w:cs="Times New Roman"/>
          <w:szCs w:val="24"/>
          <w:lang w:eastAsia="fr-RE"/>
        </w:rPr>
        <w:t>-shin</w:t>
      </w:r>
      <w:r w:rsidRPr="00B457F5">
        <w:rPr>
          <w:rFonts w:ascii="Garamond" w:eastAsia="MS Mincho" w:hAnsi="Garamond" w:cs="Times New Roman"/>
          <w:szCs w:val="24"/>
          <w:lang w:eastAsia="fr-RE"/>
        </w:rPr>
        <w:t xml:space="preserve"> dhe është stabilizuar në -32 497 në </w:t>
      </w:r>
      <w:r w:rsidR="00CD79DF" w:rsidRPr="00B457F5">
        <w:rPr>
          <w:rFonts w:ascii="Garamond" w:eastAsia="MS Mincho" w:hAnsi="Garamond" w:cs="Times New Roman"/>
          <w:szCs w:val="24"/>
          <w:lang w:eastAsia="fr-RE"/>
        </w:rPr>
        <w:t xml:space="preserve">vitin </w:t>
      </w:r>
      <w:r w:rsidRPr="00B457F5">
        <w:rPr>
          <w:rFonts w:ascii="Garamond" w:eastAsia="MS Mincho" w:hAnsi="Garamond" w:cs="Times New Roman"/>
          <w:szCs w:val="24"/>
          <w:lang w:eastAsia="fr-RE"/>
        </w:rPr>
        <w:t>2022</w:t>
      </w:r>
      <w:r w:rsidR="00A619CA" w:rsidRPr="00B457F5">
        <w:rPr>
          <w:rFonts w:ascii="Garamond" w:eastAsia="MS Mincho" w:hAnsi="Garamond" w:cs="Times New Roman"/>
          <w:szCs w:val="24"/>
          <w:lang w:eastAsia="fr-RE"/>
        </w:rPr>
        <w:t>.</w:t>
      </w:r>
      <w:r w:rsidR="00A619CA" w:rsidRPr="00B457F5">
        <w:rPr>
          <w:rFonts w:ascii="Garamond" w:eastAsia="MS Mincho" w:hAnsi="Garamond" w:cs="Times New Roman"/>
          <w:szCs w:val="24"/>
          <w:vertAlign w:val="superscript"/>
        </w:rPr>
        <w:footnoteReference w:id="26"/>
      </w:r>
      <w:r w:rsidR="00A619CA" w:rsidRPr="00B457F5">
        <w:rPr>
          <w:rFonts w:ascii="Garamond" w:eastAsia="MS Mincho" w:hAnsi="Garamond" w:cs="Times New Roman"/>
          <w:szCs w:val="24"/>
          <w:lang w:eastAsia="fr-RE"/>
        </w:rPr>
        <w:t xml:space="preserve"> </w:t>
      </w:r>
      <w:r w:rsidR="00B029F4" w:rsidRPr="00B457F5">
        <w:rPr>
          <w:rFonts w:ascii="Garamond" w:eastAsia="MS Mincho" w:hAnsi="Garamond" w:cs="Times New Roman"/>
          <w:szCs w:val="24"/>
          <w:lang w:eastAsia="fr-RE"/>
        </w:rPr>
        <w:t>Megjithatë, shkalla e flukseve migratore ka rritur ritmin që nga viti 2021, pasi 46</w:t>
      </w:r>
      <w:r w:rsidR="00594D6F" w:rsidRPr="00B457F5">
        <w:rPr>
          <w:rFonts w:ascii="Garamond" w:eastAsia="MS Mincho" w:hAnsi="Garamond" w:cs="Times New Roman"/>
          <w:szCs w:val="24"/>
          <w:lang w:eastAsia="fr-RE"/>
        </w:rPr>
        <w:t xml:space="preserve"> </w:t>
      </w:r>
      <w:r w:rsidR="00B029F4" w:rsidRPr="00B457F5">
        <w:rPr>
          <w:rFonts w:ascii="Garamond" w:eastAsia="MS Mincho" w:hAnsi="Garamond" w:cs="Times New Roman"/>
          <w:szCs w:val="24"/>
          <w:lang w:eastAsia="fr-RE"/>
        </w:rPr>
        <w:t>460 persona emigruan nga Shqipëria në vitin 2022 (9,9% më shumë se në vitin 2021 kur numri ishte 42 048 persona)</w:t>
      </w:r>
      <w:r w:rsidR="00594D6F" w:rsidRPr="00B457F5">
        <w:rPr>
          <w:rFonts w:ascii="Garamond" w:eastAsia="MS Mincho" w:hAnsi="Garamond" w:cs="Times New Roman"/>
          <w:szCs w:val="24"/>
          <w:lang w:eastAsia="fr-RE"/>
        </w:rPr>
        <w:t>,</w:t>
      </w:r>
      <w:r w:rsidR="00A619CA" w:rsidRPr="00B457F5">
        <w:rPr>
          <w:rFonts w:ascii="Garamond" w:eastAsia="MS Mincho" w:hAnsi="Garamond" w:cs="Times New Roman"/>
          <w:szCs w:val="24"/>
          <w:vertAlign w:val="superscript"/>
        </w:rPr>
        <w:footnoteReference w:id="27"/>
      </w:r>
      <w:r w:rsidR="00A619CA" w:rsidRPr="00B457F5">
        <w:rPr>
          <w:rFonts w:ascii="Garamond" w:eastAsia="MS Mincho" w:hAnsi="Garamond" w:cs="Times New Roman"/>
          <w:szCs w:val="24"/>
          <w:lang w:eastAsia="fr-RE"/>
        </w:rPr>
        <w:t xml:space="preserve"> </w:t>
      </w:r>
      <w:r w:rsidR="00B029F4" w:rsidRPr="00B457F5">
        <w:rPr>
          <w:rFonts w:ascii="Garamond" w:eastAsia="MS Mincho" w:hAnsi="Garamond" w:cs="Times New Roman"/>
          <w:szCs w:val="24"/>
          <w:lang w:eastAsia="fr-RE"/>
        </w:rPr>
        <w:t xml:space="preserve">dhe numri i banorëve të huaj të Shqipërisë u rrit nga 9 195 në </w:t>
      </w:r>
      <w:r w:rsidR="00594D6F" w:rsidRPr="00B457F5">
        <w:rPr>
          <w:rFonts w:ascii="Garamond" w:eastAsia="MS Mincho" w:hAnsi="Garamond" w:cs="Times New Roman"/>
          <w:szCs w:val="24"/>
          <w:lang w:eastAsia="fr-RE"/>
        </w:rPr>
        <w:t xml:space="preserve">vitin </w:t>
      </w:r>
      <w:r w:rsidR="00B029F4" w:rsidRPr="00B457F5">
        <w:rPr>
          <w:rFonts w:ascii="Garamond" w:eastAsia="MS Mincho" w:hAnsi="Garamond" w:cs="Times New Roman"/>
          <w:szCs w:val="24"/>
          <w:lang w:eastAsia="fr-RE"/>
        </w:rPr>
        <w:t xml:space="preserve">2021 në 13 963 (51,9% më shumë) në </w:t>
      </w:r>
      <w:r w:rsidR="00594D6F" w:rsidRPr="00B457F5">
        <w:rPr>
          <w:rFonts w:ascii="Garamond" w:eastAsia="MS Mincho" w:hAnsi="Garamond" w:cs="Times New Roman"/>
          <w:szCs w:val="24"/>
          <w:lang w:eastAsia="fr-RE"/>
        </w:rPr>
        <w:t xml:space="preserve">vitin </w:t>
      </w:r>
      <w:r w:rsidR="00B029F4" w:rsidRPr="00B457F5">
        <w:rPr>
          <w:rFonts w:ascii="Garamond" w:eastAsia="MS Mincho" w:hAnsi="Garamond" w:cs="Times New Roman"/>
          <w:szCs w:val="24"/>
          <w:lang w:eastAsia="fr-RE"/>
        </w:rPr>
        <w:t>2022</w:t>
      </w:r>
      <w:r w:rsidR="00A619CA" w:rsidRPr="00B457F5">
        <w:rPr>
          <w:rFonts w:ascii="Garamond" w:eastAsia="MS Mincho" w:hAnsi="Garamond" w:cs="Times New Roman"/>
          <w:szCs w:val="24"/>
          <w:lang w:eastAsia="fr-RE"/>
        </w:rPr>
        <w:t>.</w:t>
      </w:r>
      <w:r w:rsidR="00A619CA" w:rsidRPr="00B457F5">
        <w:rPr>
          <w:rFonts w:ascii="Garamond" w:eastAsia="MS Mincho" w:hAnsi="Garamond" w:cs="Times New Roman"/>
          <w:color w:val="0D0D0D"/>
          <w:szCs w:val="24"/>
          <w:vertAlign w:val="superscript"/>
        </w:rPr>
        <w:footnoteReference w:id="28"/>
      </w:r>
    </w:p>
    <w:p w14:paraId="60A45CED" w14:textId="77777777" w:rsidR="00783BF2" w:rsidRPr="00B457F5" w:rsidRDefault="00783BF2" w:rsidP="002E693B">
      <w:pPr>
        <w:spacing w:before="0" w:after="0"/>
        <w:ind w:firstLine="284"/>
        <w:rPr>
          <w:rFonts w:ascii="Garamond" w:eastAsia="MS Mincho" w:hAnsi="Garamond" w:cs="Times New Roman"/>
          <w:szCs w:val="24"/>
          <w:lang w:eastAsia="fr-RE"/>
        </w:rPr>
      </w:pPr>
    </w:p>
    <w:p w14:paraId="56EA9F78" w14:textId="12501486" w:rsidR="00DC73C3" w:rsidRPr="00B457F5" w:rsidRDefault="00DC73C3" w:rsidP="002E693B">
      <w:pPr>
        <w:spacing w:before="0" w:after="0"/>
        <w:ind w:firstLine="284"/>
        <w:rPr>
          <w:rFonts w:ascii="Garamond" w:eastAsia="MS Mincho" w:hAnsi="Garamond" w:cs="Times New Roman"/>
          <w:bCs/>
          <w:i/>
          <w:sz w:val="20"/>
          <w:szCs w:val="20"/>
          <w:lang w:eastAsia="fr-RE"/>
        </w:rPr>
      </w:pPr>
      <w:r w:rsidRPr="00B457F5">
        <w:rPr>
          <w:rFonts w:ascii="Garamond" w:eastAsia="MS Mincho" w:hAnsi="Garamond" w:cs="Times New Roman"/>
          <w:bCs/>
          <w:i/>
          <w:sz w:val="20"/>
          <w:szCs w:val="20"/>
          <w:lang w:eastAsia="fr-RE"/>
        </w:rPr>
        <w:t xml:space="preserve">Tabela 1. </w:t>
      </w:r>
      <w:r w:rsidR="00624D2E" w:rsidRPr="00B457F5">
        <w:rPr>
          <w:rFonts w:ascii="Garamond" w:eastAsia="MS Mincho" w:hAnsi="Garamond" w:cs="Times New Roman"/>
          <w:bCs/>
          <w:i/>
          <w:sz w:val="20"/>
          <w:szCs w:val="20"/>
          <w:lang w:eastAsia="fr-RE"/>
        </w:rPr>
        <w:t>I</w:t>
      </w:r>
      <w:r w:rsidRPr="00B457F5">
        <w:rPr>
          <w:rFonts w:ascii="Garamond" w:eastAsia="MS Mincho" w:hAnsi="Garamond" w:cs="Times New Roman"/>
          <w:bCs/>
          <w:i/>
          <w:sz w:val="20"/>
          <w:szCs w:val="20"/>
          <w:lang w:eastAsia="fr-RE"/>
        </w:rPr>
        <w:t>migracioni në Shqipëri dhe emigracioni nga Shqipëria, 2018</w:t>
      </w:r>
      <w:r w:rsidR="00FA55CE" w:rsidRPr="00B457F5">
        <w:rPr>
          <w:rStyle w:val="contentpasted1"/>
          <w:rFonts w:ascii="Garamond" w:hAnsi="Garamond" w:cs="Times New Roman"/>
          <w:i/>
          <w:color w:val="000000"/>
          <w:sz w:val="20"/>
          <w:szCs w:val="20"/>
        </w:rPr>
        <w:t>–</w:t>
      </w:r>
      <w:r w:rsidRPr="00B457F5">
        <w:rPr>
          <w:rFonts w:ascii="Garamond" w:eastAsia="MS Mincho" w:hAnsi="Garamond" w:cs="Times New Roman"/>
          <w:bCs/>
          <w:i/>
          <w:sz w:val="20"/>
          <w:szCs w:val="20"/>
          <w:lang w:eastAsia="fr-RE"/>
        </w:rPr>
        <w:t>2022</w:t>
      </w:r>
    </w:p>
    <w:tbl>
      <w:tblPr>
        <w:tblW w:w="9630" w:type="dxa"/>
        <w:tblBorders>
          <w:top w:val="single" w:sz="4" w:space="0" w:color="auto"/>
          <w:bottom w:val="single" w:sz="4" w:space="0" w:color="auto"/>
        </w:tblBorders>
        <w:tblLayout w:type="fixed"/>
        <w:tblLook w:val="04A0" w:firstRow="1" w:lastRow="0" w:firstColumn="1" w:lastColumn="0" w:noHBand="0" w:noVBand="1"/>
      </w:tblPr>
      <w:tblGrid>
        <w:gridCol w:w="980"/>
        <w:gridCol w:w="2883"/>
        <w:gridCol w:w="2883"/>
        <w:gridCol w:w="2884"/>
      </w:tblGrid>
      <w:tr w:rsidR="005E760A" w:rsidRPr="00B457F5" w14:paraId="0E7C9078" w14:textId="77777777" w:rsidTr="00783BF2">
        <w:trPr>
          <w:trHeight w:val="20"/>
        </w:trPr>
        <w:tc>
          <w:tcPr>
            <w:tcW w:w="9630" w:type="dxa"/>
            <w:gridSpan w:val="4"/>
            <w:tcBorders>
              <w:top w:val="single" w:sz="4" w:space="0" w:color="4F81BD" w:themeColor="accent1"/>
            </w:tcBorders>
            <w:noWrap/>
          </w:tcPr>
          <w:p w14:paraId="10A113AD" w14:textId="64BEAF39" w:rsidR="005E760A" w:rsidRPr="00B457F5" w:rsidRDefault="00FD346C" w:rsidP="00783BF2">
            <w:pPr>
              <w:spacing w:before="0" w:after="0"/>
              <w:jc w:val="center"/>
              <w:rPr>
                <w:rFonts w:ascii="Garamond" w:eastAsia="Times New Roman" w:hAnsi="Garamond" w:cs="Times New Roman"/>
                <w:color w:val="000000"/>
                <w:sz w:val="16"/>
                <w:szCs w:val="16"/>
              </w:rPr>
            </w:pPr>
            <w:r w:rsidRPr="00B457F5">
              <w:rPr>
                <w:rFonts w:ascii="Garamond" w:eastAsia="Times New Roman" w:hAnsi="Garamond" w:cs="Times New Roman"/>
                <w:color w:val="17365D" w:themeColor="text2" w:themeShade="BF"/>
                <w:sz w:val="16"/>
                <w:szCs w:val="16"/>
              </w:rPr>
              <w:t xml:space="preserve">Bilanci Migrator në </w:t>
            </w:r>
            <w:r w:rsidR="00836F29" w:rsidRPr="00B457F5">
              <w:rPr>
                <w:rFonts w:ascii="Garamond" w:eastAsia="Times New Roman" w:hAnsi="Garamond" w:cs="Times New Roman"/>
                <w:color w:val="17365D" w:themeColor="text2" w:themeShade="BF"/>
                <w:sz w:val="16"/>
                <w:szCs w:val="16"/>
              </w:rPr>
              <w:t>Shqipë</w:t>
            </w:r>
            <w:r w:rsidR="00BB7ADA" w:rsidRPr="00B457F5">
              <w:rPr>
                <w:rFonts w:ascii="Garamond" w:eastAsia="Times New Roman" w:hAnsi="Garamond" w:cs="Times New Roman"/>
                <w:color w:val="17365D" w:themeColor="text2" w:themeShade="BF"/>
                <w:sz w:val="16"/>
                <w:szCs w:val="16"/>
              </w:rPr>
              <w:t xml:space="preserve">ri </w:t>
            </w:r>
            <w:r w:rsidR="0079507D" w:rsidRPr="00B457F5">
              <w:rPr>
                <w:rFonts w:ascii="Garamond" w:eastAsia="Times New Roman" w:hAnsi="Garamond" w:cs="Times New Roman"/>
                <w:color w:val="17365D" w:themeColor="text2" w:themeShade="BF"/>
                <w:sz w:val="16"/>
                <w:szCs w:val="16"/>
              </w:rPr>
              <w:t>2018</w:t>
            </w:r>
            <w:r w:rsidR="00FA55CE" w:rsidRPr="00B457F5">
              <w:rPr>
                <w:rStyle w:val="contentpasted1"/>
                <w:rFonts w:ascii="Garamond" w:hAnsi="Garamond" w:cs="Times New Roman"/>
                <w:color w:val="000000"/>
                <w:sz w:val="16"/>
                <w:szCs w:val="16"/>
              </w:rPr>
              <w:t>–</w:t>
            </w:r>
            <w:r w:rsidR="0079507D" w:rsidRPr="00B457F5">
              <w:rPr>
                <w:rFonts w:ascii="Garamond" w:eastAsia="Times New Roman" w:hAnsi="Garamond" w:cs="Times New Roman"/>
                <w:color w:val="17365D" w:themeColor="text2" w:themeShade="BF"/>
                <w:sz w:val="16"/>
                <w:szCs w:val="16"/>
              </w:rPr>
              <w:t xml:space="preserve">2022 </w:t>
            </w:r>
          </w:p>
        </w:tc>
      </w:tr>
      <w:tr w:rsidR="005E760A" w:rsidRPr="00B457F5" w14:paraId="19EE41FE" w14:textId="77777777" w:rsidTr="00783BF2">
        <w:trPr>
          <w:trHeight w:val="20"/>
        </w:trPr>
        <w:tc>
          <w:tcPr>
            <w:tcW w:w="980" w:type="dxa"/>
            <w:noWrap/>
            <w:hideMark/>
          </w:tcPr>
          <w:p w14:paraId="554FD667" w14:textId="51AA6AF5" w:rsidR="005E760A" w:rsidRPr="00B457F5" w:rsidRDefault="005E760A" w:rsidP="00783BF2">
            <w:pPr>
              <w:spacing w:before="0" w:after="0"/>
              <w:jc w:val="left"/>
              <w:rPr>
                <w:rFonts w:ascii="Garamond" w:eastAsia="Times New Roman" w:hAnsi="Garamond" w:cs="Times New Roman"/>
                <w:color w:val="000000"/>
                <w:sz w:val="16"/>
                <w:szCs w:val="16"/>
              </w:rPr>
            </w:pPr>
          </w:p>
        </w:tc>
        <w:tc>
          <w:tcPr>
            <w:tcW w:w="2883" w:type="dxa"/>
            <w:noWrap/>
            <w:vAlign w:val="center"/>
            <w:hideMark/>
          </w:tcPr>
          <w:p w14:paraId="72E10814" w14:textId="77777777" w:rsidR="005E760A" w:rsidRPr="00B457F5" w:rsidRDefault="005E760A" w:rsidP="00783BF2">
            <w:pPr>
              <w:spacing w:before="0" w:after="0"/>
              <w:jc w:val="right"/>
              <w:rPr>
                <w:rFonts w:ascii="Garamond" w:eastAsia="Times New Roman" w:hAnsi="Garamond" w:cs="Times New Roman"/>
                <w:i/>
                <w:iCs/>
                <w:sz w:val="16"/>
                <w:szCs w:val="16"/>
              </w:rPr>
            </w:pPr>
            <w:r w:rsidRPr="00B457F5">
              <w:rPr>
                <w:rFonts w:ascii="Garamond" w:eastAsia="Times New Roman" w:hAnsi="Garamond" w:cs="Times New Roman"/>
                <w:i/>
                <w:iCs/>
                <w:sz w:val="16"/>
                <w:szCs w:val="16"/>
              </w:rPr>
              <w:t>Imigrantë</w:t>
            </w:r>
          </w:p>
        </w:tc>
        <w:tc>
          <w:tcPr>
            <w:tcW w:w="2883" w:type="dxa"/>
            <w:noWrap/>
            <w:vAlign w:val="center"/>
            <w:hideMark/>
          </w:tcPr>
          <w:p w14:paraId="3DFFDF3A" w14:textId="77777777" w:rsidR="005E760A" w:rsidRPr="00B457F5" w:rsidRDefault="005E760A" w:rsidP="00783BF2">
            <w:pPr>
              <w:spacing w:before="0" w:after="0"/>
              <w:jc w:val="right"/>
              <w:rPr>
                <w:rFonts w:ascii="Garamond" w:eastAsia="Times New Roman" w:hAnsi="Garamond" w:cs="Times New Roman"/>
                <w:i/>
                <w:iCs/>
                <w:sz w:val="16"/>
                <w:szCs w:val="16"/>
              </w:rPr>
            </w:pPr>
            <w:r w:rsidRPr="00B457F5">
              <w:rPr>
                <w:rFonts w:ascii="Garamond" w:eastAsia="Times New Roman" w:hAnsi="Garamond" w:cs="Times New Roman"/>
                <w:i/>
                <w:iCs/>
                <w:sz w:val="16"/>
                <w:szCs w:val="16"/>
              </w:rPr>
              <w:t>Emigrantë</w:t>
            </w:r>
          </w:p>
        </w:tc>
        <w:tc>
          <w:tcPr>
            <w:tcW w:w="2884" w:type="dxa"/>
            <w:noWrap/>
            <w:vAlign w:val="center"/>
            <w:hideMark/>
          </w:tcPr>
          <w:p w14:paraId="1C238692" w14:textId="77777777" w:rsidR="005E760A" w:rsidRPr="00B457F5" w:rsidRDefault="005E760A" w:rsidP="00783BF2">
            <w:pPr>
              <w:spacing w:before="0" w:after="0"/>
              <w:jc w:val="right"/>
              <w:rPr>
                <w:rFonts w:ascii="Garamond" w:eastAsia="Times New Roman" w:hAnsi="Garamond" w:cs="Times New Roman"/>
                <w:i/>
                <w:iCs/>
                <w:sz w:val="16"/>
                <w:szCs w:val="16"/>
              </w:rPr>
            </w:pPr>
            <w:r w:rsidRPr="00B457F5">
              <w:rPr>
                <w:rFonts w:ascii="Garamond" w:eastAsia="Times New Roman" w:hAnsi="Garamond" w:cs="Times New Roman"/>
                <w:i/>
                <w:iCs/>
                <w:sz w:val="16"/>
                <w:szCs w:val="16"/>
              </w:rPr>
              <w:t>Migracioni neto</w:t>
            </w:r>
          </w:p>
        </w:tc>
      </w:tr>
      <w:tr w:rsidR="001363AE" w:rsidRPr="00B457F5" w14:paraId="7719474D" w14:textId="77777777" w:rsidTr="00783BF2">
        <w:trPr>
          <w:trHeight w:val="20"/>
        </w:trPr>
        <w:tc>
          <w:tcPr>
            <w:tcW w:w="980" w:type="dxa"/>
            <w:noWrap/>
            <w:vAlign w:val="center"/>
            <w:hideMark/>
          </w:tcPr>
          <w:p w14:paraId="2B258622" w14:textId="77777777" w:rsidR="005E760A" w:rsidRPr="00B457F5" w:rsidRDefault="005E760A" w:rsidP="00783BF2">
            <w:pPr>
              <w:spacing w:before="0" w:after="0"/>
              <w:jc w:val="center"/>
              <w:rPr>
                <w:rFonts w:ascii="Garamond" w:eastAsia="Times New Roman" w:hAnsi="Garamond" w:cs="Times New Roman"/>
                <w:i/>
                <w:iCs/>
                <w:sz w:val="16"/>
                <w:szCs w:val="16"/>
              </w:rPr>
            </w:pPr>
            <w:r w:rsidRPr="00B457F5">
              <w:rPr>
                <w:rFonts w:ascii="Garamond" w:eastAsia="Times New Roman" w:hAnsi="Garamond" w:cs="Times New Roman"/>
                <w:i/>
                <w:iCs/>
                <w:sz w:val="16"/>
                <w:szCs w:val="16"/>
              </w:rPr>
              <w:t>2018</w:t>
            </w:r>
          </w:p>
        </w:tc>
        <w:tc>
          <w:tcPr>
            <w:tcW w:w="2883" w:type="dxa"/>
            <w:noWrap/>
            <w:vAlign w:val="center"/>
            <w:hideMark/>
          </w:tcPr>
          <w:p w14:paraId="599783A4" w14:textId="21BD6B0C" w:rsidR="005E760A" w:rsidRPr="00B457F5" w:rsidRDefault="005E760A" w:rsidP="00783BF2">
            <w:pPr>
              <w:spacing w:before="0" w:after="0"/>
              <w:jc w:val="right"/>
              <w:rPr>
                <w:rFonts w:ascii="Garamond" w:eastAsia="Times New Roman" w:hAnsi="Garamond" w:cs="Times New Roman"/>
                <w:color w:val="000000"/>
                <w:sz w:val="16"/>
                <w:szCs w:val="16"/>
              </w:rPr>
            </w:pPr>
            <w:r w:rsidRPr="00B457F5">
              <w:rPr>
                <w:rFonts w:ascii="Garamond" w:eastAsia="Times New Roman" w:hAnsi="Garamond" w:cs="Times New Roman"/>
                <w:color w:val="000000"/>
                <w:sz w:val="16"/>
                <w:szCs w:val="16"/>
              </w:rPr>
              <w:t xml:space="preserve"> 23,673 </w:t>
            </w:r>
          </w:p>
        </w:tc>
        <w:tc>
          <w:tcPr>
            <w:tcW w:w="2883" w:type="dxa"/>
            <w:noWrap/>
            <w:vAlign w:val="center"/>
            <w:hideMark/>
          </w:tcPr>
          <w:p w14:paraId="24A21ABF" w14:textId="7AC07D67" w:rsidR="005E760A" w:rsidRPr="00B457F5" w:rsidRDefault="005E760A" w:rsidP="00783BF2">
            <w:pPr>
              <w:spacing w:before="0" w:after="0"/>
              <w:jc w:val="right"/>
              <w:rPr>
                <w:rFonts w:ascii="Garamond" w:eastAsia="Times New Roman" w:hAnsi="Garamond" w:cs="Times New Roman"/>
                <w:color w:val="000000"/>
                <w:sz w:val="16"/>
                <w:szCs w:val="16"/>
              </w:rPr>
            </w:pPr>
            <w:r w:rsidRPr="00B457F5">
              <w:rPr>
                <w:rFonts w:ascii="Garamond" w:eastAsia="Times New Roman" w:hAnsi="Garamond" w:cs="Times New Roman"/>
                <w:color w:val="000000"/>
                <w:sz w:val="16"/>
                <w:szCs w:val="16"/>
              </w:rPr>
              <w:t xml:space="preserve"> 38,703 </w:t>
            </w:r>
          </w:p>
        </w:tc>
        <w:tc>
          <w:tcPr>
            <w:tcW w:w="2884" w:type="dxa"/>
            <w:noWrap/>
            <w:vAlign w:val="center"/>
            <w:hideMark/>
          </w:tcPr>
          <w:p w14:paraId="79E8E800" w14:textId="77777777" w:rsidR="005E760A" w:rsidRPr="00B457F5" w:rsidRDefault="005E760A" w:rsidP="00783BF2">
            <w:pPr>
              <w:spacing w:before="0" w:after="0"/>
              <w:jc w:val="right"/>
              <w:rPr>
                <w:rFonts w:ascii="Garamond" w:eastAsia="Times New Roman" w:hAnsi="Garamond" w:cs="Times New Roman"/>
                <w:color w:val="000000"/>
                <w:sz w:val="16"/>
                <w:szCs w:val="16"/>
              </w:rPr>
            </w:pPr>
            <w:r w:rsidRPr="00B457F5">
              <w:rPr>
                <w:rFonts w:ascii="Garamond" w:eastAsia="Times New Roman" w:hAnsi="Garamond" w:cs="Times New Roman"/>
                <w:color w:val="000000"/>
                <w:sz w:val="16"/>
                <w:szCs w:val="16"/>
              </w:rPr>
              <w:t>-15,030</w:t>
            </w:r>
          </w:p>
        </w:tc>
      </w:tr>
      <w:tr w:rsidR="001363AE" w:rsidRPr="00B457F5" w14:paraId="1D4401D8" w14:textId="77777777" w:rsidTr="00783BF2">
        <w:trPr>
          <w:trHeight w:val="20"/>
        </w:trPr>
        <w:tc>
          <w:tcPr>
            <w:tcW w:w="980" w:type="dxa"/>
            <w:noWrap/>
            <w:vAlign w:val="center"/>
            <w:hideMark/>
          </w:tcPr>
          <w:p w14:paraId="1FD14631" w14:textId="77777777" w:rsidR="005E760A" w:rsidRPr="00B457F5" w:rsidRDefault="005E760A" w:rsidP="00783BF2">
            <w:pPr>
              <w:spacing w:before="0" w:after="0"/>
              <w:jc w:val="center"/>
              <w:rPr>
                <w:rFonts w:ascii="Garamond" w:eastAsia="Times New Roman" w:hAnsi="Garamond" w:cs="Times New Roman"/>
                <w:i/>
                <w:iCs/>
                <w:sz w:val="16"/>
                <w:szCs w:val="16"/>
              </w:rPr>
            </w:pPr>
            <w:r w:rsidRPr="00B457F5">
              <w:rPr>
                <w:rFonts w:ascii="Garamond" w:eastAsia="Times New Roman" w:hAnsi="Garamond" w:cs="Times New Roman"/>
                <w:i/>
                <w:iCs/>
                <w:sz w:val="16"/>
                <w:szCs w:val="16"/>
              </w:rPr>
              <w:t>2019</w:t>
            </w:r>
          </w:p>
        </w:tc>
        <w:tc>
          <w:tcPr>
            <w:tcW w:w="2883" w:type="dxa"/>
            <w:noWrap/>
            <w:vAlign w:val="center"/>
            <w:hideMark/>
          </w:tcPr>
          <w:p w14:paraId="3A7E8AF6" w14:textId="4597D4A6" w:rsidR="005E760A" w:rsidRPr="00B457F5" w:rsidRDefault="005E760A" w:rsidP="00783BF2">
            <w:pPr>
              <w:spacing w:before="0" w:after="0"/>
              <w:jc w:val="right"/>
              <w:rPr>
                <w:rFonts w:ascii="Garamond" w:eastAsia="Times New Roman" w:hAnsi="Garamond" w:cs="Times New Roman"/>
                <w:color w:val="000000"/>
                <w:sz w:val="16"/>
                <w:szCs w:val="16"/>
              </w:rPr>
            </w:pPr>
            <w:r w:rsidRPr="00B457F5">
              <w:rPr>
                <w:rFonts w:ascii="Garamond" w:eastAsia="Times New Roman" w:hAnsi="Garamond" w:cs="Times New Roman"/>
                <w:color w:val="000000"/>
                <w:sz w:val="16"/>
                <w:szCs w:val="16"/>
              </w:rPr>
              <w:t xml:space="preserve"> 20,753 </w:t>
            </w:r>
          </w:p>
        </w:tc>
        <w:tc>
          <w:tcPr>
            <w:tcW w:w="2883" w:type="dxa"/>
            <w:noWrap/>
            <w:vAlign w:val="center"/>
            <w:hideMark/>
          </w:tcPr>
          <w:p w14:paraId="23A5CBF2" w14:textId="6CC5C46F" w:rsidR="005E760A" w:rsidRPr="00B457F5" w:rsidRDefault="005E760A" w:rsidP="00783BF2">
            <w:pPr>
              <w:spacing w:before="0" w:after="0"/>
              <w:jc w:val="right"/>
              <w:rPr>
                <w:rFonts w:ascii="Garamond" w:eastAsia="Times New Roman" w:hAnsi="Garamond" w:cs="Times New Roman"/>
                <w:color w:val="000000"/>
                <w:sz w:val="16"/>
                <w:szCs w:val="16"/>
              </w:rPr>
            </w:pPr>
            <w:r w:rsidRPr="00B457F5">
              <w:rPr>
                <w:rFonts w:ascii="Garamond" w:eastAsia="Times New Roman" w:hAnsi="Garamond" w:cs="Times New Roman"/>
                <w:color w:val="000000"/>
                <w:sz w:val="16"/>
                <w:szCs w:val="16"/>
              </w:rPr>
              <w:t xml:space="preserve"> 43,835 </w:t>
            </w:r>
          </w:p>
        </w:tc>
        <w:tc>
          <w:tcPr>
            <w:tcW w:w="2884" w:type="dxa"/>
            <w:noWrap/>
            <w:vAlign w:val="center"/>
            <w:hideMark/>
          </w:tcPr>
          <w:p w14:paraId="2A8DCED1" w14:textId="77777777" w:rsidR="005E760A" w:rsidRPr="00B457F5" w:rsidRDefault="005E760A" w:rsidP="00783BF2">
            <w:pPr>
              <w:spacing w:before="0" w:after="0"/>
              <w:jc w:val="right"/>
              <w:rPr>
                <w:rFonts w:ascii="Garamond" w:eastAsia="Times New Roman" w:hAnsi="Garamond" w:cs="Times New Roman"/>
                <w:color w:val="000000"/>
                <w:sz w:val="16"/>
                <w:szCs w:val="16"/>
              </w:rPr>
            </w:pPr>
            <w:r w:rsidRPr="00B457F5">
              <w:rPr>
                <w:rFonts w:ascii="Garamond" w:eastAsia="Times New Roman" w:hAnsi="Garamond" w:cs="Times New Roman"/>
                <w:color w:val="000000"/>
                <w:sz w:val="16"/>
                <w:szCs w:val="16"/>
              </w:rPr>
              <w:t>-23,082</w:t>
            </w:r>
          </w:p>
        </w:tc>
      </w:tr>
      <w:tr w:rsidR="001363AE" w:rsidRPr="00B457F5" w14:paraId="263BCA5E" w14:textId="77777777" w:rsidTr="00783BF2">
        <w:trPr>
          <w:trHeight w:val="20"/>
        </w:trPr>
        <w:tc>
          <w:tcPr>
            <w:tcW w:w="980" w:type="dxa"/>
            <w:noWrap/>
            <w:vAlign w:val="center"/>
            <w:hideMark/>
          </w:tcPr>
          <w:p w14:paraId="55076DBF" w14:textId="77777777" w:rsidR="005E760A" w:rsidRPr="00B457F5" w:rsidRDefault="005E760A" w:rsidP="00783BF2">
            <w:pPr>
              <w:spacing w:before="0" w:after="0"/>
              <w:jc w:val="center"/>
              <w:rPr>
                <w:rFonts w:ascii="Garamond" w:eastAsia="Times New Roman" w:hAnsi="Garamond" w:cs="Times New Roman"/>
                <w:i/>
                <w:iCs/>
                <w:sz w:val="16"/>
                <w:szCs w:val="16"/>
              </w:rPr>
            </w:pPr>
            <w:r w:rsidRPr="00B457F5">
              <w:rPr>
                <w:rFonts w:ascii="Garamond" w:eastAsia="Times New Roman" w:hAnsi="Garamond" w:cs="Times New Roman"/>
                <w:i/>
                <w:iCs/>
                <w:sz w:val="16"/>
                <w:szCs w:val="16"/>
              </w:rPr>
              <w:t>2020</w:t>
            </w:r>
          </w:p>
        </w:tc>
        <w:tc>
          <w:tcPr>
            <w:tcW w:w="2883" w:type="dxa"/>
            <w:noWrap/>
            <w:vAlign w:val="center"/>
            <w:hideMark/>
          </w:tcPr>
          <w:p w14:paraId="190A0DA8" w14:textId="14F60D62" w:rsidR="005E760A" w:rsidRPr="00B457F5" w:rsidRDefault="005E760A" w:rsidP="00783BF2">
            <w:pPr>
              <w:spacing w:before="0" w:after="0"/>
              <w:jc w:val="right"/>
              <w:rPr>
                <w:rFonts w:ascii="Garamond" w:eastAsia="Times New Roman" w:hAnsi="Garamond" w:cs="Times New Roman"/>
                <w:color w:val="000000"/>
                <w:sz w:val="16"/>
                <w:szCs w:val="16"/>
              </w:rPr>
            </w:pPr>
            <w:r w:rsidRPr="00B457F5">
              <w:rPr>
                <w:rFonts w:ascii="Garamond" w:eastAsia="Times New Roman" w:hAnsi="Garamond" w:cs="Times New Roman"/>
                <w:color w:val="000000"/>
                <w:sz w:val="16"/>
                <w:szCs w:val="16"/>
              </w:rPr>
              <w:t xml:space="preserve">7,170 </w:t>
            </w:r>
          </w:p>
        </w:tc>
        <w:tc>
          <w:tcPr>
            <w:tcW w:w="2883" w:type="dxa"/>
            <w:noWrap/>
            <w:vAlign w:val="center"/>
            <w:hideMark/>
          </w:tcPr>
          <w:p w14:paraId="31BAB4A2" w14:textId="002DE7E5" w:rsidR="005E760A" w:rsidRPr="00B457F5" w:rsidRDefault="005E760A" w:rsidP="00783BF2">
            <w:pPr>
              <w:spacing w:before="0" w:after="0"/>
              <w:jc w:val="right"/>
              <w:rPr>
                <w:rFonts w:ascii="Garamond" w:eastAsia="Times New Roman" w:hAnsi="Garamond" w:cs="Times New Roman"/>
                <w:color w:val="000000"/>
                <w:sz w:val="16"/>
                <w:szCs w:val="16"/>
              </w:rPr>
            </w:pPr>
            <w:r w:rsidRPr="00B457F5">
              <w:rPr>
                <w:rFonts w:ascii="Garamond" w:eastAsia="Times New Roman" w:hAnsi="Garamond" w:cs="Times New Roman"/>
                <w:color w:val="000000"/>
                <w:sz w:val="16"/>
                <w:szCs w:val="16"/>
              </w:rPr>
              <w:t xml:space="preserve"> 23,854 </w:t>
            </w:r>
          </w:p>
        </w:tc>
        <w:tc>
          <w:tcPr>
            <w:tcW w:w="2884" w:type="dxa"/>
            <w:noWrap/>
            <w:vAlign w:val="center"/>
            <w:hideMark/>
          </w:tcPr>
          <w:p w14:paraId="62B07315" w14:textId="77777777" w:rsidR="005E760A" w:rsidRPr="00B457F5" w:rsidRDefault="005E760A" w:rsidP="00783BF2">
            <w:pPr>
              <w:spacing w:before="0" w:after="0"/>
              <w:jc w:val="right"/>
              <w:rPr>
                <w:rFonts w:ascii="Garamond" w:eastAsia="Times New Roman" w:hAnsi="Garamond" w:cs="Times New Roman"/>
                <w:color w:val="000000"/>
                <w:sz w:val="16"/>
                <w:szCs w:val="16"/>
              </w:rPr>
            </w:pPr>
            <w:r w:rsidRPr="00B457F5">
              <w:rPr>
                <w:rFonts w:ascii="Garamond" w:eastAsia="Times New Roman" w:hAnsi="Garamond" w:cs="Times New Roman"/>
                <w:color w:val="000000"/>
                <w:sz w:val="16"/>
                <w:szCs w:val="16"/>
              </w:rPr>
              <w:t>-16,684</w:t>
            </w:r>
          </w:p>
        </w:tc>
      </w:tr>
      <w:tr w:rsidR="001363AE" w:rsidRPr="00B457F5" w14:paraId="3AC8693C" w14:textId="77777777" w:rsidTr="00783BF2">
        <w:trPr>
          <w:trHeight w:val="20"/>
        </w:trPr>
        <w:tc>
          <w:tcPr>
            <w:tcW w:w="980" w:type="dxa"/>
            <w:noWrap/>
            <w:vAlign w:val="center"/>
            <w:hideMark/>
          </w:tcPr>
          <w:p w14:paraId="5ECF348A" w14:textId="77777777" w:rsidR="005E760A" w:rsidRPr="00B457F5" w:rsidRDefault="005E760A" w:rsidP="00783BF2">
            <w:pPr>
              <w:spacing w:before="0" w:after="0"/>
              <w:jc w:val="center"/>
              <w:rPr>
                <w:rFonts w:ascii="Garamond" w:eastAsia="Times New Roman" w:hAnsi="Garamond" w:cs="Times New Roman"/>
                <w:i/>
                <w:iCs/>
                <w:sz w:val="16"/>
                <w:szCs w:val="16"/>
              </w:rPr>
            </w:pPr>
            <w:r w:rsidRPr="00B457F5">
              <w:rPr>
                <w:rFonts w:ascii="Garamond" w:eastAsia="Times New Roman" w:hAnsi="Garamond" w:cs="Times New Roman"/>
                <w:i/>
                <w:iCs/>
                <w:sz w:val="16"/>
                <w:szCs w:val="16"/>
              </w:rPr>
              <w:t>2021</w:t>
            </w:r>
          </w:p>
        </w:tc>
        <w:tc>
          <w:tcPr>
            <w:tcW w:w="2883" w:type="dxa"/>
            <w:noWrap/>
            <w:vAlign w:val="center"/>
            <w:hideMark/>
          </w:tcPr>
          <w:p w14:paraId="4E1F7B68" w14:textId="3E6C2166" w:rsidR="005E760A" w:rsidRPr="00B457F5" w:rsidRDefault="005E760A" w:rsidP="00783BF2">
            <w:pPr>
              <w:spacing w:before="0" w:after="0"/>
              <w:jc w:val="right"/>
              <w:rPr>
                <w:rFonts w:ascii="Garamond" w:eastAsia="Times New Roman" w:hAnsi="Garamond" w:cs="Times New Roman"/>
                <w:color w:val="000000"/>
                <w:sz w:val="16"/>
                <w:szCs w:val="16"/>
              </w:rPr>
            </w:pPr>
            <w:r w:rsidRPr="00B457F5">
              <w:rPr>
                <w:rFonts w:ascii="Garamond" w:eastAsia="Times New Roman" w:hAnsi="Garamond" w:cs="Times New Roman"/>
                <w:color w:val="000000"/>
                <w:sz w:val="16"/>
                <w:szCs w:val="16"/>
              </w:rPr>
              <w:t xml:space="preserve">9,195 </w:t>
            </w:r>
          </w:p>
        </w:tc>
        <w:tc>
          <w:tcPr>
            <w:tcW w:w="2883" w:type="dxa"/>
            <w:noWrap/>
            <w:vAlign w:val="center"/>
            <w:hideMark/>
          </w:tcPr>
          <w:p w14:paraId="28CE267D" w14:textId="55BBCC8E" w:rsidR="005E760A" w:rsidRPr="00B457F5" w:rsidRDefault="005E760A" w:rsidP="00783BF2">
            <w:pPr>
              <w:spacing w:before="0" w:after="0"/>
              <w:jc w:val="right"/>
              <w:rPr>
                <w:rFonts w:ascii="Garamond" w:eastAsia="Times New Roman" w:hAnsi="Garamond" w:cs="Times New Roman"/>
                <w:color w:val="000000"/>
                <w:sz w:val="16"/>
                <w:szCs w:val="16"/>
              </w:rPr>
            </w:pPr>
            <w:r w:rsidRPr="00B457F5">
              <w:rPr>
                <w:rFonts w:ascii="Garamond" w:eastAsia="Times New Roman" w:hAnsi="Garamond" w:cs="Times New Roman"/>
                <w:color w:val="000000"/>
                <w:sz w:val="16"/>
                <w:szCs w:val="16"/>
              </w:rPr>
              <w:t xml:space="preserve"> 42,048 </w:t>
            </w:r>
          </w:p>
        </w:tc>
        <w:tc>
          <w:tcPr>
            <w:tcW w:w="2884" w:type="dxa"/>
            <w:noWrap/>
            <w:vAlign w:val="center"/>
            <w:hideMark/>
          </w:tcPr>
          <w:p w14:paraId="07A75DDC" w14:textId="77777777" w:rsidR="005E760A" w:rsidRPr="00B457F5" w:rsidRDefault="005E760A" w:rsidP="00783BF2">
            <w:pPr>
              <w:spacing w:before="0" w:after="0"/>
              <w:jc w:val="right"/>
              <w:rPr>
                <w:rFonts w:ascii="Garamond" w:eastAsia="Times New Roman" w:hAnsi="Garamond" w:cs="Times New Roman"/>
                <w:color w:val="000000"/>
                <w:sz w:val="16"/>
                <w:szCs w:val="16"/>
              </w:rPr>
            </w:pPr>
            <w:r w:rsidRPr="00B457F5">
              <w:rPr>
                <w:rFonts w:ascii="Garamond" w:eastAsia="Times New Roman" w:hAnsi="Garamond" w:cs="Times New Roman"/>
                <w:color w:val="000000"/>
                <w:sz w:val="16"/>
                <w:szCs w:val="16"/>
              </w:rPr>
              <w:t>-32,853</w:t>
            </w:r>
          </w:p>
        </w:tc>
      </w:tr>
      <w:tr w:rsidR="001363AE" w:rsidRPr="00B457F5" w14:paraId="5E39AE60" w14:textId="77777777" w:rsidTr="00783BF2">
        <w:trPr>
          <w:trHeight w:val="20"/>
        </w:trPr>
        <w:tc>
          <w:tcPr>
            <w:tcW w:w="980" w:type="dxa"/>
            <w:noWrap/>
            <w:vAlign w:val="center"/>
            <w:hideMark/>
          </w:tcPr>
          <w:p w14:paraId="3579F1FF" w14:textId="77777777" w:rsidR="005E760A" w:rsidRPr="00B457F5" w:rsidRDefault="005E760A" w:rsidP="00783BF2">
            <w:pPr>
              <w:spacing w:before="0" w:after="0"/>
              <w:jc w:val="center"/>
              <w:rPr>
                <w:rFonts w:ascii="Garamond" w:eastAsia="Times New Roman" w:hAnsi="Garamond" w:cs="Times New Roman"/>
                <w:i/>
                <w:iCs/>
                <w:sz w:val="16"/>
                <w:szCs w:val="16"/>
              </w:rPr>
            </w:pPr>
            <w:r w:rsidRPr="00B457F5">
              <w:rPr>
                <w:rFonts w:ascii="Garamond" w:eastAsia="Times New Roman" w:hAnsi="Garamond" w:cs="Times New Roman"/>
                <w:i/>
                <w:iCs/>
                <w:sz w:val="16"/>
                <w:szCs w:val="16"/>
              </w:rPr>
              <w:t>2022</w:t>
            </w:r>
          </w:p>
        </w:tc>
        <w:tc>
          <w:tcPr>
            <w:tcW w:w="2883" w:type="dxa"/>
            <w:noWrap/>
            <w:vAlign w:val="center"/>
            <w:hideMark/>
          </w:tcPr>
          <w:p w14:paraId="22459D41" w14:textId="20A33616" w:rsidR="005E760A" w:rsidRPr="00B457F5" w:rsidRDefault="005E760A" w:rsidP="00783BF2">
            <w:pPr>
              <w:spacing w:before="0" w:after="0"/>
              <w:jc w:val="right"/>
              <w:rPr>
                <w:rFonts w:ascii="Garamond" w:eastAsia="Times New Roman" w:hAnsi="Garamond" w:cs="Times New Roman"/>
                <w:color w:val="000000"/>
                <w:sz w:val="16"/>
                <w:szCs w:val="16"/>
              </w:rPr>
            </w:pPr>
            <w:r w:rsidRPr="00B457F5">
              <w:rPr>
                <w:rFonts w:ascii="Garamond" w:eastAsia="Times New Roman" w:hAnsi="Garamond" w:cs="Times New Roman"/>
                <w:color w:val="000000"/>
                <w:sz w:val="16"/>
                <w:szCs w:val="16"/>
              </w:rPr>
              <w:t xml:space="preserve"> 13,963 </w:t>
            </w:r>
          </w:p>
        </w:tc>
        <w:tc>
          <w:tcPr>
            <w:tcW w:w="2883" w:type="dxa"/>
            <w:noWrap/>
            <w:vAlign w:val="center"/>
            <w:hideMark/>
          </w:tcPr>
          <w:p w14:paraId="63AE8361" w14:textId="305E9CF2" w:rsidR="005E760A" w:rsidRPr="00B457F5" w:rsidRDefault="005E760A" w:rsidP="00783BF2">
            <w:pPr>
              <w:spacing w:before="0" w:after="0"/>
              <w:jc w:val="right"/>
              <w:rPr>
                <w:rFonts w:ascii="Garamond" w:eastAsia="Times New Roman" w:hAnsi="Garamond" w:cs="Times New Roman"/>
                <w:color w:val="000000"/>
                <w:sz w:val="16"/>
                <w:szCs w:val="16"/>
              </w:rPr>
            </w:pPr>
            <w:r w:rsidRPr="00B457F5">
              <w:rPr>
                <w:rFonts w:ascii="Garamond" w:eastAsia="Times New Roman" w:hAnsi="Garamond" w:cs="Times New Roman"/>
                <w:color w:val="000000"/>
                <w:sz w:val="16"/>
                <w:szCs w:val="16"/>
              </w:rPr>
              <w:t xml:space="preserve"> 46,460 </w:t>
            </w:r>
          </w:p>
        </w:tc>
        <w:tc>
          <w:tcPr>
            <w:tcW w:w="2884" w:type="dxa"/>
            <w:noWrap/>
            <w:vAlign w:val="center"/>
            <w:hideMark/>
          </w:tcPr>
          <w:p w14:paraId="38F305FE" w14:textId="77777777" w:rsidR="005E760A" w:rsidRPr="00B457F5" w:rsidRDefault="005E760A" w:rsidP="00783BF2">
            <w:pPr>
              <w:spacing w:before="0" w:after="0"/>
              <w:jc w:val="right"/>
              <w:rPr>
                <w:rFonts w:ascii="Garamond" w:eastAsia="Times New Roman" w:hAnsi="Garamond" w:cs="Times New Roman"/>
                <w:color w:val="000000"/>
                <w:sz w:val="16"/>
                <w:szCs w:val="16"/>
              </w:rPr>
            </w:pPr>
            <w:r w:rsidRPr="00B457F5">
              <w:rPr>
                <w:rFonts w:ascii="Garamond" w:eastAsia="Times New Roman" w:hAnsi="Garamond" w:cs="Times New Roman"/>
                <w:color w:val="000000"/>
                <w:sz w:val="16"/>
                <w:szCs w:val="16"/>
              </w:rPr>
              <w:t>-32,497</w:t>
            </w:r>
          </w:p>
        </w:tc>
      </w:tr>
      <w:tr w:rsidR="001363AE" w:rsidRPr="00B457F5" w14:paraId="43FED082" w14:textId="77777777" w:rsidTr="00783BF2">
        <w:trPr>
          <w:trHeight w:val="20"/>
        </w:trPr>
        <w:tc>
          <w:tcPr>
            <w:tcW w:w="9630" w:type="dxa"/>
            <w:gridSpan w:val="4"/>
            <w:tcBorders>
              <w:bottom w:val="single" w:sz="4" w:space="0" w:color="4F81BD" w:themeColor="accent1"/>
            </w:tcBorders>
            <w:noWrap/>
            <w:vAlign w:val="center"/>
          </w:tcPr>
          <w:p w14:paraId="40E2485C" w14:textId="0565C85F" w:rsidR="001363AE" w:rsidRPr="00B457F5" w:rsidRDefault="001363AE" w:rsidP="00783BF2">
            <w:pPr>
              <w:spacing w:before="0" w:after="0"/>
              <w:jc w:val="center"/>
              <w:rPr>
                <w:rFonts w:ascii="Garamond" w:eastAsia="Times New Roman" w:hAnsi="Garamond" w:cs="Times New Roman"/>
                <w:i/>
                <w:iCs/>
                <w:color w:val="000000"/>
                <w:sz w:val="16"/>
                <w:szCs w:val="16"/>
              </w:rPr>
            </w:pPr>
            <w:r w:rsidRPr="00B457F5">
              <w:rPr>
                <w:rFonts w:ascii="Garamond" w:eastAsia="Times New Roman" w:hAnsi="Garamond" w:cs="Times New Roman"/>
                <w:i/>
                <w:iCs/>
                <w:color w:val="17365D" w:themeColor="text2" w:themeShade="BF"/>
                <w:sz w:val="16"/>
                <w:szCs w:val="16"/>
              </w:rPr>
              <w:t>Burimi: INSTAT, 2023</w:t>
            </w:r>
          </w:p>
        </w:tc>
      </w:tr>
      <w:bookmarkEnd w:id="17"/>
    </w:tbl>
    <w:p w14:paraId="1312DC58" w14:textId="77777777" w:rsidR="00783BF2" w:rsidRPr="00B457F5" w:rsidRDefault="00783BF2" w:rsidP="002E693B">
      <w:pPr>
        <w:spacing w:before="0" w:after="0"/>
        <w:ind w:firstLine="284"/>
        <w:rPr>
          <w:rFonts w:ascii="Garamond" w:eastAsia="MS Mincho" w:hAnsi="Garamond" w:cs="Times New Roman"/>
          <w:bCs/>
          <w:iCs/>
          <w:szCs w:val="24"/>
        </w:rPr>
      </w:pPr>
    </w:p>
    <w:p w14:paraId="2ED0704D" w14:textId="7CD432B6" w:rsidR="00546DDA" w:rsidRPr="00B457F5" w:rsidRDefault="00A619CA" w:rsidP="002E693B">
      <w:pPr>
        <w:spacing w:before="0" w:after="0"/>
        <w:ind w:firstLine="284"/>
        <w:rPr>
          <w:rFonts w:ascii="Garamond" w:eastAsia="MS Mincho" w:hAnsi="Garamond" w:cs="Times New Roman"/>
          <w:szCs w:val="24"/>
        </w:rPr>
      </w:pPr>
      <w:r w:rsidRPr="00B457F5">
        <w:rPr>
          <w:rFonts w:ascii="Garamond" w:eastAsia="MS Mincho" w:hAnsi="Garamond" w:cs="Times New Roman"/>
          <w:bCs/>
          <w:i/>
          <w:iCs/>
          <w:szCs w:val="24"/>
        </w:rPr>
        <w:t>Emigra</w:t>
      </w:r>
      <w:r w:rsidR="00B029F4" w:rsidRPr="00B457F5">
        <w:rPr>
          <w:rFonts w:ascii="Garamond" w:eastAsia="MS Mincho" w:hAnsi="Garamond" w:cs="Times New Roman"/>
          <w:bCs/>
          <w:i/>
          <w:iCs/>
          <w:szCs w:val="24"/>
        </w:rPr>
        <w:t>c</w:t>
      </w:r>
      <w:r w:rsidRPr="00B457F5">
        <w:rPr>
          <w:rFonts w:ascii="Garamond" w:eastAsia="MS Mincho" w:hAnsi="Garamond" w:cs="Times New Roman"/>
          <w:bCs/>
          <w:i/>
          <w:iCs/>
          <w:szCs w:val="24"/>
        </w:rPr>
        <w:t>ion</w:t>
      </w:r>
      <w:r w:rsidR="00B029F4" w:rsidRPr="00B457F5">
        <w:rPr>
          <w:rFonts w:ascii="Garamond" w:eastAsia="MS Mincho" w:hAnsi="Garamond" w:cs="Times New Roman"/>
          <w:bCs/>
          <w:i/>
          <w:iCs/>
          <w:szCs w:val="24"/>
        </w:rPr>
        <w:t>i</w:t>
      </w:r>
      <w:r w:rsidRPr="00B457F5">
        <w:rPr>
          <w:rFonts w:ascii="Garamond" w:eastAsia="MS Mincho" w:hAnsi="Garamond" w:cs="Times New Roman"/>
          <w:bCs/>
          <w:iCs/>
          <w:szCs w:val="24"/>
        </w:rPr>
        <w:t>.</w:t>
      </w:r>
      <w:r w:rsidRPr="00B457F5">
        <w:rPr>
          <w:rFonts w:ascii="Garamond" w:eastAsia="MS Mincho" w:hAnsi="Garamond" w:cs="Times New Roman"/>
          <w:i/>
          <w:iCs/>
          <w:szCs w:val="24"/>
        </w:rPr>
        <w:t xml:space="preserve"> </w:t>
      </w:r>
      <w:r w:rsidR="00B029F4" w:rsidRPr="00B457F5">
        <w:rPr>
          <w:rFonts w:ascii="Garamond" w:eastAsia="MS Mincho" w:hAnsi="Garamond" w:cs="Times New Roman"/>
          <w:szCs w:val="24"/>
        </w:rPr>
        <w:t xml:space="preserve">Numri </w:t>
      </w:r>
      <w:r w:rsidR="00594D6F" w:rsidRPr="00B457F5">
        <w:rPr>
          <w:rFonts w:ascii="Garamond" w:eastAsia="MS Mincho" w:hAnsi="Garamond" w:cs="Times New Roman"/>
          <w:szCs w:val="24"/>
        </w:rPr>
        <w:t xml:space="preserve">i përgjithshëm </w:t>
      </w:r>
      <w:r w:rsidR="00B029F4" w:rsidRPr="00B457F5">
        <w:rPr>
          <w:rFonts w:ascii="Garamond" w:eastAsia="MS Mincho" w:hAnsi="Garamond" w:cs="Times New Roman"/>
          <w:szCs w:val="24"/>
        </w:rPr>
        <w:t>i migrant</w:t>
      </w:r>
      <w:r w:rsidR="00B0743F" w:rsidRPr="00B457F5">
        <w:rPr>
          <w:rFonts w:ascii="Garamond" w:eastAsia="MS Mincho" w:hAnsi="Garamond" w:cs="Times New Roman"/>
          <w:szCs w:val="24"/>
        </w:rPr>
        <w:t>ë</w:t>
      </w:r>
      <w:r w:rsidR="00B029F4" w:rsidRPr="00B457F5">
        <w:rPr>
          <w:rFonts w:ascii="Garamond" w:eastAsia="MS Mincho" w:hAnsi="Garamond" w:cs="Times New Roman"/>
          <w:szCs w:val="24"/>
        </w:rPr>
        <w:t>ve shqiptar</w:t>
      </w:r>
      <w:r w:rsidR="00B0743F" w:rsidRPr="00B457F5">
        <w:rPr>
          <w:rFonts w:ascii="Garamond" w:eastAsia="MS Mincho" w:hAnsi="Garamond" w:cs="Times New Roman"/>
          <w:szCs w:val="24"/>
        </w:rPr>
        <w:t>ë</w:t>
      </w:r>
      <w:r w:rsidR="00B029F4" w:rsidRPr="00B457F5">
        <w:rPr>
          <w:rFonts w:ascii="Garamond" w:eastAsia="MS Mincho" w:hAnsi="Garamond" w:cs="Times New Roman"/>
          <w:szCs w:val="24"/>
        </w:rPr>
        <w:t xml:space="preserve"> n</w:t>
      </w:r>
      <w:r w:rsidR="00B0743F" w:rsidRPr="00B457F5">
        <w:rPr>
          <w:rFonts w:ascii="Garamond" w:eastAsia="MS Mincho" w:hAnsi="Garamond" w:cs="Times New Roman"/>
          <w:szCs w:val="24"/>
        </w:rPr>
        <w:t>ë</w:t>
      </w:r>
      <w:r w:rsidR="00B029F4" w:rsidRPr="00B457F5">
        <w:rPr>
          <w:rFonts w:ascii="Garamond" w:eastAsia="MS Mincho" w:hAnsi="Garamond" w:cs="Times New Roman"/>
          <w:szCs w:val="24"/>
        </w:rPr>
        <w:t xml:space="preserve"> gjasht</w:t>
      </w:r>
      <w:r w:rsidR="00B0743F" w:rsidRPr="00B457F5">
        <w:rPr>
          <w:rFonts w:ascii="Garamond" w:eastAsia="MS Mincho" w:hAnsi="Garamond" w:cs="Times New Roman"/>
          <w:szCs w:val="24"/>
        </w:rPr>
        <w:t>ë</w:t>
      </w:r>
      <w:r w:rsidR="00B029F4" w:rsidRPr="00B457F5">
        <w:rPr>
          <w:rFonts w:ascii="Garamond" w:eastAsia="MS Mincho" w:hAnsi="Garamond" w:cs="Times New Roman"/>
          <w:szCs w:val="24"/>
        </w:rPr>
        <w:t>mujorin e par</w:t>
      </w:r>
      <w:r w:rsidR="00B0743F" w:rsidRPr="00B457F5">
        <w:rPr>
          <w:rFonts w:ascii="Garamond" w:eastAsia="MS Mincho" w:hAnsi="Garamond" w:cs="Times New Roman"/>
          <w:szCs w:val="24"/>
        </w:rPr>
        <w:t>ë</w:t>
      </w:r>
      <w:r w:rsidR="00B029F4" w:rsidRPr="00B457F5">
        <w:rPr>
          <w:rFonts w:ascii="Garamond" w:eastAsia="MS Mincho" w:hAnsi="Garamond" w:cs="Times New Roman"/>
          <w:szCs w:val="24"/>
        </w:rPr>
        <w:t xml:space="preserve"> t</w:t>
      </w:r>
      <w:r w:rsidR="00B0743F" w:rsidRPr="00B457F5">
        <w:rPr>
          <w:rFonts w:ascii="Garamond" w:eastAsia="MS Mincho" w:hAnsi="Garamond" w:cs="Times New Roman"/>
          <w:szCs w:val="24"/>
        </w:rPr>
        <w:t>ë</w:t>
      </w:r>
      <w:r w:rsidR="00B029F4" w:rsidRPr="00B457F5">
        <w:rPr>
          <w:rFonts w:ascii="Garamond" w:eastAsia="MS Mincho" w:hAnsi="Garamond" w:cs="Times New Roman"/>
          <w:szCs w:val="24"/>
        </w:rPr>
        <w:t xml:space="preserve"> </w:t>
      </w:r>
      <w:r w:rsidR="00594D6F" w:rsidRPr="00B457F5">
        <w:rPr>
          <w:rFonts w:ascii="Garamond" w:eastAsia="MS Mincho" w:hAnsi="Garamond" w:cs="Times New Roman"/>
          <w:szCs w:val="24"/>
        </w:rPr>
        <w:t xml:space="preserve">vitit </w:t>
      </w:r>
      <w:r w:rsidR="00B029F4" w:rsidRPr="00B457F5">
        <w:rPr>
          <w:rFonts w:ascii="Garamond" w:eastAsia="MS Mincho" w:hAnsi="Garamond" w:cs="Times New Roman"/>
          <w:szCs w:val="24"/>
        </w:rPr>
        <w:t>2020</w:t>
      </w:r>
      <w:r w:rsidRPr="00B457F5">
        <w:rPr>
          <w:rFonts w:ascii="Garamond" w:eastAsia="MS Mincho" w:hAnsi="Garamond" w:cs="Times New Roman"/>
          <w:szCs w:val="24"/>
          <w:vertAlign w:val="superscript"/>
        </w:rPr>
        <w:footnoteReference w:id="29"/>
      </w:r>
      <w:r w:rsidR="00D765E2" w:rsidRPr="00B457F5">
        <w:rPr>
          <w:rFonts w:ascii="Garamond" w:eastAsia="MS Mincho" w:hAnsi="Garamond" w:cs="Times New Roman"/>
          <w:szCs w:val="24"/>
        </w:rPr>
        <w:t xml:space="preserve"> </w:t>
      </w:r>
      <w:r w:rsidR="009F6F16" w:rsidRPr="00B457F5">
        <w:rPr>
          <w:rFonts w:ascii="Garamond" w:eastAsia="MS Mincho" w:hAnsi="Garamond" w:cs="Times New Roman"/>
          <w:szCs w:val="24"/>
        </w:rPr>
        <w:t>ishte</w:t>
      </w:r>
      <w:r w:rsidR="00546DDA" w:rsidRPr="00B457F5">
        <w:rPr>
          <w:rFonts w:ascii="Garamond" w:eastAsia="MS Mincho" w:hAnsi="Garamond" w:cs="Times New Roman"/>
          <w:szCs w:val="24"/>
        </w:rPr>
        <w:t xml:space="preserve"> rreth 1.3 milion</w:t>
      </w:r>
      <w:r w:rsidR="00E73215" w:rsidRPr="00B457F5">
        <w:rPr>
          <w:rFonts w:ascii="Garamond" w:eastAsia="MS Mincho" w:hAnsi="Garamond" w:cs="Times New Roman"/>
          <w:szCs w:val="24"/>
        </w:rPr>
        <w:t>ë</w:t>
      </w:r>
      <w:r w:rsidR="00546DDA" w:rsidRPr="00B457F5">
        <w:rPr>
          <w:rFonts w:ascii="Garamond" w:eastAsia="MS Mincho" w:hAnsi="Garamond" w:cs="Times New Roman"/>
          <w:szCs w:val="24"/>
        </w:rPr>
        <w:t xml:space="preserve">, ose afër gjysma e popullsisë së vendit. Në mënyrë domethënëse, rreth 70% e tyre banojnë në vendet anëtare të BE-së dhe ky grup ka shënuar një rritje nga 835 730 në </w:t>
      </w:r>
      <w:r w:rsidR="009F6F16" w:rsidRPr="00B457F5">
        <w:rPr>
          <w:rFonts w:ascii="Garamond" w:eastAsia="MS Mincho" w:hAnsi="Garamond" w:cs="Times New Roman"/>
          <w:szCs w:val="24"/>
        </w:rPr>
        <w:t xml:space="preserve">vitin </w:t>
      </w:r>
      <w:r w:rsidR="00546DDA" w:rsidRPr="00B457F5">
        <w:rPr>
          <w:rFonts w:ascii="Garamond" w:eastAsia="MS Mincho" w:hAnsi="Garamond" w:cs="Times New Roman"/>
          <w:szCs w:val="24"/>
        </w:rPr>
        <w:t xml:space="preserve">2020 në 897 297 në </w:t>
      </w:r>
      <w:r w:rsidR="009F6F16" w:rsidRPr="00B457F5">
        <w:rPr>
          <w:rFonts w:ascii="Garamond" w:eastAsia="MS Mincho" w:hAnsi="Garamond" w:cs="Times New Roman"/>
          <w:szCs w:val="24"/>
        </w:rPr>
        <w:t xml:space="preserve">vitin </w:t>
      </w:r>
      <w:r w:rsidR="00546DDA" w:rsidRPr="00B457F5">
        <w:rPr>
          <w:rFonts w:ascii="Garamond" w:eastAsia="MS Mincho" w:hAnsi="Garamond" w:cs="Times New Roman"/>
          <w:szCs w:val="24"/>
        </w:rPr>
        <w:t xml:space="preserve">2021. </w:t>
      </w:r>
      <w:r w:rsidR="009F6F16" w:rsidRPr="00B457F5">
        <w:rPr>
          <w:rFonts w:ascii="Garamond" w:eastAsia="MS Mincho" w:hAnsi="Garamond" w:cs="Times New Roman"/>
          <w:szCs w:val="24"/>
        </w:rPr>
        <w:t xml:space="preserve">Sipas </w:t>
      </w:r>
      <w:r w:rsidR="00546DDA" w:rsidRPr="00B457F5">
        <w:rPr>
          <w:rFonts w:ascii="Garamond" w:eastAsia="MS Mincho" w:hAnsi="Garamond" w:cs="Times New Roman"/>
          <w:szCs w:val="24"/>
        </w:rPr>
        <w:t xml:space="preserve">të dhënave të </w:t>
      </w:r>
      <w:r w:rsidR="00E73215" w:rsidRPr="00B457F5">
        <w:rPr>
          <w:rFonts w:ascii="Garamond" w:eastAsia="MS Mincho" w:hAnsi="Garamond" w:cs="Times New Roman"/>
          <w:szCs w:val="24"/>
        </w:rPr>
        <w:t>EUROSTAT</w:t>
      </w:r>
      <w:r w:rsidR="009F6F16" w:rsidRPr="00B457F5">
        <w:rPr>
          <w:rFonts w:ascii="Garamond" w:eastAsia="MS Mincho" w:hAnsi="Garamond" w:cs="Times New Roman"/>
          <w:szCs w:val="24"/>
        </w:rPr>
        <w:t>-it,</w:t>
      </w:r>
      <w:r w:rsidRPr="00B457F5">
        <w:rPr>
          <w:rFonts w:ascii="Garamond" w:eastAsia="MS Mincho" w:hAnsi="Garamond" w:cs="Times New Roman"/>
          <w:szCs w:val="24"/>
          <w:vertAlign w:val="superscript"/>
        </w:rPr>
        <w:footnoteReference w:id="30"/>
      </w:r>
      <w:r w:rsidRPr="00B457F5">
        <w:rPr>
          <w:rFonts w:ascii="Garamond" w:eastAsia="MS Mincho" w:hAnsi="Garamond" w:cs="Times New Roman"/>
          <w:szCs w:val="24"/>
        </w:rPr>
        <w:t xml:space="preserve"> </w:t>
      </w:r>
      <w:r w:rsidR="00546DDA" w:rsidRPr="00B457F5">
        <w:rPr>
          <w:rFonts w:ascii="Garamond" w:eastAsia="MS Mincho" w:hAnsi="Garamond" w:cs="Times New Roman"/>
          <w:szCs w:val="24"/>
        </w:rPr>
        <w:t>në vitin 2021 shumica e shqiptarëve që jetojnë në Evropë me leje qëndrimi banojnë në Greqi (404 574), Itali (396 883), Gjermani (42 423) dhe Francë (20 443). Sa i përket emigrantëve shqiptarë të vendosur në BE, në vitin 2021 krahasuar me numrin e shqiptarëve të vendosur në vitin 2022, ka një rënie të numrit nga 24</w:t>
      </w:r>
      <w:r w:rsidR="009571A5" w:rsidRPr="00B457F5">
        <w:rPr>
          <w:rFonts w:ascii="Garamond" w:eastAsia="MS Mincho" w:hAnsi="Garamond" w:cs="Times New Roman"/>
          <w:szCs w:val="24"/>
        </w:rPr>
        <w:t xml:space="preserve"> </w:t>
      </w:r>
      <w:r w:rsidR="00546DDA" w:rsidRPr="00B457F5">
        <w:rPr>
          <w:rFonts w:ascii="Garamond" w:eastAsia="MS Mincho" w:hAnsi="Garamond" w:cs="Times New Roman"/>
          <w:szCs w:val="24"/>
        </w:rPr>
        <w:t>842 në vitin 2021 në 20</w:t>
      </w:r>
      <w:r w:rsidR="009571A5" w:rsidRPr="00B457F5">
        <w:rPr>
          <w:rFonts w:ascii="Garamond" w:eastAsia="MS Mincho" w:hAnsi="Garamond" w:cs="Times New Roman"/>
          <w:szCs w:val="24"/>
        </w:rPr>
        <w:t xml:space="preserve"> </w:t>
      </w:r>
      <w:r w:rsidR="00546DDA" w:rsidRPr="00B457F5">
        <w:rPr>
          <w:rFonts w:ascii="Garamond" w:eastAsia="MS Mincho" w:hAnsi="Garamond" w:cs="Times New Roman"/>
          <w:szCs w:val="24"/>
        </w:rPr>
        <w:t>435 emigrantë për vitin 2022.</w:t>
      </w:r>
    </w:p>
    <w:p w14:paraId="494D4585" w14:textId="77777777" w:rsidR="00783BF2" w:rsidRPr="00B457F5" w:rsidRDefault="00783BF2" w:rsidP="002E693B">
      <w:pPr>
        <w:spacing w:before="0" w:after="0"/>
        <w:ind w:firstLine="284"/>
        <w:rPr>
          <w:rFonts w:ascii="Garamond" w:eastAsia="MS Mincho" w:hAnsi="Garamond" w:cs="Times New Roman"/>
          <w:sz w:val="12"/>
          <w:szCs w:val="24"/>
        </w:rPr>
      </w:pPr>
    </w:p>
    <w:p w14:paraId="076A6129" w14:textId="0A21594C" w:rsidR="00DC73C3" w:rsidRPr="00B457F5" w:rsidRDefault="00DC73C3" w:rsidP="002E693B">
      <w:pPr>
        <w:spacing w:before="0" w:after="0"/>
        <w:ind w:firstLine="284"/>
        <w:rPr>
          <w:rFonts w:ascii="Garamond" w:eastAsia="MS Mincho" w:hAnsi="Garamond" w:cs="Times New Roman"/>
          <w:bCs/>
          <w:i/>
          <w:sz w:val="20"/>
          <w:szCs w:val="20"/>
        </w:rPr>
      </w:pPr>
      <w:r w:rsidRPr="00B457F5">
        <w:rPr>
          <w:rFonts w:ascii="Garamond" w:eastAsia="MS Mincho" w:hAnsi="Garamond" w:cs="Times New Roman"/>
          <w:bCs/>
          <w:i/>
          <w:sz w:val="20"/>
          <w:szCs w:val="20"/>
        </w:rPr>
        <w:t>Tabela 2. Shtetasit shqiptarë me leje qëndrimi</w:t>
      </w:r>
      <w:r w:rsidR="00E908E0" w:rsidRPr="00B457F5">
        <w:rPr>
          <w:rFonts w:ascii="Garamond" w:eastAsia="MS Mincho" w:hAnsi="Garamond" w:cs="Times New Roman"/>
          <w:bCs/>
          <w:i/>
          <w:sz w:val="20"/>
          <w:szCs w:val="20"/>
        </w:rPr>
        <w:t xml:space="preserve"> p</w:t>
      </w:r>
      <w:r w:rsidR="003C3547" w:rsidRPr="00B457F5">
        <w:rPr>
          <w:rFonts w:ascii="Garamond" w:eastAsia="MS Mincho" w:hAnsi="Garamond" w:cs="Times New Roman"/>
          <w:bCs/>
          <w:i/>
          <w:sz w:val="20"/>
          <w:szCs w:val="20"/>
        </w:rPr>
        <w:t>ë</w:t>
      </w:r>
      <w:r w:rsidR="00E908E0" w:rsidRPr="00B457F5">
        <w:rPr>
          <w:rFonts w:ascii="Garamond" w:eastAsia="MS Mincho" w:hAnsi="Garamond" w:cs="Times New Roman"/>
          <w:bCs/>
          <w:i/>
          <w:sz w:val="20"/>
          <w:szCs w:val="20"/>
        </w:rPr>
        <w:t>r her</w:t>
      </w:r>
      <w:r w:rsidR="003C3547" w:rsidRPr="00B457F5">
        <w:rPr>
          <w:rFonts w:ascii="Garamond" w:eastAsia="MS Mincho" w:hAnsi="Garamond" w:cs="Times New Roman"/>
          <w:bCs/>
          <w:i/>
          <w:sz w:val="20"/>
          <w:szCs w:val="20"/>
        </w:rPr>
        <w:t>ë</w:t>
      </w:r>
      <w:r w:rsidR="00E908E0" w:rsidRPr="00B457F5">
        <w:rPr>
          <w:rFonts w:ascii="Garamond" w:eastAsia="MS Mincho" w:hAnsi="Garamond" w:cs="Times New Roman"/>
          <w:bCs/>
          <w:i/>
          <w:sz w:val="20"/>
          <w:szCs w:val="20"/>
        </w:rPr>
        <w:t xml:space="preserve"> t</w:t>
      </w:r>
      <w:r w:rsidR="003C3547" w:rsidRPr="00B457F5">
        <w:rPr>
          <w:rFonts w:ascii="Garamond" w:eastAsia="MS Mincho" w:hAnsi="Garamond" w:cs="Times New Roman"/>
          <w:bCs/>
          <w:i/>
          <w:sz w:val="20"/>
          <w:szCs w:val="20"/>
        </w:rPr>
        <w:t>ë</w:t>
      </w:r>
      <w:r w:rsidR="00E908E0" w:rsidRPr="00B457F5">
        <w:rPr>
          <w:rFonts w:ascii="Garamond" w:eastAsia="MS Mincho" w:hAnsi="Garamond" w:cs="Times New Roman"/>
          <w:bCs/>
          <w:i/>
          <w:sz w:val="20"/>
          <w:szCs w:val="20"/>
        </w:rPr>
        <w:t xml:space="preserve"> par</w:t>
      </w:r>
      <w:r w:rsidR="003C3547" w:rsidRPr="00B457F5">
        <w:rPr>
          <w:rFonts w:ascii="Garamond" w:eastAsia="MS Mincho" w:hAnsi="Garamond" w:cs="Times New Roman"/>
          <w:bCs/>
          <w:i/>
          <w:sz w:val="20"/>
          <w:szCs w:val="20"/>
        </w:rPr>
        <w:t>ë</w:t>
      </w:r>
      <w:r w:rsidRPr="00B457F5">
        <w:rPr>
          <w:rFonts w:ascii="Garamond" w:eastAsia="MS Mincho" w:hAnsi="Garamond" w:cs="Times New Roman"/>
          <w:bCs/>
          <w:i/>
          <w:sz w:val="20"/>
          <w:szCs w:val="20"/>
        </w:rPr>
        <w:t xml:space="preserve"> në vendet evropiane, 2019</w:t>
      </w:r>
      <w:r w:rsidR="00FA55CE" w:rsidRPr="00B457F5">
        <w:rPr>
          <w:rStyle w:val="contentpasted1"/>
          <w:rFonts w:ascii="Garamond" w:hAnsi="Garamond" w:cs="Times New Roman"/>
          <w:i/>
          <w:color w:val="000000"/>
          <w:sz w:val="20"/>
          <w:szCs w:val="20"/>
        </w:rPr>
        <w:t>–</w:t>
      </w:r>
      <w:r w:rsidRPr="00B457F5">
        <w:rPr>
          <w:rFonts w:ascii="Garamond" w:eastAsia="MS Mincho" w:hAnsi="Garamond" w:cs="Times New Roman"/>
          <w:bCs/>
          <w:i/>
          <w:sz w:val="20"/>
          <w:szCs w:val="20"/>
        </w:rPr>
        <w:t>202</w:t>
      </w:r>
      <w:r w:rsidR="006376D1" w:rsidRPr="00B457F5">
        <w:rPr>
          <w:rFonts w:ascii="Garamond" w:eastAsia="MS Mincho" w:hAnsi="Garamond" w:cs="Times New Roman"/>
          <w:bCs/>
          <w:i/>
          <w:sz w:val="20"/>
          <w:szCs w:val="20"/>
        </w:rPr>
        <w:t>2</w:t>
      </w:r>
    </w:p>
    <w:tbl>
      <w:tblPr>
        <w:tblW w:w="10512" w:type="dxa"/>
        <w:tblInd w:w="18" w:type="dxa"/>
        <w:tblBorders>
          <w:top w:val="single" w:sz="4" w:space="0" w:color="4F81BD" w:themeColor="accent1"/>
          <w:bottom w:val="single" w:sz="4" w:space="0" w:color="4F81BD" w:themeColor="accent1"/>
        </w:tblBorders>
        <w:tblLayout w:type="fixed"/>
        <w:tblLook w:val="04A0" w:firstRow="1" w:lastRow="0" w:firstColumn="1" w:lastColumn="0" w:noHBand="0" w:noVBand="1"/>
      </w:tblPr>
      <w:tblGrid>
        <w:gridCol w:w="2052"/>
        <w:gridCol w:w="2160"/>
        <w:gridCol w:w="1980"/>
        <w:gridCol w:w="2250"/>
        <w:gridCol w:w="2070"/>
      </w:tblGrid>
      <w:tr w:rsidR="00E908E0" w:rsidRPr="00B457F5" w14:paraId="676AEC79" w14:textId="05329A1A" w:rsidTr="00783BF2">
        <w:trPr>
          <w:trHeight w:val="20"/>
        </w:trPr>
        <w:tc>
          <w:tcPr>
            <w:tcW w:w="10512" w:type="dxa"/>
            <w:gridSpan w:val="5"/>
            <w:noWrap/>
            <w:vAlign w:val="center"/>
            <w:hideMark/>
          </w:tcPr>
          <w:p w14:paraId="014E98DD" w14:textId="7C10A002" w:rsidR="00E908E0" w:rsidRPr="00B457F5" w:rsidRDefault="00E908E0" w:rsidP="00783BF2">
            <w:pPr>
              <w:spacing w:before="0" w:after="0"/>
              <w:jc w:val="center"/>
              <w:rPr>
                <w:rFonts w:ascii="Garamond" w:eastAsia="Times New Roman" w:hAnsi="Garamond" w:cs="Times New Roman"/>
                <w:color w:val="17365D" w:themeColor="text2" w:themeShade="BF"/>
                <w:sz w:val="16"/>
                <w:szCs w:val="16"/>
              </w:rPr>
            </w:pPr>
            <w:bookmarkStart w:id="19" w:name="_Hlk156916986"/>
            <w:r w:rsidRPr="00B457F5">
              <w:rPr>
                <w:rFonts w:ascii="Garamond" w:eastAsia="Times New Roman" w:hAnsi="Garamond" w:cs="Times New Roman"/>
                <w:color w:val="17365D" w:themeColor="text2" w:themeShade="BF"/>
                <w:sz w:val="16"/>
                <w:szCs w:val="16"/>
              </w:rPr>
              <w:t>Shqiptarë</w:t>
            </w:r>
            <w:r w:rsidR="00475017" w:rsidRPr="00B457F5">
              <w:rPr>
                <w:rFonts w:ascii="Garamond" w:eastAsia="Times New Roman" w:hAnsi="Garamond" w:cs="Times New Roman"/>
                <w:color w:val="17365D" w:themeColor="text2" w:themeShade="BF"/>
                <w:sz w:val="16"/>
                <w:szCs w:val="16"/>
              </w:rPr>
              <w:t xml:space="preserve"> </w:t>
            </w:r>
            <w:r w:rsidRPr="00B457F5">
              <w:rPr>
                <w:rFonts w:ascii="Garamond" w:eastAsia="Times New Roman" w:hAnsi="Garamond" w:cs="Times New Roman"/>
                <w:color w:val="17365D" w:themeColor="text2" w:themeShade="BF"/>
                <w:sz w:val="16"/>
                <w:szCs w:val="16"/>
              </w:rPr>
              <w:t xml:space="preserve">me leje qëndrimi në Evropë </w:t>
            </w:r>
          </w:p>
        </w:tc>
      </w:tr>
      <w:tr w:rsidR="00E908E0" w:rsidRPr="00B457F5" w14:paraId="06D52CED" w14:textId="3F4AF95A" w:rsidTr="00783BF2">
        <w:trPr>
          <w:trHeight w:val="20"/>
        </w:trPr>
        <w:tc>
          <w:tcPr>
            <w:tcW w:w="2052" w:type="dxa"/>
            <w:noWrap/>
          </w:tcPr>
          <w:p w14:paraId="0BFED971" w14:textId="77777777" w:rsidR="00E908E0" w:rsidRPr="00B457F5" w:rsidRDefault="00E908E0" w:rsidP="00783BF2">
            <w:pPr>
              <w:spacing w:before="0" w:after="0"/>
              <w:rPr>
                <w:rFonts w:ascii="Garamond" w:eastAsia="Times New Roman" w:hAnsi="Garamond" w:cs="Times New Roman"/>
                <w:color w:val="000000" w:themeColor="text1"/>
                <w:sz w:val="16"/>
                <w:szCs w:val="16"/>
              </w:rPr>
            </w:pPr>
          </w:p>
        </w:tc>
        <w:tc>
          <w:tcPr>
            <w:tcW w:w="2160" w:type="dxa"/>
            <w:noWrap/>
            <w:hideMark/>
          </w:tcPr>
          <w:p w14:paraId="4AE884B7" w14:textId="77777777" w:rsidR="00E908E0" w:rsidRPr="00B457F5" w:rsidRDefault="00E908E0" w:rsidP="00783BF2">
            <w:pPr>
              <w:spacing w:before="0" w:after="0"/>
              <w:jc w:val="center"/>
              <w:rPr>
                <w:rFonts w:ascii="Garamond" w:eastAsia="Times New Roman" w:hAnsi="Garamond" w:cs="Times New Roman"/>
                <w:i/>
                <w:iCs/>
                <w:color w:val="000000" w:themeColor="text1"/>
                <w:sz w:val="16"/>
                <w:szCs w:val="16"/>
              </w:rPr>
            </w:pPr>
            <w:r w:rsidRPr="00B457F5">
              <w:rPr>
                <w:rFonts w:ascii="Garamond" w:eastAsia="Times New Roman" w:hAnsi="Garamond" w:cs="Times New Roman"/>
                <w:i/>
                <w:iCs/>
                <w:color w:val="000000" w:themeColor="text1"/>
                <w:sz w:val="16"/>
                <w:szCs w:val="16"/>
              </w:rPr>
              <w:t>2019</w:t>
            </w:r>
          </w:p>
        </w:tc>
        <w:tc>
          <w:tcPr>
            <w:tcW w:w="1980" w:type="dxa"/>
            <w:noWrap/>
            <w:hideMark/>
          </w:tcPr>
          <w:p w14:paraId="553830F4" w14:textId="77777777" w:rsidR="00E908E0" w:rsidRPr="00B457F5" w:rsidRDefault="00E908E0" w:rsidP="00783BF2">
            <w:pPr>
              <w:spacing w:before="0" w:after="0"/>
              <w:jc w:val="center"/>
              <w:rPr>
                <w:rFonts w:ascii="Garamond" w:eastAsia="Times New Roman" w:hAnsi="Garamond" w:cs="Times New Roman"/>
                <w:i/>
                <w:iCs/>
                <w:color w:val="000000" w:themeColor="text1"/>
                <w:sz w:val="16"/>
                <w:szCs w:val="16"/>
              </w:rPr>
            </w:pPr>
            <w:r w:rsidRPr="00B457F5">
              <w:rPr>
                <w:rFonts w:ascii="Garamond" w:eastAsia="Times New Roman" w:hAnsi="Garamond" w:cs="Times New Roman"/>
                <w:i/>
                <w:iCs/>
                <w:color w:val="000000" w:themeColor="text1"/>
                <w:sz w:val="16"/>
                <w:szCs w:val="16"/>
              </w:rPr>
              <w:t>2020</w:t>
            </w:r>
          </w:p>
        </w:tc>
        <w:tc>
          <w:tcPr>
            <w:tcW w:w="2250" w:type="dxa"/>
            <w:noWrap/>
            <w:hideMark/>
          </w:tcPr>
          <w:p w14:paraId="6E224539" w14:textId="77777777" w:rsidR="00E908E0" w:rsidRPr="00B457F5" w:rsidRDefault="00E908E0" w:rsidP="00783BF2">
            <w:pPr>
              <w:spacing w:before="0" w:after="0"/>
              <w:jc w:val="center"/>
              <w:rPr>
                <w:rFonts w:ascii="Garamond" w:eastAsia="Times New Roman" w:hAnsi="Garamond" w:cs="Times New Roman"/>
                <w:i/>
                <w:iCs/>
                <w:color w:val="000000" w:themeColor="text1"/>
                <w:sz w:val="16"/>
                <w:szCs w:val="16"/>
              </w:rPr>
            </w:pPr>
            <w:r w:rsidRPr="00B457F5">
              <w:rPr>
                <w:rFonts w:ascii="Garamond" w:eastAsia="Times New Roman" w:hAnsi="Garamond" w:cs="Times New Roman"/>
                <w:i/>
                <w:iCs/>
                <w:color w:val="000000" w:themeColor="text1"/>
                <w:sz w:val="16"/>
                <w:szCs w:val="16"/>
              </w:rPr>
              <w:t>2021</w:t>
            </w:r>
          </w:p>
          <w:p w14:paraId="67BADDA0" w14:textId="77777777" w:rsidR="00E908E0" w:rsidRPr="00B457F5" w:rsidRDefault="00E908E0" w:rsidP="00783BF2">
            <w:pPr>
              <w:spacing w:before="0" w:after="0"/>
              <w:jc w:val="center"/>
              <w:rPr>
                <w:rFonts w:ascii="Garamond" w:eastAsia="Times New Roman" w:hAnsi="Garamond" w:cs="Times New Roman"/>
                <w:i/>
                <w:iCs/>
                <w:color w:val="000000" w:themeColor="text1"/>
                <w:sz w:val="16"/>
                <w:szCs w:val="16"/>
              </w:rPr>
            </w:pPr>
          </w:p>
        </w:tc>
        <w:tc>
          <w:tcPr>
            <w:tcW w:w="2070" w:type="dxa"/>
          </w:tcPr>
          <w:p w14:paraId="3A4CCBD6" w14:textId="5EE158B1" w:rsidR="00E908E0" w:rsidRPr="00B457F5" w:rsidRDefault="00E908E0" w:rsidP="00783BF2">
            <w:pPr>
              <w:spacing w:before="0" w:after="0"/>
              <w:jc w:val="center"/>
              <w:rPr>
                <w:rFonts w:ascii="Garamond" w:eastAsia="Times New Roman" w:hAnsi="Garamond" w:cs="Times New Roman"/>
                <w:i/>
                <w:iCs/>
                <w:color w:val="000000" w:themeColor="text1"/>
                <w:sz w:val="16"/>
                <w:szCs w:val="16"/>
              </w:rPr>
            </w:pPr>
            <w:r w:rsidRPr="00B457F5">
              <w:rPr>
                <w:rFonts w:ascii="Garamond" w:eastAsia="Times New Roman" w:hAnsi="Garamond" w:cs="Times New Roman"/>
                <w:i/>
                <w:iCs/>
                <w:color w:val="000000" w:themeColor="text1"/>
                <w:sz w:val="16"/>
                <w:szCs w:val="16"/>
              </w:rPr>
              <w:t>2022</w:t>
            </w:r>
          </w:p>
        </w:tc>
      </w:tr>
      <w:tr w:rsidR="00E908E0" w:rsidRPr="00B457F5" w14:paraId="55E4D4BE" w14:textId="2F34A364" w:rsidTr="00783BF2">
        <w:trPr>
          <w:trHeight w:val="20"/>
        </w:trPr>
        <w:tc>
          <w:tcPr>
            <w:tcW w:w="2052" w:type="dxa"/>
            <w:noWrap/>
            <w:hideMark/>
          </w:tcPr>
          <w:p w14:paraId="3B2945DB" w14:textId="77777777" w:rsidR="00E908E0" w:rsidRPr="00B457F5" w:rsidRDefault="00E908E0" w:rsidP="00783BF2">
            <w:pPr>
              <w:spacing w:before="0" w:after="0"/>
              <w:rPr>
                <w:rFonts w:ascii="Garamond" w:eastAsia="Times New Roman" w:hAnsi="Garamond" w:cs="Times New Roman"/>
                <w:i/>
                <w:iCs/>
                <w:sz w:val="16"/>
                <w:szCs w:val="16"/>
              </w:rPr>
            </w:pPr>
            <w:r w:rsidRPr="00B457F5">
              <w:rPr>
                <w:rFonts w:ascii="Garamond" w:eastAsia="Times New Roman" w:hAnsi="Garamond" w:cs="Times New Roman"/>
                <w:i/>
                <w:iCs/>
                <w:sz w:val="16"/>
                <w:szCs w:val="16"/>
              </w:rPr>
              <w:t>Belgjikë</w:t>
            </w:r>
          </w:p>
        </w:tc>
        <w:tc>
          <w:tcPr>
            <w:tcW w:w="2160" w:type="dxa"/>
            <w:noWrap/>
            <w:vAlign w:val="center"/>
            <w:hideMark/>
          </w:tcPr>
          <w:p w14:paraId="3969C085"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774</w:t>
            </w:r>
          </w:p>
        </w:tc>
        <w:tc>
          <w:tcPr>
            <w:tcW w:w="1980" w:type="dxa"/>
            <w:noWrap/>
            <w:vAlign w:val="center"/>
            <w:hideMark/>
          </w:tcPr>
          <w:p w14:paraId="290B7F9E"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766</w:t>
            </w:r>
          </w:p>
        </w:tc>
        <w:tc>
          <w:tcPr>
            <w:tcW w:w="2250" w:type="dxa"/>
            <w:noWrap/>
            <w:vAlign w:val="center"/>
            <w:hideMark/>
          </w:tcPr>
          <w:p w14:paraId="392B86F2"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844</w:t>
            </w:r>
          </w:p>
        </w:tc>
        <w:tc>
          <w:tcPr>
            <w:tcW w:w="2070" w:type="dxa"/>
          </w:tcPr>
          <w:p w14:paraId="116CF438" w14:textId="1C3B0AF5" w:rsidR="00E908E0" w:rsidRPr="00B457F5" w:rsidRDefault="00DB6525"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1,023</w:t>
            </w:r>
          </w:p>
        </w:tc>
      </w:tr>
      <w:tr w:rsidR="00E908E0" w:rsidRPr="00B457F5" w14:paraId="55EBAF74" w14:textId="1BE1C75C" w:rsidTr="00783BF2">
        <w:trPr>
          <w:trHeight w:val="20"/>
        </w:trPr>
        <w:tc>
          <w:tcPr>
            <w:tcW w:w="2052" w:type="dxa"/>
            <w:noWrap/>
            <w:hideMark/>
          </w:tcPr>
          <w:p w14:paraId="46C26D44" w14:textId="77777777" w:rsidR="00E908E0" w:rsidRPr="00B457F5" w:rsidRDefault="00E908E0" w:rsidP="00783BF2">
            <w:pPr>
              <w:spacing w:before="0" w:after="0"/>
              <w:rPr>
                <w:rFonts w:ascii="Garamond" w:eastAsia="Times New Roman" w:hAnsi="Garamond" w:cs="Times New Roman"/>
                <w:i/>
                <w:iCs/>
                <w:sz w:val="16"/>
                <w:szCs w:val="16"/>
              </w:rPr>
            </w:pPr>
            <w:r w:rsidRPr="00B457F5">
              <w:rPr>
                <w:rFonts w:ascii="Garamond" w:eastAsia="Times New Roman" w:hAnsi="Garamond" w:cs="Times New Roman"/>
                <w:i/>
                <w:iCs/>
                <w:sz w:val="16"/>
                <w:szCs w:val="16"/>
              </w:rPr>
              <w:t>Bullgari</w:t>
            </w:r>
          </w:p>
        </w:tc>
        <w:tc>
          <w:tcPr>
            <w:tcW w:w="2160" w:type="dxa"/>
            <w:noWrap/>
            <w:vAlign w:val="center"/>
            <w:hideMark/>
          </w:tcPr>
          <w:p w14:paraId="2BE6A74A"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167</w:t>
            </w:r>
          </w:p>
        </w:tc>
        <w:tc>
          <w:tcPr>
            <w:tcW w:w="1980" w:type="dxa"/>
            <w:noWrap/>
            <w:vAlign w:val="center"/>
            <w:hideMark/>
          </w:tcPr>
          <w:p w14:paraId="4AAC96B4"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97</w:t>
            </w:r>
          </w:p>
        </w:tc>
        <w:tc>
          <w:tcPr>
            <w:tcW w:w="2250" w:type="dxa"/>
            <w:noWrap/>
            <w:vAlign w:val="center"/>
            <w:hideMark/>
          </w:tcPr>
          <w:p w14:paraId="5A1E428B"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157</w:t>
            </w:r>
          </w:p>
        </w:tc>
        <w:tc>
          <w:tcPr>
            <w:tcW w:w="2070" w:type="dxa"/>
          </w:tcPr>
          <w:p w14:paraId="3FA9E50C" w14:textId="37A847D8" w:rsidR="00E908E0" w:rsidRPr="00B457F5" w:rsidRDefault="00DB6525"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151</w:t>
            </w:r>
          </w:p>
        </w:tc>
      </w:tr>
      <w:tr w:rsidR="00E908E0" w:rsidRPr="00B457F5" w14:paraId="168FA89B" w14:textId="73C4C1EA" w:rsidTr="00783BF2">
        <w:trPr>
          <w:trHeight w:val="20"/>
        </w:trPr>
        <w:tc>
          <w:tcPr>
            <w:tcW w:w="2052" w:type="dxa"/>
            <w:noWrap/>
            <w:hideMark/>
          </w:tcPr>
          <w:p w14:paraId="4DB6D0A1" w14:textId="77777777" w:rsidR="00E908E0" w:rsidRPr="00B457F5" w:rsidRDefault="00E908E0" w:rsidP="00783BF2">
            <w:pPr>
              <w:spacing w:before="0" w:after="0"/>
              <w:rPr>
                <w:rFonts w:ascii="Garamond" w:eastAsia="Times New Roman" w:hAnsi="Garamond" w:cs="Times New Roman"/>
                <w:i/>
                <w:iCs/>
                <w:sz w:val="16"/>
                <w:szCs w:val="16"/>
              </w:rPr>
            </w:pPr>
            <w:r w:rsidRPr="00B457F5">
              <w:rPr>
                <w:rFonts w:ascii="Garamond" w:eastAsia="Times New Roman" w:hAnsi="Garamond" w:cs="Times New Roman"/>
                <w:i/>
                <w:iCs/>
                <w:sz w:val="16"/>
                <w:szCs w:val="16"/>
              </w:rPr>
              <w:t>Republika Çeke</w:t>
            </w:r>
          </w:p>
        </w:tc>
        <w:tc>
          <w:tcPr>
            <w:tcW w:w="2160" w:type="dxa"/>
            <w:noWrap/>
            <w:vAlign w:val="center"/>
            <w:hideMark/>
          </w:tcPr>
          <w:p w14:paraId="796E8202"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254</w:t>
            </w:r>
          </w:p>
        </w:tc>
        <w:tc>
          <w:tcPr>
            <w:tcW w:w="1980" w:type="dxa"/>
            <w:noWrap/>
            <w:vAlign w:val="center"/>
            <w:hideMark/>
          </w:tcPr>
          <w:p w14:paraId="1F7E788C"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105</w:t>
            </w:r>
          </w:p>
        </w:tc>
        <w:tc>
          <w:tcPr>
            <w:tcW w:w="2250" w:type="dxa"/>
            <w:noWrap/>
            <w:vAlign w:val="center"/>
            <w:hideMark/>
          </w:tcPr>
          <w:p w14:paraId="51E3430A"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109</w:t>
            </w:r>
          </w:p>
        </w:tc>
        <w:tc>
          <w:tcPr>
            <w:tcW w:w="2070" w:type="dxa"/>
          </w:tcPr>
          <w:p w14:paraId="5E5035ED" w14:textId="498B30CD" w:rsidR="00E908E0" w:rsidRPr="00B457F5" w:rsidRDefault="00DB6525"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148</w:t>
            </w:r>
          </w:p>
        </w:tc>
      </w:tr>
      <w:tr w:rsidR="00E908E0" w:rsidRPr="00B457F5" w14:paraId="3F4A9FB8" w14:textId="4631B21E" w:rsidTr="00783BF2">
        <w:trPr>
          <w:trHeight w:val="20"/>
        </w:trPr>
        <w:tc>
          <w:tcPr>
            <w:tcW w:w="2052" w:type="dxa"/>
            <w:noWrap/>
            <w:hideMark/>
          </w:tcPr>
          <w:p w14:paraId="20441136" w14:textId="77777777" w:rsidR="00E908E0" w:rsidRPr="00B457F5" w:rsidRDefault="00E908E0" w:rsidP="00783BF2">
            <w:pPr>
              <w:spacing w:before="0" w:after="0"/>
              <w:rPr>
                <w:rFonts w:ascii="Garamond" w:eastAsia="Times New Roman" w:hAnsi="Garamond" w:cs="Times New Roman"/>
                <w:i/>
                <w:iCs/>
                <w:sz w:val="16"/>
                <w:szCs w:val="16"/>
              </w:rPr>
            </w:pPr>
            <w:r w:rsidRPr="00B457F5">
              <w:rPr>
                <w:rFonts w:ascii="Garamond" w:eastAsia="Times New Roman" w:hAnsi="Garamond" w:cs="Times New Roman"/>
                <w:i/>
                <w:iCs/>
                <w:sz w:val="16"/>
                <w:szCs w:val="16"/>
              </w:rPr>
              <w:t>Danimarkë</w:t>
            </w:r>
          </w:p>
        </w:tc>
        <w:tc>
          <w:tcPr>
            <w:tcW w:w="2160" w:type="dxa"/>
            <w:noWrap/>
            <w:vAlign w:val="center"/>
            <w:hideMark/>
          </w:tcPr>
          <w:p w14:paraId="6E55025B"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47</w:t>
            </w:r>
          </w:p>
        </w:tc>
        <w:tc>
          <w:tcPr>
            <w:tcW w:w="1980" w:type="dxa"/>
            <w:noWrap/>
            <w:vAlign w:val="center"/>
            <w:hideMark/>
          </w:tcPr>
          <w:p w14:paraId="4E4850AC"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42</w:t>
            </w:r>
          </w:p>
        </w:tc>
        <w:tc>
          <w:tcPr>
            <w:tcW w:w="2250" w:type="dxa"/>
            <w:noWrap/>
            <w:vAlign w:val="center"/>
            <w:hideMark/>
          </w:tcPr>
          <w:p w14:paraId="474BBAD0"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65</w:t>
            </w:r>
          </w:p>
        </w:tc>
        <w:tc>
          <w:tcPr>
            <w:tcW w:w="2070" w:type="dxa"/>
          </w:tcPr>
          <w:p w14:paraId="7B8B0DC0" w14:textId="23B0783F" w:rsidR="00E908E0" w:rsidRPr="00B457F5" w:rsidRDefault="00DB6525"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236</w:t>
            </w:r>
          </w:p>
        </w:tc>
      </w:tr>
      <w:tr w:rsidR="00E908E0" w:rsidRPr="00B457F5" w14:paraId="2FF2C5FA" w14:textId="209B6B53" w:rsidTr="00783BF2">
        <w:trPr>
          <w:trHeight w:val="20"/>
        </w:trPr>
        <w:tc>
          <w:tcPr>
            <w:tcW w:w="2052" w:type="dxa"/>
            <w:noWrap/>
            <w:hideMark/>
          </w:tcPr>
          <w:p w14:paraId="2CDE2DBC" w14:textId="77777777" w:rsidR="00E908E0" w:rsidRPr="00B457F5" w:rsidRDefault="00E908E0" w:rsidP="00783BF2">
            <w:pPr>
              <w:spacing w:before="0" w:after="0"/>
              <w:rPr>
                <w:rFonts w:ascii="Garamond" w:eastAsia="Times New Roman" w:hAnsi="Garamond" w:cs="Times New Roman"/>
                <w:i/>
                <w:iCs/>
                <w:sz w:val="16"/>
                <w:szCs w:val="16"/>
              </w:rPr>
            </w:pPr>
            <w:r w:rsidRPr="00B457F5">
              <w:rPr>
                <w:rFonts w:ascii="Garamond" w:eastAsia="Times New Roman" w:hAnsi="Garamond" w:cs="Times New Roman"/>
                <w:i/>
                <w:iCs/>
                <w:sz w:val="16"/>
                <w:szCs w:val="16"/>
              </w:rPr>
              <w:t>Gjermani</w:t>
            </w:r>
          </w:p>
        </w:tc>
        <w:tc>
          <w:tcPr>
            <w:tcW w:w="2160" w:type="dxa"/>
            <w:noWrap/>
            <w:vAlign w:val="center"/>
            <w:hideMark/>
          </w:tcPr>
          <w:p w14:paraId="628D619B" w14:textId="7C36E32B" w:rsidR="00E908E0" w:rsidRPr="00B457F5" w:rsidRDefault="00DB6525"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12,014</w:t>
            </w:r>
          </w:p>
        </w:tc>
        <w:tc>
          <w:tcPr>
            <w:tcW w:w="1980" w:type="dxa"/>
            <w:noWrap/>
            <w:vAlign w:val="center"/>
            <w:hideMark/>
          </w:tcPr>
          <w:p w14:paraId="64E66F1E"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8,308</w:t>
            </w:r>
          </w:p>
        </w:tc>
        <w:tc>
          <w:tcPr>
            <w:tcW w:w="2250" w:type="dxa"/>
            <w:noWrap/>
            <w:vAlign w:val="center"/>
            <w:hideMark/>
          </w:tcPr>
          <w:p w14:paraId="7741BCBE"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4,492</w:t>
            </w:r>
          </w:p>
        </w:tc>
        <w:tc>
          <w:tcPr>
            <w:tcW w:w="2070" w:type="dxa"/>
          </w:tcPr>
          <w:p w14:paraId="05710A46" w14:textId="6D275DF7" w:rsidR="00E908E0" w:rsidRPr="00B457F5" w:rsidRDefault="00DB6525"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13,334</w:t>
            </w:r>
          </w:p>
        </w:tc>
      </w:tr>
      <w:tr w:rsidR="00E908E0" w:rsidRPr="00B457F5" w14:paraId="2BFE9823" w14:textId="5CA3DEF8" w:rsidTr="00783BF2">
        <w:trPr>
          <w:trHeight w:val="20"/>
        </w:trPr>
        <w:tc>
          <w:tcPr>
            <w:tcW w:w="2052" w:type="dxa"/>
            <w:noWrap/>
            <w:hideMark/>
          </w:tcPr>
          <w:p w14:paraId="0FA1D287" w14:textId="77777777" w:rsidR="00E908E0" w:rsidRPr="00B457F5" w:rsidRDefault="00E908E0" w:rsidP="00783BF2">
            <w:pPr>
              <w:spacing w:before="0" w:after="0"/>
              <w:rPr>
                <w:rFonts w:ascii="Garamond" w:eastAsia="Times New Roman" w:hAnsi="Garamond" w:cs="Times New Roman"/>
                <w:i/>
                <w:iCs/>
                <w:sz w:val="16"/>
                <w:szCs w:val="16"/>
              </w:rPr>
            </w:pPr>
            <w:r w:rsidRPr="00B457F5">
              <w:rPr>
                <w:rFonts w:ascii="Garamond" w:eastAsia="Times New Roman" w:hAnsi="Garamond" w:cs="Times New Roman"/>
                <w:i/>
                <w:iCs/>
                <w:sz w:val="16"/>
                <w:szCs w:val="16"/>
              </w:rPr>
              <w:t>Estoni</w:t>
            </w:r>
          </w:p>
        </w:tc>
        <w:tc>
          <w:tcPr>
            <w:tcW w:w="2160" w:type="dxa"/>
            <w:noWrap/>
            <w:vAlign w:val="center"/>
            <w:hideMark/>
          </w:tcPr>
          <w:p w14:paraId="4E163C31"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11</w:t>
            </w:r>
          </w:p>
        </w:tc>
        <w:tc>
          <w:tcPr>
            <w:tcW w:w="1980" w:type="dxa"/>
            <w:noWrap/>
            <w:vAlign w:val="center"/>
            <w:hideMark/>
          </w:tcPr>
          <w:p w14:paraId="460FF1A7"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9</w:t>
            </w:r>
          </w:p>
        </w:tc>
        <w:tc>
          <w:tcPr>
            <w:tcW w:w="2250" w:type="dxa"/>
            <w:noWrap/>
            <w:vAlign w:val="center"/>
            <w:hideMark/>
          </w:tcPr>
          <w:p w14:paraId="6CB662F1"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10</w:t>
            </w:r>
          </w:p>
        </w:tc>
        <w:tc>
          <w:tcPr>
            <w:tcW w:w="2070" w:type="dxa"/>
          </w:tcPr>
          <w:p w14:paraId="15ADAB22" w14:textId="1A4CC91D" w:rsidR="00E908E0" w:rsidRPr="00B457F5" w:rsidRDefault="00DB6525"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6</w:t>
            </w:r>
          </w:p>
        </w:tc>
      </w:tr>
      <w:tr w:rsidR="00E908E0" w:rsidRPr="00B457F5" w14:paraId="3B5A5B88" w14:textId="428B056D" w:rsidTr="00783BF2">
        <w:trPr>
          <w:trHeight w:val="20"/>
        </w:trPr>
        <w:tc>
          <w:tcPr>
            <w:tcW w:w="2052" w:type="dxa"/>
            <w:noWrap/>
            <w:hideMark/>
          </w:tcPr>
          <w:p w14:paraId="611F2F6F" w14:textId="77777777" w:rsidR="00E908E0" w:rsidRPr="00B457F5" w:rsidRDefault="00E908E0" w:rsidP="00783BF2">
            <w:pPr>
              <w:spacing w:before="0" w:after="0"/>
              <w:rPr>
                <w:rFonts w:ascii="Garamond" w:eastAsia="Times New Roman" w:hAnsi="Garamond" w:cs="Times New Roman"/>
                <w:i/>
                <w:iCs/>
                <w:sz w:val="16"/>
                <w:szCs w:val="16"/>
              </w:rPr>
            </w:pPr>
            <w:r w:rsidRPr="00B457F5">
              <w:rPr>
                <w:rFonts w:ascii="Garamond" w:eastAsia="Times New Roman" w:hAnsi="Garamond" w:cs="Times New Roman"/>
                <w:i/>
                <w:iCs/>
                <w:sz w:val="16"/>
                <w:szCs w:val="16"/>
              </w:rPr>
              <w:t>Irlandë</w:t>
            </w:r>
          </w:p>
        </w:tc>
        <w:tc>
          <w:tcPr>
            <w:tcW w:w="2160" w:type="dxa"/>
            <w:noWrap/>
            <w:vAlign w:val="center"/>
            <w:hideMark/>
          </w:tcPr>
          <w:p w14:paraId="046BA26C"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142</w:t>
            </w:r>
          </w:p>
        </w:tc>
        <w:tc>
          <w:tcPr>
            <w:tcW w:w="1980" w:type="dxa"/>
            <w:noWrap/>
            <w:vAlign w:val="center"/>
            <w:hideMark/>
          </w:tcPr>
          <w:p w14:paraId="3042CEB2"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104</w:t>
            </w:r>
          </w:p>
        </w:tc>
        <w:tc>
          <w:tcPr>
            <w:tcW w:w="2250" w:type="dxa"/>
            <w:noWrap/>
            <w:vAlign w:val="center"/>
            <w:hideMark/>
          </w:tcPr>
          <w:p w14:paraId="0E0044C1"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151</w:t>
            </w:r>
          </w:p>
        </w:tc>
        <w:tc>
          <w:tcPr>
            <w:tcW w:w="2070" w:type="dxa"/>
          </w:tcPr>
          <w:p w14:paraId="6A5C0AC6" w14:textId="4E90F9ED" w:rsidR="00E908E0" w:rsidRPr="00B457F5" w:rsidRDefault="00DB6525"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468</w:t>
            </w:r>
          </w:p>
        </w:tc>
      </w:tr>
      <w:tr w:rsidR="00E908E0" w:rsidRPr="00B457F5" w14:paraId="4757EFE1" w14:textId="68164883" w:rsidTr="00783BF2">
        <w:trPr>
          <w:trHeight w:val="20"/>
        </w:trPr>
        <w:tc>
          <w:tcPr>
            <w:tcW w:w="2052" w:type="dxa"/>
            <w:noWrap/>
            <w:hideMark/>
          </w:tcPr>
          <w:p w14:paraId="14764BD2" w14:textId="77777777" w:rsidR="00E908E0" w:rsidRPr="00B457F5" w:rsidRDefault="00E908E0" w:rsidP="00783BF2">
            <w:pPr>
              <w:spacing w:before="0" w:after="0"/>
              <w:rPr>
                <w:rFonts w:ascii="Garamond" w:eastAsia="Times New Roman" w:hAnsi="Garamond" w:cs="Times New Roman"/>
                <w:i/>
                <w:iCs/>
                <w:sz w:val="16"/>
                <w:szCs w:val="16"/>
              </w:rPr>
            </w:pPr>
            <w:r w:rsidRPr="00B457F5">
              <w:rPr>
                <w:rFonts w:ascii="Garamond" w:eastAsia="Times New Roman" w:hAnsi="Garamond" w:cs="Times New Roman"/>
                <w:i/>
                <w:iCs/>
                <w:sz w:val="16"/>
                <w:szCs w:val="16"/>
              </w:rPr>
              <w:t>Greqi</w:t>
            </w:r>
          </w:p>
        </w:tc>
        <w:tc>
          <w:tcPr>
            <w:tcW w:w="2160" w:type="dxa"/>
            <w:noWrap/>
            <w:vAlign w:val="center"/>
            <w:hideMark/>
          </w:tcPr>
          <w:p w14:paraId="194781D8"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15,733</w:t>
            </w:r>
          </w:p>
        </w:tc>
        <w:tc>
          <w:tcPr>
            <w:tcW w:w="1980" w:type="dxa"/>
            <w:noWrap/>
            <w:vAlign w:val="center"/>
            <w:hideMark/>
          </w:tcPr>
          <w:p w14:paraId="674D0B0A"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7,768</w:t>
            </w:r>
          </w:p>
        </w:tc>
        <w:tc>
          <w:tcPr>
            <w:tcW w:w="2250" w:type="dxa"/>
            <w:noWrap/>
            <w:vAlign w:val="center"/>
            <w:hideMark/>
          </w:tcPr>
          <w:p w14:paraId="11AD7B18"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10,201</w:t>
            </w:r>
          </w:p>
        </w:tc>
        <w:tc>
          <w:tcPr>
            <w:tcW w:w="2070" w:type="dxa"/>
          </w:tcPr>
          <w:p w14:paraId="39E8A9B9" w14:textId="33079121" w:rsidR="00E908E0" w:rsidRPr="00B457F5" w:rsidRDefault="00DB6525"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14,313</w:t>
            </w:r>
          </w:p>
        </w:tc>
      </w:tr>
      <w:tr w:rsidR="00E908E0" w:rsidRPr="00B457F5" w14:paraId="3FF2C36C" w14:textId="2DC3F9C5" w:rsidTr="00783BF2">
        <w:trPr>
          <w:trHeight w:val="20"/>
        </w:trPr>
        <w:tc>
          <w:tcPr>
            <w:tcW w:w="2052" w:type="dxa"/>
            <w:noWrap/>
            <w:hideMark/>
          </w:tcPr>
          <w:p w14:paraId="139A725E" w14:textId="77777777" w:rsidR="00E908E0" w:rsidRPr="00B457F5" w:rsidRDefault="00E908E0" w:rsidP="00783BF2">
            <w:pPr>
              <w:spacing w:before="0" w:after="0"/>
              <w:rPr>
                <w:rFonts w:ascii="Garamond" w:eastAsia="Times New Roman" w:hAnsi="Garamond" w:cs="Times New Roman"/>
                <w:i/>
                <w:iCs/>
                <w:sz w:val="16"/>
                <w:szCs w:val="16"/>
              </w:rPr>
            </w:pPr>
            <w:r w:rsidRPr="00B457F5">
              <w:rPr>
                <w:rFonts w:ascii="Garamond" w:eastAsia="Times New Roman" w:hAnsi="Garamond" w:cs="Times New Roman"/>
                <w:i/>
                <w:iCs/>
                <w:sz w:val="16"/>
                <w:szCs w:val="16"/>
              </w:rPr>
              <w:t>Spanjë</w:t>
            </w:r>
          </w:p>
        </w:tc>
        <w:tc>
          <w:tcPr>
            <w:tcW w:w="2160" w:type="dxa"/>
            <w:noWrap/>
            <w:vAlign w:val="center"/>
            <w:hideMark/>
          </w:tcPr>
          <w:p w14:paraId="27223BA5"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312</w:t>
            </w:r>
          </w:p>
        </w:tc>
        <w:tc>
          <w:tcPr>
            <w:tcW w:w="1980" w:type="dxa"/>
            <w:noWrap/>
            <w:vAlign w:val="center"/>
            <w:hideMark/>
          </w:tcPr>
          <w:p w14:paraId="6756E4F5"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422</w:t>
            </w:r>
          </w:p>
        </w:tc>
        <w:tc>
          <w:tcPr>
            <w:tcW w:w="2250" w:type="dxa"/>
            <w:noWrap/>
            <w:vAlign w:val="center"/>
            <w:hideMark/>
          </w:tcPr>
          <w:p w14:paraId="0B9A77CE"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622</w:t>
            </w:r>
          </w:p>
        </w:tc>
        <w:tc>
          <w:tcPr>
            <w:tcW w:w="2070" w:type="dxa"/>
          </w:tcPr>
          <w:p w14:paraId="5251D30E" w14:textId="453672D0" w:rsidR="00E908E0" w:rsidRPr="00B457F5" w:rsidRDefault="00DB6525"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723</w:t>
            </w:r>
          </w:p>
        </w:tc>
      </w:tr>
      <w:tr w:rsidR="00E908E0" w:rsidRPr="00B457F5" w14:paraId="6790486A" w14:textId="281AADC8" w:rsidTr="00783BF2">
        <w:trPr>
          <w:trHeight w:val="20"/>
        </w:trPr>
        <w:tc>
          <w:tcPr>
            <w:tcW w:w="2052" w:type="dxa"/>
            <w:noWrap/>
            <w:hideMark/>
          </w:tcPr>
          <w:p w14:paraId="5F3FD8CE" w14:textId="77777777" w:rsidR="00E908E0" w:rsidRPr="00B457F5" w:rsidRDefault="00E908E0" w:rsidP="00783BF2">
            <w:pPr>
              <w:spacing w:before="0" w:after="0"/>
              <w:rPr>
                <w:rFonts w:ascii="Garamond" w:eastAsia="Times New Roman" w:hAnsi="Garamond" w:cs="Times New Roman"/>
                <w:i/>
                <w:iCs/>
                <w:sz w:val="16"/>
                <w:szCs w:val="16"/>
              </w:rPr>
            </w:pPr>
            <w:r w:rsidRPr="00B457F5">
              <w:rPr>
                <w:rFonts w:ascii="Garamond" w:eastAsia="Times New Roman" w:hAnsi="Garamond" w:cs="Times New Roman"/>
                <w:i/>
                <w:iCs/>
                <w:sz w:val="16"/>
                <w:szCs w:val="16"/>
              </w:rPr>
              <w:t>Francë</w:t>
            </w:r>
          </w:p>
        </w:tc>
        <w:tc>
          <w:tcPr>
            <w:tcW w:w="2160" w:type="dxa"/>
            <w:noWrap/>
            <w:vAlign w:val="center"/>
            <w:hideMark/>
          </w:tcPr>
          <w:p w14:paraId="2F6D371F"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2,344</w:t>
            </w:r>
          </w:p>
        </w:tc>
        <w:tc>
          <w:tcPr>
            <w:tcW w:w="1980" w:type="dxa"/>
            <w:noWrap/>
            <w:vAlign w:val="center"/>
            <w:hideMark/>
          </w:tcPr>
          <w:p w14:paraId="0BE86367"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1,951</w:t>
            </w:r>
          </w:p>
        </w:tc>
        <w:tc>
          <w:tcPr>
            <w:tcW w:w="2250" w:type="dxa"/>
            <w:noWrap/>
            <w:vAlign w:val="center"/>
            <w:hideMark/>
          </w:tcPr>
          <w:p w14:paraId="6D3A104D"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2,313</w:t>
            </w:r>
          </w:p>
        </w:tc>
        <w:tc>
          <w:tcPr>
            <w:tcW w:w="2070" w:type="dxa"/>
          </w:tcPr>
          <w:p w14:paraId="2289A880" w14:textId="2AC50284" w:rsidR="00E908E0" w:rsidRPr="00B457F5" w:rsidRDefault="00F17935"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2,455</w:t>
            </w:r>
          </w:p>
        </w:tc>
      </w:tr>
      <w:tr w:rsidR="00E908E0" w:rsidRPr="00B457F5" w14:paraId="7E643A93" w14:textId="1611FDFC" w:rsidTr="00783BF2">
        <w:trPr>
          <w:trHeight w:val="20"/>
        </w:trPr>
        <w:tc>
          <w:tcPr>
            <w:tcW w:w="2052" w:type="dxa"/>
            <w:noWrap/>
            <w:hideMark/>
          </w:tcPr>
          <w:p w14:paraId="253700D2" w14:textId="77777777" w:rsidR="00E908E0" w:rsidRPr="00B457F5" w:rsidRDefault="00E908E0" w:rsidP="00783BF2">
            <w:pPr>
              <w:spacing w:before="0" w:after="0"/>
              <w:rPr>
                <w:rFonts w:ascii="Garamond" w:eastAsia="Times New Roman" w:hAnsi="Garamond" w:cs="Times New Roman"/>
                <w:i/>
                <w:iCs/>
                <w:sz w:val="16"/>
                <w:szCs w:val="16"/>
              </w:rPr>
            </w:pPr>
            <w:r w:rsidRPr="00B457F5">
              <w:rPr>
                <w:rFonts w:ascii="Garamond" w:eastAsia="Times New Roman" w:hAnsi="Garamond" w:cs="Times New Roman"/>
                <w:i/>
                <w:iCs/>
                <w:sz w:val="16"/>
                <w:szCs w:val="16"/>
              </w:rPr>
              <w:t>Kroaci</w:t>
            </w:r>
          </w:p>
        </w:tc>
        <w:tc>
          <w:tcPr>
            <w:tcW w:w="2160" w:type="dxa"/>
            <w:noWrap/>
            <w:vAlign w:val="center"/>
            <w:hideMark/>
          </w:tcPr>
          <w:p w14:paraId="4A274ADC"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2,216</w:t>
            </w:r>
          </w:p>
        </w:tc>
        <w:tc>
          <w:tcPr>
            <w:tcW w:w="1980" w:type="dxa"/>
            <w:noWrap/>
            <w:vAlign w:val="center"/>
            <w:hideMark/>
          </w:tcPr>
          <w:p w14:paraId="606FBA34"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1,695</w:t>
            </w:r>
          </w:p>
        </w:tc>
        <w:tc>
          <w:tcPr>
            <w:tcW w:w="2250" w:type="dxa"/>
            <w:noWrap/>
            <w:vAlign w:val="center"/>
            <w:hideMark/>
          </w:tcPr>
          <w:p w14:paraId="39474664"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1,819</w:t>
            </w:r>
          </w:p>
        </w:tc>
        <w:tc>
          <w:tcPr>
            <w:tcW w:w="2070" w:type="dxa"/>
          </w:tcPr>
          <w:p w14:paraId="4B496AF6" w14:textId="0BB61CCB" w:rsidR="00E908E0" w:rsidRPr="00B457F5" w:rsidRDefault="00F17935"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2,003</w:t>
            </w:r>
          </w:p>
        </w:tc>
      </w:tr>
      <w:tr w:rsidR="00E908E0" w:rsidRPr="00B457F5" w14:paraId="15EFD132" w14:textId="5A9944F8" w:rsidTr="00783BF2">
        <w:trPr>
          <w:trHeight w:val="20"/>
        </w:trPr>
        <w:tc>
          <w:tcPr>
            <w:tcW w:w="2052" w:type="dxa"/>
            <w:noWrap/>
            <w:hideMark/>
          </w:tcPr>
          <w:p w14:paraId="662807D8" w14:textId="77777777" w:rsidR="00E908E0" w:rsidRPr="00B457F5" w:rsidRDefault="00E908E0" w:rsidP="00783BF2">
            <w:pPr>
              <w:spacing w:before="0" w:after="0"/>
              <w:rPr>
                <w:rFonts w:ascii="Garamond" w:eastAsia="Times New Roman" w:hAnsi="Garamond" w:cs="Times New Roman"/>
                <w:i/>
                <w:iCs/>
                <w:sz w:val="16"/>
                <w:szCs w:val="16"/>
              </w:rPr>
            </w:pPr>
            <w:r w:rsidRPr="00B457F5">
              <w:rPr>
                <w:rFonts w:ascii="Garamond" w:eastAsia="Times New Roman" w:hAnsi="Garamond" w:cs="Times New Roman"/>
                <w:i/>
                <w:iCs/>
                <w:sz w:val="16"/>
                <w:szCs w:val="16"/>
              </w:rPr>
              <w:t>Itali</w:t>
            </w:r>
          </w:p>
        </w:tc>
        <w:tc>
          <w:tcPr>
            <w:tcW w:w="2160" w:type="dxa"/>
            <w:noWrap/>
            <w:vAlign w:val="center"/>
            <w:hideMark/>
          </w:tcPr>
          <w:p w14:paraId="28C1DFC8"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21,221</w:t>
            </w:r>
          </w:p>
        </w:tc>
        <w:tc>
          <w:tcPr>
            <w:tcW w:w="1980" w:type="dxa"/>
            <w:noWrap/>
            <w:vAlign w:val="center"/>
            <w:hideMark/>
          </w:tcPr>
          <w:p w14:paraId="30B2CE3A"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13,627</w:t>
            </w:r>
          </w:p>
        </w:tc>
        <w:tc>
          <w:tcPr>
            <w:tcW w:w="2250" w:type="dxa"/>
            <w:noWrap/>
            <w:vAlign w:val="center"/>
            <w:hideMark/>
          </w:tcPr>
          <w:p w14:paraId="569E675A"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29,732</w:t>
            </w:r>
          </w:p>
        </w:tc>
        <w:tc>
          <w:tcPr>
            <w:tcW w:w="2070" w:type="dxa"/>
          </w:tcPr>
          <w:p w14:paraId="44F7C39F" w14:textId="43BADF20" w:rsidR="00E908E0" w:rsidRPr="00B457F5" w:rsidRDefault="00F17935"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34,864</w:t>
            </w:r>
          </w:p>
        </w:tc>
      </w:tr>
      <w:tr w:rsidR="00E908E0" w:rsidRPr="00B457F5" w14:paraId="2E0D5C49" w14:textId="70188952" w:rsidTr="00783BF2">
        <w:trPr>
          <w:trHeight w:val="20"/>
        </w:trPr>
        <w:tc>
          <w:tcPr>
            <w:tcW w:w="2052" w:type="dxa"/>
            <w:noWrap/>
            <w:hideMark/>
          </w:tcPr>
          <w:p w14:paraId="2C393B6A" w14:textId="77777777" w:rsidR="00E908E0" w:rsidRPr="00B457F5" w:rsidRDefault="00E908E0" w:rsidP="00783BF2">
            <w:pPr>
              <w:spacing w:before="0" w:after="0"/>
              <w:rPr>
                <w:rFonts w:ascii="Garamond" w:eastAsia="Times New Roman" w:hAnsi="Garamond" w:cs="Times New Roman"/>
                <w:i/>
                <w:iCs/>
                <w:sz w:val="16"/>
                <w:szCs w:val="16"/>
              </w:rPr>
            </w:pPr>
            <w:r w:rsidRPr="00B457F5">
              <w:rPr>
                <w:rFonts w:ascii="Garamond" w:eastAsia="Times New Roman" w:hAnsi="Garamond" w:cs="Times New Roman"/>
                <w:i/>
                <w:iCs/>
                <w:sz w:val="16"/>
                <w:szCs w:val="16"/>
              </w:rPr>
              <w:t>Qipro</w:t>
            </w:r>
          </w:p>
        </w:tc>
        <w:tc>
          <w:tcPr>
            <w:tcW w:w="2160" w:type="dxa"/>
            <w:noWrap/>
            <w:vAlign w:val="center"/>
            <w:hideMark/>
          </w:tcPr>
          <w:p w14:paraId="2AA91997"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59</w:t>
            </w:r>
          </w:p>
        </w:tc>
        <w:tc>
          <w:tcPr>
            <w:tcW w:w="1980" w:type="dxa"/>
            <w:noWrap/>
            <w:vAlign w:val="center"/>
            <w:hideMark/>
          </w:tcPr>
          <w:p w14:paraId="344785A8"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33</w:t>
            </w:r>
          </w:p>
        </w:tc>
        <w:tc>
          <w:tcPr>
            <w:tcW w:w="2250" w:type="dxa"/>
            <w:noWrap/>
            <w:vAlign w:val="center"/>
            <w:hideMark/>
          </w:tcPr>
          <w:p w14:paraId="36DF42AB"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33</w:t>
            </w:r>
          </w:p>
        </w:tc>
        <w:tc>
          <w:tcPr>
            <w:tcW w:w="2070" w:type="dxa"/>
          </w:tcPr>
          <w:p w14:paraId="7858F177" w14:textId="129B8357" w:rsidR="00E908E0" w:rsidRPr="00B457F5" w:rsidRDefault="00F17935"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65</w:t>
            </w:r>
          </w:p>
        </w:tc>
      </w:tr>
      <w:tr w:rsidR="00E908E0" w:rsidRPr="00B457F5" w14:paraId="49F26150" w14:textId="07346AFA" w:rsidTr="00783BF2">
        <w:trPr>
          <w:trHeight w:val="20"/>
        </w:trPr>
        <w:tc>
          <w:tcPr>
            <w:tcW w:w="2052" w:type="dxa"/>
            <w:noWrap/>
            <w:hideMark/>
          </w:tcPr>
          <w:p w14:paraId="519A1EE8" w14:textId="77777777" w:rsidR="00E908E0" w:rsidRPr="00B457F5" w:rsidRDefault="00E908E0" w:rsidP="00783BF2">
            <w:pPr>
              <w:spacing w:before="0" w:after="0"/>
              <w:rPr>
                <w:rFonts w:ascii="Garamond" w:eastAsia="Times New Roman" w:hAnsi="Garamond" w:cs="Times New Roman"/>
                <w:i/>
                <w:iCs/>
                <w:sz w:val="16"/>
                <w:szCs w:val="16"/>
              </w:rPr>
            </w:pPr>
            <w:r w:rsidRPr="00B457F5">
              <w:rPr>
                <w:rFonts w:ascii="Garamond" w:eastAsia="Times New Roman" w:hAnsi="Garamond" w:cs="Times New Roman"/>
                <w:i/>
                <w:iCs/>
                <w:sz w:val="16"/>
                <w:szCs w:val="16"/>
              </w:rPr>
              <w:t>Lituani</w:t>
            </w:r>
          </w:p>
        </w:tc>
        <w:tc>
          <w:tcPr>
            <w:tcW w:w="2160" w:type="dxa"/>
            <w:noWrap/>
            <w:vAlign w:val="center"/>
            <w:hideMark/>
          </w:tcPr>
          <w:p w14:paraId="20A08193"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26</w:t>
            </w:r>
          </w:p>
        </w:tc>
        <w:tc>
          <w:tcPr>
            <w:tcW w:w="1980" w:type="dxa"/>
            <w:noWrap/>
            <w:vAlign w:val="center"/>
            <w:hideMark/>
          </w:tcPr>
          <w:p w14:paraId="4897AF55"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12</w:t>
            </w:r>
          </w:p>
        </w:tc>
        <w:tc>
          <w:tcPr>
            <w:tcW w:w="2250" w:type="dxa"/>
            <w:noWrap/>
            <w:vAlign w:val="center"/>
            <w:hideMark/>
          </w:tcPr>
          <w:p w14:paraId="7E2E1BED"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15</w:t>
            </w:r>
          </w:p>
        </w:tc>
        <w:tc>
          <w:tcPr>
            <w:tcW w:w="2070" w:type="dxa"/>
          </w:tcPr>
          <w:p w14:paraId="00F8BF55" w14:textId="6E0EFDE3" w:rsidR="00E908E0" w:rsidRPr="00B457F5" w:rsidRDefault="00F17935"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35</w:t>
            </w:r>
          </w:p>
        </w:tc>
      </w:tr>
      <w:tr w:rsidR="00E908E0" w:rsidRPr="00B457F5" w14:paraId="3FB70CD1" w14:textId="61D0D06E" w:rsidTr="00783BF2">
        <w:trPr>
          <w:trHeight w:val="20"/>
        </w:trPr>
        <w:tc>
          <w:tcPr>
            <w:tcW w:w="2052" w:type="dxa"/>
            <w:noWrap/>
            <w:hideMark/>
          </w:tcPr>
          <w:p w14:paraId="728C0A9C" w14:textId="77777777" w:rsidR="00E908E0" w:rsidRPr="00B457F5" w:rsidRDefault="00E908E0" w:rsidP="00783BF2">
            <w:pPr>
              <w:spacing w:before="0" w:after="0"/>
              <w:rPr>
                <w:rFonts w:ascii="Garamond" w:eastAsia="Times New Roman" w:hAnsi="Garamond" w:cs="Times New Roman"/>
                <w:i/>
                <w:iCs/>
                <w:sz w:val="16"/>
                <w:szCs w:val="16"/>
              </w:rPr>
            </w:pPr>
            <w:r w:rsidRPr="00B457F5">
              <w:rPr>
                <w:rFonts w:ascii="Garamond" w:eastAsia="Times New Roman" w:hAnsi="Garamond" w:cs="Times New Roman"/>
                <w:i/>
                <w:iCs/>
                <w:sz w:val="16"/>
                <w:szCs w:val="16"/>
              </w:rPr>
              <w:t>Luksemburg</w:t>
            </w:r>
          </w:p>
        </w:tc>
        <w:tc>
          <w:tcPr>
            <w:tcW w:w="2160" w:type="dxa"/>
            <w:noWrap/>
            <w:vAlign w:val="center"/>
            <w:hideMark/>
          </w:tcPr>
          <w:p w14:paraId="017FE6A1"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157</w:t>
            </w:r>
          </w:p>
        </w:tc>
        <w:tc>
          <w:tcPr>
            <w:tcW w:w="1980" w:type="dxa"/>
            <w:noWrap/>
            <w:vAlign w:val="center"/>
            <w:hideMark/>
          </w:tcPr>
          <w:p w14:paraId="22BF6DF4"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138</w:t>
            </w:r>
          </w:p>
        </w:tc>
        <w:tc>
          <w:tcPr>
            <w:tcW w:w="2250" w:type="dxa"/>
            <w:noWrap/>
            <w:vAlign w:val="center"/>
            <w:hideMark/>
          </w:tcPr>
          <w:p w14:paraId="24E9FDB7"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140</w:t>
            </w:r>
          </w:p>
        </w:tc>
        <w:tc>
          <w:tcPr>
            <w:tcW w:w="2070" w:type="dxa"/>
          </w:tcPr>
          <w:p w14:paraId="22D900C7" w14:textId="10B6471E" w:rsidR="00E908E0" w:rsidRPr="00B457F5" w:rsidRDefault="00F17935"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177</w:t>
            </w:r>
          </w:p>
        </w:tc>
      </w:tr>
      <w:tr w:rsidR="00E908E0" w:rsidRPr="00B457F5" w14:paraId="5ED57966" w14:textId="79FF980C" w:rsidTr="00783BF2">
        <w:trPr>
          <w:trHeight w:val="20"/>
        </w:trPr>
        <w:tc>
          <w:tcPr>
            <w:tcW w:w="2052" w:type="dxa"/>
            <w:noWrap/>
            <w:hideMark/>
          </w:tcPr>
          <w:p w14:paraId="6C737A03" w14:textId="77777777" w:rsidR="00E908E0" w:rsidRPr="00B457F5" w:rsidRDefault="00E908E0" w:rsidP="00783BF2">
            <w:pPr>
              <w:spacing w:before="0" w:after="0"/>
              <w:rPr>
                <w:rFonts w:ascii="Garamond" w:eastAsia="Times New Roman" w:hAnsi="Garamond" w:cs="Times New Roman"/>
                <w:i/>
                <w:iCs/>
                <w:sz w:val="16"/>
                <w:szCs w:val="16"/>
              </w:rPr>
            </w:pPr>
            <w:r w:rsidRPr="00B457F5">
              <w:rPr>
                <w:rFonts w:ascii="Garamond" w:eastAsia="Times New Roman" w:hAnsi="Garamond" w:cs="Times New Roman"/>
                <w:i/>
                <w:iCs/>
                <w:sz w:val="16"/>
                <w:szCs w:val="16"/>
              </w:rPr>
              <w:t>Hungari</w:t>
            </w:r>
          </w:p>
        </w:tc>
        <w:tc>
          <w:tcPr>
            <w:tcW w:w="2160" w:type="dxa"/>
            <w:noWrap/>
            <w:vAlign w:val="center"/>
            <w:hideMark/>
          </w:tcPr>
          <w:p w14:paraId="251CC392"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335</w:t>
            </w:r>
          </w:p>
        </w:tc>
        <w:tc>
          <w:tcPr>
            <w:tcW w:w="1980" w:type="dxa"/>
            <w:noWrap/>
            <w:vAlign w:val="center"/>
            <w:hideMark/>
          </w:tcPr>
          <w:p w14:paraId="5B8782E4"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246</w:t>
            </w:r>
          </w:p>
        </w:tc>
        <w:tc>
          <w:tcPr>
            <w:tcW w:w="2250" w:type="dxa"/>
            <w:noWrap/>
            <w:vAlign w:val="center"/>
            <w:hideMark/>
          </w:tcPr>
          <w:p w14:paraId="78B55046"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275</w:t>
            </w:r>
          </w:p>
        </w:tc>
        <w:tc>
          <w:tcPr>
            <w:tcW w:w="2070" w:type="dxa"/>
          </w:tcPr>
          <w:p w14:paraId="5D7908AE" w14:textId="1B6F68DA" w:rsidR="00E908E0" w:rsidRPr="00B457F5" w:rsidRDefault="00F17935"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321</w:t>
            </w:r>
          </w:p>
        </w:tc>
      </w:tr>
      <w:tr w:rsidR="00E908E0" w:rsidRPr="00B457F5" w14:paraId="0DF8327C" w14:textId="074EF306" w:rsidTr="00783BF2">
        <w:trPr>
          <w:trHeight w:val="20"/>
        </w:trPr>
        <w:tc>
          <w:tcPr>
            <w:tcW w:w="2052" w:type="dxa"/>
            <w:noWrap/>
            <w:hideMark/>
          </w:tcPr>
          <w:p w14:paraId="3E9F3484" w14:textId="77777777" w:rsidR="00E908E0" w:rsidRPr="00B457F5" w:rsidRDefault="00E908E0" w:rsidP="00783BF2">
            <w:pPr>
              <w:spacing w:before="0" w:after="0"/>
              <w:rPr>
                <w:rFonts w:ascii="Garamond" w:eastAsia="Times New Roman" w:hAnsi="Garamond" w:cs="Times New Roman"/>
                <w:i/>
                <w:iCs/>
                <w:sz w:val="16"/>
                <w:szCs w:val="16"/>
              </w:rPr>
            </w:pPr>
            <w:r w:rsidRPr="00B457F5">
              <w:rPr>
                <w:rFonts w:ascii="Garamond" w:eastAsia="Times New Roman" w:hAnsi="Garamond" w:cs="Times New Roman"/>
                <w:i/>
                <w:iCs/>
                <w:sz w:val="16"/>
                <w:szCs w:val="16"/>
              </w:rPr>
              <w:t>Maltë</w:t>
            </w:r>
          </w:p>
        </w:tc>
        <w:tc>
          <w:tcPr>
            <w:tcW w:w="2160" w:type="dxa"/>
            <w:noWrap/>
            <w:vAlign w:val="center"/>
            <w:hideMark/>
          </w:tcPr>
          <w:p w14:paraId="7CAE8C75" w14:textId="74E44FDF" w:rsidR="00E908E0" w:rsidRPr="00B457F5" w:rsidRDefault="00F17935"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1,178</w:t>
            </w:r>
          </w:p>
        </w:tc>
        <w:tc>
          <w:tcPr>
            <w:tcW w:w="1980" w:type="dxa"/>
            <w:noWrap/>
            <w:vAlign w:val="center"/>
            <w:hideMark/>
          </w:tcPr>
          <w:p w14:paraId="4F4F62E8" w14:textId="51B6F73D" w:rsidR="00E908E0" w:rsidRPr="00B457F5" w:rsidRDefault="00F17935"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415</w:t>
            </w:r>
          </w:p>
        </w:tc>
        <w:tc>
          <w:tcPr>
            <w:tcW w:w="2250" w:type="dxa"/>
            <w:noWrap/>
            <w:vAlign w:val="center"/>
            <w:hideMark/>
          </w:tcPr>
          <w:p w14:paraId="3392489B" w14:textId="0F794BDF" w:rsidR="00E908E0" w:rsidRPr="00B457F5" w:rsidRDefault="00F17935"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1,142</w:t>
            </w:r>
          </w:p>
        </w:tc>
        <w:tc>
          <w:tcPr>
            <w:tcW w:w="2070" w:type="dxa"/>
          </w:tcPr>
          <w:p w14:paraId="7ACDF1A9" w14:textId="5EDD5735" w:rsidR="00E908E0" w:rsidRPr="00B457F5" w:rsidRDefault="00F17935"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2,009</w:t>
            </w:r>
          </w:p>
        </w:tc>
      </w:tr>
      <w:tr w:rsidR="00E908E0" w:rsidRPr="00B457F5" w14:paraId="24A3D541" w14:textId="49BCE159" w:rsidTr="00783BF2">
        <w:trPr>
          <w:trHeight w:val="20"/>
        </w:trPr>
        <w:tc>
          <w:tcPr>
            <w:tcW w:w="2052" w:type="dxa"/>
            <w:noWrap/>
            <w:hideMark/>
          </w:tcPr>
          <w:p w14:paraId="05B5802A" w14:textId="77777777" w:rsidR="00E908E0" w:rsidRPr="00B457F5" w:rsidRDefault="00E908E0" w:rsidP="00783BF2">
            <w:pPr>
              <w:spacing w:before="0" w:after="0"/>
              <w:rPr>
                <w:rFonts w:ascii="Garamond" w:eastAsia="Times New Roman" w:hAnsi="Garamond" w:cs="Times New Roman"/>
                <w:i/>
                <w:iCs/>
                <w:sz w:val="16"/>
                <w:szCs w:val="16"/>
              </w:rPr>
            </w:pPr>
            <w:r w:rsidRPr="00B457F5">
              <w:rPr>
                <w:rFonts w:ascii="Garamond" w:eastAsia="Times New Roman" w:hAnsi="Garamond" w:cs="Times New Roman"/>
                <w:i/>
                <w:iCs/>
                <w:sz w:val="16"/>
                <w:szCs w:val="16"/>
              </w:rPr>
              <w:t>Holandë</w:t>
            </w:r>
          </w:p>
        </w:tc>
        <w:tc>
          <w:tcPr>
            <w:tcW w:w="2160" w:type="dxa"/>
            <w:noWrap/>
            <w:vAlign w:val="center"/>
            <w:hideMark/>
          </w:tcPr>
          <w:p w14:paraId="1F0278D1"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357</w:t>
            </w:r>
          </w:p>
        </w:tc>
        <w:tc>
          <w:tcPr>
            <w:tcW w:w="1980" w:type="dxa"/>
            <w:noWrap/>
            <w:vAlign w:val="center"/>
            <w:hideMark/>
          </w:tcPr>
          <w:p w14:paraId="3CE1AE30"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244</w:t>
            </w:r>
          </w:p>
        </w:tc>
        <w:tc>
          <w:tcPr>
            <w:tcW w:w="2250" w:type="dxa"/>
            <w:noWrap/>
            <w:vAlign w:val="center"/>
            <w:hideMark/>
          </w:tcPr>
          <w:p w14:paraId="38E42D1F"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299</w:t>
            </w:r>
          </w:p>
        </w:tc>
        <w:tc>
          <w:tcPr>
            <w:tcW w:w="2070" w:type="dxa"/>
          </w:tcPr>
          <w:p w14:paraId="6E1DDE08" w14:textId="008E9093" w:rsidR="00E908E0" w:rsidRPr="00B457F5" w:rsidRDefault="00F17935"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444</w:t>
            </w:r>
          </w:p>
        </w:tc>
      </w:tr>
      <w:tr w:rsidR="00E908E0" w:rsidRPr="00B457F5" w14:paraId="5841EE5F" w14:textId="0ADBDCC9" w:rsidTr="00783BF2">
        <w:trPr>
          <w:trHeight w:val="20"/>
        </w:trPr>
        <w:tc>
          <w:tcPr>
            <w:tcW w:w="2052" w:type="dxa"/>
            <w:noWrap/>
            <w:hideMark/>
          </w:tcPr>
          <w:p w14:paraId="3C38F408" w14:textId="77777777" w:rsidR="00E908E0" w:rsidRPr="00B457F5" w:rsidRDefault="00E908E0" w:rsidP="00783BF2">
            <w:pPr>
              <w:spacing w:before="0" w:after="0"/>
              <w:rPr>
                <w:rFonts w:ascii="Garamond" w:eastAsia="Times New Roman" w:hAnsi="Garamond" w:cs="Times New Roman"/>
                <w:i/>
                <w:iCs/>
                <w:sz w:val="16"/>
                <w:szCs w:val="16"/>
              </w:rPr>
            </w:pPr>
            <w:r w:rsidRPr="00B457F5">
              <w:rPr>
                <w:rFonts w:ascii="Garamond" w:eastAsia="Times New Roman" w:hAnsi="Garamond" w:cs="Times New Roman"/>
                <w:i/>
                <w:iCs/>
                <w:sz w:val="16"/>
                <w:szCs w:val="16"/>
              </w:rPr>
              <w:t>Austri</w:t>
            </w:r>
          </w:p>
        </w:tc>
        <w:tc>
          <w:tcPr>
            <w:tcW w:w="2160" w:type="dxa"/>
            <w:noWrap/>
            <w:vAlign w:val="center"/>
            <w:hideMark/>
          </w:tcPr>
          <w:p w14:paraId="6FF6B371"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384</w:t>
            </w:r>
          </w:p>
        </w:tc>
        <w:tc>
          <w:tcPr>
            <w:tcW w:w="1980" w:type="dxa"/>
            <w:noWrap/>
            <w:vAlign w:val="center"/>
            <w:hideMark/>
          </w:tcPr>
          <w:p w14:paraId="664EDC67"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300</w:t>
            </w:r>
          </w:p>
        </w:tc>
        <w:tc>
          <w:tcPr>
            <w:tcW w:w="2250" w:type="dxa"/>
            <w:noWrap/>
            <w:vAlign w:val="center"/>
            <w:hideMark/>
          </w:tcPr>
          <w:p w14:paraId="7A6A3A0D"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402</w:t>
            </w:r>
          </w:p>
        </w:tc>
        <w:tc>
          <w:tcPr>
            <w:tcW w:w="2070" w:type="dxa"/>
          </w:tcPr>
          <w:p w14:paraId="2FB1B282" w14:textId="303F4152" w:rsidR="00E908E0" w:rsidRPr="00B457F5" w:rsidRDefault="00F17935"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544</w:t>
            </w:r>
          </w:p>
        </w:tc>
      </w:tr>
      <w:tr w:rsidR="00E908E0" w:rsidRPr="00B457F5" w14:paraId="5DC06818" w14:textId="4F19F480" w:rsidTr="00783BF2">
        <w:trPr>
          <w:trHeight w:val="20"/>
        </w:trPr>
        <w:tc>
          <w:tcPr>
            <w:tcW w:w="2052" w:type="dxa"/>
            <w:noWrap/>
            <w:hideMark/>
          </w:tcPr>
          <w:p w14:paraId="746290D8" w14:textId="77777777" w:rsidR="00E908E0" w:rsidRPr="00B457F5" w:rsidRDefault="00E908E0" w:rsidP="00783BF2">
            <w:pPr>
              <w:spacing w:before="0" w:after="0"/>
              <w:rPr>
                <w:rFonts w:ascii="Garamond" w:eastAsia="Times New Roman" w:hAnsi="Garamond" w:cs="Times New Roman"/>
                <w:i/>
                <w:iCs/>
                <w:sz w:val="16"/>
                <w:szCs w:val="16"/>
              </w:rPr>
            </w:pPr>
            <w:r w:rsidRPr="00B457F5">
              <w:rPr>
                <w:rFonts w:ascii="Garamond" w:eastAsia="Times New Roman" w:hAnsi="Garamond" w:cs="Times New Roman"/>
                <w:i/>
                <w:iCs/>
                <w:sz w:val="16"/>
                <w:szCs w:val="16"/>
              </w:rPr>
              <w:t>Poloni</w:t>
            </w:r>
          </w:p>
        </w:tc>
        <w:tc>
          <w:tcPr>
            <w:tcW w:w="2160" w:type="dxa"/>
            <w:noWrap/>
            <w:vAlign w:val="center"/>
            <w:hideMark/>
          </w:tcPr>
          <w:p w14:paraId="045BA29D"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w:t>
            </w:r>
          </w:p>
        </w:tc>
        <w:tc>
          <w:tcPr>
            <w:tcW w:w="1980" w:type="dxa"/>
            <w:noWrap/>
            <w:vAlign w:val="center"/>
            <w:hideMark/>
          </w:tcPr>
          <w:p w14:paraId="4A7A0321"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236</w:t>
            </w:r>
          </w:p>
        </w:tc>
        <w:tc>
          <w:tcPr>
            <w:tcW w:w="2250" w:type="dxa"/>
            <w:noWrap/>
            <w:vAlign w:val="center"/>
            <w:hideMark/>
          </w:tcPr>
          <w:p w14:paraId="45D6D544"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348</w:t>
            </w:r>
          </w:p>
        </w:tc>
        <w:tc>
          <w:tcPr>
            <w:tcW w:w="2070" w:type="dxa"/>
          </w:tcPr>
          <w:p w14:paraId="31C5B315" w14:textId="4634C5D5" w:rsidR="00E908E0" w:rsidRPr="00B457F5" w:rsidRDefault="0038091D"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626</w:t>
            </w:r>
          </w:p>
        </w:tc>
      </w:tr>
      <w:tr w:rsidR="00E908E0" w:rsidRPr="00B457F5" w14:paraId="589392FE" w14:textId="08740BA4" w:rsidTr="00783BF2">
        <w:trPr>
          <w:trHeight w:val="20"/>
        </w:trPr>
        <w:tc>
          <w:tcPr>
            <w:tcW w:w="2052" w:type="dxa"/>
            <w:noWrap/>
            <w:hideMark/>
          </w:tcPr>
          <w:p w14:paraId="39664B1E" w14:textId="77777777" w:rsidR="00E908E0" w:rsidRPr="00B457F5" w:rsidRDefault="00E908E0" w:rsidP="00783BF2">
            <w:pPr>
              <w:spacing w:before="0" w:after="0"/>
              <w:rPr>
                <w:rFonts w:ascii="Garamond" w:eastAsia="Times New Roman" w:hAnsi="Garamond" w:cs="Times New Roman"/>
                <w:i/>
                <w:iCs/>
                <w:sz w:val="16"/>
                <w:szCs w:val="16"/>
              </w:rPr>
            </w:pPr>
            <w:r w:rsidRPr="00B457F5">
              <w:rPr>
                <w:rFonts w:ascii="Garamond" w:eastAsia="Times New Roman" w:hAnsi="Garamond" w:cs="Times New Roman"/>
                <w:i/>
                <w:iCs/>
                <w:sz w:val="16"/>
                <w:szCs w:val="16"/>
              </w:rPr>
              <w:t>Portugali</w:t>
            </w:r>
          </w:p>
        </w:tc>
        <w:tc>
          <w:tcPr>
            <w:tcW w:w="2160" w:type="dxa"/>
            <w:noWrap/>
            <w:vAlign w:val="center"/>
            <w:hideMark/>
          </w:tcPr>
          <w:p w14:paraId="245C950B"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13</w:t>
            </w:r>
          </w:p>
        </w:tc>
        <w:tc>
          <w:tcPr>
            <w:tcW w:w="1980" w:type="dxa"/>
            <w:noWrap/>
            <w:vAlign w:val="center"/>
            <w:hideMark/>
          </w:tcPr>
          <w:p w14:paraId="0ECE83FE"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24</w:t>
            </w:r>
          </w:p>
        </w:tc>
        <w:tc>
          <w:tcPr>
            <w:tcW w:w="2250" w:type="dxa"/>
            <w:noWrap/>
            <w:vAlign w:val="center"/>
            <w:hideMark/>
          </w:tcPr>
          <w:p w14:paraId="23AA5535"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6</w:t>
            </w:r>
          </w:p>
        </w:tc>
        <w:tc>
          <w:tcPr>
            <w:tcW w:w="2070" w:type="dxa"/>
          </w:tcPr>
          <w:p w14:paraId="66EF5257" w14:textId="312B605C" w:rsidR="00E908E0" w:rsidRPr="00B457F5" w:rsidRDefault="0038091D"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22</w:t>
            </w:r>
          </w:p>
        </w:tc>
      </w:tr>
      <w:tr w:rsidR="00E908E0" w:rsidRPr="00B457F5" w14:paraId="22F53970" w14:textId="0636C38D" w:rsidTr="00783BF2">
        <w:trPr>
          <w:trHeight w:val="20"/>
        </w:trPr>
        <w:tc>
          <w:tcPr>
            <w:tcW w:w="2052" w:type="dxa"/>
            <w:noWrap/>
            <w:hideMark/>
          </w:tcPr>
          <w:p w14:paraId="307AF1B7" w14:textId="77777777" w:rsidR="00E908E0" w:rsidRPr="00B457F5" w:rsidRDefault="00E908E0" w:rsidP="00783BF2">
            <w:pPr>
              <w:spacing w:before="0" w:after="0"/>
              <w:rPr>
                <w:rFonts w:ascii="Garamond" w:eastAsia="Times New Roman" w:hAnsi="Garamond" w:cs="Times New Roman"/>
                <w:i/>
                <w:iCs/>
                <w:sz w:val="16"/>
                <w:szCs w:val="16"/>
              </w:rPr>
            </w:pPr>
            <w:r w:rsidRPr="00B457F5">
              <w:rPr>
                <w:rFonts w:ascii="Garamond" w:eastAsia="Times New Roman" w:hAnsi="Garamond" w:cs="Times New Roman"/>
                <w:i/>
                <w:iCs/>
                <w:sz w:val="16"/>
                <w:szCs w:val="16"/>
              </w:rPr>
              <w:t>Rumani</w:t>
            </w:r>
          </w:p>
        </w:tc>
        <w:tc>
          <w:tcPr>
            <w:tcW w:w="2160" w:type="dxa"/>
            <w:noWrap/>
            <w:vAlign w:val="center"/>
            <w:hideMark/>
          </w:tcPr>
          <w:p w14:paraId="7797D258"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275</w:t>
            </w:r>
          </w:p>
        </w:tc>
        <w:tc>
          <w:tcPr>
            <w:tcW w:w="1980" w:type="dxa"/>
            <w:noWrap/>
            <w:vAlign w:val="center"/>
            <w:hideMark/>
          </w:tcPr>
          <w:p w14:paraId="166D6425"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266</w:t>
            </w:r>
          </w:p>
        </w:tc>
        <w:tc>
          <w:tcPr>
            <w:tcW w:w="2250" w:type="dxa"/>
            <w:noWrap/>
            <w:vAlign w:val="center"/>
            <w:hideMark/>
          </w:tcPr>
          <w:p w14:paraId="7DA7A1C0"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261</w:t>
            </w:r>
          </w:p>
        </w:tc>
        <w:tc>
          <w:tcPr>
            <w:tcW w:w="2070" w:type="dxa"/>
          </w:tcPr>
          <w:p w14:paraId="7DF8B9EE" w14:textId="47CDEE49" w:rsidR="00E908E0" w:rsidRPr="00B457F5" w:rsidRDefault="0038091D"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249</w:t>
            </w:r>
          </w:p>
        </w:tc>
      </w:tr>
      <w:tr w:rsidR="00E908E0" w:rsidRPr="00B457F5" w14:paraId="62B2EFC7" w14:textId="4A01EB21" w:rsidTr="00783BF2">
        <w:trPr>
          <w:trHeight w:val="20"/>
        </w:trPr>
        <w:tc>
          <w:tcPr>
            <w:tcW w:w="2052" w:type="dxa"/>
            <w:noWrap/>
            <w:hideMark/>
          </w:tcPr>
          <w:p w14:paraId="34A94CBD" w14:textId="77777777" w:rsidR="00E908E0" w:rsidRPr="00B457F5" w:rsidRDefault="00E908E0" w:rsidP="00783BF2">
            <w:pPr>
              <w:spacing w:before="0" w:after="0"/>
              <w:rPr>
                <w:rFonts w:ascii="Garamond" w:eastAsia="Times New Roman" w:hAnsi="Garamond" w:cs="Times New Roman"/>
                <w:i/>
                <w:iCs/>
                <w:sz w:val="16"/>
                <w:szCs w:val="16"/>
              </w:rPr>
            </w:pPr>
            <w:r w:rsidRPr="00B457F5">
              <w:rPr>
                <w:rFonts w:ascii="Garamond" w:eastAsia="Times New Roman" w:hAnsi="Garamond" w:cs="Times New Roman"/>
                <w:i/>
                <w:iCs/>
                <w:sz w:val="16"/>
                <w:szCs w:val="16"/>
              </w:rPr>
              <w:t>Slloveni</w:t>
            </w:r>
          </w:p>
        </w:tc>
        <w:tc>
          <w:tcPr>
            <w:tcW w:w="2160" w:type="dxa"/>
            <w:noWrap/>
            <w:vAlign w:val="center"/>
            <w:hideMark/>
          </w:tcPr>
          <w:p w14:paraId="5DF1BA56"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111</w:t>
            </w:r>
          </w:p>
        </w:tc>
        <w:tc>
          <w:tcPr>
            <w:tcW w:w="1980" w:type="dxa"/>
            <w:noWrap/>
            <w:vAlign w:val="center"/>
            <w:hideMark/>
          </w:tcPr>
          <w:p w14:paraId="1D86609E"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61</w:t>
            </w:r>
          </w:p>
        </w:tc>
        <w:tc>
          <w:tcPr>
            <w:tcW w:w="2250" w:type="dxa"/>
            <w:noWrap/>
            <w:vAlign w:val="center"/>
            <w:hideMark/>
          </w:tcPr>
          <w:p w14:paraId="47354C0A"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113</w:t>
            </w:r>
          </w:p>
        </w:tc>
        <w:tc>
          <w:tcPr>
            <w:tcW w:w="2070" w:type="dxa"/>
          </w:tcPr>
          <w:p w14:paraId="46A61AA5" w14:textId="45FBBA20" w:rsidR="00E908E0" w:rsidRPr="00B457F5" w:rsidRDefault="0038091D"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134</w:t>
            </w:r>
          </w:p>
        </w:tc>
      </w:tr>
      <w:tr w:rsidR="00E908E0" w:rsidRPr="00B457F5" w14:paraId="4B41627C" w14:textId="6D58F49F" w:rsidTr="00783BF2">
        <w:trPr>
          <w:trHeight w:val="20"/>
        </w:trPr>
        <w:tc>
          <w:tcPr>
            <w:tcW w:w="2052" w:type="dxa"/>
            <w:noWrap/>
            <w:hideMark/>
          </w:tcPr>
          <w:p w14:paraId="20734554" w14:textId="77777777" w:rsidR="00E908E0" w:rsidRPr="00B457F5" w:rsidRDefault="00E908E0" w:rsidP="00783BF2">
            <w:pPr>
              <w:spacing w:before="0" w:after="0"/>
              <w:rPr>
                <w:rFonts w:ascii="Garamond" w:eastAsia="Times New Roman" w:hAnsi="Garamond" w:cs="Times New Roman"/>
                <w:i/>
                <w:iCs/>
                <w:sz w:val="16"/>
                <w:szCs w:val="16"/>
              </w:rPr>
            </w:pPr>
            <w:r w:rsidRPr="00B457F5">
              <w:rPr>
                <w:rFonts w:ascii="Garamond" w:eastAsia="Times New Roman" w:hAnsi="Garamond" w:cs="Times New Roman"/>
                <w:i/>
                <w:iCs/>
                <w:sz w:val="16"/>
                <w:szCs w:val="16"/>
              </w:rPr>
              <w:t>Finlandë</w:t>
            </w:r>
          </w:p>
        </w:tc>
        <w:tc>
          <w:tcPr>
            <w:tcW w:w="2160" w:type="dxa"/>
            <w:noWrap/>
            <w:vAlign w:val="center"/>
            <w:hideMark/>
          </w:tcPr>
          <w:p w14:paraId="01375CA5"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146</w:t>
            </w:r>
          </w:p>
        </w:tc>
        <w:tc>
          <w:tcPr>
            <w:tcW w:w="1980" w:type="dxa"/>
            <w:noWrap/>
            <w:vAlign w:val="center"/>
            <w:hideMark/>
          </w:tcPr>
          <w:p w14:paraId="43E9D11A"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174</w:t>
            </w:r>
          </w:p>
        </w:tc>
        <w:tc>
          <w:tcPr>
            <w:tcW w:w="2250" w:type="dxa"/>
            <w:noWrap/>
            <w:vAlign w:val="center"/>
            <w:hideMark/>
          </w:tcPr>
          <w:p w14:paraId="7C079DE5"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263</w:t>
            </w:r>
          </w:p>
        </w:tc>
        <w:tc>
          <w:tcPr>
            <w:tcW w:w="2070" w:type="dxa"/>
          </w:tcPr>
          <w:p w14:paraId="08AD58F3" w14:textId="3427481E" w:rsidR="00E908E0" w:rsidRPr="00B457F5" w:rsidRDefault="0038091D"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430</w:t>
            </w:r>
          </w:p>
        </w:tc>
      </w:tr>
      <w:tr w:rsidR="00E908E0" w:rsidRPr="00B457F5" w14:paraId="2EA9E1C6" w14:textId="7D3A0604" w:rsidTr="00783BF2">
        <w:trPr>
          <w:trHeight w:val="20"/>
        </w:trPr>
        <w:tc>
          <w:tcPr>
            <w:tcW w:w="2052" w:type="dxa"/>
            <w:noWrap/>
            <w:hideMark/>
          </w:tcPr>
          <w:p w14:paraId="266C1879" w14:textId="77777777" w:rsidR="00E908E0" w:rsidRPr="00B457F5" w:rsidRDefault="00E908E0" w:rsidP="00783BF2">
            <w:pPr>
              <w:spacing w:before="0" w:after="0"/>
              <w:rPr>
                <w:rFonts w:ascii="Garamond" w:eastAsia="Times New Roman" w:hAnsi="Garamond" w:cs="Times New Roman"/>
                <w:i/>
                <w:iCs/>
                <w:sz w:val="16"/>
                <w:szCs w:val="16"/>
              </w:rPr>
            </w:pPr>
            <w:r w:rsidRPr="00B457F5">
              <w:rPr>
                <w:rFonts w:ascii="Garamond" w:eastAsia="Times New Roman" w:hAnsi="Garamond" w:cs="Times New Roman"/>
                <w:i/>
                <w:iCs/>
                <w:sz w:val="16"/>
                <w:szCs w:val="16"/>
              </w:rPr>
              <w:t>Suedi</w:t>
            </w:r>
          </w:p>
        </w:tc>
        <w:tc>
          <w:tcPr>
            <w:tcW w:w="2160" w:type="dxa"/>
            <w:noWrap/>
            <w:vAlign w:val="center"/>
            <w:hideMark/>
          </w:tcPr>
          <w:p w14:paraId="1BF3A33D"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1,723</w:t>
            </w:r>
          </w:p>
        </w:tc>
        <w:tc>
          <w:tcPr>
            <w:tcW w:w="1980" w:type="dxa"/>
            <w:noWrap/>
            <w:vAlign w:val="center"/>
            <w:hideMark/>
          </w:tcPr>
          <w:p w14:paraId="6CCA275C"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1,124</w:t>
            </w:r>
          </w:p>
        </w:tc>
        <w:tc>
          <w:tcPr>
            <w:tcW w:w="2250" w:type="dxa"/>
            <w:noWrap/>
            <w:vAlign w:val="center"/>
            <w:hideMark/>
          </w:tcPr>
          <w:p w14:paraId="2254EA36"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1,067</w:t>
            </w:r>
          </w:p>
        </w:tc>
        <w:tc>
          <w:tcPr>
            <w:tcW w:w="2070" w:type="dxa"/>
          </w:tcPr>
          <w:p w14:paraId="3605B9F2" w14:textId="096ACE71" w:rsidR="00E908E0" w:rsidRPr="00B457F5" w:rsidRDefault="0038091D"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1,210</w:t>
            </w:r>
          </w:p>
        </w:tc>
      </w:tr>
      <w:tr w:rsidR="00E908E0" w:rsidRPr="00B457F5" w14:paraId="4FBC9667" w14:textId="14BB415F" w:rsidTr="00783BF2">
        <w:trPr>
          <w:trHeight w:val="20"/>
        </w:trPr>
        <w:tc>
          <w:tcPr>
            <w:tcW w:w="2052" w:type="dxa"/>
            <w:noWrap/>
            <w:hideMark/>
          </w:tcPr>
          <w:p w14:paraId="46473FB2" w14:textId="77777777" w:rsidR="00E908E0" w:rsidRPr="00B457F5" w:rsidRDefault="00E908E0" w:rsidP="00783BF2">
            <w:pPr>
              <w:spacing w:before="0" w:after="0"/>
              <w:rPr>
                <w:rFonts w:ascii="Garamond" w:eastAsia="Times New Roman" w:hAnsi="Garamond" w:cs="Times New Roman"/>
                <w:i/>
                <w:iCs/>
                <w:sz w:val="16"/>
                <w:szCs w:val="16"/>
              </w:rPr>
            </w:pPr>
            <w:r w:rsidRPr="00B457F5">
              <w:rPr>
                <w:rFonts w:ascii="Garamond" w:eastAsia="Times New Roman" w:hAnsi="Garamond" w:cs="Times New Roman"/>
                <w:i/>
                <w:iCs/>
                <w:sz w:val="16"/>
                <w:szCs w:val="16"/>
              </w:rPr>
              <w:t>Islandë</w:t>
            </w:r>
          </w:p>
        </w:tc>
        <w:tc>
          <w:tcPr>
            <w:tcW w:w="2160" w:type="dxa"/>
            <w:noWrap/>
            <w:vAlign w:val="center"/>
            <w:hideMark/>
          </w:tcPr>
          <w:p w14:paraId="3663768B"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34</w:t>
            </w:r>
          </w:p>
        </w:tc>
        <w:tc>
          <w:tcPr>
            <w:tcW w:w="1980" w:type="dxa"/>
            <w:noWrap/>
            <w:vAlign w:val="center"/>
            <w:hideMark/>
          </w:tcPr>
          <w:p w14:paraId="20C77509" w14:textId="707B3DF5" w:rsidR="00E908E0" w:rsidRPr="00B457F5" w:rsidRDefault="0038091D"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31</w:t>
            </w:r>
          </w:p>
        </w:tc>
        <w:tc>
          <w:tcPr>
            <w:tcW w:w="2250" w:type="dxa"/>
            <w:noWrap/>
            <w:vAlign w:val="center"/>
            <w:hideMark/>
          </w:tcPr>
          <w:p w14:paraId="1EE19923" w14:textId="452D16A6" w:rsidR="00E908E0" w:rsidRPr="00B457F5" w:rsidRDefault="0038091D"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31</w:t>
            </w:r>
          </w:p>
        </w:tc>
        <w:tc>
          <w:tcPr>
            <w:tcW w:w="2070" w:type="dxa"/>
          </w:tcPr>
          <w:p w14:paraId="6EC7A5C9" w14:textId="17125D94" w:rsidR="00E908E0" w:rsidRPr="00B457F5" w:rsidRDefault="0038091D"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40</w:t>
            </w:r>
          </w:p>
        </w:tc>
      </w:tr>
      <w:tr w:rsidR="00E908E0" w:rsidRPr="00B457F5" w14:paraId="5F922760" w14:textId="7C300CC6" w:rsidTr="00783BF2">
        <w:trPr>
          <w:trHeight w:val="20"/>
        </w:trPr>
        <w:tc>
          <w:tcPr>
            <w:tcW w:w="2052" w:type="dxa"/>
            <w:noWrap/>
            <w:hideMark/>
          </w:tcPr>
          <w:p w14:paraId="10E2BA39" w14:textId="77777777" w:rsidR="00E908E0" w:rsidRPr="00B457F5" w:rsidRDefault="00E908E0" w:rsidP="00783BF2">
            <w:pPr>
              <w:spacing w:before="0" w:after="0"/>
              <w:rPr>
                <w:rFonts w:ascii="Garamond" w:eastAsia="Times New Roman" w:hAnsi="Garamond" w:cs="Times New Roman"/>
                <w:i/>
                <w:iCs/>
                <w:sz w:val="16"/>
                <w:szCs w:val="16"/>
              </w:rPr>
            </w:pPr>
            <w:r w:rsidRPr="00B457F5">
              <w:rPr>
                <w:rFonts w:ascii="Garamond" w:eastAsia="Times New Roman" w:hAnsi="Garamond" w:cs="Times New Roman"/>
                <w:i/>
                <w:iCs/>
                <w:sz w:val="16"/>
                <w:szCs w:val="16"/>
              </w:rPr>
              <w:t>Norvegji</w:t>
            </w:r>
          </w:p>
        </w:tc>
        <w:tc>
          <w:tcPr>
            <w:tcW w:w="2160" w:type="dxa"/>
            <w:noWrap/>
            <w:vAlign w:val="center"/>
            <w:hideMark/>
          </w:tcPr>
          <w:p w14:paraId="650ED726"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143</w:t>
            </w:r>
          </w:p>
        </w:tc>
        <w:tc>
          <w:tcPr>
            <w:tcW w:w="1980" w:type="dxa"/>
            <w:noWrap/>
            <w:vAlign w:val="center"/>
            <w:hideMark/>
          </w:tcPr>
          <w:p w14:paraId="0560C0B9"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101</w:t>
            </w:r>
          </w:p>
        </w:tc>
        <w:tc>
          <w:tcPr>
            <w:tcW w:w="2250" w:type="dxa"/>
            <w:noWrap/>
            <w:vAlign w:val="center"/>
            <w:hideMark/>
          </w:tcPr>
          <w:p w14:paraId="6BCE2C9B"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127</w:t>
            </w:r>
          </w:p>
        </w:tc>
        <w:tc>
          <w:tcPr>
            <w:tcW w:w="2070" w:type="dxa"/>
          </w:tcPr>
          <w:p w14:paraId="5A66F267" w14:textId="1864A511" w:rsidR="00E908E0" w:rsidRPr="00B457F5" w:rsidRDefault="0038091D"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118</w:t>
            </w:r>
          </w:p>
        </w:tc>
      </w:tr>
      <w:tr w:rsidR="00E908E0" w:rsidRPr="00B457F5" w14:paraId="6DBAAC8C" w14:textId="3A6E379A" w:rsidTr="00783BF2">
        <w:trPr>
          <w:trHeight w:val="20"/>
        </w:trPr>
        <w:tc>
          <w:tcPr>
            <w:tcW w:w="2052" w:type="dxa"/>
            <w:noWrap/>
            <w:hideMark/>
          </w:tcPr>
          <w:p w14:paraId="04FD6B77" w14:textId="77777777" w:rsidR="00E908E0" w:rsidRPr="00B457F5" w:rsidRDefault="00E908E0" w:rsidP="00783BF2">
            <w:pPr>
              <w:spacing w:before="0" w:after="0"/>
              <w:rPr>
                <w:rFonts w:ascii="Garamond" w:eastAsia="Times New Roman" w:hAnsi="Garamond" w:cs="Times New Roman"/>
                <w:i/>
                <w:iCs/>
                <w:sz w:val="16"/>
                <w:szCs w:val="16"/>
              </w:rPr>
            </w:pPr>
            <w:r w:rsidRPr="00B457F5">
              <w:rPr>
                <w:rFonts w:ascii="Garamond" w:eastAsia="Times New Roman" w:hAnsi="Garamond" w:cs="Times New Roman"/>
                <w:i/>
                <w:iCs/>
                <w:sz w:val="16"/>
                <w:szCs w:val="16"/>
              </w:rPr>
              <w:t>Zvicër</w:t>
            </w:r>
          </w:p>
        </w:tc>
        <w:tc>
          <w:tcPr>
            <w:tcW w:w="2160" w:type="dxa"/>
            <w:noWrap/>
            <w:vAlign w:val="center"/>
            <w:hideMark/>
          </w:tcPr>
          <w:p w14:paraId="091062B1" w14:textId="57D02AE6" w:rsidR="00E908E0" w:rsidRPr="00B457F5" w:rsidRDefault="0038091D"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306</w:t>
            </w:r>
          </w:p>
        </w:tc>
        <w:tc>
          <w:tcPr>
            <w:tcW w:w="1980" w:type="dxa"/>
            <w:noWrap/>
            <w:vAlign w:val="center"/>
            <w:hideMark/>
          </w:tcPr>
          <w:p w14:paraId="54A6C517"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w:t>
            </w:r>
          </w:p>
        </w:tc>
        <w:tc>
          <w:tcPr>
            <w:tcW w:w="2250" w:type="dxa"/>
            <w:noWrap/>
            <w:vAlign w:val="center"/>
            <w:hideMark/>
          </w:tcPr>
          <w:p w14:paraId="1CE3E451" w14:textId="77777777" w:rsidR="00E908E0" w:rsidRPr="00B457F5" w:rsidRDefault="00E908E0"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356</w:t>
            </w:r>
          </w:p>
        </w:tc>
        <w:tc>
          <w:tcPr>
            <w:tcW w:w="2070" w:type="dxa"/>
          </w:tcPr>
          <w:p w14:paraId="3157F526" w14:textId="0B2F2F72" w:rsidR="00E908E0" w:rsidRPr="00B457F5" w:rsidRDefault="0038091D" w:rsidP="00783BF2">
            <w:pPr>
              <w:spacing w:before="0" w:after="0"/>
              <w:jc w:val="center"/>
              <w:rPr>
                <w:rFonts w:ascii="Garamond" w:eastAsia="Times New Roman" w:hAnsi="Garamond" w:cs="Times New Roman"/>
                <w:color w:val="000000" w:themeColor="text1"/>
                <w:sz w:val="16"/>
                <w:szCs w:val="16"/>
              </w:rPr>
            </w:pPr>
            <w:r w:rsidRPr="00B457F5">
              <w:rPr>
                <w:rFonts w:ascii="Garamond" w:eastAsia="Times New Roman" w:hAnsi="Garamond" w:cs="Times New Roman"/>
                <w:color w:val="000000" w:themeColor="text1"/>
                <w:sz w:val="16"/>
                <w:szCs w:val="16"/>
              </w:rPr>
              <w:t>419</w:t>
            </w:r>
          </w:p>
        </w:tc>
      </w:tr>
      <w:tr w:rsidR="00E908E0" w:rsidRPr="00B457F5" w14:paraId="4CF760D7" w14:textId="1664835B" w:rsidTr="00783BF2">
        <w:trPr>
          <w:trHeight w:val="20"/>
        </w:trPr>
        <w:tc>
          <w:tcPr>
            <w:tcW w:w="8442" w:type="dxa"/>
            <w:gridSpan w:val="4"/>
            <w:noWrap/>
          </w:tcPr>
          <w:p w14:paraId="2D7A6EBF" w14:textId="77777777" w:rsidR="00E908E0" w:rsidRPr="00B457F5" w:rsidRDefault="00E908E0" w:rsidP="00783BF2">
            <w:pPr>
              <w:spacing w:before="0" w:after="0"/>
              <w:jc w:val="center"/>
              <w:rPr>
                <w:rFonts w:ascii="Garamond" w:eastAsia="Times New Roman" w:hAnsi="Garamond" w:cs="Times New Roman"/>
                <w:i/>
                <w:iCs/>
                <w:color w:val="000000" w:themeColor="text1"/>
                <w:sz w:val="16"/>
                <w:szCs w:val="16"/>
              </w:rPr>
            </w:pPr>
            <w:r w:rsidRPr="00B457F5">
              <w:rPr>
                <w:rFonts w:ascii="Garamond" w:eastAsia="Times New Roman" w:hAnsi="Garamond" w:cs="Times New Roman"/>
                <w:i/>
                <w:iCs/>
                <w:color w:val="17365D" w:themeColor="text2" w:themeShade="BF"/>
                <w:sz w:val="16"/>
                <w:szCs w:val="16"/>
              </w:rPr>
              <w:t>Burimi: EUROSTAT, 2023</w:t>
            </w:r>
          </w:p>
        </w:tc>
        <w:tc>
          <w:tcPr>
            <w:tcW w:w="2070" w:type="dxa"/>
          </w:tcPr>
          <w:p w14:paraId="290FF7A7" w14:textId="77777777" w:rsidR="00E908E0" w:rsidRPr="00B457F5" w:rsidRDefault="00E908E0" w:rsidP="00783BF2">
            <w:pPr>
              <w:spacing w:before="0" w:after="0"/>
              <w:jc w:val="center"/>
              <w:rPr>
                <w:rFonts w:ascii="Garamond" w:eastAsia="Times New Roman" w:hAnsi="Garamond" w:cs="Times New Roman"/>
                <w:i/>
                <w:iCs/>
                <w:color w:val="17365D" w:themeColor="text2" w:themeShade="BF"/>
                <w:sz w:val="16"/>
                <w:szCs w:val="16"/>
              </w:rPr>
            </w:pPr>
          </w:p>
        </w:tc>
      </w:tr>
      <w:bookmarkEnd w:id="19"/>
    </w:tbl>
    <w:p w14:paraId="515788D7" w14:textId="77777777" w:rsidR="00196C99" w:rsidRPr="00B457F5" w:rsidRDefault="00196C99" w:rsidP="002E693B">
      <w:pPr>
        <w:spacing w:before="0" w:after="0"/>
        <w:ind w:firstLine="284"/>
        <w:rPr>
          <w:rFonts w:ascii="Garamond" w:eastAsia="MS Mincho" w:hAnsi="Garamond" w:cs="Times New Roman"/>
          <w:sz w:val="10"/>
          <w:szCs w:val="24"/>
        </w:rPr>
      </w:pPr>
    </w:p>
    <w:p w14:paraId="0B4A0EDE" w14:textId="2AF6E146" w:rsidR="00A619CA" w:rsidRPr="00B457F5" w:rsidRDefault="00546DDA"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Sipas t</w:t>
      </w:r>
      <w:r w:rsidR="00B0743F" w:rsidRPr="00B457F5">
        <w:rPr>
          <w:rFonts w:ascii="Garamond" w:eastAsia="MS Mincho" w:hAnsi="Garamond" w:cs="Times New Roman"/>
          <w:szCs w:val="24"/>
        </w:rPr>
        <w:t>ë</w:t>
      </w:r>
      <w:r w:rsidRPr="00B457F5">
        <w:rPr>
          <w:rFonts w:ascii="Garamond" w:eastAsia="MS Mincho" w:hAnsi="Garamond" w:cs="Times New Roman"/>
          <w:szCs w:val="24"/>
        </w:rPr>
        <w:t xml:space="preserve"> dh</w:t>
      </w:r>
      <w:r w:rsidR="00B0743F" w:rsidRPr="00B457F5">
        <w:rPr>
          <w:rFonts w:ascii="Garamond" w:eastAsia="MS Mincho" w:hAnsi="Garamond" w:cs="Times New Roman"/>
          <w:szCs w:val="24"/>
        </w:rPr>
        <w:t>ë</w:t>
      </w:r>
      <w:r w:rsidRPr="00B457F5">
        <w:rPr>
          <w:rFonts w:ascii="Garamond" w:eastAsia="MS Mincho" w:hAnsi="Garamond" w:cs="Times New Roman"/>
          <w:szCs w:val="24"/>
        </w:rPr>
        <w:t>nave t</w:t>
      </w:r>
      <w:r w:rsidR="00B0743F" w:rsidRPr="00B457F5">
        <w:rPr>
          <w:rFonts w:ascii="Garamond" w:eastAsia="MS Mincho" w:hAnsi="Garamond" w:cs="Times New Roman"/>
          <w:szCs w:val="24"/>
        </w:rPr>
        <w:t>ë</w:t>
      </w:r>
      <w:r w:rsidRPr="00B457F5">
        <w:rPr>
          <w:rFonts w:ascii="Garamond" w:eastAsia="MS Mincho" w:hAnsi="Garamond" w:cs="Times New Roman"/>
          <w:szCs w:val="24"/>
        </w:rPr>
        <w:t xml:space="preserve"> UNHCR</w:t>
      </w:r>
      <w:r w:rsidR="009571A5" w:rsidRPr="00B457F5">
        <w:rPr>
          <w:rFonts w:ascii="Garamond" w:eastAsia="MS Mincho" w:hAnsi="Garamond" w:cs="Times New Roman"/>
          <w:szCs w:val="24"/>
        </w:rPr>
        <w:t>-së</w:t>
      </w:r>
      <w:r w:rsidRPr="00B457F5">
        <w:rPr>
          <w:rFonts w:ascii="Garamond" w:eastAsia="MS Mincho" w:hAnsi="Garamond" w:cs="Times New Roman"/>
          <w:szCs w:val="24"/>
        </w:rPr>
        <w:t xml:space="preserve"> dhe </w:t>
      </w:r>
      <w:r w:rsidRPr="002A3DBD">
        <w:rPr>
          <w:rFonts w:ascii="Garamond" w:eastAsia="MS Mincho" w:hAnsi="Garamond" w:cs="Times New Roman"/>
          <w:i/>
          <w:szCs w:val="24"/>
        </w:rPr>
        <w:t>Home Office</w:t>
      </w:r>
      <w:r w:rsidR="00A619CA" w:rsidRPr="002A3DBD">
        <w:rPr>
          <w:rFonts w:ascii="Garamond" w:eastAsia="MS Mincho" w:hAnsi="Garamond" w:cs="Times New Roman"/>
          <w:i/>
          <w:szCs w:val="24"/>
        </w:rPr>
        <w:t xml:space="preserve"> UK</w:t>
      </w:r>
      <w:r w:rsidR="00A619CA" w:rsidRPr="00B457F5">
        <w:rPr>
          <w:rFonts w:ascii="Garamond" w:eastAsia="MS Mincho" w:hAnsi="Garamond" w:cs="Times New Roman"/>
          <w:szCs w:val="24"/>
          <w:vertAlign w:val="superscript"/>
        </w:rPr>
        <w:footnoteReference w:id="31"/>
      </w:r>
      <w:r w:rsidR="00A619CA" w:rsidRPr="00B457F5">
        <w:rPr>
          <w:rFonts w:ascii="Garamond" w:eastAsia="MS Mincho" w:hAnsi="Garamond" w:cs="Times New Roman"/>
          <w:szCs w:val="24"/>
        </w:rPr>
        <w:t xml:space="preserve">, </w:t>
      </w:r>
      <w:r w:rsidR="00A238A4" w:rsidRPr="00B457F5">
        <w:rPr>
          <w:rFonts w:ascii="Garamond" w:eastAsia="MS Mincho" w:hAnsi="Garamond" w:cs="Times New Roman"/>
          <w:szCs w:val="24"/>
        </w:rPr>
        <w:t>pesë</w:t>
      </w:r>
      <w:r w:rsidR="00D97C82" w:rsidRPr="00B457F5">
        <w:rPr>
          <w:rFonts w:ascii="Garamond" w:eastAsia="MS Mincho" w:hAnsi="Garamond" w:cs="Times New Roman"/>
          <w:szCs w:val="24"/>
        </w:rPr>
        <w:t xml:space="preserve"> vendet kryesore të </w:t>
      </w:r>
      <w:r w:rsidR="004E1CA4" w:rsidRPr="00B457F5">
        <w:rPr>
          <w:rFonts w:ascii="Garamond" w:eastAsia="MS Mincho" w:hAnsi="Garamond" w:cs="Times New Roman"/>
          <w:szCs w:val="24"/>
        </w:rPr>
        <w:t xml:space="preserve">kërkesave </w:t>
      </w:r>
      <w:r w:rsidR="00D97C82" w:rsidRPr="00B457F5">
        <w:rPr>
          <w:rFonts w:ascii="Garamond" w:eastAsia="MS Mincho" w:hAnsi="Garamond" w:cs="Times New Roman"/>
          <w:szCs w:val="24"/>
        </w:rPr>
        <w:t>për azil për vitin 2022 janë: Mbretëria e Bashkuar e Britanisë së Madhe dhe Irlandës së Veriut me një numër prej 14 223 azilkërkuesish, e ndjekur nga Franca me 9 048</w:t>
      </w:r>
      <w:r w:rsidR="00A238A4" w:rsidRPr="00B457F5">
        <w:rPr>
          <w:rFonts w:ascii="Garamond" w:eastAsia="MS Mincho" w:hAnsi="Garamond" w:cs="Times New Roman"/>
          <w:szCs w:val="24"/>
        </w:rPr>
        <w:t xml:space="preserve"> azilkërkues</w:t>
      </w:r>
      <w:r w:rsidR="00D97C82" w:rsidRPr="00B457F5">
        <w:rPr>
          <w:rFonts w:ascii="Garamond" w:eastAsia="MS Mincho" w:hAnsi="Garamond" w:cs="Times New Roman"/>
          <w:szCs w:val="24"/>
        </w:rPr>
        <w:t>, Gjermania me 3 572</w:t>
      </w:r>
      <w:r w:rsidR="00A238A4" w:rsidRPr="00B457F5">
        <w:rPr>
          <w:rFonts w:ascii="Garamond" w:eastAsia="MS Mincho" w:hAnsi="Garamond" w:cs="Times New Roman"/>
          <w:szCs w:val="24"/>
        </w:rPr>
        <w:t xml:space="preserve"> azilkërkues</w:t>
      </w:r>
      <w:r w:rsidR="00D97C82" w:rsidRPr="00B457F5">
        <w:rPr>
          <w:rFonts w:ascii="Garamond" w:eastAsia="MS Mincho" w:hAnsi="Garamond" w:cs="Times New Roman"/>
          <w:szCs w:val="24"/>
        </w:rPr>
        <w:t xml:space="preserve">, Greqia me 2 784 </w:t>
      </w:r>
      <w:r w:rsidR="00A238A4" w:rsidRPr="00B457F5">
        <w:rPr>
          <w:rFonts w:ascii="Garamond" w:eastAsia="MS Mincho" w:hAnsi="Garamond" w:cs="Times New Roman"/>
          <w:szCs w:val="24"/>
        </w:rPr>
        <w:t xml:space="preserve">azilkërkues </w:t>
      </w:r>
      <w:r w:rsidR="00D97C82" w:rsidRPr="00B457F5">
        <w:rPr>
          <w:rFonts w:ascii="Garamond" w:eastAsia="MS Mincho" w:hAnsi="Garamond" w:cs="Times New Roman"/>
          <w:szCs w:val="24"/>
        </w:rPr>
        <w:t>dhe Italia me 1 278 azilkërkues. Numri i kërkesave për azil të paraqitura nga shtetasit shqiptarë në BE</w:t>
      </w:r>
      <w:r w:rsidR="00E73215" w:rsidRPr="00B457F5">
        <w:rPr>
          <w:rFonts w:ascii="Garamond" w:eastAsia="MS Mincho" w:hAnsi="Garamond" w:cs="Times New Roman"/>
          <w:szCs w:val="24"/>
        </w:rPr>
        <w:t>,</w:t>
      </w:r>
      <w:r w:rsidR="00D97C82" w:rsidRPr="00B457F5">
        <w:rPr>
          <w:rFonts w:ascii="Garamond" w:eastAsia="MS Mincho" w:hAnsi="Garamond" w:cs="Times New Roman"/>
          <w:szCs w:val="24"/>
        </w:rPr>
        <w:t xml:space="preserve"> në periudhën janar</w:t>
      </w:r>
      <w:r w:rsidR="00E73215" w:rsidRPr="00B457F5">
        <w:rPr>
          <w:rStyle w:val="contentpasted1"/>
          <w:rFonts w:ascii="Garamond" w:hAnsi="Garamond"/>
          <w:color w:val="000000"/>
        </w:rPr>
        <w:t>–</w:t>
      </w:r>
      <w:r w:rsidR="00D97C82" w:rsidRPr="00B457F5">
        <w:rPr>
          <w:rFonts w:ascii="Garamond" w:eastAsia="MS Mincho" w:hAnsi="Garamond" w:cs="Times New Roman"/>
          <w:szCs w:val="24"/>
        </w:rPr>
        <w:t>prill 2023 ishte 3,125</w:t>
      </w:r>
      <w:r w:rsidR="00A238A4" w:rsidRPr="00B457F5">
        <w:rPr>
          <w:rFonts w:ascii="Garamond" w:eastAsia="MS Mincho" w:hAnsi="Garamond" w:cs="Times New Roman"/>
          <w:szCs w:val="24"/>
        </w:rPr>
        <w:t>,</w:t>
      </w:r>
      <w:r w:rsidR="00D97C82" w:rsidRPr="00B457F5">
        <w:rPr>
          <w:rFonts w:ascii="Garamond" w:eastAsia="MS Mincho" w:hAnsi="Garamond" w:cs="Times New Roman"/>
          <w:szCs w:val="24"/>
        </w:rPr>
        <w:t xml:space="preserve"> 21,4% më </w:t>
      </w:r>
      <w:r w:rsidR="00A238A4" w:rsidRPr="00B457F5">
        <w:rPr>
          <w:rFonts w:ascii="Garamond" w:eastAsia="MS Mincho" w:hAnsi="Garamond" w:cs="Times New Roman"/>
          <w:szCs w:val="24"/>
        </w:rPr>
        <w:t>e</w:t>
      </w:r>
      <w:r w:rsidR="00D97C82" w:rsidRPr="00B457F5">
        <w:rPr>
          <w:rFonts w:ascii="Garamond" w:eastAsia="MS Mincho" w:hAnsi="Garamond" w:cs="Times New Roman"/>
          <w:szCs w:val="24"/>
        </w:rPr>
        <w:t xml:space="preserve"> ulët krahasuar me katër muajt e parë të vitit 2022 (3,875 </w:t>
      </w:r>
      <w:r w:rsidR="004E1CA4" w:rsidRPr="00B457F5">
        <w:rPr>
          <w:rFonts w:ascii="Garamond" w:eastAsia="MS Mincho" w:hAnsi="Garamond" w:cs="Times New Roman"/>
          <w:szCs w:val="24"/>
        </w:rPr>
        <w:t>kërkesa</w:t>
      </w:r>
      <w:r w:rsidR="00D97C82" w:rsidRPr="00B457F5">
        <w:rPr>
          <w:rFonts w:ascii="Garamond" w:eastAsia="MS Mincho" w:hAnsi="Garamond" w:cs="Times New Roman"/>
          <w:szCs w:val="24"/>
        </w:rPr>
        <w:t>).</w:t>
      </w:r>
    </w:p>
    <w:p w14:paraId="00382137" w14:textId="77777777" w:rsidR="00783BF2" w:rsidRPr="00B457F5" w:rsidRDefault="00783BF2" w:rsidP="002E693B">
      <w:pPr>
        <w:spacing w:before="0" w:after="0"/>
        <w:ind w:firstLine="284"/>
        <w:rPr>
          <w:rFonts w:ascii="Garamond" w:eastAsia="MS Mincho" w:hAnsi="Garamond" w:cs="Times New Roman"/>
          <w:sz w:val="6"/>
          <w:szCs w:val="24"/>
        </w:rPr>
      </w:pPr>
    </w:p>
    <w:p w14:paraId="2CF6FE74" w14:textId="605AC8E4" w:rsidR="00624D2E" w:rsidRPr="00B457F5" w:rsidRDefault="00624D2E" w:rsidP="002E693B">
      <w:pPr>
        <w:spacing w:before="0" w:after="0"/>
        <w:ind w:firstLine="284"/>
        <w:rPr>
          <w:rFonts w:ascii="Garamond" w:eastAsia="MS Mincho" w:hAnsi="Garamond" w:cs="Times New Roman"/>
          <w:bCs/>
          <w:i/>
          <w:sz w:val="20"/>
          <w:szCs w:val="20"/>
        </w:rPr>
      </w:pPr>
      <w:r w:rsidRPr="00B457F5">
        <w:rPr>
          <w:rFonts w:ascii="Garamond" w:eastAsia="MS Mincho" w:hAnsi="Garamond" w:cs="Times New Roman"/>
          <w:bCs/>
          <w:i/>
          <w:sz w:val="20"/>
          <w:szCs w:val="20"/>
        </w:rPr>
        <w:t>Tabela 3. Vendet kryesore të kërkesave për azil nga shtetasit shqiptarë, 2019</w:t>
      </w:r>
      <w:r w:rsidR="004D6364" w:rsidRPr="00B457F5">
        <w:rPr>
          <w:rStyle w:val="contentpasted1"/>
          <w:rFonts w:ascii="Garamond" w:hAnsi="Garamond" w:cs="Times New Roman"/>
          <w:i/>
          <w:color w:val="000000"/>
          <w:sz w:val="20"/>
          <w:szCs w:val="20"/>
        </w:rPr>
        <w:t>–</w:t>
      </w:r>
      <w:r w:rsidRPr="00B457F5">
        <w:rPr>
          <w:rFonts w:ascii="Garamond" w:eastAsia="MS Mincho" w:hAnsi="Garamond" w:cs="Times New Roman"/>
          <w:bCs/>
          <w:i/>
          <w:sz w:val="20"/>
          <w:szCs w:val="20"/>
        </w:rPr>
        <w:t>2022</w:t>
      </w:r>
    </w:p>
    <w:tbl>
      <w:tblPr>
        <w:tblW w:w="9450" w:type="dxa"/>
        <w:tblBorders>
          <w:top w:val="single" w:sz="4" w:space="0" w:color="4F81BD" w:themeColor="accent1"/>
          <w:bottom w:val="single" w:sz="4" w:space="0" w:color="4F81BD" w:themeColor="accent1"/>
        </w:tblBorders>
        <w:tblLook w:val="04A0" w:firstRow="1" w:lastRow="0" w:firstColumn="1" w:lastColumn="0" w:noHBand="0" w:noVBand="1"/>
      </w:tblPr>
      <w:tblGrid>
        <w:gridCol w:w="3348"/>
        <w:gridCol w:w="1479"/>
        <w:gridCol w:w="1479"/>
        <w:gridCol w:w="1479"/>
        <w:gridCol w:w="1665"/>
      </w:tblGrid>
      <w:tr w:rsidR="0051583C" w:rsidRPr="00B457F5" w14:paraId="1EEE053F" w14:textId="77777777" w:rsidTr="00606E27">
        <w:tc>
          <w:tcPr>
            <w:tcW w:w="9450" w:type="dxa"/>
            <w:gridSpan w:val="5"/>
          </w:tcPr>
          <w:p w14:paraId="6C414481" w14:textId="27D74B96" w:rsidR="0051583C" w:rsidRPr="00B457F5" w:rsidRDefault="0051583C" w:rsidP="00783BF2">
            <w:pPr>
              <w:spacing w:before="0" w:after="0"/>
              <w:jc w:val="center"/>
              <w:rPr>
                <w:rFonts w:ascii="Garamond" w:eastAsia="Times New Roman" w:hAnsi="Garamond" w:cs="Times New Roman"/>
                <w:sz w:val="16"/>
                <w:szCs w:val="16"/>
              </w:rPr>
            </w:pPr>
            <w:bookmarkStart w:id="20" w:name="_Hlk139023331"/>
            <w:r w:rsidRPr="00B457F5">
              <w:rPr>
                <w:rFonts w:ascii="Garamond" w:eastAsia="Times New Roman" w:hAnsi="Garamond" w:cs="Times New Roman"/>
                <w:color w:val="1F497D" w:themeColor="text2"/>
                <w:sz w:val="16"/>
                <w:szCs w:val="16"/>
              </w:rPr>
              <w:t>Kërkesat për azil</w:t>
            </w:r>
            <w:bookmarkEnd w:id="20"/>
            <w:r w:rsidR="00606E27" w:rsidRPr="00B457F5">
              <w:rPr>
                <w:rFonts w:ascii="Garamond" w:eastAsia="Times New Roman" w:hAnsi="Garamond" w:cs="Times New Roman"/>
                <w:color w:val="1F497D" w:themeColor="text2"/>
                <w:sz w:val="16"/>
                <w:szCs w:val="16"/>
              </w:rPr>
              <w:t xml:space="preserve"> nga shqiptarë</w:t>
            </w:r>
            <w:r w:rsidR="004728AF" w:rsidRPr="00B457F5">
              <w:rPr>
                <w:rFonts w:ascii="Garamond" w:eastAsia="Times New Roman" w:hAnsi="Garamond" w:cs="Times New Roman"/>
                <w:color w:val="1F497D" w:themeColor="text2"/>
                <w:sz w:val="16"/>
                <w:szCs w:val="16"/>
              </w:rPr>
              <w:t>t 2019</w:t>
            </w:r>
            <w:r w:rsidR="004D6364" w:rsidRPr="00B457F5">
              <w:rPr>
                <w:rStyle w:val="contentpasted1"/>
                <w:rFonts w:ascii="Garamond" w:hAnsi="Garamond" w:cs="Times New Roman"/>
                <w:color w:val="000000"/>
                <w:sz w:val="16"/>
                <w:szCs w:val="16"/>
              </w:rPr>
              <w:t>–</w:t>
            </w:r>
            <w:r w:rsidR="004728AF" w:rsidRPr="00B457F5">
              <w:rPr>
                <w:rFonts w:ascii="Garamond" w:eastAsia="Times New Roman" w:hAnsi="Garamond" w:cs="Times New Roman"/>
                <w:color w:val="1F497D" w:themeColor="text2"/>
                <w:sz w:val="16"/>
                <w:szCs w:val="16"/>
              </w:rPr>
              <w:t>2022</w:t>
            </w:r>
          </w:p>
        </w:tc>
      </w:tr>
      <w:tr w:rsidR="0051583C" w:rsidRPr="00B457F5" w14:paraId="4368DCEB" w14:textId="77777777" w:rsidTr="00E73215">
        <w:trPr>
          <w:trHeight w:val="352"/>
        </w:trPr>
        <w:tc>
          <w:tcPr>
            <w:tcW w:w="3348" w:type="dxa"/>
            <w:vAlign w:val="center"/>
          </w:tcPr>
          <w:p w14:paraId="2C4C0972" w14:textId="4368464E" w:rsidR="0051583C" w:rsidRPr="00B457F5" w:rsidRDefault="0051583C" w:rsidP="00783BF2">
            <w:pPr>
              <w:spacing w:before="0" w:after="0"/>
              <w:jc w:val="center"/>
              <w:rPr>
                <w:rFonts w:ascii="Garamond" w:eastAsia="Times New Roman" w:hAnsi="Garamond" w:cs="Times New Roman"/>
                <w:sz w:val="16"/>
                <w:szCs w:val="16"/>
              </w:rPr>
            </w:pPr>
          </w:p>
        </w:tc>
        <w:tc>
          <w:tcPr>
            <w:tcW w:w="1479" w:type="dxa"/>
            <w:vAlign w:val="center"/>
          </w:tcPr>
          <w:p w14:paraId="7C131FCB" w14:textId="77777777" w:rsidR="0051583C" w:rsidRPr="00B457F5" w:rsidRDefault="0051583C" w:rsidP="00783BF2">
            <w:pPr>
              <w:spacing w:before="0" w:after="0"/>
              <w:jc w:val="center"/>
              <w:rPr>
                <w:rFonts w:ascii="Garamond" w:eastAsia="Times New Roman" w:hAnsi="Garamond" w:cs="Times New Roman"/>
                <w:i/>
                <w:iCs/>
                <w:sz w:val="16"/>
                <w:szCs w:val="16"/>
              </w:rPr>
            </w:pPr>
            <w:r w:rsidRPr="00B457F5">
              <w:rPr>
                <w:rFonts w:ascii="Garamond" w:eastAsia="Times New Roman" w:hAnsi="Garamond" w:cs="Times New Roman"/>
                <w:i/>
                <w:iCs/>
                <w:sz w:val="16"/>
                <w:szCs w:val="16"/>
              </w:rPr>
              <w:t>2019</w:t>
            </w:r>
          </w:p>
        </w:tc>
        <w:tc>
          <w:tcPr>
            <w:tcW w:w="1479" w:type="dxa"/>
            <w:vAlign w:val="center"/>
          </w:tcPr>
          <w:p w14:paraId="04B7B698" w14:textId="77777777" w:rsidR="0051583C" w:rsidRPr="00B457F5" w:rsidRDefault="0051583C" w:rsidP="00783BF2">
            <w:pPr>
              <w:spacing w:before="0" w:after="0"/>
              <w:jc w:val="center"/>
              <w:rPr>
                <w:rFonts w:ascii="Garamond" w:eastAsia="Times New Roman" w:hAnsi="Garamond" w:cs="Times New Roman"/>
                <w:i/>
                <w:iCs/>
                <w:sz w:val="16"/>
                <w:szCs w:val="16"/>
              </w:rPr>
            </w:pPr>
            <w:r w:rsidRPr="00B457F5">
              <w:rPr>
                <w:rFonts w:ascii="Garamond" w:eastAsia="Times New Roman" w:hAnsi="Garamond" w:cs="Times New Roman"/>
                <w:i/>
                <w:iCs/>
                <w:sz w:val="16"/>
                <w:szCs w:val="16"/>
              </w:rPr>
              <w:t>2020</w:t>
            </w:r>
          </w:p>
        </w:tc>
        <w:tc>
          <w:tcPr>
            <w:tcW w:w="1479" w:type="dxa"/>
            <w:vAlign w:val="center"/>
          </w:tcPr>
          <w:p w14:paraId="16E4A4D6" w14:textId="77777777" w:rsidR="0051583C" w:rsidRPr="00B457F5" w:rsidRDefault="0051583C" w:rsidP="00783BF2">
            <w:pPr>
              <w:spacing w:before="0" w:after="0"/>
              <w:jc w:val="center"/>
              <w:rPr>
                <w:rFonts w:ascii="Garamond" w:eastAsia="Times New Roman" w:hAnsi="Garamond" w:cs="Times New Roman"/>
                <w:i/>
                <w:iCs/>
                <w:sz w:val="16"/>
                <w:szCs w:val="16"/>
              </w:rPr>
            </w:pPr>
            <w:r w:rsidRPr="00B457F5">
              <w:rPr>
                <w:rFonts w:ascii="Garamond" w:eastAsia="Times New Roman" w:hAnsi="Garamond" w:cs="Times New Roman"/>
                <w:i/>
                <w:iCs/>
                <w:sz w:val="16"/>
                <w:szCs w:val="16"/>
              </w:rPr>
              <w:t>2021</w:t>
            </w:r>
          </w:p>
        </w:tc>
        <w:tc>
          <w:tcPr>
            <w:tcW w:w="1665" w:type="dxa"/>
            <w:vAlign w:val="center"/>
          </w:tcPr>
          <w:p w14:paraId="5C946162" w14:textId="77777777" w:rsidR="0051583C" w:rsidRPr="00B457F5" w:rsidRDefault="0051583C" w:rsidP="00783BF2">
            <w:pPr>
              <w:spacing w:before="0" w:after="0"/>
              <w:jc w:val="center"/>
              <w:rPr>
                <w:rFonts w:ascii="Garamond" w:eastAsia="Times New Roman" w:hAnsi="Garamond" w:cs="Times New Roman"/>
                <w:i/>
                <w:iCs/>
                <w:sz w:val="16"/>
                <w:szCs w:val="16"/>
              </w:rPr>
            </w:pPr>
            <w:r w:rsidRPr="00B457F5">
              <w:rPr>
                <w:rFonts w:ascii="Garamond" w:eastAsia="Times New Roman" w:hAnsi="Garamond" w:cs="Times New Roman"/>
                <w:i/>
                <w:iCs/>
                <w:sz w:val="16"/>
                <w:szCs w:val="16"/>
              </w:rPr>
              <w:t>2022</w:t>
            </w:r>
          </w:p>
        </w:tc>
      </w:tr>
      <w:tr w:rsidR="0051583C" w:rsidRPr="00B457F5" w14:paraId="227EB31A" w14:textId="77777777" w:rsidTr="00606E27">
        <w:tc>
          <w:tcPr>
            <w:tcW w:w="3348" w:type="dxa"/>
          </w:tcPr>
          <w:p w14:paraId="6A96FD62" w14:textId="77777777" w:rsidR="0051583C" w:rsidRPr="00B457F5" w:rsidRDefault="0051583C" w:rsidP="00783BF2">
            <w:pPr>
              <w:spacing w:before="0" w:after="0"/>
              <w:rPr>
                <w:rFonts w:ascii="Garamond" w:eastAsia="Times New Roman" w:hAnsi="Garamond" w:cs="Times New Roman"/>
                <w:i/>
                <w:iCs/>
                <w:sz w:val="16"/>
                <w:szCs w:val="16"/>
              </w:rPr>
            </w:pPr>
            <w:r w:rsidRPr="00B457F5">
              <w:rPr>
                <w:rFonts w:ascii="Garamond" w:eastAsia="Times New Roman" w:hAnsi="Garamond" w:cs="Times New Roman"/>
                <w:i/>
                <w:iCs/>
                <w:sz w:val="16"/>
                <w:szCs w:val="16"/>
              </w:rPr>
              <w:t>Franca</w:t>
            </w:r>
          </w:p>
        </w:tc>
        <w:tc>
          <w:tcPr>
            <w:tcW w:w="1479" w:type="dxa"/>
            <w:vAlign w:val="center"/>
          </w:tcPr>
          <w:p w14:paraId="3D8381BA" w14:textId="77777777" w:rsidR="0051583C" w:rsidRPr="00B457F5" w:rsidRDefault="0051583C" w:rsidP="00783BF2">
            <w:pPr>
              <w:spacing w:before="0" w:after="0"/>
              <w:jc w:val="center"/>
              <w:rPr>
                <w:rFonts w:ascii="Garamond" w:eastAsia="Times New Roman" w:hAnsi="Garamond" w:cs="Times New Roman"/>
                <w:sz w:val="16"/>
                <w:szCs w:val="16"/>
              </w:rPr>
            </w:pPr>
            <w:r w:rsidRPr="00B457F5">
              <w:rPr>
                <w:rFonts w:ascii="Garamond" w:eastAsia="Times New Roman" w:hAnsi="Garamond" w:cs="Times New Roman"/>
                <w:sz w:val="16"/>
                <w:szCs w:val="16"/>
              </w:rPr>
              <w:t>8 510</w:t>
            </w:r>
          </w:p>
        </w:tc>
        <w:tc>
          <w:tcPr>
            <w:tcW w:w="1479" w:type="dxa"/>
            <w:vAlign w:val="center"/>
          </w:tcPr>
          <w:p w14:paraId="79149056" w14:textId="77777777" w:rsidR="0051583C" w:rsidRPr="00B457F5" w:rsidRDefault="0051583C" w:rsidP="00783BF2">
            <w:pPr>
              <w:spacing w:before="0" w:after="0"/>
              <w:jc w:val="center"/>
              <w:rPr>
                <w:rFonts w:ascii="Garamond" w:eastAsia="Times New Roman" w:hAnsi="Garamond" w:cs="Times New Roman"/>
                <w:sz w:val="16"/>
                <w:szCs w:val="16"/>
              </w:rPr>
            </w:pPr>
            <w:r w:rsidRPr="00B457F5">
              <w:rPr>
                <w:rFonts w:ascii="Garamond" w:eastAsia="Times New Roman" w:hAnsi="Garamond" w:cs="Times New Roman"/>
                <w:sz w:val="16"/>
                <w:szCs w:val="16"/>
              </w:rPr>
              <w:t>2 010</w:t>
            </w:r>
          </w:p>
        </w:tc>
        <w:tc>
          <w:tcPr>
            <w:tcW w:w="1479" w:type="dxa"/>
            <w:vAlign w:val="center"/>
          </w:tcPr>
          <w:p w14:paraId="24F2364B" w14:textId="77777777" w:rsidR="0051583C" w:rsidRPr="00B457F5" w:rsidRDefault="0051583C" w:rsidP="00783BF2">
            <w:pPr>
              <w:spacing w:before="0" w:after="0"/>
              <w:jc w:val="center"/>
              <w:rPr>
                <w:rFonts w:ascii="Garamond" w:eastAsia="Times New Roman" w:hAnsi="Garamond" w:cs="Times New Roman"/>
                <w:sz w:val="16"/>
                <w:szCs w:val="16"/>
              </w:rPr>
            </w:pPr>
            <w:r w:rsidRPr="00B457F5">
              <w:rPr>
                <w:rFonts w:ascii="Garamond" w:eastAsia="Times New Roman" w:hAnsi="Garamond" w:cs="Times New Roman"/>
                <w:sz w:val="16"/>
                <w:szCs w:val="16"/>
              </w:rPr>
              <w:t>4 885</w:t>
            </w:r>
          </w:p>
        </w:tc>
        <w:tc>
          <w:tcPr>
            <w:tcW w:w="1665" w:type="dxa"/>
            <w:vAlign w:val="center"/>
          </w:tcPr>
          <w:p w14:paraId="7B19A93E" w14:textId="77777777" w:rsidR="0051583C" w:rsidRPr="00B457F5" w:rsidRDefault="0051583C" w:rsidP="00783BF2">
            <w:pPr>
              <w:spacing w:before="0" w:after="0"/>
              <w:jc w:val="center"/>
              <w:rPr>
                <w:rFonts w:ascii="Garamond" w:eastAsia="Times New Roman" w:hAnsi="Garamond" w:cs="Times New Roman"/>
                <w:sz w:val="16"/>
                <w:szCs w:val="16"/>
              </w:rPr>
            </w:pPr>
            <w:r w:rsidRPr="00B457F5">
              <w:rPr>
                <w:rFonts w:ascii="Garamond" w:eastAsia="Times New Roman" w:hAnsi="Garamond" w:cs="Times New Roman"/>
                <w:sz w:val="16"/>
                <w:szCs w:val="16"/>
              </w:rPr>
              <w:t>5 690</w:t>
            </w:r>
          </w:p>
        </w:tc>
      </w:tr>
      <w:tr w:rsidR="0051583C" w:rsidRPr="00B457F5" w14:paraId="25D9B8C5" w14:textId="77777777" w:rsidTr="00606E27">
        <w:tc>
          <w:tcPr>
            <w:tcW w:w="3348" w:type="dxa"/>
          </w:tcPr>
          <w:p w14:paraId="71A99E6B" w14:textId="77777777" w:rsidR="0051583C" w:rsidRPr="00B457F5" w:rsidRDefault="0051583C" w:rsidP="00783BF2">
            <w:pPr>
              <w:spacing w:before="0" w:after="0"/>
              <w:rPr>
                <w:rFonts w:ascii="Garamond" w:eastAsia="Times New Roman" w:hAnsi="Garamond" w:cs="Times New Roman"/>
                <w:i/>
                <w:iCs/>
                <w:sz w:val="16"/>
                <w:szCs w:val="16"/>
              </w:rPr>
            </w:pPr>
            <w:r w:rsidRPr="00B457F5">
              <w:rPr>
                <w:rFonts w:ascii="Garamond" w:eastAsia="Times New Roman" w:hAnsi="Garamond" w:cs="Times New Roman"/>
                <w:i/>
                <w:iCs/>
                <w:sz w:val="16"/>
                <w:szCs w:val="16"/>
              </w:rPr>
              <w:t>Gjermania</w:t>
            </w:r>
          </w:p>
        </w:tc>
        <w:tc>
          <w:tcPr>
            <w:tcW w:w="1479" w:type="dxa"/>
            <w:vAlign w:val="center"/>
          </w:tcPr>
          <w:p w14:paraId="132F74FF" w14:textId="77777777" w:rsidR="0051583C" w:rsidRPr="00B457F5" w:rsidRDefault="0051583C" w:rsidP="00783BF2">
            <w:pPr>
              <w:spacing w:before="0" w:after="0"/>
              <w:jc w:val="center"/>
              <w:rPr>
                <w:rFonts w:ascii="Garamond" w:eastAsia="Times New Roman" w:hAnsi="Garamond" w:cs="Times New Roman"/>
                <w:sz w:val="16"/>
                <w:szCs w:val="16"/>
              </w:rPr>
            </w:pPr>
            <w:r w:rsidRPr="00B457F5">
              <w:rPr>
                <w:rFonts w:ascii="Garamond" w:eastAsia="Times New Roman" w:hAnsi="Garamond" w:cs="Times New Roman"/>
                <w:sz w:val="16"/>
                <w:szCs w:val="16"/>
              </w:rPr>
              <w:t>1 695</w:t>
            </w:r>
          </w:p>
        </w:tc>
        <w:tc>
          <w:tcPr>
            <w:tcW w:w="1479" w:type="dxa"/>
            <w:vAlign w:val="center"/>
          </w:tcPr>
          <w:p w14:paraId="1EA81382" w14:textId="77777777" w:rsidR="0051583C" w:rsidRPr="00B457F5" w:rsidRDefault="0051583C" w:rsidP="00783BF2">
            <w:pPr>
              <w:spacing w:before="0" w:after="0"/>
              <w:jc w:val="center"/>
              <w:rPr>
                <w:rFonts w:ascii="Garamond" w:eastAsia="Times New Roman" w:hAnsi="Garamond" w:cs="Times New Roman"/>
                <w:sz w:val="16"/>
                <w:szCs w:val="16"/>
              </w:rPr>
            </w:pPr>
            <w:r w:rsidRPr="00B457F5">
              <w:rPr>
                <w:rFonts w:ascii="Garamond" w:eastAsia="Times New Roman" w:hAnsi="Garamond" w:cs="Times New Roman"/>
                <w:sz w:val="16"/>
                <w:szCs w:val="16"/>
              </w:rPr>
              <w:t>815</w:t>
            </w:r>
          </w:p>
        </w:tc>
        <w:tc>
          <w:tcPr>
            <w:tcW w:w="1479" w:type="dxa"/>
            <w:vAlign w:val="center"/>
          </w:tcPr>
          <w:p w14:paraId="310136E6" w14:textId="77777777" w:rsidR="0051583C" w:rsidRPr="00B457F5" w:rsidRDefault="0051583C" w:rsidP="00783BF2">
            <w:pPr>
              <w:spacing w:before="0" w:after="0"/>
              <w:jc w:val="center"/>
              <w:rPr>
                <w:rFonts w:ascii="Garamond" w:eastAsia="Times New Roman" w:hAnsi="Garamond" w:cs="Times New Roman"/>
                <w:sz w:val="16"/>
                <w:szCs w:val="16"/>
              </w:rPr>
            </w:pPr>
            <w:r w:rsidRPr="00B457F5">
              <w:rPr>
                <w:rFonts w:ascii="Garamond" w:eastAsia="Times New Roman" w:hAnsi="Garamond" w:cs="Times New Roman"/>
                <w:sz w:val="16"/>
                <w:szCs w:val="16"/>
              </w:rPr>
              <w:t>1 210</w:t>
            </w:r>
          </w:p>
        </w:tc>
        <w:tc>
          <w:tcPr>
            <w:tcW w:w="1665" w:type="dxa"/>
            <w:vAlign w:val="center"/>
          </w:tcPr>
          <w:p w14:paraId="16A3D2C6" w14:textId="77777777" w:rsidR="0051583C" w:rsidRPr="00B457F5" w:rsidRDefault="0051583C" w:rsidP="00783BF2">
            <w:pPr>
              <w:spacing w:before="0" w:after="0"/>
              <w:jc w:val="center"/>
              <w:rPr>
                <w:rFonts w:ascii="Garamond" w:eastAsia="Times New Roman" w:hAnsi="Garamond" w:cs="Times New Roman"/>
                <w:sz w:val="16"/>
                <w:szCs w:val="16"/>
              </w:rPr>
            </w:pPr>
            <w:r w:rsidRPr="00B457F5">
              <w:rPr>
                <w:rFonts w:ascii="Garamond" w:eastAsia="Times New Roman" w:hAnsi="Garamond" w:cs="Times New Roman"/>
                <w:sz w:val="16"/>
                <w:szCs w:val="16"/>
              </w:rPr>
              <w:t>1 745</w:t>
            </w:r>
          </w:p>
        </w:tc>
      </w:tr>
      <w:tr w:rsidR="0051583C" w:rsidRPr="00B457F5" w14:paraId="18A55CF5" w14:textId="77777777" w:rsidTr="00606E27">
        <w:tc>
          <w:tcPr>
            <w:tcW w:w="3348" w:type="dxa"/>
          </w:tcPr>
          <w:p w14:paraId="2C9211F1" w14:textId="77777777" w:rsidR="0051583C" w:rsidRPr="00B457F5" w:rsidRDefault="0051583C" w:rsidP="00783BF2">
            <w:pPr>
              <w:spacing w:before="0" w:after="0"/>
              <w:rPr>
                <w:rFonts w:ascii="Garamond" w:eastAsia="Times New Roman" w:hAnsi="Garamond" w:cs="Times New Roman"/>
                <w:i/>
                <w:iCs/>
                <w:sz w:val="16"/>
                <w:szCs w:val="16"/>
              </w:rPr>
            </w:pPr>
            <w:r w:rsidRPr="00B457F5">
              <w:rPr>
                <w:rFonts w:ascii="Garamond" w:eastAsia="Times New Roman" w:hAnsi="Garamond" w:cs="Times New Roman"/>
                <w:i/>
                <w:iCs/>
                <w:sz w:val="16"/>
                <w:szCs w:val="16"/>
              </w:rPr>
              <w:t>Greqia</w:t>
            </w:r>
          </w:p>
        </w:tc>
        <w:tc>
          <w:tcPr>
            <w:tcW w:w="1479" w:type="dxa"/>
            <w:vAlign w:val="center"/>
          </w:tcPr>
          <w:p w14:paraId="7AC7231D" w14:textId="77777777" w:rsidR="0051583C" w:rsidRPr="00B457F5" w:rsidRDefault="0051583C" w:rsidP="00783BF2">
            <w:pPr>
              <w:spacing w:before="0" w:after="0"/>
              <w:jc w:val="center"/>
              <w:rPr>
                <w:rFonts w:ascii="Garamond" w:eastAsia="Times New Roman" w:hAnsi="Garamond" w:cs="Times New Roman"/>
                <w:sz w:val="16"/>
                <w:szCs w:val="16"/>
              </w:rPr>
            </w:pPr>
            <w:r w:rsidRPr="00B457F5">
              <w:rPr>
                <w:rFonts w:ascii="Garamond" w:eastAsia="Times New Roman" w:hAnsi="Garamond" w:cs="Times New Roman"/>
                <w:sz w:val="16"/>
                <w:szCs w:val="16"/>
              </w:rPr>
              <w:t>2 795</w:t>
            </w:r>
          </w:p>
        </w:tc>
        <w:tc>
          <w:tcPr>
            <w:tcW w:w="1479" w:type="dxa"/>
            <w:vAlign w:val="center"/>
          </w:tcPr>
          <w:p w14:paraId="449B0433" w14:textId="77777777" w:rsidR="0051583C" w:rsidRPr="00B457F5" w:rsidRDefault="0051583C" w:rsidP="00783BF2">
            <w:pPr>
              <w:spacing w:before="0" w:after="0"/>
              <w:jc w:val="center"/>
              <w:rPr>
                <w:rFonts w:ascii="Garamond" w:eastAsia="Times New Roman" w:hAnsi="Garamond" w:cs="Times New Roman"/>
                <w:sz w:val="16"/>
                <w:szCs w:val="16"/>
              </w:rPr>
            </w:pPr>
            <w:r w:rsidRPr="00B457F5">
              <w:rPr>
                <w:rFonts w:ascii="Garamond" w:eastAsia="Times New Roman" w:hAnsi="Garamond" w:cs="Times New Roman"/>
                <w:sz w:val="16"/>
                <w:szCs w:val="16"/>
              </w:rPr>
              <w:t>1 025</w:t>
            </w:r>
          </w:p>
        </w:tc>
        <w:tc>
          <w:tcPr>
            <w:tcW w:w="1479" w:type="dxa"/>
            <w:vAlign w:val="center"/>
          </w:tcPr>
          <w:p w14:paraId="09FCEB54" w14:textId="77777777" w:rsidR="0051583C" w:rsidRPr="00B457F5" w:rsidRDefault="0051583C" w:rsidP="00783BF2">
            <w:pPr>
              <w:spacing w:before="0" w:after="0"/>
              <w:jc w:val="center"/>
              <w:rPr>
                <w:rFonts w:ascii="Garamond" w:eastAsia="Times New Roman" w:hAnsi="Garamond" w:cs="Times New Roman"/>
                <w:sz w:val="16"/>
                <w:szCs w:val="16"/>
              </w:rPr>
            </w:pPr>
            <w:r w:rsidRPr="00B457F5">
              <w:rPr>
                <w:rFonts w:ascii="Garamond" w:eastAsia="Times New Roman" w:hAnsi="Garamond" w:cs="Times New Roman"/>
                <w:sz w:val="16"/>
                <w:szCs w:val="16"/>
              </w:rPr>
              <w:t>1 125</w:t>
            </w:r>
          </w:p>
        </w:tc>
        <w:tc>
          <w:tcPr>
            <w:tcW w:w="1665" w:type="dxa"/>
            <w:vAlign w:val="center"/>
          </w:tcPr>
          <w:p w14:paraId="46DC9DFA" w14:textId="77777777" w:rsidR="0051583C" w:rsidRPr="00B457F5" w:rsidRDefault="0051583C" w:rsidP="00783BF2">
            <w:pPr>
              <w:spacing w:before="0" w:after="0"/>
              <w:jc w:val="center"/>
              <w:rPr>
                <w:rFonts w:ascii="Garamond" w:eastAsia="Times New Roman" w:hAnsi="Garamond" w:cs="Times New Roman"/>
                <w:sz w:val="16"/>
                <w:szCs w:val="16"/>
              </w:rPr>
            </w:pPr>
            <w:r w:rsidRPr="00B457F5">
              <w:rPr>
                <w:rFonts w:ascii="Garamond" w:eastAsia="Times New Roman" w:hAnsi="Garamond" w:cs="Times New Roman"/>
                <w:sz w:val="16"/>
                <w:szCs w:val="16"/>
              </w:rPr>
              <w:t>885</w:t>
            </w:r>
          </w:p>
        </w:tc>
      </w:tr>
      <w:tr w:rsidR="0051583C" w:rsidRPr="00B457F5" w14:paraId="4DD398D7" w14:textId="77777777" w:rsidTr="00606E27">
        <w:tc>
          <w:tcPr>
            <w:tcW w:w="3348" w:type="dxa"/>
          </w:tcPr>
          <w:p w14:paraId="13E78351" w14:textId="77777777" w:rsidR="0051583C" w:rsidRPr="00B457F5" w:rsidRDefault="0051583C" w:rsidP="00783BF2">
            <w:pPr>
              <w:spacing w:before="0" w:after="0"/>
              <w:rPr>
                <w:rFonts w:ascii="Garamond" w:eastAsia="Times New Roman" w:hAnsi="Garamond" w:cs="Times New Roman"/>
                <w:i/>
                <w:iCs/>
                <w:sz w:val="16"/>
                <w:szCs w:val="16"/>
              </w:rPr>
            </w:pPr>
            <w:r w:rsidRPr="00B457F5">
              <w:rPr>
                <w:rFonts w:ascii="Garamond" w:eastAsia="Times New Roman" w:hAnsi="Garamond" w:cs="Times New Roman"/>
                <w:i/>
                <w:iCs/>
                <w:sz w:val="16"/>
                <w:szCs w:val="16"/>
              </w:rPr>
              <w:t>Italia</w:t>
            </w:r>
          </w:p>
        </w:tc>
        <w:tc>
          <w:tcPr>
            <w:tcW w:w="1479" w:type="dxa"/>
            <w:vAlign w:val="center"/>
          </w:tcPr>
          <w:p w14:paraId="33A57B3D" w14:textId="77777777" w:rsidR="0051583C" w:rsidRPr="00B457F5" w:rsidRDefault="0051583C" w:rsidP="00783BF2">
            <w:pPr>
              <w:spacing w:before="0" w:after="0"/>
              <w:jc w:val="center"/>
              <w:rPr>
                <w:rFonts w:ascii="Garamond" w:eastAsia="Times New Roman" w:hAnsi="Garamond" w:cs="Times New Roman"/>
                <w:sz w:val="16"/>
                <w:szCs w:val="16"/>
              </w:rPr>
            </w:pPr>
            <w:r w:rsidRPr="00B457F5">
              <w:rPr>
                <w:rFonts w:ascii="Garamond" w:eastAsia="Times New Roman" w:hAnsi="Garamond" w:cs="Times New Roman"/>
                <w:sz w:val="16"/>
                <w:szCs w:val="16"/>
              </w:rPr>
              <w:t>1 545</w:t>
            </w:r>
          </w:p>
        </w:tc>
        <w:tc>
          <w:tcPr>
            <w:tcW w:w="1479" w:type="dxa"/>
            <w:vAlign w:val="center"/>
          </w:tcPr>
          <w:p w14:paraId="6E75B191" w14:textId="77777777" w:rsidR="0051583C" w:rsidRPr="00B457F5" w:rsidRDefault="0051583C" w:rsidP="00783BF2">
            <w:pPr>
              <w:spacing w:before="0" w:after="0"/>
              <w:jc w:val="center"/>
              <w:rPr>
                <w:rFonts w:ascii="Garamond" w:eastAsia="Times New Roman" w:hAnsi="Garamond" w:cs="Times New Roman"/>
                <w:sz w:val="16"/>
                <w:szCs w:val="16"/>
              </w:rPr>
            </w:pPr>
            <w:r w:rsidRPr="00B457F5">
              <w:rPr>
                <w:rFonts w:ascii="Garamond" w:eastAsia="Times New Roman" w:hAnsi="Garamond" w:cs="Times New Roman"/>
                <w:sz w:val="16"/>
                <w:szCs w:val="16"/>
              </w:rPr>
              <w:t>450</w:t>
            </w:r>
          </w:p>
        </w:tc>
        <w:tc>
          <w:tcPr>
            <w:tcW w:w="1479" w:type="dxa"/>
            <w:vAlign w:val="center"/>
          </w:tcPr>
          <w:p w14:paraId="342A02C9" w14:textId="77777777" w:rsidR="0051583C" w:rsidRPr="00B457F5" w:rsidRDefault="0051583C" w:rsidP="00783BF2">
            <w:pPr>
              <w:spacing w:before="0" w:after="0"/>
              <w:jc w:val="center"/>
              <w:rPr>
                <w:rFonts w:ascii="Garamond" w:eastAsia="Times New Roman" w:hAnsi="Garamond" w:cs="Times New Roman"/>
                <w:sz w:val="16"/>
                <w:szCs w:val="16"/>
              </w:rPr>
            </w:pPr>
            <w:r w:rsidRPr="00B457F5">
              <w:rPr>
                <w:rFonts w:ascii="Garamond" w:eastAsia="Times New Roman" w:hAnsi="Garamond" w:cs="Times New Roman"/>
                <w:sz w:val="16"/>
                <w:szCs w:val="16"/>
              </w:rPr>
              <w:t>760</w:t>
            </w:r>
          </w:p>
        </w:tc>
        <w:tc>
          <w:tcPr>
            <w:tcW w:w="1665" w:type="dxa"/>
            <w:vAlign w:val="center"/>
          </w:tcPr>
          <w:p w14:paraId="4AB99D47" w14:textId="77777777" w:rsidR="0051583C" w:rsidRPr="00B457F5" w:rsidRDefault="0051583C" w:rsidP="00783BF2">
            <w:pPr>
              <w:spacing w:before="0" w:after="0"/>
              <w:jc w:val="center"/>
              <w:rPr>
                <w:rFonts w:ascii="Garamond" w:eastAsia="Times New Roman" w:hAnsi="Garamond" w:cs="Times New Roman"/>
                <w:sz w:val="16"/>
                <w:szCs w:val="16"/>
              </w:rPr>
            </w:pPr>
            <w:r w:rsidRPr="00B457F5">
              <w:rPr>
                <w:rFonts w:ascii="Garamond" w:eastAsia="Times New Roman" w:hAnsi="Garamond" w:cs="Times New Roman"/>
                <w:sz w:val="16"/>
                <w:szCs w:val="16"/>
              </w:rPr>
              <w:t>1 280</w:t>
            </w:r>
          </w:p>
        </w:tc>
      </w:tr>
      <w:tr w:rsidR="0051583C" w:rsidRPr="00B457F5" w14:paraId="0A12280B" w14:textId="77777777" w:rsidTr="00606E27">
        <w:tc>
          <w:tcPr>
            <w:tcW w:w="3348" w:type="dxa"/>
            <w:vAlign w:val="center"/>
          </w:tcPr>
          <w:p w14:paraId="0B3AB9CF" w14:textId="1C888061" w:rsidR="0051583C" w:rsidRPr="00B457F5" w:rsidRDefault="0051583C" w:rsidP="00783BF2">
            <w:pPr>
              <w:spacing w:before="0" w:after="0"/>
              <w:rPr>
                <w:rFonts w:ascii="Garamond" w:eastAsia="Times New Roman" w:hAnsi="Garamond" w:cs="Times New Roman"/>
                <w:i/>
                <w:iCs/>
                <w:sz w:val="16"/>
                <w:szCs w:val="16"/>
              </w:rPr>
            </w:pPr>
            <w:r w:rsidRPr="00B457F5">
              <w:rPr>
                <w:rFonts w:ascii="Garamond" w:hAnsi="Garamond" w:cs="Times New Roman"/>
                <w:i/>
                <w:iCs/>
                <w:sz w:val="16"/>
                <w:szCs w:val="16"/>
              </w:rPr>
              <w:t>Mbretëri</w:t>
            </w:r>
            <w:r w:rsidR="00CC03EF" w:rsidRPr="00B457F5">
              <w:rPr>
                <w:rFonts w:ascii="Garamond" w:hAnsi="Garamond" w:cs="Times New Roman"/>
                <w:i/>
                <w:iCs/>
                <w:sz w:val="16"/>
                <w:szCs w:val="16"/>
              </w:rPr>
              <w:t>a</w:t>
            </w:r>
            <w:r w:rsidRPr="00B457F5">
              <w:rPr>
                <w:rFonts w:ascii="Garamond" w:hAnsi="Garamond" w:cs="Times New Roman"/>
                <w:i/>
                <w:iCs/>
                <w:sz w:val="16"/>
                <w:szCs w:val="16"/>
              </w:rPr>
              <w:t xml:space="preserve"> e Bashkuar</w:t>
            </w:r>
          </w:p>
        </w:tc>
        <w:tc>
          <w:tcPr>
            <w:tcW w:w="1479" w:type="dxa"/>
            <w:vAlign w:val="center"/>
          </w:tcPr>
          <w:p w14:paraId="66F6DFE3" w14:textId="1139E568" w:rsidR="0051583C" w:rsidRPr="00B457F5" w:rsidRDefault="0051583C" w:rsidP="00783BF2">
            <w:pPr>
              <w:spacing w:before="0" w:after="0"/>
              <w:jc w:val="center"/>
              <w:rPr>
                <w:rFonts w:ascii="Garamond" w:eastAsia="Times New Roman" w:hAnsi="Garamond" w:cs="Times New Roman"/>
                <w:sz w:val="16"/>
                <w:szCs w:val="16"/>
              </w:rPr>
            </w:pPr>
            <w:r w:rsidRPr="00B457F5">
              <w:rPr>
                <w:rFonts w:ascii="Garamond" w:eastAsia="Times New Roman" w:hAnsi="Garamond" w:cs="Times New Roman"/>
                <w:sz w:val="16"/>
                <w:szCs w:val="16"/>
              </w:rPr>
              <w:t>2 784</w:t>
            </w:r>
          </w:p>
        </w:tc>
        <w:tc>
          <w:tcPr>
            <w:tcW w:w="1479" w:type="dxa"/>
            <w:vAlign w:val="center"/>
          </w:tcPr>
          <w:p w14:paraId="27F7EF51" w14:textId="7522790E" w:rsidR="0051583C" w:rsidRPr="00B457F5" w:rsidRDefault="0051583C" w:rsidP="00783BF2">
            <w:pPr>
              <w:spacing w:before="0" w:after="0"/>
              <w:jc w:val="center"/>
              <w:rPr>
                <w:rFonts w:ascii="Garamond" w:eastAsia="Times New Roman" w:hAnsi="Garamond" w:cs="Times New Roman"/>
                <w:sz w:val="16"/>
                <w:szCs w:val="16"/>
              </w:rPr>
            </w:pPr>
            <w:r w:rsidRPr="00B457F5">
              <w:rPr>
                <w:rFonts w:ascii="Garamond" w:eastAsia="Times New Roman" w:hAnsi="Garamond" w:cs="Times New Roman"/>
                <w:sz w:val="16"/>
                <w:szCs w:val="16"/>
              </w:rPr>
              <w:t>4 522</w:t>
            </w:r>
          </w:p>
        </w:tc>
        <w:tc>
          <w:tcPr>
            <w:tcW w:w="1479" w:type="dxa"/>
            <w:vAlign w:val="center"/>
          </w:tcPr>
          <w:p w14:paraId="6DA4C6D2" w14:textId="468B09B8" w:rsidR="0051583C" w:rsidRPr="00B457F5" w:rsidRDefault="0051583C" w:rsidP="00783BF2">
            <w:pPr>
              <w:spacing w:before="0" w:after="0"/>
              <w:jc w:val="center"/>
              <w:rPr>
                <w:rFonts w:ascii="Garamond" w:eastAsia="Times New Roman" w:hAnsi="Garamond" w:cs="Times New Roman"/>
                <w:sz w:val="16"/>
                <w:szCs w:val="16"/>
              </w:rPr>
            </w:pPr>
            <w:r w:rsidRPr="00B457F5">
              <w:rPr>
                <w:rFonts w:ascii="Garamond" w:eastAsia="Times New Roman" w:hAnsi="Garamond" w:cs="Times New Roman"/>
                <w:sz w:val="16"/>
                <w:szCs w:val="16"/>
              </w:rPr>
              <w:t>14 223</w:t>
            </w:r>
          </w:p>
        </w:tc>
        <w:tc>
          <w:tcPr>
            <w:tcW w:w="1665" w:type="dxa"/>
            <w:vAlign w:val="center"/>
          </w:tcPr>
          <w:p w14:paraId="656C62AB" w14:textId="5F00A698" w:rsidR="0051583C" w:rsidRPr="00B457F5" w:rsidRDefault="0051583C" w:rsidP="00783BF2">
            <w:pPr>
              <w:spacing w:before="0" w:after="0"/>
              <w:jc w:val="center"/>
              <w:rPr>
                <w:rFonts w:ascii="Garamond" w:eastAsia="Times New Roman" w:hAnsi="Garamond" w:cs="Times New Roman"/>
                <w:sz w:val="16"/>
                <w:szCs w:val="16"/>
              </w:rPr>
            </w:pPr>
            <w:r w:rsidRPr="00B457F5">
              <w:rPr>
                <w:rFonts w:ascii="Garamond" w:eastAsia="Times New Roman" w:hAnsi="Garamond" w:cs="Times New Roman"/>
                <w:sz w:val="16"/>
                <w:szCs w:val="16"/>
              </w:rPr>
              <w:t>3 453</w:t>
            </w:r>
          </w:p>
        </w:tc>
      </w:tr>
      <w:tr w:rsidR="0051583C" w:rsidRPr="00B457F5" w14:paraId="5B8A874A" w14:textId="77777777" w:rsidTr="00E73215">
        <w:trPr>
          <w:trHeight w:val="55"/>
        </w:trPr>
        <w:tc>
          <w:tcPr>
            <w:tcW w:w="9450" w:type="dxa"/>
            <w:gridSpan w:val="5"/>
          </w:tcPr>
          <w:p w14:paraId="56F6F7BA" w14:textId="1B97CABC" w:rsidR="0051583C" w:rsidRPr="00B457F5" w:rsidRDefault="0051583C" w:rsidP="00783BF2">
            <w:pPr>
              <w:spacing w:before="0" w:after="0"/>
              <w:jc w:val="center"/>
              <w:rPr>
                <w:rFonts w:ascii="Garamond" w:eastAsia="Times New Roman" w:hAnsi="Garamond" w:cs="Times New Roman"/>
                <w:i/>
                <w:iCs/>
                <w:sz w:val="16"/>
                <w:szCs w:val="16"/>
              </w:rPr>
            </w:pPr>
            <w:r w:rsidRPr="00B457F5">
              <w:rPr>
                <w:rFonts w:ascii="Garamond" w:eastAsia="Times New Roman" w:hAnsi="Garamond" w:cs="Times New Roman"/>
                <w:i/>
                <w:iCs/>
                <w:color w:val="17365D" w:themeColor="text2" w:themeShade="BF"/>
                <w:sz w:val="16"/>
                <w:szCs w:val="16"/>
              </w:rPr>
              <w:t xml:space="preserve">Burimi: </w:t>
            </w:r>
            <w:r w:rsidR="0080210E" w:rsidRPr="00B457F5">
              <w:rPr>
                <w:rFonts w:ascii="Garamond" w:eastAsia="Times New Roman" w:hAnsi="Garamond" w:cs="Times New Roman"/>
                <w:i/>
                <w:iCs/>
                <w:color w:val="17365D" w:themeColor="text2" w:themeShade="BF"/>
                <w:sz w:val="16"/>
                <w:szCs w:val="16"/>
              </w:rPr>
              <w:t xml:space="preserve">Databaza e </w:t>
            </w:r>
            <w:r w:rsidR="00EE1FCE" w:rsidRPr="00B457F5">
              <w:rPr>
                <w:rFonts w:ascii="Garamond" w:eastAsia="Times New Roman" w:hAnsi="Garamond" w:cs="Times New Roman"/>
                <w:i/>
                <w:iCs/>
                <w:color w:val="17365D" w:themeColor="text2" w:themeShade="BF"/>
                <w:sz w:val="16"/>
                <w:szCs w:val="16"/>
              </w:rPr>
              <w:t>EUROSTAT</w:t>
            </w:r>
            <w:r w:rsidR="0080210E" w:rsidRPr="00B457F5">
              <w:rPr>
                <w:rFonts w:ascii="Garamond" w:eastAsia="Times New Roman" w:hAnsi="Garamond" w:cs="Times New Roman"/>
                <w:i/>
                <w:iCs/>
                <w:color w:val="17365D" w:themeColor="text2" w:themeShade="BF"/>
                <w:sz w:val="16"/>
                <w:szCs w:val="16"/>
              </w:rPr>
              <w:t xml:space="preserve"> &amp; Home Office UK</w:t>
            </w:r>
            <w:r w:rsidR="00CC03EF" w:rsidRPr="00B457F5">
              <w:rPr>
                <w:rFonts w:ascii="Garamond" w:eastAsia="Times New Roman" w:hAnsi="Garamond" w:cs="Times New Roman"/>
                <w:i/>
                <w:iCs/>
                <w:color w:val="17365D" w:themeColor="text2" w:themeShade="BF"/>
                <w:sz w:val="16"/>
                <w:szCs w:val="16"/>
              </w:rPr>
              <w:t>, 2023</w:t>
            </w:r>
            <w:r w:rsidR="00EE1FCE" w:rsidRPr="00B457F5">
              <w:rPr>
                <w:rStyle w:val="FootnoteReference"/>
                <w:rFonts w:ascii="Garamond" w:eastAsia="Times New Roman" w:hAnsi="Garamond" w:cs="Times New Roman"/>
                <w:i/>
                <w:iCs/>
                <w:color w:val="17365D" w:themeColor="text2" w:themeShade="BF"/>
                <w:sz w:val="16"/>
                <w:szCs w:val="16"/>
              </w:rPr>
              <w:footnoteReference w:id="32"/>
            </w:r>
          </w:p>
        </w:tc>
      </w:tr>
    </w:tbl>
    <w:p w14:paraId="0A73550E" w14:textId="77777777" w:rsidR="00783BF2" w:rsidRPr="00B457F5" w:rsidRDefault="00783BF2" w:rsidP="00E73215">
      <w:pPr>
        <w:spacing w:before="0" w:after="0"/>
        <w:rPr>
          <w:rFonts w:ascii="Garamond" w:eastAsia="MS Mincho" w:hAnsi="Garamond" w:cs="Times New Roman"/>
          <w:bCs/>
          <w:iCs/>
          <w:szCs w:val="24"/>
        </w:rPr>
      </w:pPr>
    </w:p>
    <w:p w14:paraId="7045E7A2" w14:textId="0DDCAF68" w:rsidR="003E137A" w:rsidRPr="00B457F5" w:rsidRDefault="00C64C17" w:rsidP="002E693B">
      <w:pPr>
        <w:spacing w:before="0" w:after="0"/>
        <w:ind w:firstLine="284"/>
        <w:rPr>
          <w:rFonts w:ascii="Garamond" w:eastAsia="MS Mincho" w:hAnsi="Garamond" w:cs="Times New Roman"/>
          <w:szCs w:val="24"/>
        </w:rPr>
      </w:pPr>
      <w:r w:rsidRPr="00B457F5">
        <w:rPr>
          <w:rFonts w:ascii="Garamond" w:eastAsia="MS Mincho" w:hAnsi="Garamond" w:cs="Times New Roman"/>
          <w:bCs/>
          <w:i/>
          <w:iCs/>
          <w:szCs w:val="24"/>
        </w:rPr>
        <w:t>Imigracioni</w:t>
      </w:r>
      <w:r w:rsidRPr="00B457F5">
        <w:rPr>
          <w:rFonts w:ascii="Garamond" w:eastAsia="MS Mincho" w:hAnsi="Garamond" w:cs="Times New Roman"/>
          <w:bCs/>
          <w:iCs/>
          <w:szCs w:val="24"/>
        </w:rPr>
        <w:t>.</w:t>
      </w:r>
      <w:r w:rsidRPr="00B457F5">
        <w:rPr>
          <w:rFonts w:ascii="Garamond" w:eastAsia="MS Mincho" w:hAnsi="Garamond" w:cs="Times New Roman"/>
          <w:szCs w:val="24"/>
        </w:rPr>
        <w:t xml:space="preserve"> Shqipëria po bëhet gjithnjë e më shumë një vend destinacioni për emigrantët që kërkojnë punë, studentët, azilkërkuesit dhe refugjatët, megjithëse shifrat janë relativisht të vogla. Aktualisht në Shqipëri jetojnë me vendbanim të rregullt 16 505 emigrantë, nga të cilët</w:t>
      </w:r>
      <w:r w:rsidR="004603D0" w:rsidRPr="00B457F5">
        <w:rPr>
          <w:rFonts w:ascii="Garamond" w:eastAsia="MS Mincho" w:hAnsi="Garamond" w:cs="Times New Roman"/>
          <w:szCs w:val="24"/>
        </w:rPr>
        <w:t>, siç shihet në figurën e mëposhtme,</w:t>
      </w:r>
      <w:r w:rsidRPr="00B457F5">
        <w:rPr>
          <w:rFonts w:ascii="Garamond" w:eastAsia="MS Mincho" w:hAnsi="Garamond" w:cs="Times New Roman"/>
          <w:szCs w:val="24"/>
        </w:rPr>
        <w:t xml:space="preserve"> 48% janë për arsye punësimi. 10 147 persona aplikuan për leje qëndrimi në vitin 2022, nga të cilët shtetasit italianë përbëjnë grupin më të madh (2 324 persona)</w:t>
      </w:r>
      <w:r w:rsidR="00A619CA" w:rsidRPr="00B457F5">
        <w:rPr>
          <w:rFonts w:ascii="Garamond" w:eastAsia="MS Mincho" w:hAnsi="Garamond" w:cs="Times New Roman"/>
          <w:szCs w:val="24"/>
          <w:vertAlign w:val="superscript"/>
        </w:rPr>
        <w:footnoteReference w:id="33"/>
      </w:r>
      <w:r w:rsidR="00A619CA" w:rsidRPr="00B457F5">
        <w:rPr>
          <w:rFonts w:ascii="Garamond" w:eastAsia="MS Mincho" w:hAnsi="Garamond" w:cs="Times New Roman"/>
          <w:szCs w:val="24"/>
        </w:rPr>
        <w:t xml:space="preserve">. </w:t>
      </w:r>
      <w:r w:rsidR="007D438B" w:rsidRPr="00B457F5">
        <w:rPr>
          <w:rFonts w:ascii="Garamond" w:eastAsia="MS Mincho" w:hAnsi="Garamond" w:cs="Times New Roman"/>
          <w:szCs w:val="24"/>
        </w:rPr>
        <w:t xml:space="preserve">Pjesë e shkaqeve të rritjes së numrit të </w:t>
      </w:r>
      <w:r w:rsidR="00C045F9" w:rsidRPr="00B457F5">
        <w:rPr>
          <w:rFonts w:ascii="Garamond" w:eastAsia="MS Mincho" w:hAnsi="Garamond" w:cs="Times New Roman"/>
          <w:szCs w:val="24"/>
        </w:rPr>
        <w:t>i</w:t>
      </w:r>
      <w:r w:rsidR="007D438B" w:rsidRPr="00B457F5">
        <w:rPr>
          <w:rFonts w:ascii="Garamond" w:eastAsia="MS Mincho" w:hAnsi="Garamond" w:cs="Times New Roman"/>
          <w:szCs w:val="24"/>
        </w:rPr>
        <w:t xml:space="preserve">migrantëve është edhe ligji </w:t>
      </w:r>
      <w:r w:rsidR="00E73215" w:rsidRPr="00B457F5">
        <w:rPr>
          <w:rFonts w:ascii="Garamond" w:eastAsia="MS Mincho" w:hAnsi="Garamond" w:cs="Times New Roman"/>
          <w:szCs w:val="24"/>
        </w:rPr>
        <w:t xml:space="preserve">nr. </w:t>
      </w:r>
      <w:r w:rsidR="007D438B" w:rsidRPr="00B457F5">
        <w:rPr>
          <w:rFonts w:ascii="Garamond" w:eastAsia="MS Mincho" w:hAnsi="Garamond" w:cs="Times New Roman"/>
          <w:szCs w:val="24"/>
        </w:rPr>
        <w:t>79/2021</w:t>
      </w:r>
      <w:r w:rsidR="00E73215" w:rsidRPr="00B457F5">
        <w:rPr>
          <w:rFonts w:ascii="Garamond" w:eastAsia="MS Mincho" w:hAnsi="Garamond" w:cs="Times New Roman"/>
          <w:szCs w:val="24"/>
        </w:rPr>
        <w:t>,</w:t>
      </w:r>
      <w:r w:rsidR="007D438B" w:rsidRPr="00B457F5">
        <w:rPr>
          <w:rFonts w:ascii="Garamond" w:eastAsia="MS Mincho" w:hAnsi="Garamond" w:cs="Times New Roman"/>
          <w:szCs w:val="24"/>
        </w:rPr>
        <w:t xml:space="preserve"> </w:t>
      </w:r>
      <w:r w:rsidR="00A313AE" w:rsidRPr="00B457F5">
        <w:rPr>
          <w:rFonts w:ascii="Garamond" w:eastAsia="MS Mincho" w:hAnsi="Garamond" w:cs="Times New Roman"/>
          <w:szCs w:val="24"/>
        </w:rPr>
        <w:t>“</w:t>
      </w:r>
      <w:r w:rsidR="007D438B" w:rsidRPr="00B457F5">
        <w:rPr>
          <w:rFonts w:ascii="Garamond" w:eastAsia="MS Mincho" w:hAnsi="Garamond" w:cs="Times New Roman"/>
          <w:szCs w:val="24"/>
        </w:rPr>
        <w:t>Për të huajt</w:t>
      </w:r>
      <w:r w:rsidR="00A313AE" w:rsidRPr="00B457F5">
        <w:rPr>
          <w:rFonts w:ascii="Garamond" w:eastAsia="MS Mincho" w:hAnsi="Garamond" w:cs="Times New Roman"/>
          <w:szCs w:val="24"/>
        </w:rPr>
        <w:t>”</w:t>
      </w:r>
      <w:r w:rsidR="00E73215" w:rsidRPr="00B457F5">
        <w:rPr>
          <w:rFonts w:ascii="Garamond" w:eastAsia="MS Mincho" w:hAnsi="Garamond" w:cs="Times New Roman"/>
          <w:szCs w:val="24"/>
        </w:rPr>
        <w:t>,</w:t>
      </w:r>
      <w:r w:rsidR="007D438B" w:rsidRPr="00B457F5">
        <w:rPr>
          <w:rFonts w:ascii="Garamond" w:eastAsia="MS Mincho" w:hAnsi="Garamond" w:cs="Times New Roman"/>
          <w:szCs w:val="24"/>
        </w:rPr>
        <w:t xml:space="preserve"> i cili ka lehtësuar procedurat për qëndrimin e rregullt të të huajve në Shqipëri</w:t>
      </w:r>
      <w:r w:rsidR="00E73215" w:rsidRPr="00B457F5">
        <w:rPr>
          <w:rFonts w:ascii="Garamond" w:eastAsia="MS Mincho" w:hAnsi="Garamond" w:cs="Times New Roman"/>
          <w:szCs w:val="24"/>
        </w:rPr>
        <w:t>,</w:t>
      </w:r>
      <w:r w:rsidR="007D438B" w:rsidRPr="00B457F5">
        <w:rPr>
          <w:rFonts w:ascii="Garamond" w:eastAsia="MS Mincho" w:hAnsi="Garamond" w:cs="Times New Roman"/>
          <w:szCs w:val="24"/>
        </w:rPr>
        <w:t xml:space="preserve"> duke diversifikuar dhe shtuar disa arsye të reja qëndrimi, leje</w:t>
      </w:r>
      <w:r w:rsidR="00D405EB" w:rsidRPr="00B457F5">
        <w:rPr>
          <w:rFonts w:ascii="Garamond" w:eastAsia="MS Mincho" w:hAnsi="Garamond" w:cs="Times New Roman"/>
          <w:szCs w:val="24"/>
        </w:rPr>
        <w:t>n</w:t>
      </w:r>
      <w:r w:rsidR="007D438B" w:rsidRPr="00B457F5">
        <w:rPr>
          <w:rFonts w:ascii="Garamond" w:eastAsia="MS Mincho" w:hAnsi="Garamond" w:cs="Times New Roman"/>
          <w:szCs w:val="24"/>
        </w:rPr>
        <w:t xml:space="preserve"> unike (t</w:t>
      </w:r>
      <w:r w:rsidR="00B0743F" w:rsidRPr="00B457F5">
        <w:rPr>
          <w:rFonts w:ascii="Garamond" w:eastAsia="MS Mincho" w:hAnsi="Garamond" w:cs="Times New Roman"/>
          <w:szCs w:val="24"/>
        </w:rPr>
        <w:t>ë</w:t>
      </w:r>
      <w:r w:rsidR="007D438B" w:rsidRPr="00B457F5">
        <w:rPr>
          <w:rFonts w:ascii="Garamond" w:eastAsia="MS Mincho" w:hAnsi="Garamond" w:cs="Times New Roman"/>
          <w:szCs w:val="24"/>
        </w:rPr>
        <w:t xml:space="preserve"> vetme) </w:t>
      </w:r>
      <w:r w:rsidR="00D405EB" w:rsidRPr="00B457F5">
        <w:rPr>
          <w:rFonts w:ascii="Garamond" w:eastAsia="MS Mincho" w:hAnsi="Garamond" w:cs="Times New Roman"/>
          <w:szCs w:val="24"/>
        </w:rPr>
        <w:t xml:space="preserve">të </w:t>
      </w:r>
      <w:r w:rsidR="007D438B" w:rsidRPr="00B457F5">
        <w:rPr>
          <w:rFonts w:ascii="Garamond" w:eastAsia="MS Mincho" w:hAnsi="Garamond" w:cs="Times New Roman"/>
          <w:szCs w:val="24"/>
        </w:rPr>
        <w:t>q</w:t>
      </w:r>
      <w:r w:rsidR="00B0743F" w:rsidRPr="00B457F5">
        <w:rPr>
          <w:rFonts w:ascii="Garamond" w:eastAsia="MS Mincho" w:hAnsi="Garamond" w:cs="Times New Roman"/>
          <w:szCs w:val="24"/>
        </w:rPr>
        <w:t>ë</w:t>
      </w:r>
      <w:r w:rsidR="007D438B" w:rsidRPr="00B457F5">
        <w:rPr>
          <w:rFonts w:ascii="Garamond" w:eastAsia="MS Mincho" w:hAnsi="Garamond" w:cs="Times New Roman"/>
          <w:szCs w:val="24"/>
        </w:rPr>
        <w:t>ndrimi</w:t>
      </w:r>
      <w:r w:rsidR="0043699E" w:rsidRPr="00B457F5">
        <w:rPr>
          <w:rFonts w:ascii="Garamond" w:eastAsia="MS Mincho" w:hAnsi="Garamond" w:cs="Times New Roman"/>
          <w:szCs w:val="24"/>
        </w:rPr>
        <w:t>t.</w:t>
      </w:r>
      <w:r w:rsidR="00D765E2" w:rsidRPr="00B457F5">
        <w:rPr>
          <w:rFonts w:ascii="Garamond" w:eastAsia="MS Mincho" w:hAnsi="Garamond" w:cs="Times New Roman"/>
          <w:szCs w:val="24"/>
        </w:rPr>
        <w:t xml:space="preserve"> </w:t>
      </w:r>
      <w:r w:rsidR="0043699E" w:rsidRPr="00B457F5">
        <w:rPr>
          <w:rFonts w:ascii="Garamond" w:eastAsia="MS Mincho" w:hAnsi="Garamond" w:cs="Times New Roman"/>
          <w:szCs w:val="24"/>
        </w:rPr>
        <w:t>Gjithash</w:t>
      </w:r>
      <w:r w:rsidR="00964455" w:rsidRPr="00B457F5">
        <w:rPr>
          <w:rFonts w:ascii="Garamond" w:eastAsia="MS Mincho" w:hAnsi="Garamond" w:cs="Times New Roman"/>
          <w:szCs w:val="24"/>
        </w:rPr>
        <w:t>t</w:t>
      </w:r>
      <w:r w:rsidR="0043699E" w:rsidRPr="00B457F5">
        <w:rPr>
          <w:rFonts w:ascii="Garamond" w:eastAsia="MS Mincho" w:hAnsi="Garamond" w:cs="Times New Roman"/>
          <w:szCs w:val="24"/>
        </w:rPr>
        <w:t xml:space="preserve">u, </w:t>
      </w:r>
      <w:r w:rsidR="007D438B" w:rsidRPr="00B457F5">
        <w:rPr>
          <w:rFonts w:ascii="Garamond" w:eastAsia="MS Mincho" w:hAnsi="Garamond" w:cs="Times New Roman"/>
          <w:szCs w:val="24"/>
        </w:rPr>
        <w:t>forcimi</w:t>
      </w:r>
      <w:r w:rsidR="00D405EB" w:rsidRPr="00B457F5">
        <w:rPr>
          <w:rFonts w:ascii="Garamond" w:eastAsia="MS Mincho" w:hAnsi="Garamond" w:cs="Times New Roman"/>
          <w:szCs w:val="24"/>
        </w:rPr>
        <w:t>n</w:t>
      </w:r>
      <w:r w:rsidR="007D438B" w:rsidRPr="00B457F5">
        <w:rPr>
          <w:rFonts w:ascii="Garamond" w:eastAsia="MS Mincho" w:hAnsi="Garamond" w:cs="Times New Roman"/>
          <w:szCs w:val="24"/>
        </w:rPr>
        <w:t xml:space="preserve"> </w:t>
      </w:r>
      <w:r w:rsidR="00D405EB" w:rsidRPr="00B457F5">
        <w:rPr>
          <w:rFonts w:ascii="Garamond" w:eastAsia="MS Mincho" w:hAnsi="Garamond" w:cs="Times New Roman"/>
          <w:szCs w:val="24"/>
        </w:rPr>
        <w:t>e</w:t>
      </w:r>
      <w:r w:rsidR="007D438B" w:rsidRPr="00B457F5">
        <w:rPr>
          <w:rFonts w:ascii="Garamond" w:eastAsia="MS Mincho" w:hAnsi="Garamond" w:cs="Times New Roman"/>
          <w:szCs w:val="24"/>
        </w:rPr>
        <w:t xml:space="preserve"> kuadrit ligjor për mbrojtjen e të drejtave të migrantëve përbë</w:t>
      </w:r>
      <w:r w:rsidR="00964455" w:rsidRPr="00B457F5">
        <w:rPr>
          <w:rFonts w:ascii="Garamond" w:eastAsia="MS Mincho" w:hAnsi="Garamond" w:cs="Times New Roman"/>
          <w:szCs w:val="24"/>
        </w:rPr>
        <w:t>n</w:t>
      </w:r>
      <w:r w:rsidR="007D438B" w:rsidRPr="00B457F5">
        <w:rPr>
          <w:rFonts w:ascii="Garamond" w:eastAsia="MS Mincho" w:hAnsi="Garamond" w:cs="Times New Roman"/>
          <w:szCs w:val="24"/>
        </w:rPr>
        <w:t xml:space="preserve"> një vlerë të shtuar të ligjit.</w:t>
      </w:r>
    </w:p>
    <w:p w14:paraId="6641E925" w14:textId="77777777" w:rsidR="00E73215" w:rsidRPr="00B457F5" w:rsidRDefault="00E73215" w:rsidP="002E693B">
      <w:pPr>
        <w:spacing w:before="0" w:after="0"/>
        <w:ind w:firstLine="284"/>
        <w:rPr>
          <w:rFonts w:ascii="Garamond" w:eastAsia="MS Mincho" w:hAnsi="Garamond" w:cs="Times New Roman"/>
          <w:szCs w:val="24"/>
        </w:rPr>
      </w:pPr>
    </w:p>
    <w:p w14:paraId="532E0653" w14:textId="1765432B" w:rsidR="00624D2E" w:rsidRPr="00B457F5" w:rsidRDefault="00624D2E" w:rsidP="002E693B">
      <w:pPr>
        <w:spacing w:before="0" w:after="0"/>
        <w:ind w:firstLine="284"/>
        <w:rPr>
          <w:rFonts w:ascii="Garamond" w:eastAsia="MS Mincho" w:hAnsi="Garamond" w:cs="Times New Roman"/>
          <w:bCs/>
          <w:i/>
          <w:sz w:val="20"/>
          <w:szCs w:val="20"/>
        </w:rPr>
      </w:pPr>
      <w:r w:rsidRPr="00B457F5">
        <w:rPr>
          <w:rFonts w:ascii="Garamond" w:eastAsia="MS Mincho" w:hAnsi="Garamond" w:cs="Times New Roman"/>
          <w:bCs/>
          <w:i/>
          <w:sz w:val="20"/>
          <w:szCs w:val="20"/>
        </w:rPr>
        <w:t>Tabela 4. Banorët e huaj në Shqipëri sipas qëllimit të deklaruar të qëndrimit, 2019</w:t>
      </w:r>
      <w:r w:rsidR="004D6364" w:rsidRPr="00B457F5">
        <w:rPr>
          <w:rStyle w:val="contentpasted1"/>
          <w:rFonts w:ascii="Garamond" w:hAnsi="Garamond" w:cs="Times New Roman"/>
          <w:i/>
          <w:color w:val="000000"/>
          <w:sz w:val="20"/>
          <w:szCs w:val="20"/>
        </w:rPr>
        <w:t>–</w:t>
      </w:r>
      <w:r w:rsidRPr="00B457F5">
        <w:rPr>
          <w:rFonts w:ascii="Garamond" w:eastAsia="MS Mincho" w:hAnsi="Garamond" w:cs="Times New Roman"/>
          <w:bCs/>
          <w:i/>
          <w:sz w:val="20"/>
          <w:szCs w:val="20"/>
        </w:rPr>
        <w:t>2022</w:t>
      </w:r>
    </w:p>
    <w:tbl>
      <w:tblPr>
        <w:tblW w:w="9630" w:type="dxa"/>
        <w:tblBorders>
          <w:top w:val="single" w:sz="4" w:space="0" w:color="365F91"/>
          <w:bottom w:val="single" w:sz="4" w:space="0" w:color="365F91"/>
        </w:tblBorders>
        <w:tblLayout w:type="fixed"/>
        <w:tblLook w:val="04A0" w:firstRow="1" w:lastRow="0" w:firstColumn="1" w:lastColumn="0" w:noHBand="0" w:noVBand="1"/>
      </w:tblPr>
      <w:tblGrid>
        <w:gridCol w:w="2500"/>
        <w:gridCol w:w="1782"/>
        <w:gridCol w:w="1783"/>
        <w:gridCol w:w="1782"/>
        <w:gridCol w:w="1783"/>
      </w:tblGrid>
      <w:tr w:rsidR="0005092F" w:rsidRPr="00B457F5" w14:paraId="5F93D418" w14:textId="77777777" w:rsidTr="00783BF2">
        <w:trPr>
          <w:trHeight w:val="57"/>
        </w:trPr>
        <w:tc>
          <w:tcPr>
            <w:tcW w:w="9630" w:type="dxa"/>
            <w:gridSpan w:val="5"/>
            <w:shd w:val="clear" w:color="auto" w:fill="auto"/>
            <w:noWrap/>
            <w:vAlign w:val="center"/>
            <w:hideMark/>
          </w:tcPr>
          <w:p w14:paraId="4864D6DE" w14:textId="291E806D" w:rsidR="0005092F" w:rsidRPr="00B457F5" w:rsidRDefault="0005092F" w:rsidP="00783BF2">
            <w:pPr>
              <w:spacing w:before="0" w:after="0"/>
              <w:jc w:val="center"/>
              <w:rPr>
                <w:rFonts w:ascii="Garamond" w:eastAsia="Times New Roman" w:hAnsi="Garamond" w:cs="Times New Roman"/>
                <w:color w:val="17365D" w:themeColor="text2" w:themeShade="BF"/>
                <w:sz w:val="16"/>
                <w:szCs w:val="16"/>
              </w:rPr>
            </w:pPr>
            <w:r w:rsidRPr="00B457F5">
              <w:rPr>
                <w:rFonts w:ascii="Garamond" w:eastAsia="Times New Roman" w:hAnsi="Garamond" w:cs="Times New Roman"/>
                <w:color w:val="17365D" w:themeColor="text2" w:themeShade="BF"/>
                <w:sz w:val="16"/>
                <w:szCs w:val="16"/>
              </w:rPr>
              <w:t xml:space="preserve">Shtetas të huaj me qëndrim në Shqipëri Sipas Motivit </w:t>
            </w:r>
          </w:p>
        </w:tc>
      </w:tr>
      <w:tr w:rsidR="0005092F" w:rsidRPr="00B457F5" w14:paraId="3A513ACC" w14:textId="77777777" w:rsidTr="00783BF2">
        <w:trPr>
          <w:trHeight w:val="57"/>
        </w:trPr>
        <w:tc>
          <w:tcPr>
            <w:tcW w:w="2500" w:type="dxa"/>
            <w:shd w:val="clear" w:color="auto" w:fill="auto"/>
            <w:noWrap/>
            <w:vAlign w:val="center"/>
            <w:hideMark/>
          </w:tcPr>
          <w:p w14:paraId="453C8791" w14:textId="77777777" w:rsidR="0005092F" w:rsidRPr="00B457F5" w:rsidRDefault="0005092F" w:rsidP="00783BF2">
            <w:pPr>
              <w:spacing w:before="0" w:after="0"/>
              <w:jc w:val="center"/>
              <w:rPr>
                <w:rFonts w:ascii="Garamond" w:eastAsia="Times New Roman" w:hAnsi="Garamond" w:cs="Times New Roman"/>
                <w:color w:val="000000"/>
                <w:sz w:val="16"/>
                <w:szCs w:val="16"/>
              </w:rPr>
            </w:pPr>
          </w:p>
        </w:tc>
        <w:tc>
          <w:tcPr>
            <w:tcW w:w="1782" w:type="dxa"/>
            <w:shd w:val="clear" w:color="auto" w:fill="auto"/>
            <w:noWrap/>
            <w:vAlign w:val="center"/>
            <w:hideMark/>
          </w:tcPr>
          <w:p w14:paraId="3E29A044" w14:textId="77777777" w:rsidR="0005092F" w:rsidRPr="00B457F5" w:rsidRDefault="0005092F" w:rsidP="00783BF2">
            <w:pPr>
              <w:spacing w:before="0" w:after="0"/>
              <w:jc w:val="center"/>
              <w:rPr>
                <w:rFonts w:ascii="Garamond" w:eastAsia="Times New Roman" w:hAnsi="Garamond" w:cs="Times New Roman"/>
                <w:i/>
                <w:iCs/>
                <w:color w:val="000000"/>
                <w:sz w:val="16"/>
                <w:szCs w:val="16"/>
              </w:rPr>
            </w:pPr>
            <w:r w:rsidRPr="00B457F5">
              <w:rPr>
                <w:rFonts w:ascii="Garamond" w:eastAsia="Times New Roman" w:hAnsi="Garamond" w:cs="Times New Roman"/>
                <w:i/>
                <w:iCs/>
                <w:color w:val="000000"/>
                <w:sz w:val="16"/>
                <w:szCs w:val="16"/>
              </w:rPr>
              <w:t>2019</w:t>
            </w:r>
          </w:p>
        </w:tc>
        <w:tc>
          <w:tcPr>
            <w:tcW w:w="1783" w:type="dxa"/>
            <w:shd w:val="clear" w:color="auto" w:fill="auto"/>
            <w:noWrap/>
            <w:vAlign w:val="center"/>
            <w:hideMark/>
          </w:tcPr>
          <w:p w14:paraId="5DF61B55" w14:textId="77777777" w:rsidR="0005092F" w:rsidRPr="00B457F5" w:rsidRDefault="0005092F" w:rsidP="00783BF2">
            <w:pPr>
              <w:spacing w:before="0" w:after="0"/>
              <w:jc w:val="center"/>
              <w:rPr>
                <w:rFonts w:ascii="Garamond" w:eastAsia="Times New Roman" w:hAnsi="Garamond" w:cs="Times New Roman"/>
                <w:i/>
                <w:iCs/>
                <w:color w:val="000000"/>
                <w:sz w:val="16"/>
                <w:szCs w:val="16"/>
              </w:rPr>
            </w:pPr>
            <w:r w:rsidRPr="00B457F5">
              <w:rPr>
                <w:rFonts w:ascii="Garamond" w:eastAsia="Times New Roman" w:hAnsi="Garamond" w:cs="Times New Roman"/>
                <w:i/>
                <w:iCs/>
                <w:color w:val="000000"/>
                <w:sz w:val="16"/>
                <w:szCs w:val="16"/>
              </w:rPr>
              <w:t>2020</w:t>
            </w:r>
          </w:p>
        </w:tc>
        <w:tc>
          <w:tcPr>
            <w:tcW w:w="1782" w:type="dxa"/>
            <w:shd w:val="clear" w:color="auto" w:fill="auto"/>
            <w:noWrap/>
            <w:vAlign w:val="center"/>
            <w:hideMark/>
          </w:tcPr>
          <w:p w14:paraId="4583626C" w14:textId="77777777" w:rsidR="0005092F" w:rsidRPr="00B457F5" w:rsidRDefault="0005092F" w:rsidP="00783BF2">
            <w:pPr>
              <w:spacing w:before="0" w:after="0"/>
              <w:jc w:val="center"/>
              <w:rPr>
                <w:rFonts w:ascii="Garamond" w:eastAsia="Times New Roman" w:hAnsi="Garamond" w:cs="Times New Roman"/>
                <w:i/>
                <w:iCs/>
                <w:color w:val="000000"/>
                <w:sz w:val="16"/>
                <w:szCs w:val="16"/>
              </w:rPr>
            </w:pPr>
            <w:r w:rsidRPr="00B457F5">
              <w:rPr>
                <w:rFonts w:ascii="Garamond" w:eastAsia="Times New Roman" w:hAnsi="Garamond" w:cs="Times New Roman"/>
                <w:i/>
                <w:iCs/>
                <w:color w:val="000000"/>
                <w:sz w:val="16"/>
                <w:szCs w:val="16"/>
              </w:rPr>
              <w:t>2021</w:t>
            </w:r>
          </w:p>
        </w:tc>
        <w:tc>
          <w:tcPr>
            <w:tcW w:w="1783" w:type="dxa"/>
            <w:shd w:val="clear" w:color="auto" w:fill="auto"/>
            <w:noWrap/>
            <w:vAlign w:val="center"/>
            <w:hideMark/>
          </w:tcPr>
          <w:p w14:paraId="5C639B34" w14:textId="77777777" w:rsidR="0005092F" w:rsidRPr="00B457F5" w:rsidRDefault="0005092F" w:rsidP="00783BF2">
            <w:pPr>
              <w:spacing w:before="0" w:after="0"/>
              <w:jc w:val="center"/>
              <w:rPr>
                <w:rFonts w:ascii="Garamond" w:eastAsia="Times New Roman" w:hAnsi="Garamond" w:cs="Times New Roman"/>
                <w:i/>
                <w:iCs/>
                <w:color w:val="000000"/>
                <w:sz w:val="16"/>
                <w:szCs w:val="16"/>
              </w:rPr>
            </w:pPr>
            <w:r w:rsidRPr="00B457F5">
              <w:rPr>
                <w:rFonts w:ascii="Garamond" w:eastAsia="Times New Roman" w:hAnsi="Garamond" w:cs="Times New Roman"/>
                <w:i/>
                <w:iCs/>
                <w:color w:val="000000"/>
                <w:sz w:val="16"/>
                <w:szCs w:val="16"/>
              </w:rPr>
              <w:t>2022</w:t>
            </w:r>
          </w:p>
        </w:tc>
      </w:tr>
      <w:tr w:rsidR="0005092F" w:rsidRPr="00B457F5" w14:paraId="6A391C65" w14:textId="77777777" w:rsidTr="00783BF2">
        <w:trPr>
          <w:trHeight w:val="57"/>
        </w:trPr>
        <w:tc>
          <w:tcPr>
            <w:tcW w:w="2500" w:type="dxa"/>
            <w:shd w:val="clear" w:color="auto" w:fill="auto"/>
            <w:noWrap/>
            <w:vAlign w:val="center"/>
            <w:hideMark/>
          </w:tcPr>
          <w:p w14:paraId="59498417" w14:textId="7CDE6BA5" w:rsidR="0005092F" w:rsidRPr="00B457F5" w:rsidRDefault="0005092F" w:rsidP="00783BF2">
            <w:pPr>
              <w:spacing w:before="0" w:after="0"/>
              <w:jc w:val="center"/>
              <w:rPr>
                <w:rFonts w:ascii="Garamond" w:eastAsia="Times New Roman" w:hAnsi="Garamond" w:cs="Times New Roman"/>
                <w:i/>
                <w:iCs/>
                <w:color w:val="000000"/>
                <w:sz w:val="16"/>
                <w:szCs w:val="16"/>
              </w:rPr>
            </w:pPr>
            <w:r w:rsidRPr="00B457F5">
              <w:rPr>
                <w:rFonts w:ascii="Garamond" w:eastAsia="Times New Roman" w:hAnsi="Garamond" w:cs="Times New Roman"/>
                <w:i/>
                <w:iCs/>
                <w:color w:val="000000"/>
                <w:sz w:val="16"/>
                <w:szCs w:val="16"/>
              </w:rPr>
              <w:t xml:space="preserve">Bashkim </w:t>
            </w:r>
            <w:r w:rsidR="00B95279" w:rsidRPr="00B457F5">
              <w:rPr>
                <w:rFonts w:ascii="Garamond" w:eastAsia="Times New Roman" w:hAnsi="Garamond" w:cs="Times New Roman"/>
                <w:i/>
                <w:iCs/>
                <w:color w:val="000000"/>
                <w:sz w:val="16"/>
                <w:szCs w:val="16"/>
              </w:rPr>
              <w:t>f</w:t>
            </w:r>
            <w:r w:rsidRPr="00B457F5">
              <w:rPr>
                <w:rFonts w:ascii="Garamond" w:eastAsia="Times New Roman" w:hAnsi="Garamond" w:cs="Times New Roman"/>
                <w:i/>
                <w:iCs/>
                <w:color w:val="000000"/>
                <w:sz w:val="16"/>
                <w:szCs w:val="16"/>
              </w:rPr>
              <w:t>amiljar</w:t>
            </w:r>
          </w:p>
        </w:tc>
        <w:tc>
          <w:tcPr>
            <w:tcW w:w="1782" w:type="dxa"/>
            <w:shd w:val="clear" w:color="auto" w:fill="auto"/>
            <w:noWrap/>
            <w:vAlign w:val="center"/>
            <w:hideMark/>
          </w:tcPr>
          <w:p w14:paraId="745D5A57" w14:textId="77777777" w:rsidR="0005092F" w:rsidRPr="00B457F5" w:rsidRDefault="0005092F" w:rsidP="00783BF2">
            <w:pPr>
              <w:spacing w:before="0" w:after="0"/>
              <w:jc w:val="center"/>
              <w:rPr>
                <w:rFonts w:ascii="Garamond" w:eastAsia="Times New Roman" w:hAnsi="Garamond" w:cs="Times New Roman"/>
                <w:color w:val="000000"/>
                <w:sz w:val="16"/>
                <w:szCs w:val="16"/>
              </w:rPr>
            </w:pPr>
            <w:r w:rsidRPr="00B457F5">
              <w:rPr>
                <w:rFonts w:ascii="Garamond" w:eastAsia="Times New Roman" w:hAnsi="Garamond" w:cs="Times New Roman"/>
                <w:color w:val="000000"/>
                <w:sz w:val="16"/>
                <w:szCs w:val="16"/>
              </w:rPr>
              <w:t>2178</w:t>
            </w:r>
          </w:p>
        </w:tc>
        <w:tc>
          <w:tcPr>
            <w:tcW w:w="1783" w:type="dxa"/>
            <w:shd w:val="clear" w:color="auto" w:fill="auto"/>
            <w:noWrap/>
            <w:vAlign w:val="center"/>
            <w:hideMark/>
          </w:tcPr>
          <w:p w14:paraId="3C5FC2B4" w14:textId="77777777" w:rsidR="0005092F" w:rsidRPr="00B457F5" w:rsidRDefault="0005092F" w:rsidP="00783BF2">
            <w:pPr>
              <w:spacing w:before="0" w:after="0"/>
              <w:jc w:val="center"/>
              <w:rPr>
                <w:rFonts w:ascii="Garamond" w:eastAsia="Times New Roman" w:hAnsi="Garamond" w:cs="Times New Roman"/>
                <w:color w:val="000000"/>
                <w:sz w:val="16"/>
                <w:szCs w:val="16"/>
              </w:rPr>
            </w:pPr>
            <w:r w:rsidRPr="00B457F5">
              <w:rPr>
                <w:rFonts w:ascii="Garamond" w:eastAsia="Times New Roman" w:hAnsi="Garamond" w:cs="Times New Roman"/>
                <w:color w:val="000000"/>
                <w:sz w:val="16"/>
                <w:szCs w:val="16"/>
              </w:rPr>
              <w:t>1614</w:t>
            </w:r>
          </w:p>
        </w:tc>
        <w:tc>
          <w:tcPr>
            <w:tcW w:w="1782" w:type="dxa"/>
            <w:shd w:val="clear" w:color="auto" w:fill="auto"/>
            <w:noWrap/>
            <w:vAlign w:val="center"/>
            <w:hideMark/>
          </w:tcPr>
          <w:p w14:paraId="40BD3A0C" w14:textId="77777777" w:rsidR="0005092F" w:rsidRPr="00B457F5" w:rsidRDefault="0005092F" w:rsidP="00783BF2">
            <w:pPr>
              <w:spacing w:before="0" w:after="0"/>
              <w:jc w:val="center"/>
              <w:rPr>
                <w:rFonts w:ascii="Garamond" w:eastAsia="Times New Roman" w:hAnsi="Garamond" w:cs="Times New Roman"/>
                <w:color w:val="000000"/>
                <w:sz w:val="16"/>
                <w:szCs w:val="16"/>
              </w:rPr>
            </w:pPr>
            <w:r w:rsidRPr="00B457F5">
              <w:rPr>
                <w:rFonts w:ascii="Garamond" w:eastAsia="Times New Roman" w:hAnsi="Garamond" w:cs="Times New Roman"/>
                <w:color w:val="000000"/>
                <w:sz w:val="16"/>
                <w:szCs w:val="16"/>
              </w:rPr>
              <w:t>1840</w:t>
            </w:r>
          </w:p>
        </w:tc>
        <w:tc>
          <w:tcPr>
            <w:tcW w:w="1783" w:type="dxa"/>
            <w:shd w:val="clear" w:color="auto" w:fill="auto"/>
            <w:noWrap/>
            <w:vAlign w:val="center"/>
            <w:hideMark/>
          </w:tcPr>
          <w:p w14:paraId="3668C337" w14:textId="77777777" w:rsidR="0005092F" w:rsidRPr="00B457F5" w:rsidRDefault="0005092F" w:rsidP="00783BF2">
            <w:pPr>
              <w:spacing w:before="0" w:after="0"/>
              <w:jc w:val="center"/>
              <w:rPr>
                <w:rFonts w:ascii="Garamond" w:eastAsia="Times New Roman" w:hAnsi="Garamond" w:cs="Times New Roman"/>
                <w:color w:val="000000"/>
                <w:sz w:val="16"/>
                <w:szCs w:val="16"/>
              </w:rPr>
            </w:pPr>
            <w:r w:rsidRPr="00B457F5">
              <w:rPr>
                <w:rFonts w:ascii="Garamond" w:eastAsia="Times New Roman" w:hAnsi="Garamond" w:cs="Times New Roman"/>
                <w:color w:val="000000"/>
                <w:sz w:val="16"/>
                <w:szCs w:val="16"/>
              </w:rPr>
              <w:t>2646</w:t>
            </w:r>
          </w:p>
        </w:tc>
      </w:tr>
      <w:tr w:rsidR="0005092F" w:rsidRPr="00B457F5" w14:paraId="04F13A0F" w14:textId="77777777" w:rsidTr="00783BF2">
        <w:trPr>
          <w:trHeight w:val="57"/>
        </w:trPr>
        <w:tc>
          <w:tcPr>
            <w:tcW w:w="2500" w:type="dxa"/>
            <w:shd w:val="clear" w:color="auto" w:fill="auto"/>
            <w:noWrap/>
            <w:vAlign w:val="center"/>
            <w:hideMark/>
          </w:tcPr>
          <w:p w14:paraId="2C03514B" w14:textId="77777777" w:rsidR="0005092F" w:rsidRPr="00B457F5" w:rsidRDefault="0005092F" w:rsidP="00783BF2">
            <w:pPr>
              <w:spacing w:before="0" w:after="0"/>
              <w:jc w:val="center"/>
              <w:rPr>
                <w:rFonts w:ascii="Garamond" w:eastAsia="Times New Roman" w:hAnsi="Garamond" w:cs="Times New Roman"/>
                <w:i/>
                <w:iCs/>
                <w:color w:val="000000"/>
                <w:sz w:val="16"/>
                <w:szCs w:val="16"/>
              </w:rPr>
            </w:pPr>
            <w:r w:rsidRPr="00B457F5">
              <w:rPr>
                <w:rFonts w:ascii="Garamond" w:eastAsia="Times New Roman" w:hAnsi="Garamond" w:cs="Times New Roman"/>
                <w:i/>
                <w:iCs/>
                <w:color w:val="000000"/>
                <w:sz w:val="16"/>
                <w:szCs w:val="16"/>
              </w:rPr>
              <w:t>Punësim</w:t>
            </w:r>
          </w:p>
        </w:tc>
        <w:tc>
          <w:tcPr>
            <w:tcW w:w="1782" w:type="dxa"/>
            <w:shd w:val="clear" w:color="auto" w:fill="auto"/>
            <w:noWrap/>
            <w:vAlign w:val="center"/>
            <w:hideMark/>
          </w:tcPr>
          <w:p w14:paraId="165274BA" w14:textId="77777777" w:rsidR="0005092F" w:rsidRPr="00B457F5" w:rsidRDefault="0005092F" w:rsidP="00783BF2">
            <w:pPr>
              <w:spacing w:before="0" w:after="0"/>
              <w:jc w:val="center"/>
              <w:rPr>
                <w:rFonts w:ascii="Garamond" w:eastAsia="Times New Roman" w:hAnsi="Garamond" w:cs="Times New Roman"/>
                <w:color w:val="000000"/>
                <w:sz w:val="16"/>
                <w:szCs w:val="16"/>
              </w:rPr>
            </w:pPr>
            <w:r w:rsidRPr="00B457F5">
              <w:rPr>
                <w:rFonts w:ascii="Garamond" w:eastAsia="Times New Roman" w:hAnsi="Garamond" w:cs="Times New Roman"/>
                <w:color w:val="000000"/>
                <w:sz w:val="16"/>
                <w:szCs w:val="16"/>
              </w:rPr>
              <w:t>4208</w:t>
            </w:r>
          </w:p>
        </w:tc>
        <w:tc>
          <w:tcPr>
            <w:tcW w:w="1783" w:type="dxa"/>
            <w:shd w:val="clear" w:color="auto" w:fill="auto"/>
            <w:noWrap/>
            <w:vAlign w:val="center"/>
            <w:hideMark/>
          </w:tcPr>
          <w:p w14:paraId="7454CC2C" w14:textId="77777777" w:rsidR="0005092F" w:rsidRPr="00B457F5" w:rsidRDefault="0005092F" w:rsidP="00783BF2">
            <w:pPr>
              <w:spacing w:before="0" w:after="0"/>
              <w:jc w:val="center"/>
              <w:rPr>
                <w:rFonts w:ascii="Garamond" w:eastAsia="Times New Roman" w:hAnsi="Garamond" w:cs="Times New Roman"/>
                <w:color w:val="000000"/>
                <w:sz w:val="16"/>
                <w:szCs w:val="16"/>
              </w:rPr>
            </w:pPr>
            <w:r w:rsidRPr="00B457F5">
              <w:rPr>
                <w:rFonts w:ascii="Garamond" w:eastAsia="Times New Roman" w:hAnsi="Garamond" w:cs="Times New Roman"/>
                <w:color w:val="000000"/>
                <w:sz w:val="16"/>
                <w:szCs w:val="16"/>
              </w:rPr>
              <w:t>3069</w:t>
            </w:r>
          </w:p>
        </w:tc>
        <w:tc>
          <w:tcPr>
            <w:tcW w:w="1782" w:type="dxa"/>
            <w:shd w:val="clear" w:color="auto" w:fill="auto"/>
            <w:noWrap/>
            <w:vAlign w:val="center"/>
            <w:hideMark/>
          </w:tcPr>
          <w:p w14:paraId="7429B48F" w14:textId="77777777" w:rsidR="0005092F" w:rsidRPr="00B457F5" w:rsidRDefault="0005092F" w:rsidP="00783BF2">
            <w:pPr>
              <w:spacing w:before="0" w:after="0"/>
              <w:jc w:val="center"/>
              <w:rPr>
                <w:rFonts w:ascii="Garamond" w:eastAsia="Times New Roman" w:hAnsi="Garamond" w:cs="Times New Roman"/>
                <w:color w:val="000000"/>
                <w:sz w:val="16"/>
                <w:szCs w:val="16"/>
              </w:rPr>
            </w:pPr>
            <w:r w:rsidRPr="00B457F5">
              <w:rPr>
                <w:rFonts w:ascii="Garamond" w:eastAsia="Times New Roman" w:hAnsi="Garamond" w:cs="Times New Roman"/>
                <w:color w:val="000000"/>
                <w:sz w:val="16"/>
                <w:szCs w:val="16"/>
              </w:rPr>
              <w:t>3469</w:t>
            </w:r>
          </w:p>
        </w:tc>
        <w:tc>
          <w:tcPr>
            <w:tcW w:w="1783" w:type="dxa"/>
            <w:shd w:val="clear" w:color="auto" w:fill="auto"/>
            <w:noWrap/>
            <w:vAlign w:val="center"/>
            <w:hideMark/>
          </w:tcPr>
          <w:p w14:paraId="7F00C676" w14:textId="77777777" w:rsidR="0005092F" w:rsidRPr="00B457F5" w:rsidRDefault="0005092F" w:rsidP="00783BF2">
            <w:pPr>
              <w:spacing w:before="0" w:after="0"/>
              <w:jc w:val="center"/>
              <w:rPr>
                <w:rFonts w:ascii="Garamond" w:eastAsia="Times New Roman" w:hAnsi="Garamond" w:cs="Times New Roman"/>
                <w:color w:val="000000"/>
                <w:sz w:val="16"/>
                <w:szCs w:val="16"/>
              </w:rPr>
            </w:pPr>
            <w:r w:rsidRPr="00B457F5">
              <w:rPr>
                <w:rFonts w:ascii="Garamond" w:eastAsia="Times New Roman" w:hAnsi="Garamond" w:cs="Times New Roman"/>
                <w:color w:val="000000"/>
                <w:sz w:val="16"/>
                <w:szCs w:val="16"/>
              </w:rPr>
              <w:t>6</w:t>
            </w:r>
          </w:p>
        </w:tc>
      </w:tr>
      <w:tr w:rsidR="0005092F" w:rsidRPr="00B457F5" w14:paraId="4B8DF2DE" w14:textId="77777777" w:rsidTr="00783BF2">
        <w:trPr>
          <w:trHeight w:val="57"/>
        </w:trPr>
        <w:tc>
          <w:tcPr>
            <w:tcW w:w="2500" w:type="dxa"/>
            <w:shd w:val="clear" w:color="auto" w:fill="auto"/>
            <w:noWrap/>
            <w:vAlign w:val="center"/>
            <w:hideMark/>
          </w:tcPr>
          <w:p w14:paraId="354D0021" w14:textId="77777777" w:rsidR="0005092F" w:rsidRPr="00B457F5" w:rsidRDefault="0005092F" w:rsidP="00783BF2">
            <w:pPr>
              <w:spacing w:before="0" w:after="0"/>
              <w:jc w:val="center"/>
              <w:rPr>
                <w:rFonts w:ascii="Garamond" w:eastAsia="Times New Roman" w:hAnsi="Garamond" w:cs="Times New Roman"/>
                <w:i/>
                <w:iCs/>
                <w:color w:val="000000"/>
                <w:sz w:val="16"/>
                <w:szCs w:val="16"/>
              </w:rPr>
            </w:pPr>
            <w:r w:rsidRPr="00B457F5">
              <w:rPr>
                <w:rFonts w:ascii="Garamond" w:eastAsia="Times New Roman" w:hAnsi="Garamond" w:cs="Times New Roman"/>
                <w:i/>
                <w:iCs/>
                <w:color w:val="000000"/>
                <w:sz w:val="16"/>
                <w:szCs w:val="16"/>
              </w:rPr>
              <w:t>Humanitare</w:t>
            </w:r>
          </w:p>
        </w:tc>
        <w:tc>
          <w:tcPr>
            <w:tcW w:w="1782" w:type="dxa"/>
            <w:shd w:val="clear" w:color="auto" w:fill="auto"/>
            <w:noWrap/>
            <w:vAlign w:val="center"/>
            <w:hideMark/>
          </w:tcPr>
          <w:p w14:paraId="660AD20B" w14:textId="77777777" w:rsidR="0005092F" w:rsidRPr="00B457F5" w:rsidRDefault="0005092F" w:rsidP="00783BF2">
            <w:pPr>
              <w:spacing w:before="0" w:after="0"/>
              <w:jc w:val="center"/>
              <w:rPr>
                <w:rFonts w:ascii="Garamond" w:eastAsia="Times New Roman" w:hAnsi="Garamond" w:cs="Times New Roman"/>
                <w:color w:val="000000"/>
                <w:sz w:val="16"/>
                <w:szCs w:val="16"/>
              </w:rPr>
            </w:pPr>
            <w:r w:rsidRPr="00B457F5">
              <w:rPr>
                <w:rFonts w:ascii="Garamond" w:eastAsia="Times New Roman" w:hAnsi="Garamond" w:cs="Times New Roman"/>
                <w:color w:val="000000"/>
                <w:sz w:val="16"/>
                <w:szCs w:val="16"/>
              </w:rPr>
              <w:t>603</w:t>
            </w:r>
          </w:p>
        </w:tc>
        <w:tc>
          <w:tcPr>
            <w:tcW w:w="1783" w:type="dxa"/>
            <w:shd w:val="clear" w:color="auto" w:fill="auto"/>
            <w:noWrap/>
            <w:vAlign w:val="center"/>
            <w:hideMark/>
          </w:tcPr>
          <w:p w14:paraId="4828EAF4" w14:textId="77777777" w:rsidR="0005092F" w:rsidRPr="00B457F5" w:rsidRDefault="0005092F" w:rsidP="00783BF2">
            <w:pPr>
              <w:spacing w:before="0" w:after="0"/>
              <w:jc w:val="center"/>
              <w:rPr>
                <w:rFonts w:ascii="Garamond" w:eastAsia="Times New Roman" w:hAnsi="Garamond" w:cs="Times New Roman"/>
                <w:color w:val="000000"/>
                <w:sz w:val="16"/>
                <w:szCs w:val="16"/>
              </w:rPr>
            </w:pPr>
            <w:r w:rsidRPr="00B457F5">
              <w:rPr>
                <w:rFonts w:ascii="Garamond" w:eastAsia="Times New Roman" w:hAnsi="Garamond" w:cs="Times New Roman"/>
                <w:color w:val="000000"/>
                <w:sz w:val="16"/>
                <w:szCs w:val="16"/>
              </w:rPr>
              <w:t>2482</w:t>
            </w:r>
          </w:p>
        </w:tc>
        <w:tc>
          <w:tcPr>
            <w:tcW w:w="1782" w:type="dxa"/>
            <w:shd w:val="clear" w:color="auto" w:fill="auto"/>
            <w:noWrap/>
            <w:vAlign w:val="center"/>
            <w:hideMark/>
          </w:tcPr>
          <w:p w14:paraId="64CA6F40" w14:textId="77777777" w:rsidR="0005092F" w:rsidRPr="00B457F5" w:rsidRDefault="0005092F" w:rsidP="00783BF2">
            <w:pPr>
              <w:spacing w:before="0" w:after="0"/>
              <w:jc w:val="center"/>
              <w:rPr>
                <w:rFonts w:ascii="Garamond" w:eastAsia="Times New Roman" w:hAnsi="Garamond" w:cs="Times New Roman"/>
                <w:color w:val="000000"/>
                <w:sz w:val="16"/>
                <w:szCs w:val="16"/>
              </w:rPr>
            </w:pPr>
            <w:r w:rsidRPr="00B457F5">
              <w:rPr>
                <w:rFonts w:ascii="Garamond" w:eastAsia="Times New Roman" w:hAnsi="Garamond" w:cs="Times New Roman"/>
                <w:color w:val="000000"/>
                <w:sz w:val="16"/>
                <w:szCs w:val="16"/>
              </w:rPr>
              <w:t>3362</w:t>
            </w:r>
          </w:p>
        </w:tc>
        <w:tc>
          <w:tcPr>
            <w:tcW w:w="1783" w:type="dxa"/>
            <w:shd w:val="clear" w:color="auto" w:fill="auto"/>
            <w:noWrap/>
            <w:vAlign w:val="center"/>
            <w:hideMark/>
          </w:tcPr>
          <w:p w14:paraId="451AD792" w14:textId="77777777" w:rsidR="0005092F" w:rsidRPr="00B457F5" w:rsidRDefault="0005092F" w:rsidP="00783BF2">
            <w:pPr>
              <w:spacing w:before="0" w:after="0"/>
              <w:jc w:val="center"/>
              <w:rPr>
                <w:rFonts w:ascii="Garamond" w:eastAsia="Times New Roman" w:hAnsi="Garamond" w:cs="Times New Roman"/>
                <w:color w:val="000000"/>
                <w:sz w:val="16"/>
                <w:szCs w:val="16"/>
              </w:rPr>
            </w:pPr>
            <w:r w:rsidRPr="00B457F5">
              <w:rPr>
                <w:rFonts w:ascii="Garamond" w:eastAsia="Times New Roman" w:hAnsi="Garamond" w:cs="Times New Roman"/>
                <w:color w:val="000000"/>
                <w:sz w:val="16"/>
                <w:szCs w:val="16"/>
              </w:rPr>
              <w:t>191</w:t>
            </w:r>
          </w:p>
        </w:tc>
      </w:tr>
      <w:tr w:rsidR="0005092F" w:rsidRPr="00B457F5" w14:paraId="4B1AEBC2" w14:textId="77777777" w:rsidTr="00783BF2">
        <w:trPr>
          <w:trHeight w:val="57"/>
        </w:trPr>
        <w:tc>
          <w:tcPr>
            <w:tcW w:w="2500" w:type="dxa"/>
            <w:shd w:val="clear" w:color="auto" w:fill="auto"/>
            <w:noWrap/>
            <w:vAlign w:val="center"/>
            <w:hideMark/>
          </w:tcPr>
          <w:p w14:paraId="1FAB062B" w14:textId="77777777" w:rsidR="0005092F" w:rsidRPr="00B457F5" w:rsidRDefault="0005092F" w:rsidP="00783BF2">
            <w:pPr>
              <w:spacing w:before="0" w:after="0"/>
              <w:jc w:val="center"/>
              <w:rPr>
                <w:rFonts w:ascii="Garamond" w:eastAsia="Times New Roman" w:hAnsi="Garamond" w:cs="Times New Roman"/>
                <w:i/>
                <w:iCs/>
                <w:color w:val="000000"/>
                <w:sz w:val="16"/>
                <w:szCs w:val="16"/>
              </w:rPr>
            </w:pPr>
            <w:r w:rsidRPr="00B457F5">
              <w:rPr>
                <w:rFonts w:ascii="Garamond" w:eastAsia="Times New Roman" w:hAnsi="Garamond" w:cs="Times New Roman"/>
                <w:i/>
                <w:iCs/>
                <w:color w:val="000000"/>
                <w:sz w:val="16"/>
                <w:szCs w:val="16"/>
              </w:rPr>
              <w:t>Studim</w:t>
            </w:r>
          </w:p>
        </w:tc>
        <w:tc>
          <w:tcPr>
            <w:tcW w:w="1782" w:type="dxa"/>
            <w:shd w:val="clear" w:color="auto" w:fill="auto"/>
            <w:noWrap/>
            <w:vAlign w:val="center"/>
            <w:hideMark/>
          </w:tcPr>
          <w:p w14:paraId="7F185916" w14:textId="77777777" w:rsidR="0005092F" w:rsidRPr="00B457F5" w:rsidRDefault="0005092F" w:rsidP="00783BF2">
            <w:pPr>
              <w:spacing w:before="0" w:after="0"/>
              <w:jc w:val="center"/>
              <w:rPr>
                <w:rFonts w:ascii="Garamond" w:eastAsia="Times New Roman" w:hAnsi="Garamond" w:cs="Times New Roman"/>
                <w:color w:val="000000"/>
                <w:sz w:val="16"/>
                <w:szCs w:val="16"/>
              </w:rPr>
            </w:pPr>
            <w:r w:rsidRPr="00B457F5">
              <w:rPr>
                <w:rFonts w:ascii="Garamond" w:eastAsia="Times New Roman" w:hAnsi="Garamond" w:cs="Times New Roman"/>
                <w:color w:val="000000"/>
                <w:sz w:val="16"/>
                <w:szCs w:val="16"/>
              </w:rPr>
              <w:t>755</w:t>
            </w:r>
          </w:p>
        </w:tc>
        <w:tc>
          <w:tcPr>
            <w:tcW w:w="1783" w:type="dxa"/>
            <w:shd w:val="clear" w:color="auto" w:fill="auto"/>
            <w:noWrap/>
            <w:vAlign w:val="center"/>
            <w:hideMark/>
          </w:tcPr>
          <w:p w14:paraId="641EAD68" w14:textId="77777777" w:rsidR="0005092F" w:rsidRPr="00B457F5" w:rsidRDefault="0005092F" w:rsidP="00783BF2">
            <w:pPr>
              <w:spacing w:before="0" w:after="0"/>
              <w:jc w:val="center"/>
              <w:rPr>
                <w:rFonts w:ascii="Garamond" w:eastAsia="Times New Roman" w:hAnsi="Garamond" w:cs="Times New Roman"/>
                <w:color w:val="000000"/>
                <w:sz w:val="16"/>
                <w:szCs w:val="16"/>
              </w:rPr>
            </w:pPr>
            <w:r w:rsidRPr="00B457F5">
              <w:rPr>
                <w:rFonts w:ascii="Garamond" w:eastAsia="Times New Roman" w:hAnsi="Garamond" w:cs="Times New Roman"/>
                <w:color w:val="000000"/>
                <w:sz w:val="16"/>
                <w:szCs w:val="16"/>
              </w:rPr>
              <w:t>274</w:t>
            </w:r>
          </w:p>
        </w:tc>
        <w:tc>
          <w:tcPr>
            <w:tcW w:w="1782" w:type="dxa"/>
            <w:shd w:val="clear" w:color="auto" w:fill="auto"/>
            <w:noWrap/>
            <w:vAlign w:val="center"/>
            <w:hideMark/>
          </w:tcPr>
          <w:p w14:paraId="07EF57E9" w14:textId="77777777" w:rsidR="0005092F" w:rsidRPr="00B457F5" w:rsidRDefault="0005092F" w:rsidP="00783BF2">
            <w:pPr>
              <w:spacing w:before="0" w:after="0"/>
              <w:jc w:val="center"/>
              <w:rPr>
                <w:rFonts w:ascii="Garamond" w:eastAsia="Times New Roman" w:hAnsi="Garamond" w:cs="Times New Roman"/>
                <w:color w:val="000000"/>
                <w:sz w:val="16"/>
                <w:szCs w:val="16"/>
              </w:rPr>
            </w:pPr>
            <w:r w:rsidRPr="00B457F5">
              <w:rPr>
                <w:rFonts w:ascii="Garamond" w:eastAsia="Times New Roman" w:hAnsi="Garamond" w:cs="Times New Roman"/>
                <w:color w:val="000000"/>
                <w:sz w:val="16"/>
                <w:szCs w:val="16"/>
              </w:rPr>
              <w:t>438</w:t>
            </w:r>
          </w:p>
        </w:tc>
        <w:tc>
          <w:tcPr>
            <w:tcW w:w="1783" w:type="dxa"/>
            <w:shd w:val="clear" w:color="auto" w:fill="auto"/>
            <w:noWrap/>
            <w:vAlign w:val="center"/>
            <w:hideMark/>
          </w:tcPr>
          <w:p w14:paraId="040C330E" w14:textId="77777777" w:rsidR="0005092F" w:rsidRPr="00B457F5" w:rsidRDefault="0005092F" w:rsidP="00783BF2">
            <w:pPr>
              <w:spacing w:before="0" w:after="0"/>
              <w:jc w:val="center"/>
              <w:rPr>
                <w:rFonts w:ascii="Garamond" w:eastAsia="Times New Roman" w:hAnsi="Garamond" w:cs="Times New Roman"/>
                <w:color w:val="000000"/>
                <w:sz w:val="16"/>
                <w:szCs w:val="16"/>
              </w:rPr>
            </w:pPr>
            <w:r w:rsidRPr="00B457F5">
              <w:rPr>
                <w:rFonts w:ascii="Garamond" w:eastAsia="Times New Roman" w:hAnsi="Garamond" w:cs="Times New Roman"/>
                <w:color w:val="000000"/>
                <w:sz w:val="16"/>
                <w:szCs w:val="16"/>
              </w:rPr>
              <w:t>694</w:t>
            </w:r>
          </w:p>
        </w:tc>
      </w:tr>
      <w:tr w:rsidR="0005092F" w:rsidRPr="00B457F5" w14:paraId="675CBA59" w14:textId="77777777" w:rsidTr="00783BF2">
        <w:trPr>
          <w:trHeight w:val="57"/>
        </w:trPr>
        <w:tc>
          <w:tcPr>
            <w:tcW w:w="2500" w:type="dxa"/>
            <w:shd w:val="clear" w:color="auto" w:fill="auto"/>
            <w:noWrap/>
            <w:vAlign w:val="center"/>
            <w:hideMark/>
          </w:tcPr>
          <w:p w14:paraId="62D347A4" w14:textId="77777777" w:rsidR="0005092F" w:rsidRPr="00B457F5" w:rsidRDefault="0005092F" w:rsidP="00783BF2">
            <w:pPr>
              <w:spacing w:before="0" w:after="0"/>
              <w:jc w:val="center"/>
              <w:rPr>
                <w:rFonts w:ascii="Garamond" w:eastAsia="Times New Roman" w:hAnsi="Garamond" w:cs="Times New Roman"/>
                <w:i/>
                <w:iCs/>
                <w:color w:val="000000"/>
                <w:sz w:val="16"/>
                <w:szCs w:val="16"/>
              </w:rPr>
            </w:pPr>
            <w:r w:rsidRPr="00B457F5">
              <w:rPr>
                <w:rFonts w:ascii="Garamond" w:eastAsia="Times New Roman" w:hAnsi="Garamond" w:cs="Times New Roman"/>
                <w:i/>
                <w:iCs/>
                <w:color w:val="000000"/>
                <w:sz w:val="16"/>
                <w:szCs w:val="16"/>
              </w:rPr>
              <w:t>Të tjera</w:t>
            </w:r>
          </w:p>
        </w:tc>
        <w:tc>
          <w:tcPr>
            <w:tcW w:w="1782" w:type="dxa"/>
            <w:shd w:val="clear" w:color="auto" w:fill="auto"/>
            <w:noWrap/>
            <w:vAlign w:val="center"/>
            <w:hideMark/>
          </w:tcPr>
          <w:p w14:paraId="5E705A6F" w14:textId="77777777" w:rsidR="0005092F" w:rsidRPr="00B457F5" w:rsidRDefault="0005092F" w:rsidP="00783BF2">
            <w:pPr>
              <w:spacing w:before="0" w:after="0"/>
              <w:jc w:val="center"/>
              <w:rPr>
                <w:rFonts w:ascii="Garamond" w:eastAsia="Times New Roman" w:hAnsi="Garamond" w:cs="Times New Roman"/>
                <w:color w:val="000000"/>
                <w:sz w:val="16"/>
                <w:szCs w:val="16"/>
              </w:rPr>
            </w:pPr>
            <w:r w:rsidRPr="00B457F5">
              <w:rPr>
                <w:rFonts w:ascii="Garamond" w:eastAsia="Times New Roman" w:hAnsi="Garamond" w:cs="Times New Roman"/>
                <w:color w:val="000000"/>
                <w:sz w:val="16"/>
                <w:szCs w:val="16"/>
              </w:rPr>
              <w:t>343</w:t>
            </w:r>
          </w:p>
        </w:tc>
        <w:tc>
          <w:tcPr>
            <w:tcW w:w="1783" w:type="dxa"/>
            <w:shd w:val="clear" w:color="auto" w:fill="auto"/>
            <w:noWrap/>
            <w:vAlign w:val="center"/>
            <w:hideMark/>
          </w:tcPr>
          <w:p w14:paraId="174A37D5" w14:textId="77777777" w:rsidR="0005092F" w:rsidRPr="00B457F5" w:rsidRDefault="0005092F" w:rsidP="00783BF2">
            <w:pPr>
              <w:spacing w:before="0" w:after="0"/>
              <w:jc w:val="center"/>
              <w:rPr>
                <w:rFonts w:ascii="Garamond" w:eastAsia="Times New Roman" w:hAnsi="Garamond" w:cs="Times New Roman"/>
                <w:color w:val="000000"/>
                <w:sz w:val="16"/>
                <w:szCs w:val="16"/>
              </w:rPr>
            </w:pPr>
            <w:r w:rsidRPr="00B457F5">
              <w:rPr>
                <w:rFonts w:ascii="Garamond" w:eastAsia="Times New Roman" w:hAnsi="Garamond" w:cs="Times New Roman"/>
                <w:color w:val="000000"/>
                <w:sz w:val="16"/>
                <w:szCs w:val="16"/>
              </w:rPr>
              <w:t>334</w:t>
            </w:r>
          </w:p>
        </w:tc>
        <w:tc>
          <w:tcPr>
            <w:tcW w:w="1782" w:type="dxa"/>
            <w:shd w:val="clear" w:color="auto" w:fill="auto"/>
            <w:noWrap/>
            <w:vAlign w:val="center"/>
            <w:hideMark/>
          </w:tcPr>
          <w:p w14:paraId="154CA240" w14:textId="77777777" w:rsidR="0005092F" w:rsidRPr="00B457F5" w:rsidRDefault="0005092F" w:rsidP="00783BF2">
            <w:pPr>
              <w:spacing w:before="0" w:after="0"/>
              <w:jc w:val="center"/>
              <w:rPr>
                <w:rFonts w:ascii="Garamond" w:eastAsia="Times New Roman" w:hAnsi="Garamond" w:cs="Times New Roman"/>
                <w:color w:val="000000"/>
                <w:sz w:val="16"/>
                <w:szCs w:val="16"/>
              </w:rPr>
            </w:pPr>
            <w:r w:rsidRPr="00B457F5">
              <w:rPr>
                <w:rFonts w:ascii="Garamond" w:eastAsia="Times New Roman" w:hAnsi="Garamond" w:cs="Times New Roman"/>
                <w:color w:val="000000"/>
                <w:sz w:val="16"/>
                <w:szCs w:val="16"/>
              </w:rPr>
              <w:t>487</w:t>
            </w:r>
          </w:p>
        </w:tc>
        <w:tc>
          <w:tcPr>
            <w:tcW w:w="1783" w:type="dxa"/>
            <w:shd w:val="clear" w:color="auto" w:fill="auto"/>
            <w:noWrap/>
            <w:vAlign w:val="center"/>
            <w:hideMark/>
          </w:tcPr>
          <w:p w14:paraId="37F929BF" w14:textId="77777777" w:rsidR="0005092F" w:rsidRPr="00B457F5" w:rsidRDefault="0005092F" w:rsidP="00783BF2">
            <w:pPr>
              <w:spacing w:before="0" w:after="0"/>
              <w:jc w:val="center"/>
              <w:rPr>
                <w:rFonts w:ascii="Garamond" w:eastAsia="Times New Roman" w:hAnsi="Garamond" w:cs="Times New Roman"/>
                <w:color w:val="000000"/>
                <w:sz w:val="16"/>
                <w:szCs w:val="16"/>
              </w:rPr>
            </w:pPr>
            <w:r w:rsidRPr="00B457F5">
              <w:rPr>
                <w:rFonts w:ascii="Garamond" w:eastAsia="Times New Roman" w:hAnsi="Garamond" w:cs="Times New Roman"/>
                <w:color w:val="000000"/>
                <w:sz w:val="16"/>
                <w:szCs w:val="16"/>
              </w:rPr>
              <w:t>1158</w:t>
            </w:r>
          </w:p>
        </w:tc>
      </w:tr>
      <w:tr w:rsidR="0005092F" w:rsidRPr="00B457F5" w14:paraId="1AF96867" w14:textId="77777777" w:rsidTr="00783BF2">
        <w:trPr>
          <w:trHeight w:val="57"/>
        </w:trPr>
        <w:tc>
          <w:tcPr>
            <w:tcW w:w="9630" w:type="dxa"/>
            <w:gridSpan w:val="5"/>
            <w:shd w:val="clear" w:color="auto" w:fill="auto"/>
            <w:noWrap/>
            <w:vAlign w:val="center"/>
            <w:hideMark/>
          </w:tcPr>
          <w:p w14:paraId="3D3AFC9A" w14:textId="6A4E169E" w:rsidR="0005092F" w:rsidRPr="00B457F5" w:rsidRDefault="0005092F" w:rsidP="00783BF2">
            <w:pPr>
              <w:spacing w:before="0" w:after="0"/>
              <w:jc w:val="center"/>
              <w:rPr>
                <w:rFonts w:ascii="Garamond" w:eastAsia="Times New Roman" w:hAnsi="Garamond" w:cs="Times New Roman"/>
                <w:i/>
                <w:iCs/>
                <w:color w:val="000000"/>
                <w:sz w:val="16"/>
                <w:szCs w:val="16"/>
              </w:rPr>
            </w:pPr>
            <w:r w:rsidRPr="00B457F5">
              <w:rPr>
                <w:rFonts w:ascii="Garamond" w:eastAsia="Times New Roman" w:hAnsi="Garamond" w:cs="Times New Roman"/>
                <w:i/>
                <w:iCs/>
                <w:color w:val="17365D" w:themeColor="text2" w:themeShade="BF"/>
                <w:sz w:val="16"/>
                <w:szCs w:val="16"/>
              </w:rPr>
              <w:t xml:space="preserve">Burimi: </w:t>
            </w:r>
            <w:r w:rsidRPr="00B457F5">
              <w:rPr>
                <w:rFonts w:ascii="Garamond" w:hAnsi="Garamond" w:cs="Times New Roman"/>
                <w:i/>
                <w:iCs/>
                <w:color w:val="17365D" w:themeColor="text2" w:themeShade="BF"/>
                <w:sz w:val="16"/>
                <w:szCs w:val="16"/>
              </w:rPr>
              <w:t>Sistemi FER-TIMS në Drejtorinë e Përgjithshme të Policisë së Shtetit, 2023</w:t>
            </w:r>
          </w:p>
        </w:tc>
      </w:tr>
    </w:tbl>
    <w:p w14:paraId="375E9585" w14:textId="77777777" w:rsidR="00606E27" w:rsidRPr="00B457F5" w:rsidRDefault="00606E27" w:rsidP="002E693B">
      <w:pPr>
        <w:spacing w:before="0" w:after="0"/>
        <w:ind w:firstLine="284"/>
        <w:rPr>
          <w:rFonts w:ascii="Garamond" w:eastAsia="MS Mincho" w:hAnsi="Garamond" w:cs="Times New Roman"/>
          <w:szCs w:val="24"/>
        </w:rPr>
      </w:pPr>
    </w:p>
    <w:p w14:paraId="1C006B85" w14:textId="191389B0" w:rsidR="00A619CA" w:rsidRPr="00B457F5" w:rsidRDefault="00533EB1" w:rsidP="002E693B">
      <w:pPr>
        <w:spacing w:before="0" w:after="0"/>
        <w:ind w:firstLine="284"/>
        <w:rPr>
          <w:rFonts w:ascii="Garamond" w:eastAsia="MS Mincho" w:hAnsi="Garamond" w:cs="Times New Roman"/>
          <w:szCs w:val="24"/>
        </w:rPr>
      </w:pPr>
      <w:r w:rsidRPr="00B457F5">
        <w:rPr>
          <w:rFonts w:ascii="Garamond" w:eastAsia="MS Mincho" w:hAnsi="Garamond" w:cs="Times New Roman"/>
          <w:bCs/>
          <w:i/>
          <w:iCs/>
          <w:szCs w:val="24"/>
          <w:lang w:eastAsia="fr-RE"/>
        </w:rPr>
        <w:t>Migracioni i Parregullt</w:t>
      </w:r>
      <w:r w:rsidR="00A619CA" w:rsidRPr="00B457F5">
        <w:rPr>
          <w:rFonts w:ascii="Garamond" w:eastAsia="MS Mincho" w:hAnsi="Garamond" w:cs="Times New Roman"/>
          <w:iCs/>
          <w:szCs w:val="24"/>
          <w:lang w:eastAsia="fr-RE"/>
        </w:rPr>
        <w:t xml:space="preserve">. </w:t>
      </w:r>
      <w:bookmarkStart w:id="21" w:name="_Hlk148354694"/>
      <w:r w:rsidR="007D438B" w:rsidRPr="00B457F5">
        <w:rPr>
          <w:rFonts w:ascii="Garamond" w:eastAsia="MS Mincho" w:hAnsi="Garamond" w:cs="Times New Roman"/>
          <w:szCs w:val="24"/>
        </w:rPr>
        <w:t>Gjatë vitit 2022 janë regjistruar 12 216 imigrantë të parregullt</w:t>
      </w:r>
      <w:bookmarkEnd w:id="21"/>
      <w:r w:rsidR="007D438B" w:rsidRPr="00B457F5">
        <w:rPr>
          <w:rFonts w:ascii="Garamond" w:eastAsia="MS Mincho" w:hAnsi="Garamond" w:cs="Times New Roman"/>
          <w:szCs w:val="24"/>
        </w:rPr>
        <w:t xml:space="preserve">, kryesisht në kuadrin e flukseve të përziera migratore që prekin të gjithë rajonin e Ballkanit Perëndimor, nga të cilët </w:t>
      </w:r>
      <w:bookmarkStart w:id="22" w:name="_Hlk148355585"/>
      <w:r w:rsidR="007D438B" w:rsidRPr="00B457F5">
        <w:rPr>
          <w:rFonts w:ascii="Garamond" w:eastAsia="MS Mincho" w:hAnsi="Garamond" w:cs="Times New Roman"/>
          <w:szCs w:val="24"/>
        </w:rPr>
        <w:t xml:space="preserve">8 335 ishin </w:t>
      </w:r>
      <w:bookmarkStart w:id="23" w:name="_Hlk148354133"/>
      <w:r w:rsidR="00964455" w:rsidRPr="00B457F5">
        <w:rPr>
          <w:rFonts w:ascii="Garamond" w:eastAsia="MS Mincho" w:hAnsi="Garamond" w:cs="Times New Roman"/>
          <w:szCs w:val="24"/>
        </w:rPr>
        <w:t xml:space="preserve">imigrantë </w:t>
      </w:r>
      <w:r w:rsidR="007D438B" w:rsidRPr="00B457F5">
        <w:rPr>
          <w:rFonts w:ascii="Garamond" w:eastAsia="MS Mincho" w:hAnsi="Garamond" w:cs="Times New Roman"/>
          <w:szCs w:val="24"/>
        </w:rPr>
        <w:t>për herë të parë</w:t>
      </w:r>
      <w:bookmarkEnd w:id="22"/>
      <w:bookmarkEnd w:id="23"/>
      <w:r w:rsidR="00624D2E" w:rsidRPr="00B457F5">
        <w:rPr>
          <w:rFonts w:ascii="Garamond" w:eastAsia="MS Mincho" w:hAnsi="Garamond" w:cs="Times New Roman"/>
          <w:szCs w:val="24"/>
        </w:rPr>
        <w:t xml:space="preserve"> (</w:t>
      </w:r>
      <w:r w:rsidR="00E73215" w:rsidRPr="00B457F5">
        <w:rPr>
          <w:rFonts w:ascii="Garamond" w:eastAsia="MS Mincho" w:hAnsi="Garamond" w:cs="Times New Roman"/>
          <w:szCs w:val="24"/>
        </w:rPr>
        <w:t>f</w:t>
      </w:r>
      <w:r w:rsidR="00624D2E" w:rsidRPr="00B457F5">
        <w:rPr>
          <w:rFonts w:ascii="Garamond" w:eastAsia="MS Mincho" w:hAnsi="Garamond" w:cs="Times New Roman"/>
          <w:szCs w:val="24"/>
        </w:rPr>
        <w:t>ig. 1)</w:t>
      </w:r>
      <w:r w:rsidR="007D438B" w:rsidRPr="00B457F5">
        <w:rPr>
          <w:rFonts w:ascii="Garamond" w:eastAsia="MS Mincho" w:hAnsi="Garamond" w:cs="Times New Roman"/>
          <w:szCs w:val="24"/>
        </w:rPr>
        <w:t>.</w:t>
      </w:r>
      <w:r w:rsidR="00A619CA" w:rsidRPr="00B457F5">
        <w:rPr>
          <w:rFonts w:ascii="Garamond" w:eastAsia="MS Mincho" w:hAnsi="Garamond" w:cs="Times New Roman"/>
          <w:szCs w:val="24"/>
          <w:vertAlign w:val="superscript"/>
        </w:rPr>
        <w:footnoteReference w:id="34"/>
      </w:r>
      <w:r w:rsidR="00A619CA" w:rsidRPr="00B457F5">
        <w:rPr>
          <w:rFonts w:ascii="Garamond" w:eastAsia="MS Mincho" w:hAnsi="Garamond" w:cs="Times New Roman"/>
          <w:szCs w:val="24"/>
        </w:rPr>
        <w:t xml:space="preserve"> </w:t>
      </w:r>
      <w:r w:rsidR="00C045F9" w:rsidRPr="00B457F5">
        <w:rPr>
          <w:rFonts w:ascii="Garamond" w:eastAsia="MS Mincho" w:hAnsi="Garamond" w:cs="Times New Roman"/>
          <w:szCs w:val="24"/>
        </w:rPr>
        <w:t xml:space="preserve">Në vitin 2022, vetëm 86 imigrantë të parregullt </w:t>
      </w:r>
      <w:r w:rsidR="00166C03" w:rsidRPr="00B457F5">
        <w:rPr>
          <w:rFonts w:ascii="Garamond" w:eastAsia="MS Mincho" w:hAnsi="Garamond" w:cs="Times New Roman"/>
          <w:szCs w:val="24"/>
        </w:rPr>
        <w:t xml:space="preserve">u </w:t>
      </w:r>
      <w:r w:rsidR="00C045F9" w:rsidRPr="00B457F5">
        <w:rPr>
          <w:rFonts w:ascii="Garamond" w:eastAsia="MS Mincho" w:hAnsi="Garamond" w:cs="Times New Roman"/>
          <w:szCs w:val="24"/>
        </w:rPr>
        <w:t>konsider</w:t>
      </w:r>
      <w:r w:rsidR="00166C03" w:rsidRPr="00B457F5">
        <w:rPr>
          <w:rFonts w:ascii="Garamond" w:eastAsia="MS Mincho" w:hAnsi="Garamond" w:cs="Times New Roman"/>
          <w:szCs w:val="24"/>
        </w:rPr>
        <w:t>uan si</w:t>
      </w:r>
      <w:r w:rsidR="00C045F9" w:rsidRPr="00B457F5">
        <w:rPr>
          <w:rFonts w:ascii="Garamond" w:eastAsia="MS Mincho" w:hAnsi="Garamond" w:cs="Times New Roman"/>
          <w:szCs w:val="24"/>
        </w:rPr>
        <w:t xml:space="preserve"> azilkërkues. 97% e imigrantëve të parregullt që janë regjistruar</w:t>
      </w:r>
      <w:r w:rsidR="00E73215" w:rsidRPr="00B457F5">
        <w:rPr>
          <w:rFonts w:ascii="Garamond" w:eastAsia="MS Mincho" w:hAnsi="Garamond" w:cs="Times New Roman"/>
          <w:szCs w:val="24"/>
        </w:rPr>
        <w:t>,</w:t>
      </w:r>
      <w:r w:rsidR="00C045F9" w:rsidRPr="00B457F5">
        <w:rPr>
          <w:rFonts w:ascii="Garamond" w:eastAsia="MS Mincho" w:hAnsi="Garamond" w:cs="Times New Roman"/>
          <w:szCs w:val="24"/>
        </w:rPr>
        <w:t xml:space="preserve"> duke hyrë ose duke kaluar territorin</w:t>
      </w:r>
      <w:r w:rsidR="00166C03" w:rsidRPr="00B457F5">
        <w:rPr>
          <w:rFonts w:ascii="Garamond" w:eastAsia="MS Mincho" w:hAnsi="Garamond" w:cs="Times New Roman"/>
          <w:szCs w:val="24"/>
        </w:rPr>
        <w:t xml:space="preserve"> shqiptar</w:t>
      </w:r>
      <w:r w:rsidR="00C045F9" w:rsidRPr="00B457F5">
        <w:rPr>
          <w:rFonts w:ascii="Garamond" w:eastAsia="MS Mincho" w:hAnsi="Garamond" w:cs="Times New Roman"/>
          <w:szCs w:val="24"/>
        </w:rPr>
        <w:t>, kanë shprehur hapur synimin e tyre për të udhëtuar përmes Shqipërisë drejt vendeve të BE-së dhe për këtë arsye</w:t>
      </w:r>
      <w:r w:rsidR="00E73215" w:rsidRPr="00B457F5">
        <w:rPr>
          <w:rFonts w:ascii="Garamond" w:eastAsia="MS Mincho" w:hAnsi="Garamond" w:cs="Times New Roman"/>
          <w:szCs w:val="24"/>
        </w:rPr>
        <w:t>,</w:t>
      </w:r>
      <w:r w:rsidR="00C045F9" w:rsidRPr="00B457F5">
        <w:rPr>
          <w:rFonts w:ascii="Garamond" w:eastAsia="MS Mincho" w:hAnsi="Garamond" w:cs="Times New Roman"/>
          <w:szCs w:val="24"/>
        </w:rPr>
        <w:t xml:space="preserve"> </w:t>
      </w:r>
      <w:r w:rsidR="009B1722" w:rsidRPr="00B457F5">
        <w:rPr>
          <w:rFonts w:ascii="Garamond" w:eastAsia="MS Mincho" w:hAnsi="Garamond" w:cs="Times New Roman"/>
          <w:szCs w:val="24"/>
        </w:rPr>
        <w:t xml:space="preserve">për ta </w:t>
      </w:r>
      <w:r w:rsidR="00C045F9" w:rsidRPr="00B457F5">
        <w:rPr>
          <w:rFonts w:ascii="Garamond" w:eastAsia="MS Mincho" w:hAnsi="Garamond" w:cs="Times New Roman"/>
          <w:szCs w:val="24"/>
        </w:rPr>
        <w:t>janë lëshuar urdhra për largim vullnetar.</w:t>
      </w:r>
      <w:r w:rsidR="00A619CA" w:rsidRPr="00B457F5">
        <w:rPr>
          <w:rFonts w:ascii="Garamond" w:eastAsia="MS Mincho" w:hAnsi="Garamond" w:cs="Times New Roman"/>
          <w:szCs w:val="24"/>
          <w:vertAlign w:val="superscript"/>
        </w:rPr>
        <w:footnoteReference w:id="35"/>
      </w:r>
      <w:r w:rsidR="00A619CA" w:rsidRPr="00B457F5">
        <w:rPr>
          <w:rFonts w:ascii="Garamond" w:eastAsia="MS Mincho" w:hAnsi="Garamond" w:cs="Times New Roman"/>
          <w:szCs w:val="24"/>
        </w:rPr>
        <w:t xml:space="preserve"> </w:t>
      </w:r>
      <w:r w:rsidR="00606E27" w:rsidRPr="00B457F5">
        <w:rPr>
          <w:rFonts w:ascii="Garamond" w:eastAsia="MS Mincho" w:hAnsi="Garamond" w:cs="Times New Roman"/>
          <w:szCs w:val="24"/>
        </w:rPr>
        <w:t>Ndërkohë që gjatë vitit 2023 janë</w:t>
      </w:r>
      <w:r w:rsidR="00690D86" w:rsidRPr="00B457F5">
        <w:rPr>
          <w:rFonts w:ascii="Garamond" w:eastAsia="MS Mincho" w:hAnsi="Garamond" w:cs="Times New Roman"/>
          <w:szCs w:val="24"/>
        </w:rPr>
        <w:t xml:space="preserve"> kapur</w:t>
      </w:r>
      <w:r w:rsidR="00606E27" w:rsidRPr="00B457F5">
        <w:rPr>
          <w:rFonts w:ascii="Garamond" w:eastAsia="MS Mincho" w:hAnsi="Garamond" w:cs="Times New Roman"/>
          <w:szCs w:val="24"/>
        </w:rPr>
        <w:t xml:space="preserve"> në situatë të parregullt 6 630 imigrantë, nga të cilët 4 781 për herë të parë.</w:t>
      </w:r>
    </w:p>
    <w:p w14:paraId="61BA22AC" w14:textId="77777777" w:rsidR="00783BF2" w:rsidRPr="00B457F5" w:rsidRDefault="00783BF2" w:rsidP="002E693B">
      <w:pPr>
        <w:spacing w:before="0" w:after="0"/>
        <w:ind w:firstLine="284"/>
        <w:rPr>
          <w:rFonts w:ascii="Garamond" w:eastAsia="MS Mincho" w:hAnsi="Garamond" w:cs="Times New Roman"/>
          <w:szCs w:val="24"/>
        </w:rPr>
      </w:pPr>
    </w:p>
    <w:p w14:paraId="3ECCAE15" w14:textId="103E904B" w:rsidR="009F6B1E" w:rsidRPr="00B457F5" w:rsidRDefault="00624D2E" w:rsidP="00E73215">
      <w:pPr>
        <w:spacing w:before="0" w:after="0"/>
        <w:ind w:firstLine="284"/>
        <w:rPr>
          <w:rFonts w:ascii="Garamond" w:eastAsia="MS Mincho" w:hAnsi="Garamond" w:cs="Times New Roman"/>
          <w:bCs/>
          <w:i/>
          <w:sz w:val="20"/>
          <w:szCs w:val="20"/>
        </w:rPr>
      </w:pPr>
      <w:r w:rsidRPr="00B457F5">
        <w:rPr>
          <w:rFonts w:ascii="Garamond" w:eastAsia="MS Mincho" w:hAnsi="Garamond" w:cs="Times New Roman"/>
          <w:bCs/>
          <w:i/>
          <w:sz w:val="20"/>
          <w:szCs w:val="20"/>
        </w:rPr>
        <w:t>Fig. 1</w:t>
      </w:r>
      <w:r w:rsidR="004D6364" w:rsidRPr="00B457F5">
        <w:rPr>
          <w:rFonts w:ascii="Garamond" w:eastAsia="MS Mincho" w:hAnsi="Garamond" w:cs="Times New Roman"/>
          <w:bCs/>
          <w:i/>
          <w:sz w:val="20"/>
          <w:szCs w:val="20"/>
        </w:rPr>
        <w:t>:</w:t>
      </w:r>
      <w:r w:rsidRPr="00B457F5">
        <w:rPr>
          <w:rFonts w:ascii="Garamond" w:eastAsia="MS Mincho" w:hAnsi="Garamond" w:cs="Times New Roman"/>
          <w:bCs/>
          <w:i/>
          <w:sz w:val="20"/>
          <w:szCs w:val="20"/>
        </w:rPr>
        <w:t xml:space="preserve"> Emigrantët e parregullt për herë të parë, të identifikuar dhe regjistruar nga DKM</w:t>
      </w:r>
      <w:r w:rsidR="00E73215" w:rsidRPr="00B457F5">
        <w:rPr>
          <w:rFonts w:ascii="Garamond" w:eastAsia="MS Mincho" w:hAnsi="Garamond" w:cs="Times New Roman"/>
          <w:bCs/>
          <w:i/>
          <w:sz w:val="20"/>
          <w:szCs w:val="20"/>
        </w:rPr>
        <w:t>-ja</w:t>
      </w:r>
    </w:p>
    <w:p w14:paraId="59FA5888" w14:textId="2302E28F" w:rsidR="00783BF2" w:rsidRPr="00B457F5" w:rsidRDefault="00783BF2" w:rsidP="00783BF2">
      <w:pPr>
        <w:spacing w:before="0" w:after="0"/>
        <w:jc w:val="center"/>
        <w:rPr>
          <w:rFonts w:ascii="Garamond" w:eastAsia="MS Mincho" w:hAnsi="Garamond" w:cs="Times New Roman"/>
          <w:i/>
          <w:iCs/>
          <w:szCs w:val="24"/>
        </w:rPr>
      </w:pPr>
      <w:r w:rsidRPr="00B457F5">
        <w:rPr>
          <w:rFonts w:ascii="Garamond" w:eastAsia="MS Mincho" w:hAnsi="Garamond" w:cs="Times New Roman"/>
          <w:i/>
          <w:iCs/>
          <w:noProof/>
          <w:szCs w:val="24"/>
        </w:rPr>
        <w:drawing>
          <wp:inline distT="0" distB="0" distL="0" distR="0" wp14:anchorId="3D506587" wp14:editId="33657888">
            <wp:extent cx="5888736" cy="2030599"/>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7924" cy="2037216"/>
                    </a:xfrm>
                    <a:prstGeom prst="rect">
                      <a:avLst/>
                    </a:prstGeom>
                    <a:noFill/>
                  </pic:spPr>
                </pic:pic>
              </a:graphicData>
            </a:graphic>
          </wp:inline>
        </w:drawing>
      </w:r>
    </w:p>
    <w:p w14:paraId="0DB96558" w14:textId="74234B38" w:rsidR="009F6B1E" w:rsidRPr="00B457F5" w:rsidRDefault="00624D2E" w:rsidP="002E693B">
      <w:pPr>
        <w:spacing w:before="0" w:after="0"/>
        <w:ind w:firstLine="284"/>
        <w:jc w:val="center"/>
        <w:rPr>
          <w:rFonts w:ascii="Garamond" w:eastAsia="MS Mincho" w:hAnsi="Garamond" w:cs="Times New Roman"/>
          <w:sz w:val="20"/>
          <w:szCs w:val="20"/>
        </w:rPr>
      </w:pPr>
      <w:r w:rsidRPr="00B457F5">
        <w:rPr>
          <w:rFonts w:ascii="Garamond" w:eastAsia="MS Mincho" w:hAnsi="Garamond" w:cs="Times New Roman"/>
          <w:i/>
          <w:iCs/>
          <w:sz w:val="20"/>
          <w:szCs w:val="20"/>
        </w:rPr>
        <w:t>Burimi:</w:t>
      </w:r>
      <w:r w:rsidRPr="00B457F5">
        <w:rPr>
          <w:rFonts w:ascii="Garamond" w:eastAsia="MS Mincho" w:hAnsi="Garamond" w:cs="Times New Roman"/>
          <w:sz w:val="20"/>
          <w:szCs w:val="20"/>
        </w:rPr>
        <w:t xml:space="preserve"> Departamenti i Kufirit dhe Migracionit, MB, 2023.</w:t>
      </w:r>
    </w:p>
    <w:p w14:paraId="2441A2FF" w14:textId="77777777" w:rsidR="00C42B36" w:rsidRPr="00B457F5" w:rsidRDefault="00C42B36" w:rsidP="002E693B">
      <w:pPr>
        <w:spacing w:before="0" w:after="0"/>
        <w:ind w:firstLine="284"/>
        <w:rPr>
          <w:rFonts w:ascii="Garamond" w:eastAsia="MS Mincho" w:hAnsi="Garamond" w:cs="Times New Roman"/>
          <w:szCs w:val="24"/>
        </w:rPr>
      </w:pPr>
    </w:p>
    <w:p w14:paraId="6DC0431B" w14:textId="6B4C196B" w:rsidR="00A619CA" w:rsidRPr="00B457F5" w:rsidRDefault="00024169"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Shkalla e kthimeve vullnetare është zvogëluar kohët e fundit. Nëse në vitin 2020, numri i shtetasve të huaj që u larguan nga territori me urdhër largimi vullnetar ishte 10 758 imigrantë, ai </w:t>
      </w:r>
      <w:r w:rsidR="0035064F" w:rsidRPr="00B457F5">
        <w:rPr>
          <w:rFonts w:ascii="Garamond" w:eastAsia="MS Mincho" w:hAnsi="Garamond" w:cs="Times New Roman"/>
          <w:szCs w:val="24"/>
        </w:rPr>
        <w:t xml:space="preserve">ra </w:t>
      </w:r>
      <w:r w:rsidRPr="00B457F5">
        <w:rPr>
          <w:rFonts w:ascii="Garamond" w:eastAsia="MS Mincho" w:hAnsi="Garamond" w:cs="Times New Roman"/>
          <w:szCs w:val="24"/>
        </w:rPr>
        <w:t xml:space="preserve">në 9 927 emigrantë në vitin 2021 dhe 8 335 emigrantë në </w:t>
      </w:r>
      <w:r w:rsidR="0035064F" w:rsidRPr="00B457F5">
        <w:rPr>
          <w:rFonts w:ascii="Garamond" w:eastAsia="MS Mincho" w:hAnsi="Garamond" w:cs="Times New Roman"/>
          <w:szCs w:val="24"/>
        </w:rPr>
        <w:t xml:space="preserve">vitin </w:t>
      </w:r>
      <w:r w:rsidRPr="00B457F5">
        <w:rPr>
          <w:rFonts w:ascii="Garamond" w:eastAsia="MS Mincho" w:hAnsi="Garamond" w:cs="Times New Roman"/>
          <w:szCs w:val="24"/>
        </w:rPr>
        <w:t xml:space="preserve">2022. </w:t>
      </w:r>
      <w:r w:rsidR="00CC2234" w:rsidRPr="00B457F5">
        <w:rPr>
          <w:rFonts w:ascii="Garamond" w:eastAsia="MS Mincho" w:hAnsi="Garamond" w:cs="Times New Roman"/>
          <w:szCs w:val="24"/>
        </w:rPr>
        <w:t>Për rrjedhojë</w:t>
      </w:r>
      <w:r w:rsidRPr="00B457F5">
        <w:rPr>
          <w:rFonts w:ascii="Garamond" w:eastAsia="MS Mincho" w:hAnsi="Garamond" w:cs="Times New Roman"/>
          <w:szCs w:val="24"/>
        </w:rPr>
        <w:t xml:space="preserve">, në vitin 2022, </w:t>
      </w:r>
      <w:r w:rsidR="00CC2234" w:rsidRPr="00B457F5">
        <w:rPr>
          <w:rFonts w:ascii="Garamond" w:eastAsia="MS Mincho" w:hAnsi="Garamond" w:cs="Times New Roman"/>
          <w:szCs w:val="24"/>
        </w:rPr>
        <w:t xml:space="preserve">janë regjistruar </w:t>
      </w:r>
      <w:r w:rsidRPr="00B457F5">
        <w:rPr>
          <w:rFonts w:ascii="Garamond" w:eastAsia="MS Mincho" w:hAnsi="Garamond" w:cs="Times New Roman"/>
          <w:szCs w:val="24"/>
        </w:rPr>
        <w:t>25</w:t>
      </w:r>
      <w:r w:rsidR="005F598C" w:rsidRPr="00B457F5">
        <w:rPr>
          <w:rFonts w:ascii="Garamond" w:eastAsia="MS Mincho" w:hAnsi="Garamond" w:cs="Times New Roman"/>
          <w:szCs w:val="24"/>
        </w:rPr>
        <w:t>.</w:t>
      </w:r>
      <w:r w:rsidRPr="00B457F5">
        <w:rPr>
          <w:rFonts w:ascii="Garamond" w:eastAsia="MS Mincho" w:hAnsi="Garamond" w:cs="Times New Roman"/>
          <w:szCs w:val="24"/>
        </w:rPr>
        <w:t xml:space="preserve">3 % më pak imigrantë me urdhër largimi në krahasim me </w:t>
      </w:r>
      <w:r w:rsidR="00CC2234" w:rsidRPr="00B457F5">
        <w:rPr>
          <w:rFonts w:ascii="Garamond" w:eastAsia="MS Mincho" w:hAnsi="Garamond" w:cs="Times New Roman"/>
          <w:szCs w:val="24"/>
        </w:rPr>
        <w:t xml:space="preserve">vitin </w:t>
      </w:r>
      <w:r w:rsidRPr="00B457F5">
        <w:rPr>
          <w:rFonts w:ascii="Garamond" w:eastAsia="MS Mincho" w:hAnsi="Garamond" w:cs="Times New Roman"/>
          <w:szCs w:val="24"/>
        </w:rPr>
        <w:t>2020 dhe 17.4% më pak në krahasim me 2021</w:t>
      </w:r>
      <w:r w:rsidR="00A619CA" w:rsidRPr="00B457F5">
        <w:rPr>
          <w:rFonts w:ascii="Garamond" w:eastAsia="MS Mincho" w:hAnsi="Garamond" w:cs="Times New Roman"/>
          <w:szCs w:val="24"/>
        </w:rPr>
        <w:t>.</w:t>
      </w:r>
      <w:r w:rsidR="00A619CA" w:rsidRPr="00B457F5">
        <w:rPr>
          <w:rFonts w:ascii="Garamond" w:eastAsia="MS Mincho" w:hAnsi="Garamond" w:cs="Times New Roman"/>
          <w:szCs w:val="24"/>
          <w:vertAlign w:val="superscript"/>
        </w:rPr>
        <w:footnoteReference w:id="36"/>
      </w:r>
      <w:r w:rsidR="005F598C" w:rsidRPr="00B457F5">
        <w:rPr>
          <w:rFonts w:ascii="Garamond" w:eastAsia="MS Mincho" w:hAnsi="Garamond" w:cs="Times New Roman"/>
          <w:szCs w:val="24"/>
        </w:rPr>
        <w:t xml:space="preserve"> Ndërkohë që gjatë vitit 2023 janë lëshuar 6 314 </w:t>
      </w:r>
      <w:r w:rsidR="004D6364" w:rsidRPr="00B457F5">
        <w:rPr>
          <w:rFonts w:ascii="Garamond" w:eastAsia="MS Mincho" w:hAnsi="Garamond" w:cs="Times New Roman"/>
          <w:szCs w:val="24"/>
        </w:rPr>
        <w:t>urdhra</w:t>
      </w:r>
      <w:r w:rsidR="005F598C" w:rsidRPr="00B457F5">
        <w:rPr>
          <w:rFonts w:ascii="Garamond" w:eastAsia="MS Mincho" w:hAnsi="Garamond" w:cs="Times New Roman"/>
          <w:szCs w:val="24"/>
        </w:rPr>
        <w:t xml:space="preserve"> largimi.</w:t>
      </w:r>
    </w:p>
    <w:p w14:paraId="54D5D1DE" w14:textId="2236A4AB" w:rsidR="00624D2E" w:rsidRPr="00B457F5" w:rsidRDefault="00624D2E" w:rsidP="002E693B">
      <w:pPr>
        <w:spacing w:before="0" w:after="0"/>
        <w:ind w:firstLine="284"/>
        <w:rPr>
          <w:rFonts w:ascii="Garamond" w:eastAsia="MS Mincho" w:hAnsi="Garamond" w:cs="Times New Roman"/>
          <w:szCs w:val="24"/>
        </w:rPr>
      </w:pPr>
      <w:r w:rsidRPr="00B457F5">
        <w:rPr>
          <w:rFonts w:ascii="Garamond" w:eastAsia="MS Mincho" w:hAnsi="Garamond" w:cs="Times New Roman"/>
          <w:bCs/>
          <w:i/>
          <w:szCs w:val="24"/>
        </w:rPr>
        <w:lastRenderedPageBreak/>
        <w:t>Faktor</w:t>
      </w:r>
      <w:r w:rsidR="00272570" w:rsidRPr="00B457F5">
        <w:rPr>
          <w:rFonts w:ascii="Garamond" w:eastAsia="MS Mincho" w:hAnsi="Garamond" w:cs="Times New Roman"/>
          <w:bCs/>
          <w:i/>
          <w:szCs w:val="24"/>
        </w:rPr>
        <w:t>ë</w:t>
      </w:r>
      <w:r w:rsidRPr="00B457F5">
        <w:rPr>
          <w:rFonts w:ascii="Garamond" w:eastAsia="MS Mincho" w:hAnsi="Garamond" w:cs="Times New Roman"/>
          <w:bCs/>
          <w:i/>
          <w:szCs w:val="24"/>
        </w:rPr>
        <w:t>t shtyt</w:t>
      </w:r>
      <w:r w:rsidR="00272570" w:rsidRPr="00B457F5">
        <w:rPr>
          <w:rFonts w:ascii="Garamond" w:eastAsia="MS Mincho" w:hAnsi="Garamond" w:cs="Times New Roman"/>
          <w:bCs/>
          <w:i/>
          <w:szCs w:val="24"/>
        </w:rPr>
        <w:t>ë</w:t>
      </w:r>
      <w:r w:rsidRPr="00B457F5">
        <w:rPr>
          <w:rFonts w:ascii="Garamond" w:eastAsia="MS Mincho" w:hAnsi="Garamond" w:cs="Times New Roman"/>
          <w:bCs/>
          <w:i/>
          <w:szCs w:val="24"/>
        </w:rPr>
        <w:t>s t</w:t>
      </w:r>
      <w:r w:rsidR="00272570" w:rsidRPr="00B457F5">
        <w:rPr>
          <w:rFonts w:ascii="Garamond" w:eastAsia="MS Mincho" w:hAnsi="Garamond" w:cs="Times New Roman"/>
          <w:bCs/>
          <w:i/>
          <w:szCs w:val="24"/>
        </w:rPr>
        <w:t>ë</w:t>
      </w:r>
      <w:r w:rsidRPr="00B457F5">
        <w:rPr>
          <w:rFonts w:ascii="Garamond" w:eastAsia="MS Mincho" w:hAnsi="Garamond" w:cs="Times New Roman"/>
          <w:bCs/>
          <w:i/>
          <w:szCs w:val="24"/>
        </w:rPr>
        <w:t xml:space="preserve"> migracionit</w:t>
      </w:r>
      <w:r w:rsidRPr="00B457F5">
        <w:rPr>
          <w:rFonts w:ascii="Garamond" w:eastAsia="MS Mincho" w:hAnsi="Garamond" w:cs="Times New Roman"/>
          <w:bCs/>
          <w:szCs w:val="24"/>
        </w:rPr>
        <w:t>.</w:t>
      </w:r>
      <w:r w:rsidRPr="00B457F5">
        <w:rPr>
          <w:rFonts w:ascii="Garamond" w:eastAsia="MS Mincho" w:hAnsi="Garamond" w:cs="Times New Roman"/>
          <w:szCs w:val="24"/>
        </w:rPr>
        <w:t xml:space="preserve"> Profilet vjetore dhe të zgjeruara të migracionit shërbejnë për të ofruar informacion analitik dhe statistikor mbi tendencat e migracionit drejt dhe nga Shqipëria që do të drejtojnë politikat afatshkurtra dhe afatmesme për menaxhimin efektiv të migracionit. Gjetjet e dokumentit të fundit</w:t>
      </w:r>
      <w:r w:rsidR="002F7DA3" w:rsidRPr="00B457F5">
        <w:rPr>
          <w:rFonts w:ascii="Garamond" w:eastAsia="MS Mincho" w:hAnsi="Garamond" w:cs="Times New Roman"/>
          <w:szCs w:val="24"/>
        </w:rPr>
        <w:t>,</w:t>
      </w:r>
      <w:r w:rsidRPr="00B457F5">
        <w:rPr>
          <w:rFonts w:ascii="Garamond" w:eastAsia="MS Mincho" w:hAnsi="Garamond" w:cs="Times New Roman"/>
          <w:szCs w:val="24"/>
        </w:rPr>
        <w:t xml:space="preserve"> që mbulon vitet 2015</w:t>
      </w:r>
      <w:r w:rsidR="000B7E4C" w:rsidRPr="00B457F5">
        <w:rPr>
          <w:rStyle w:val="contentpasted1"/>
          <w:rFonts w:ascii="Garamond" w:hAnsi="Garamond"/>
          <w:color w:val="000000"/>
        </w:rPr>
        <w:t>–</w:t>
      </w:r>
      <w:r w:rsidRPr="00B457F5">
        <w:rPr>
          <w:rFonts w:ascii="Garamond" w:eastAsia="MS Mincho" w:hAnsi="Garamond" w:cs="Times New Roman"/>
          <w:szCs w:val="24"/>
        </w:rPr>
        <w:t>2018</w:t>
      </w:r>
      <w:r w:rsidR="002F7DA3" w:rsidRPr="00B457F5">
        <w:rPr>
          <w:rFonts w:ascii="Garamond" w:eastAsia="MS Mincho" w:hAnsi="Garamond" w:cs="Times New Roman"/>
          <w:szCs w:val="24"/>
        </w:rPr>
        <w:t>,</w:t>
      </w:r>
      <w:r w:rsidRPr="00B457F5">
        <w:rPr>
          <w:rStyle w:val="FootnoteReference"/>
          <w:rFonts w:ascii="Garamond" w:eastAsia="MS Mincho" w:hAnsi="Garamond" w:cs="Times New Roman"/>
          <w:szCs w:val="24"/>
        </w:rPr>
        <w:footnoteReference w:id="37"/>
      </w:r>
      <w:r w:rsidRPr="00B457F5">
        <w:rPr>
          <w:rFonts w:ascii="Garamond" w:eastAsia="MS Mincho" w:hAnsi="Garamond" w:cs="Times New Roman"/>
          <w:szCs w:val="24"/>
        </w:rPr>
        <w:t xml:space="preserve"> tregojnë se tregu i punës në Shqipëri mbetet i dobët. Disa nga dobësitë përfshijnë shkallën e lartë të papunësisë së të rinjve dhe papunësinë afatgjatë, një treg pune jo fleksibël edhe për të rinjtë me arsim </w:t>
      </w:r>
      <w:r w:rsidR="00224E0B" w:rsidRPr="00B457F5">
        <w:rPr>
          <w:rFonts w:ascii="Garamond" w:eastAsia="MS Mincho" w:hAnsi="Garamond" w:cs="Times New Roman"/>
          <w:szCs w:val="24"/>
        </w:rPr>
        <w:t>t</w:t>
      </w:r>
      <w:r w:rsidR="009E7EB4" w:rsidRPr="00B457F5">
        <w:rPr>
          <w:rFonts w:ascii="Garamond" w:eastAsia="MS Mincho" w:hAnsi="Garamond" w:cs="Times New Roman"/>
          <w:szCs w:val="24"/>
        </w:rPr>
        <w:t>ë</w:t>
      </w:r>
      <w:r w:rsidR="00224E0B" w:rsidRPr="00B457F5">
        <w:rPr>
          <w:rFonts w:ascii="Garamond" w:eastAsia="MS Mincho" w:hAnsi="Garamond" w:cs="Times New Roman"/>
          <w:szCs w:val="24"/>
        </w:rPr>
        <w:t xml:space="preserve"> lart</w:t>
      </w:r>
      <w:r w:rsidR="009E7EB4" w:rsidRPr="00B457F5">
        <w:rPr>
          <w:rFonts w:ascii="Garamond" w:eastAsia="MS Mincho" w:hAnsi="Garamond" w:cs="Times New Roman"/>
          <w:szCs w:val="24"/>
        </w:rPr>
        <w:t>ë</w:t>
      </w:r>
      <w:r w:rsidRPr="00B457F5">
        <w:rPr>
          <w:rFonts w:ascii="Garamond" w:eastAsia="MS Mincho" w:hAnsi="Garamond" w:cs="Times New Roman"/>
          <w:szCs w:val="24"/>
        </w:rPr>
        <w:t>, papunësia e lartë në zonat rurale dhe sektori bujqësor, informaliteti i tregut të punës etj.</w:t>
      </w:r>
      <w:r w:rsidRPr="00B457F5">
        <w:rPr>
          <w:rStyle w:val="FootnoteReference"/>
          <w:rFonts w:ascii="Garamond" w:eastAsia="MS Mincho" w:hAnsi="Garamond" w:cs="Times New Roman"/>
          <w:szCs w:val="24"/>
        </w:rPr>
        <w:footnoteReference w:id="38"/>
      </w:r>
    </w:p>
    <w:p w14:paraId="10CE8EB9" w14:textId="407C1B4C" w:rsidR="00A619CA" w:rsidRPr="00B457F5" w:rsidRDefault="005847CF" w:rsidP="002E693B">
      <w:pPr>
        <w:spacing w:before="0" w:after="0"/>
        <w:ind w:firstLine="284"/>
        <w:rPr>
          <w:rFonts w:ascii="Garamond" w:eastAsia="MS Mincho" w:hAnsi="Garamond" w:cs="Times New Roman"/>
          <w:szCs w:val="24"/>
        </w:rPr>
      </w:pPr>
      <w:bookmarkStart w:id="24" w:name="_Hlk148356085"/>
      <w:r w:rsidRPr="00B457F5">
        <w:rPr>
          <w:rFonts w:ascii="Garamond" w:eastAsia="MS Mincho" w:hAnsi="Garamond" w:cs="Times New Roman"/>
          <w:bCs/>
          <w:i/>
          <w:szCs w:val="24"/>
        </w:rPr>
        <w:t>Faktor</w:t>
      </w:r>
      <w:r w:rsidR="00B0743F" w:rsidRPr="00B457F5">
        <w:rPr>
          <w:rFonts w:ascii="Garamond" w:eastAsia="MS Mincho" w:hAnsi="Garamond" w:cs="Times New Roman"/>
          <w:bCs/>
          <w:i/>
          <w:szCs w:val="24"/>
        </w:rPr>
        <w:t>ë</w:t>
      </w:r>
      <w:r w:rsidRPr="00B457F5">
        <w:rPr>
          <w:rFonts w:ascii="Garamond" w:eastAsia="MS Mincho" w:hAnsi="Garamond" w:cs="Times New Roman"/>
          <w:bCs/>
          <w:i/>
          <w:szCs w:val="24"/>
        </w:rPr>
        <w:t>t shtyt</w:t>
      </w:r>
      <w:r w:rsidR="00B0743F" w:rsidRPr="00B457F5">
        <w:rPr>
          <w:rFonts w:ascii="Garamond" w:eastAsia="MS Mincho" w:hAnsi="Garamond" w:cs="Times New Roman"/>
          <w:bCs/>
          <w:i/>
          <w:szCs w:val="24"/>
        </w:rPr>
        <w:t>ë</w:t>
      </w:r>
      <w:r w:rsidRPr="00B457F5">
        <w:rPr>
          <w:rFonts w:ascii="Garamond" w:eastAsia="MS Mincho" w:hAnsi="Garamond" w:cs="Times New Roman"/>
          <w:bCs/>
          <w:i/>
          <w:szCs w:val="24"/>
        </w:rPr>
        <w:t>s t</w:t>
      </w:r>
      <w:r w:rsidR="00B0743F" w:rsidRPr="00B457F5">
        <w:rPr>
          <w:rFonts w:ascii="Garamond" w:eastAsia="MS Mincho" w:hAnsi="Garamond" w:cs="Times New Roman"/>
          <w:bCs/>
          <w:i/>
          <w:szCs w:val="24"/>
        </w:rPr>
        <w:t>ë</w:t>
      </w:r>
      <w:r w:rsidRPr="00B457F5">
        <w:rPr>
          <w:rFonts w:ascii="Garamond" w:eastAsia="MS Mincho" w:hAnsi="Garamond" w:cs="Times New Roman"/>
          <w:bCs/>
          <w:i/>
          <w:szCs w:val="24"/>
        </w:rPr>
        <w:t xml:space="preserve"> migracionit</w:t>
      </w:r>
      <w:bookmarkEnd w:id="24"/>
      <w:r w:rsidR="00A619CA" w:rsidRPr="00B457F5">
        <w:rPr>
          <w:rFonts w:ascii="Garamond" w:eastAsia="MS Mincho" w:hAnsi="Garamond" w:cs="Times New Roman"/>
          <w:bCs/>
          <w:szCs w:val="24"/>
        </w:rPr>
        <w:t>.</w:t>
      </w:r>
      <w:r w:rsidR="00A619CA" w:rsidRPr="00B457F5">
        <w:rPr>
          <w:rFonts w:ascii="Garamond" w:eastAsia="MS Mincho" w:hAnsi="Garamond" w:cs="Times New Roman"/>
          <w:szCs w:val="24"/>
        </w:rPr>
        <w:t xml:space="preserve"> </w:t>
      </w:r>
      <w:r w:rsidRPr="00B457F5">
        <w:rPr>
          <w:rFonts w:ascii="Garamond" w:eastAsia="MS Mincho" w:hAnsi="Garamond" w:cs="Times New Roman"/>
          <w:szCs w:val="24"/>
        </w:rPr>
        <w:t xml:space="preserve">Zhvillimi i </w:t>
      </w:r>
      <w:r w:rsidRPr="00B457F5">
        <w:rPr>
          <w:rFonts w:ascii="Garamond" w:eastAsia="MS Mincho" w:hAnsi="Garamond" w:cs="Times New Roman"/>
          <w:bCs/>
          <w:iCs/>
          <w:szCs w:val="24"/>
        </w:rPr>
        <w:t>profileve vjetore dhe të zgjeruara</w:t>
      </w:r>
      <w:r w:rsidRPr="00B457F5">
        <w:rPr>
          <w:rFonts w:ascii="Garamond" w:eastAsia="MS Mincho" w:hAnsi="Garamond" w:cs="Times New Roman"/>
          <w:szCs w:val="24"/>
        </w:rPr>
        <w:t xml:space="preserve"> të migracionit shërben për të ofruar informacion analitik dhe statistikor mbi tendencat migratore drejt dhe nga Shqipëria për të udhëhequr politikat afatshkurtra dhe afatmesme për menaxhimin efektiv të migracionit. Gjetjet e dokumentit të fundit që mbulon periudhën 2015</w:t>
      </w:r>
      <w:r w:rsidR="000B7E4C" w:rsidRPr="00B457F5">
        <w:rPr>
          <w:rStyle w:val="contentpasted1"/>
          <w:rFonts w:ascii="Garamond" w:hAnsi="Garamond"/>
          <w:color w:val="000000"/>
        </w:rPr>
        <w:t>–</w:t>
      </w:r>
      <w:r w:rsidRPr="00B457F5">
        <w:rPr>
          <w:rFonts w:ascii="Garamond" w:eastAsia="MS Mincho" w:hAnsi="Garamond" w:cs="Times New Roman"/>
          <w:szCs w:val="24"/>
        </w:rPr>
        <w:t>2018</w:t>
      </w:r>
      <w:r w:rsidR="00A619CA" w:rsidRPr="00B457F5">
        <w:rPr>
          <w:rFonts w:ascii="Garamond" w:eastAsia="MS Mincho" w:hAnsi="Garamond" w:cs="Times New Roman"/>
          <w:szCs w:val="24"/>
          <w:vertAlign w:val="superscript"/>
        </w:rPr>
        <w:footnoteReference w:id="39"/>
      </w:r>
      <w:r w:rsidR="00A619CA" w:rsidRPr="00B457F5">
        <w:rPr>
          <w:rFonts w:ascii="Garamond" w:eastAsia="MS Mincho" w:hAnsi="Garamond" w:cs="Times New Roman"/>
          <w:szCs w:val="24"/>
        </w:rPr>
        <w:t xml:space="preserve"> </w:t>
      </w:r>
      <w:r w:rsidR="00295178" w:rsidRPr="00B457F5">
        <w:rPr>
          <w:rFonts w:ascii="Garamond" w:eastAsia="MS Mincho" w:hAnsi="Garamond" w:cs="Times New Roman"/>
          <w:szCs w:val="24"/>
        </w:rPr>
        <w:t xml:space="preserve">tregojnë se tregu i punës në Shqipëri mbetet ende i dobët. Disa nga dobësitë janë niveli i lartë i papunësisë tek të rinjtë, niveli i lartë i papunësisë afatgjatë, tregu jo fleksibël i punës edhe për të rinjtë me diplomë </w:t>
      </w:r>
      <w:r w:rsidR="00224E0B" w:rsidRPr="00B457F5">
        <w:rPr>
          <w:rFonts w:ascii="Garamond" w:eastAsia="MS Mincho" w:hAnsi="Garamond" w:cs="Times New Roman"/>
          <w:szCs w:val="24"/>
        </w:rPr>
        <w:t>t</w:t>
      </w:r>
      <w:r w:rsidR="009E7EB4" w:rsidRPr="00B457F5">
        <w:rPr>
          <w:rFonts w:ascii="Garamond" w:eastAsia="MS Mincho" w:hAnsi="Garamond" w:cs="Times New Roman"/>
          <w:szCs w:val="24"/>
        </w:rPr>
        <w:t>ë</w:t>
      </w:r>
      <w:r w:rsidR="00224E0B" w:rsidRPr="00B457F5">
        <w:rPr>
          <w:rFonts w:ascii="Garamond" w:eastAsia="MS Mincho" w:hAnsi="Garamond" w:cs="Times New Roman"/>
          <w:szCs w:val="24"/>
        </w:rPr>
        <w:t xml:space="preserve"> arsimit t</w:t>
      </w:r>
      <w:r w:rsidR="009E7EB4" w:rsidRPr="00B457F5">
        <w:rPr>
          <w:rFonts w:ascii="Garamond" w:eastAsia="MS Mincho" w:hAnsi="Garamond" w:cs="Times New Roman"/>
          <w:szCs w:val="24"/>
        </w:rPr>
        <w:t>ë</w:t>
      </w:r>
      <w:r w:rsidR="00224E0B" w:rsidRPr="00B457F5">
        <w:rPr>
          <w:rFonts w:ascii="Garamond" w:eastAsia="MS Mincho" w:hAnsi="Garamond" w:cs="Times New Roman"/>
          <w:szCs w:val="24"/>
        </w:rPr>
        <w:t xml:space="preserve"> lart</w:t>
      </w:r>
      <w:r w:rsidR="009E7EB4" w:rsidRPr="00B457F5">
        <w:rPr>
          <w:rFonts w:ascii="Garamond" w:eastAsia="MS Mincho" w:hAnsi="Garamond" w:cs="Times New Roman"/>
          <w:szCs w:val="24"/>
        </w:rPr>
        <w:t>ë</w:t>
      </w:r>
      <w:r w:rsidR="00295178" w:rsidRPr="00B457F5">
        <w:rPr>
          <w:rFonts w:ascii="Garamond" w:eastAsia="MS Mincho" w:hAnsi="Garamond" w:cs="Times New Roman"/>
          <w:szCs w:val="24"/>
        </w:rPr>
        <w:t>, papunësia e lartë në zonat rurale dhe sektori</w:t>
      </w:r>
      <w:r w:rsidR="003A5C1B" w:rsidRPr="00B457F5">
        <w:rPr>
          <w:rFonts w:ascii="Garamond" w:eastAsia="MS Mincho" w:hAnsi="Garamond" w:cs="Times New Roman"/>
          <w:szCs w:val="24"/>
        </w:rPr>
        <w:t>n</w:t>
      </w:r>
      <w:r w:rsidR="00295178" w:rsidRPr="00B457F5">
        <w:rPr>
          <w:rFonts w:ascii="Garamond" w:eastAsia="MS Mincho" w:hAnsi="Garamond" w:cs="Times New Roman"/>
          <w:szCs w:val="24"/>
        </w:rPr>
        <w:t xml:space="preserve"> bujqësor, informaliteti në tregun e punës, etj</w:t>
      </w:r>
      <w:r w:rsidR="00A619CA" w:rsidRPr="00B457F5">
        <w:rPr>
          <w:rFonts w:ascii="Garamond" w:eastAsia="MS Mincho" w:hAnsi="Garamond" w:cs="Times New Roman"/>
          <w:szCs w:val="24"/>
        </w:rPr>
        <w:t>.</w:t>
      </w:r>
      <w:r w:rsidR="00A619CA" w:rsidRPr="00B457F5">
        <w:rPr>
          <w:rFonts w:ascii="Garamond" w:eastAsia="MS Mincho" w:hAnsi="Garamond" w:cs="Times New Roman"/>
          <w:szCs w:val="24"/>
          <w:vertAlign w:val="superscript"/>
        </w:rPr>
        <w:footnoteReference w:id="40"/>
      </w:r>
    </w:p>
    <w:p w14:paraId="40F6856C" w14:textId="2557FC5B" w:rsidR="00A7567D" w:rsidRPr="00B457F5" w:rsidRDefault="00DC43E9"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Niveli i lartë i papunësisë </w:t>
      </w:r>
      <w:r w:rsidR="009206DA" w:rsidRPr="00B457F5">
        <w:rPr>
          <w:rFonts w:ascii="Garamond" w:eastAsia="MS Mincho" w:hAnsi="Garamond" w:cs="Times New Roman"/>
          <w:szCs w:val="24"/>
        </w:rPr>
        <w:t>ndërmjet</w:t>
      </w:r>
      <w:r w:rsidRPr="00B457F5">
        <w:rPr>
          <w:rFonts w:ascii="Garamond" w:eastAsia="MS Mincho" w:hAnsi="Garamond" w:cs="Times New Roman"/>
          <w:szCs w:val="24"/>
        </w:rPr>
        <w:t xml:space="preserve"> të rinjve tregon se të rinjtë kanë vështirësi të konsiderueshme </w:t>
      </w:r>
      <w:r w:rsidR="009206DA" w:rsidRPr="00B457F5">
        <w:rPr>
          <w:rFonts w:ascii="Garamond" w:eastAsia="MS Mincho" w:hAnsi="Garamond" w:cs="Times New Roman"/>
          <w:szCs w:val="24"/>
        </w:rPr>
        <w:t xml:space="preserve">për të kaluar </w:t>
      </w:r>
      <w:r w:rsidRPr="00B457F5">
        <w:rPr>
          <w:rFonts w:ascii="Garamond" w:eastAsia="MS Mincho" w:hAnsi="Garamond" w:cs="Times New Roman"/>
          <w:szCs w:val="24"/>
        </w:rPr>
        <w:t>nga arsimi në tregun e punës</w:t>
      </w:r>
      <w:r w:rsidR="00A619CA" w:rsidRPr="00B457F5">
        <w:rPr>
          <w:rFonts w:ascii="Garamond" w:eastAsia="MS Mincho" w:hAnsi="Garamond" w:cs="Times New Roman"/>
          <w:szCs w:val="24"/>
        </w:rPr>
        <w:t>.</w:t>
      </w:r>
      <w:r w:rsidR="00A619CA" w:rsidRPr="00B457F5">
        <w:rPr>
          <w:rFonts w:ascii="Garamond" w:eastAsia="MS Mincho" w:hAnsi="Garamond" w:cs="Times New Roman"/>
          <w:szCs w:val="24"/>
          <w:vertAlign w:val="superscript"/>
        </w:rPr>
        <w:footnoteReference w:id="41"/>
      </w:r>
      <w:r w:rsidR="00A619CA" w:rsidRPr="00B457F5">
        <w:rPr>
          <w:rFonts w:ascii="Garamond" w:eastAsia="MS Mincho" w:hAnsi="Garamond" w:cs="Times New Roman"/>
          <w:szCs w:val="24"/>
        </w:rPr>
        <w:t xml:space="preserve"> </w:t>
      </w:r>
      <w:r w:rsidRPr="00B457F5">
        <w:rPr>
          <w:rFonts w:ascii="Garamond" w:eastAsia="MS Mincho" w:hAnsi="Garamond" w:cs="Times New Roman"/>
          <w:szCs w:val="24"/>
        </w:rPr>
        <w:t>Përveç kësaj, ekziston edhe një mospërputhje e madhe ndërmjet aftësive dhe nevojave të tregut, gjë që e bën më të vështirë gjetjen e punës së përshtatshme. Situata ka ndryshuar gjatë viteve të fundit, megjithatë disa nga çështjet e lartpërmendura mbeten</w:t>
      </w:r>
      <w:r w:rsidR="009206DA" w:rsidRPr="00B457F5">
        <w:rPr>
          <w:rFonts w:ascii="Garamond" w:eastAsia="MS Mincho" w:hAnsi="Garamond" w:cs="Times New Roman"/>
          <w:szCs w:val="24"/>
        </w:rPr>
        <w:t xml:space="preserve"> ende shqetësuese</w:t>
      </w:r>
      <w:r w:rsidR="00A619CA" w:rsidRPr="00B457F5">
        <w:rPr>
          <w:rFonts w:ascii="Garamond" w:eastAsia="MS Mincho" w:hAnsi="Garamond" w:cs="Times New Roman"/>
          <w:szCs w:val="24"/>
        </w:rPr>
        <w:t xml:space="preserve">. </w:t>
      </w:r>
      <w:r w:rsidR="00A7567D" w:rsidRPr="00B457F5">
        <w:rPr>
          <w:rFonts w:ascii="Garamond" w:eastAsia="MS Mincho" w:hAnsi="Garamond" w:cs="Times New Roman"/>
          <w:szCs w:val="24"/>
        </w:rPr>
        <w:t>Ndërkohë, ka një rritje të fluksit migrator të të rinjve drejt vendeve të BE-së dhe më gjerë për arsye pune dhe studimi. Në këtë drejtim, rekomandimet e këtij dokumenti mbeten të vlefshme</w:t>
      </w:r>
      <w:r w:rsidR="002F7DA3" w:rsidRPr="00B457F5">
        <w:rPr>
          <w:rFonts w:ascii="Garamond" w:eastAsia="MS Mincho" w:hAnsi="Garamond" w:cs="Times New Roman"/>
          <w:szCs w:val="24"/>
        </w:rPr>
        <w:t>,</w:t>
      </w:r>
      <w:r w:rsidR="00A7567D" w:rsidRPr="00B457F5">
        <w:rPr>
          <w:rFonts w:ascii="Garamond" w:eastAsia="MS Mincho" w:hAnsi="Garamond" w:cs="Times New Roman"/>
          <w:szCs w:val="24"/>
        </w:rPr>
        <w:t xml:space="preserve"> në lidhje me përmirësimin e kushteve, mundësive, aksesit dhe integrimit të të rinjve në arsim dhe aftësim profesional, arsim të lartë në fusha sipas kërkesës dhe </w:t>
      </w:r>
      <w:r w:rsidR="00F112F7" w:rsidRPr="00B457F5">
        <w:rPr>
          <w:rFonts w:ascii="Garamond" w:eastAsia="MS Mincho" w:hAnsi="Garamond" w:cs="Times New Roman"/>
          <w:szCs w:val="24"/>
        </w:rPr>
        <w:t xml:space="preserve">ofertës </w:t>
      </w:r>
      <w:r w:rsidR="00A7567D" w:rsidRPr="00B457F5">
        <w:rPr>
          <w:rFonts w:ascii="Garamond" w:eastAsia="MS Mincho" w:hAnsi="Garamond" w:cs="Times New Roman"/>
          <w:szCs w:val="24"/>
        </w:rPr>
        <w:t xml:space="preserve">në tregun e punës. Kërkohen politika më produktive për të </w:t>
      </w:r>
      <w:r w:rsidR="00F112F7" w:rsidRPr="00B457F5">
        <w:rPr>
          <w:rFonts w:ascii="Garamond" w:eastAsia="MS Mincho" w:hAnsi="Garamond" w:cs="Times New Roman"/>
          <w:szCs w:val="24"/>
        </w:rPr>
        <w:t xml:space="preserve">ulur nivelin e </w:t>
      </w:r>
      <w:r w:rsidR="00A7567D" w:rsidRPr="00B457F5">
        <w:rPr>
          <w:rFonts w:ascii="Garamond" w:eastAsia="MS Mincho" w:hAnsi="Garamond" w:cs="Times New Roman"/>
          <w:szCs w:val="24"/>
        </w:rPr>
        <w:t>papunësi</w:t>
      </w:r>
      <w:r w:rsidR="00F112F7" w:rsidRPr="00B457F5">
        <w:rPr>
          <w:rFonts w:ascii="Garamond" w:eastAsia="MS Mincho" w:hAnsi="Garamond" w:cs="Times New Roman"/>
          <w:szCs w:val="24"/>
        </w:rPr>
        <w:t>s</w:t>
      </w:r>
      <w:r w:rsidR="00A7567D" w:rsidRPr="00B457F5">
        <w:rPr>
          <w:rFonts w:ascii="Garamond" w:eastAsia="MS Mincho" w:hAnsi="Garamond" w:cs="Times New Roman"/>
          <w:szCs w:val="24"/>
        </w:rPr>
        <w:t>ë</w:t>
      </w:r>
      <w:r w:rsidR="00F112F7" w:rsidRPr="00B457F5">
        <w:rPr>
          <w:rFonts w:ascii="Garamond" w:eastAsia="MS Mincho" w:hAnsi="Garamond" w:cs="Times New Roman"/>
          <w:szCs w:val="24"/>
        </w:rPr>
        <w:t xml:space="preserve"> ndërmjet</w:t>
      </w:r>
      <w:r w:rsidR="00A7567D" w:rsidRPr="00B457F5">
        <w:rPr>
          <w:rFonts w:ascii="Garamond" w:eastAsia="MS Mincho" w:hAnsi="Garamond" w:cs="Times New Roman"/>
          <w:szCs w:val="24"/>
        </w:rPr>
        <w:t xml:space="preserve"> të rinjve, numrin e të papunëve afatgjatë, pabarazitë në shpërndarjen territoriale të papunësisë, papunësinë në zonat rurale dhe në bujqësi, si dhe për të dekurajuar flukset</w:t>
      </w:r>
      <w:r w:rsidR="00EE1FCE" w:rsidRPr="00B457F5">
        <w:rPr>
          <w:rFonts w:ascii="Garamond" w:eastAsia="MS Mincho" w:hAnsi="Garamond" w:cs="Times New Roman"/>
          <w:szCs w:val="24"/>
        </w:rPr>
        <w:t xml:space="preserve"> e parregullta</w:t>
      </w:r>
      <w:r w:rsidR="00A7567D" w:rsidRPr="00B457F5">
        <w:rPr>
          <w:rFonts w:ascii="Garamond" w:eastAsia="MS Mincho" w:hAnsi="Garamond" w:cs="Times New Roman"/>
          <w:szCs w:val="24"/>
        </w:rPr>
        <w:t xml:space="preserve"> migratore. Kjo mund të arrihet edhe duke ofruar stimuj për sipërmarrësit që punësojnë vajza dhe djem të rinj. Thellimi i luftës kundër informalitetit kontribuon edhe </w:t>
      </w:r>
      <w:r w:rsidR="003A75AF" w:rsidRPr="00B457F5">
        <w:rPr>
          <w:rFonts w:ascii="Garamond" w:eastAsia="MS Mincho" w:hAnsi="Garamond" w:cs="Times New Roman"/>
          <w:szCs w:val="24"/>
        </w:rPr>
        <w:t xml:space="preserve">për </w:t>
      </w:r>
      <w:r w:rsidR="00A7567D" w:rsidRPr="00B457F5">
        <w:rPr>
          <w:rFonts w:ascii="Garamond" w:eastAsia="MS Mincho" w:hAnsi="Garamond" w:cs="Times New Roman"/>
          <w:szCs w:val="24"/>
        </w:rPr>
        <w:t>dekurajimin e fluksit migrator</w:t>
      </w:r>
      <w:r w:rsidR="00EE1FCE" w:rsidRPr="00B457F5">
        <w:rPr>
          <w:rFonts w:ascii="Garamond" w:eastAsia="MS Mincho" w:hAnsi="Garamond" w:cs="Times New Roman"/>
          <w:szCs w:val="24"/>
        </w:rPr>
        <w:t xml:space="preserve"> t</w:t>
      </w:r>
      <w:r w:rsidR="009E7EB4" w:rsidRPr="00B457F5">
        <w:rPr>
          <w:rFonts w:ascii="Garamond" w:eastAsia="MS Mincho" w:hAnsi="Garamond" w:cs="Times New Roman"/>
          <w:szCs w:val="24"/>
        </w:rPr>
        <w:t>ë</w:t>
      </w:r>
      <w:r w:rsidR="00EE1FCE" w:rsidRPr="00B457F5">
        <w:rPr>
          <w:rFonts w:ascii="Garamond" w:eastAsia="MS Mincho" w:hAnsi="Garamond" w:cs="Times New Roman"/>
          <w:szCs w:val="24"/>
        </w:rPr>
        <w:t xml:space="preserve"> parregullt</w:t>
      </w:r>
      <w:r w:rsidR="00A7567D" w:rsidRPr="00B457F5">
        <w:rPr>
          <w:rFonts w:ascii="Garamond" w:eastAsia="MS Mincho" w:hAnsi="Garamond" w:cs="Times New Roman"/>
          <w:szCs w:val="24"/>
        </w:rPr>
        <w:t>, veçanërisht në tregun e punës, nëpërmjet përmirësimit të kushteve të punës dhe pagave të punëtorëve.</w:t>
      </w:r>
    </w:p>
    <w:p w14:paraId="1AD48549" w14:textId="3B78E66E" w:rsidR="00382A45" w:rsidRPr="00B457F5" w:rsidRDefault="00A7567D" w:rsidP="002E693B">
      <w:pPr>
        <w:spacing w:before="0" w:after="0"/>
        <w:ind w:firstLine="284"/>
        <w:rPr>
          <w:rFonts w:ascii="Garamond" w:eastAsia="MS Mincho" w:hAnsi="Garamond" w:cs="Times New Roman"/>
          <w:szCs w:val="24"/>
        </w:rPr>
      </w:pPr>
      <w:r w:rsidRPr="00B457F5">
        <w:rPr>
          <w:rFonts w:ascii="Garamond" w:eastAsia="MS Mincho" w:hAnsi="Garamond" w:cs="Times New Roman"/>
          <w:bCs/>
          <w:iCs/>
          <w:szCs w:val="24"/>
        </w:rPr>
        <w:t>Strategjia Komb</w:t>
      </w:r>
      <w:r w:rsidR="00B0743F" w:rsidRPr="00B457F5">
        <w:rPr>
          <w:rFonts w:ascii="Garamond" w:eastAsia="MS Mincho" w:hAnsi="Garamond" w:cs="Times New Roman"/>
          <w:bCs/>
          <w:iCs/>
          <w:szCs w:val="24"/>
        </w:rPr>
        <w:t>ë</w:t>
      </w:r>
      <w:r w:rsidRPr="00B457F5">
        <w:rPr>
          <w:rFonts w:ascii="Garamond" w:eastAsia="MS Mincho" w:hAnsi="Garamond" w:cs="Times New Roman"/>
          <w:bCs/>
          <w:iCs/>
          <w:szCs w:val="24"/>
        </w:rPr>
        <w:t>tare p</w:t>
      </w:r>
      <w:r w:rsidR="00B0743F" w:rsidRPr="00B457F5">
        <w:rPr>
          <w:rFonts w:ascii="Garamond" w:eastAsia="MS Mincho" w:hAnsi="Garamond" w:cs="Times New Roman"/>
          <w:bCs/>
          <w:iCs/>
          <w:szCs w:val="24"/>
        </w:rPr>
        <w:t>ë</w:t>
      </w:r>
      <w:r w:rsidRPr="00B457F5">
        <w:rPr>
          <w:rFonts w:ascii="Garamond" w:eastAsia="MS Mincho" w:hAnsi="Garamond" w:cs="Times New Roman"/>
          <w:bCs/>
          <w:iCs/>
          <w:szCs w:val="24"/>
        </w:rPr>
        <w:t>r Pun</w:t>
      </w:r>
      <w:r w:rsidR="00B0743F" w:rsidRPr="00B457F5">
        <w:rPr>
          <w:rFonts w:ascii="Garamond" w:eastAsia="MS Mincho" w:hAnsi="Garamond" w:cs="Times New Roman"/>
          <w:bCs/>
          <w:iCs/>
          <w:szCs w:val="24"/>
        </w:rPr>
        <w:t>ë</w:t>
      </w:r>
      <w:r w:rsidRPr="00B457F5">
        <w:rPr>
          <w:rFonts w:ascii="Garamond" w:eastAsia="MS Mincho" w:hAnsi="Garamond" w:cs="Times New Roman"/>
          <w:bCs/>
          <w:iCs/>
          <w:szCs w:val="24"/>
        </w:rPr>
        <w:t>sim dhe Aft</w:t>
      </w:r>
      <w:r w:rsidR="00B0743F" w:rsidRPr="00B457F5">
        <w:rPr>
          <w:rFonts w:ascii="Garamond" w:eastAsia="MS Mincho" w:hAnsi="Garamond" w:cs="Times New Roman"/>
          <w:bCs/>
          <w:iCs/>
          <w:szCs w:val="24"/>
        </w:rPr>
        <w:t>ë</w:t>
      </w:r>
      <w:r w:rsidRPr="00B457F5">
        <w:rPr>
          <w:rFonts w:ascii="Garamond" w:eastAsia="MS Mincho" w:hAnsi="Garamond" w:cs="Times New Roman"/>
          <w:bCs/>
          <w:iCs/>
          <w:szCs w:val="24"/>
        </w:rPr>
        <w:t>sim</w:t>
      </w:r>
      <w:r w:rsidR="00A619CA" w:rsidRPr="00B457F5">
        <w:rPr>
          <w:rFonts w:ascii="Garamond" w:eastAsia="MS Mincho" w:hAnsi="Garamond" w:cs="Times New Roman"/>
          <w:szCs w:val="24"/>
        </w:rPr>
        <w:t xml:space="preserve"> </w:t>
      </w:r>
      <w:r w:rsidR="009200CA" w:rsidRPr="00B457F5">
        <w:rPr>
          <w:rFonts w:ascii="Garamond" w:eastAsia="MS Mincho" w:hAnsi="Garamond" w:cs="Times New Roman"/>
          <w:szCs w:val="24"/>
        </w:rPr>
        <w:t>për periudhën 2023</w:t>
      </w:r>
      <w:r w:rsidR="004D6364" w:rsidRPr="00B457F5">
        <w:rPr>
          <w:rStyle w:val="contentpasted1"/>
          <w:rFonts w:ascii="Garamond" w:hAnsi="Garamond" w:cs="Times New Roman"/>
          <w:color w:val="000000"/>
        </w:rPr>
        <w:t>–</w:t>
      </w:r>
      <w:r w:rsidR="009200CA" w:rsidRPr="00B457F5">
        <w:rPr>
          <w:rFonts w:ascii="Garamond" w:eastAsia="MS Mincho" w:hAnsi="Garamond" w:cs="Times New Roman"/>
          <w:szCs w:val="24"/>
        </w:rPr>
        <w:t xml:space="preserve">2030 ofron një diagnozë të faktorëve që ndikojnë </w:t>
      </w:r>
      <w:r w:rsidR="001F5307" w:rsidRPr="00B457F5">
        <w:rPr>
          <w:rFonts w:ascii="Garamond" w:eastAsia="MS Mincho" w:hAnsi="Garamond" w:cs="Times New Roman"/>
          <w:szCs w:val="24"/>
        </w:rPr>
        <w:t xml:space="preserve">për </w:t>
      </w:r>
      <w:r w:rsidR="009200CA" w:rsidRPr="00B457F5">
        <w:rPr>
          <w:rFonts w:ascii="Garamond" w:eastAsia="MS Mincho" w:hAnsi="Garamond" w:cs="Times New Roman"/>
          <w:szCs w:val="24"/>
        </w:rPr>
        <w:t>migrimin e vazhdueshëm</w:t>
      </w:r>
      <w:r w:rsidR="002F7DA3" w:rsidRPr="00B457F5">
        <w:rPr>
          <w:rFonts w:ascii="Garamond" w:eastAsia="MS Mincho" w:hAnsi="Garamond" w:cs="Times New Roman"/>
          <w:szCs w:val="24"/>
        </w:rPr>
        <w:t>,</w:t>
      </w:r>
      <w:r w:rsidR="009200CA" w:rsidRPr="00B457F5">
        <w:rPr>
          <w:rFonts w:ascii="Garamond" w:eastAsia="MS Mincho" w:hAnsi="Garamond" w:cs="Times New Roman"/>
          <w:szCs w:val="24"/>
        </w:rPr>
        <w:t xml:space="preserve"> për qëllime ekonomike të shtetasve shqiptarë. Në veçanti, </w:t>
      </w:r>
      <w:r w:rsidR="001F5307" w:rsidRPr="00B457F5">
        <w:rPr>
          <w:rFonts w:ascii="Garamond" w:eastAsia="MS Mincho" w:hAnsi="Garamond" w:cs="Times New Roman"/>
          <w:szCs w:val="24"/>
        </w:rPr>
        <w:t xml:space="preserve">ajo </w:t>
      </w:r>
      <w:r w:rsidR="009200CA" w:rsidRPr="00B457F5">
        <w:rPr>
          <w:rFonts w:ascii="Garamond" w:eastAsia="MS Mincho" w:hAnsi="Garamond" w:cs="Times New Roman"/>
          <w:szCs w:val="24"/>
        </w:rPr>
        <w:t>vëren se të rinjtë krahasojnë kushtet e punës në vend me alternativën e emigrimit, dhe kjo bëhet pengesë për ta për të hyrë në tregun e punës në Shqipëri</w:t>
      </w:r>
      <w:r w:rsidR="001F5307" w:rsidRPr="00B457F5">
        <w:rPr>
          <w:rFonts w:ascii="Garamond" w:eastAsia="MS Mincho" w:hAnsi="Garamond" w:cs="Times New Roman"/>
          <w:szCs w:val="24"/>
        </w:rPr>
        <w:t xml:space="preserve"> dhe</w:t>
      </w:r>
      <w:r w:rsidR="009200CA" w:rsidRPr="00B457F5">
        <w:rPr>
          <w:rFonts w:ascii="Garamond" w:eastAsia="MS Mincho" w:hAnsi="Garamond" w:cs="Times New Roman"/>
          <w:szCs w:val="24"/>
        </w:rPr>
        <w:t xml:space="preserve"> i nxit ata të largohen. </w:t>
      </w:r>
      <w:r w:rsidR="00382A45" w:rsidRPr="00B457F5">
        <w:rPr>
          <w:rFonts w:ascii="Garamond" w:eastAsia="MS Mincho" w:hAnsi="Garamond" w:cs="Times New Roman"/>
          <w:szCs w:val="24"/>
        </w:rPr>
        <w:t xml:space="preserve">Fluksi i lartë i emigrimit pakëson bazën e fuqisë punëtore veçanërisht </w:t>
      </w:r>
      <w:r w:rsidR="001F5307" w:rsidRPr="00B457F5">
        <w:rPr>
          <w:rFonts w:ascii="Garamond" w:eastAsia="MS Mincho" w:hAnsi="Garamond" w:cs="Times New Roman"/>
          <w:szCs w:val="24"/>
        </w:rPr>
        <w:t xml:space="preserve">ndërmjet </w:t>
      </w:r>
      <w:r w:rsidR="00382A45" w:rsidRPr="00B457F5">
        <w:rPr>
          <w:rFonts w:ascii="Garamond" w:eastAsia="MS Mincho" w:hAnsi="Garamond" w:cs="Times New Roman"/>
          <w:szCs w:val="24"/>
        </w:rPr>
        <w:t xml:space="preserve">të rinjtë, të cilët janë pjesa më vitale e shoqërisë. Ndikimi i emigrimit është bërë i dukshëm edhe në uljen e numrit të studentëve që ndjekin arsimin parauniversitar dhe </w:t>
      </w:r>
      <w:r w:rsidR="00224E0B" w:rsidRPr="00B457F5">
        <w:rPr>
          <w:rFonts w:ascii="Garamond" w:eastAsia="MS Mincho" w:hAnsi="Garamond" w:cs="Times New Roman"/>
          <w:szCs w:val="24"/>
        </w:rPr>
        <w:t>arsimin e lart</w:t>
      </w:r>
      <w:r w:rsidR="00C770F5" w:rsidRPr="00B457F5">
        <w:rPr>
          <w:rFonts w:ascii="Garamond" w:eastAsia="MS Mincho" w:hAnsi="Garamond" w:cs="Times New Roman"/>
          <w:szCs w:val="24"/>
        </w:rPr>
        <w:t>ë</w:t>
      </w:r>
      <w:r w:rsidR="00382A45" w:rsidRPr="00B457F5">
        <w:rPr>
          <w:rFonts w:ascii="Garamond" w:eastAsia="MS Mincho" w:hAnsi="Garamond" w:cs="Times New Roman"/>
          <w:szCs w:val="24"/>
        </w:rPr>
        <w:t xml:space="preserve"> në Shqipëri, gjë që do të ndikojë edhe në tregun e punës në të ardhmen e afërt.</w:t>
      </w:r>
    </w:p>
    <w:p w14:paraId="07243AE8" w14:textId="02D6FBF4" w:rsidR="00A619CA" w:rsidRPr="00B457F5" w:rsidRDefault="00382A45"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Strategjia </w:t>
      </w:r>
      <w:r w:rsidR="00014521" w:rsidRPr="00B457F5">
        <w:rPr>
          <w:rFonts w:ascii="Garamond" w:eastAsia="MS Mincho" w:hAnsi="Garamond" w:cs="Times New Roman"/>
          <w:szCs w:val="24"/>
        </w:rPr>
        <w:t xml:space="preserve">arrin </w:t>
      </w:r>
      <w:r w:rsidRPr="00B457F5">
        <w:rPr>
          <w:rFonts w:ascii="Garamond" w:eastAsia="MS Mincho" w:hAnsi="Garamond" w:cs="Times New Roman"/>
          <w:szCs w:val="24"/>
        </w:rPr>
        <w:t xml:space="preserve">gjithashtu </w:t>
      </w:r>
      <w:r w:rsidR="00014521" w:rsidRPr="00B457F5">
        <w:rPr>
          <w:rFonts w:ascii="Garamond" w:eastAsia="MS Mincho" w:hAnsi="Garamond" w:cs="Times New Roman"/>
          <w:szCs w:val="24"/>
        </w:rPr>
        <w:t xml:space="preserve">në përfundimin </w:t>
      </w:r>
      <w:r w:rsidRPr="00B457F5">
        <w:rPr>
          <w:rFonts w:ascii="Garamond" w:eastAsia="MS Mincho" w:hAnsi="Garamond" w:cs="Times New Roman"/>
          <w:szCs w:val="24"/>
        </w:rPr>
        <w:t xml:space="preserve">se profili i individëve që zgjedhin të emigrojnë në vendet e huaja ka ndryshuar gjatë viteve, duke krijuar mungesë në tregun e punës për aftësitë e kërkuara në tregjet e huaja të punës. </w:t>
      </w:r>
      <w:r w:rsidR="00DE7AF0" w:rsidRPr="00B457F5">
        <w:rPr>
          <w:rFonts w:ascii="Garamond" w:eastAsia="MS Mincho" w:hAnsi="Garamond" w:cs="Times New Roman"/>
          <w:szCs w:val="24"/>
        </w:rPr>
        <w:t>Ndryshe nga dy dekada më parë, gjatë dekadës së fundit lëvizja e lirë</w:t>
      </w:r>
      <w:r w:rsidR="002F7DA3" w:rsidRPr="00B457F5">
        <w:rPr>
          <w:rFonts w:ascii="Garamond" w:eastAsia="MS Mincho" w:hAnsi="Garamond" w:cs="Times New Roman"/>
          <w:szCs w:val="24"/>
        </w:rPr>
        <w:t>,</w:t>
      </w:r>
      <w:r w:rsidR="00DE7AF0" w:rsidRPr="00B457F5">
        <w:rPr>
          <w:rFonts w:ascii="Garamond" w:eastAsia="MS Mincho" w:hAnsi="Garamond" w:cs="Times New Roman"/>
          <w:szCs w:val="24"/>
        </w:rPr>
        <w:t xml:space="preserve"> si dhe kërkesa në rritje në vendet e BE-së</w:t>
      </w:r>
      <w:r w:rsidR="00C87388" w:rsidRPr="00B457F5">
        <w:rPr>
          <w:rFonts w:ascii="Garamond" w:eastAsia="MS Mincho" w:hAnsi="Garamond" w:cs="Times New Roman"/>
          <w:szCs w:val="24"/>
        </w:rPr>
        <w:t>,</w:t>
      </w:r>
      <w:r w:rsidR="00DE7AF0" w:rsidRPr="00B457F5">
        <w:rPr>
          <w:rFonts w:ascii="Garamond" w:eastAsia="MS Mincho" w:hAnsi="Garamond" w:cs="Times New Roman"/>
          <w:szCs w:val="24"/>
        </w:rPr>
        <w:t xml:space="preserve"> për një fuqi punëtore shumë të kualifikuar</w:t>
      </w:r>
      <w:r w:rsidR="00C87388" w:rsidRPr="00B457F5">
        <w:rPr>
          <w:rFonts w:ascii="Garamond" w:eastAsia="MS Mincho" w:hAnsi="Garamond" w:cs="Times New Roman"/>
          <w:szCs w:val="24"/>
        </w:rPr>
        <w:t>,</w:t>
      </w:r>
      <w:r w:rsidR="00DE7AF0" w:rsidRPr="00B457F5">
        <w:rPr>
          <w:rFonts w:ascii="Garamond" w:eastAsia="MS Mincho" w:hAnsi="Garamond" w:cs="Times New Roman"/>
          <w:szCs w:val="24"/>
        </w:rPr>
        <w:t xml:space="preserve"> i ka shtyrë individët që kanë investuar në arsimin dhe aftësitë e tyre për të kërkuar punë më të mira dhe më të paguara në vendet me ekonomi më të zhvilluara.</w:t>
      </w:r>
    </w:p>
    <w:p w14:paraId="3C570817" w14:textId="1247F5C8" w:rsidR="00DE7AF0" w:rsidRPr="00B457F5" w:rsidRDefault="00DE7AF0"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lastRenderedPageBreak/>
        <w:t xml:space="preserve">Nga ana tjetër, migrimi i brendshëm nga zonat rurale në zonat urbane, si dhe nga qytetet e vogla dhe të mesme drejt qyteteve të mëdha, është gjithashtu një faktor që kontribuon </w:t>
      </w:r>
      <w:r w:rsidR="002A3A0E" w:rsidRPr="00B457F5">
        <w:rPr>
          <w:rFonts w:ascii="Garamond" w:eastAsia="MS Mincho" w:hAnsi="Garamond" w:cs="Times New Roman"/>
          <w:szCs w:val="24"/>
        </w:rPr>
        <w:t xml:space="preserve">për </w:t>
      </w:r>
      <w:r w:rsidRPr="00B457F5">
        <w:rPr>
          <w:rFonts w:ascii="Garamond" w:eastAsia="MS Mincho" w:hAnsi="Garamond" w:cs="Times New Roman"/>
          <w:szCs w:val="24"/>
        </w:rPr>
        <w:t xml:space="preserve">mungesën e fuqisë punëtore në këto zona dhe çon </w:t>
      </w:r>
      <w:r w:rsidR="00673E94" w:rsidRPr="00B457F5">
        <w:rPr>
          <w:rFonts w:ascii="Garamond" w:eastAsia="MS Mincho" w:hAnsi="Garamond" w:cs="Times New Roman"/>
          <w:szCs w:val="24"/>
        </w:rPr>
        <w:t xml:space="preserve">në nivele më të larta të </w:t>
      </w:r>
      <w:r w:rsidRPr="00B457F5">
        <w:rPr>
          <w:rFonts w:ascii="Garamond" w:eastAsia="MS Mincho" w:hAnsi="Garamond" w:cs="Times New Roman"/>
          <w:szCs w:val="24"/>
        </w:rPr>
        <w:t>papunësi</w:t>
      </w:r>
      <w:r w:rsidR="00673E94" w:rsidRPr="00B457F5">
        <w:rPr>
          <w:rFonts w:ascii="Garamond" w:eastAsia="MS Mincho" w:hAnsi="Garamond" w:cs="Times New Roman"/>
          <w:szCs w:val="24"/>
        </w:rPr>
        <w:t>s</w:t>
      </w:r>
      <w:r w:rsidRPr="00B457F5">
        <w:rPr>
          <w:rFonts w:ascii="Garamond" w:eastAsia="MS Mincho" w:hAnsi="Garamond" w:cs="Times New Roman"/>
          <w:szCs w:val="24"/>
        </w:rPr>
        <w:t xml:space="preserve">ë në zonat urbane. Megjithatë, emigracioni vazhdon të jetë një faktor kryesor </w:t>
      </w:r>
      <w:r w:rsidR="00D26BD3" w:rsidRPr="00B457F5">
        <w:rPr>
          <w:rFonts w:ascii="Garamond" w:eastAsia="MS Mincho" w:hAnsi="Garamond" w:cs="Times New Roman"/>
          <w:szCs w:val="24"/>
        </w:rPr>
        <w:t>për</w:t>
      </w:r>
      <w:r w:rsidRPr="00B457F5">
        <w:rPr>
          <w:rFonts w:ascii="Garamond" w:eastAsia="MS Mincho" w:hAnsi="Garamond" w:cs="Times New Roman"/>
          <w:szCs w:val="24"/>
        </w:rPr>
        <w:t xml:space="preserve"> uljen e fuqisë punëtore. Në një farë mase, kthimi i emigrantëve shqiptarë dhe rritja e numrit të të huajve që punojnë në Shqipëri ka kompensuar hendekun në fuqinë punëtore.</w:t>
      </w:r>
    </w:p>
    <w:p w14:paraId="2310E596" w14:textId="0C8C5F57" w:rsidR="00174408" w:rsidRPr="00B457F5" w:rsidRDefault="00174408"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SKZHIE</w:t>
      </w:r>
      <w:r w:rsidR="00BF726F" w:rsidRPr="00B457F5">
        <w:rPr>
          <w:rFonts w:ascii="Garamond" w:eastAsia="MS Mincho" w:hAnsi="Garamond" w:cs="Times New Roman"/>
          <w:szCs w:val="24"/>
        </w:rPr>
        <w:t>-ja</w:t>
      </w:r>
      <w:r w:rsidRPr="00B457F5">
        <w:rPr>
          <w:rFonts w:ascii="Garamond" w:eastAsia="MS Mincho" w:hAnsi="Garamond" w:cs="Times New Roman"/>
          <w:szCs w:val="24"/>
        </w:rPr>
        <w:t xml:space="preserve"> analizon gjithashtu shkaqet kryesore të emigrimit, me faktorët ekonomikë, pabarazinë dhe kushtet e vështira të jetesës që renditen në krye të listës, të ndjekur nga mungesa e besimit te</w:t>
      </w:r>
      <w:r w:rsidR="00164C66" w:rsidRPr="00B457F5">
        <w:rPr>
          <w:rFonts w:ascii="Garamond" w:eastAsia="MS Mincho" w:hAnsi="Garamond" w:cs="Times New Roman"/>
          <w:szCs w:val="24"/>
        </w:rPr>
        <w:t>k</w:t>
      </w:r>
      <w:r w:rsidRPr="00B457F5">
        <w:rPr>
          <w:rFonts w:ascii="Garamond" w:eastAsia="MS Mincho" w:hAnsi="Garamond" w:cs="Times New Roman"/>
          <w:szCs w:val="24"/>
        </w:rPr>
        <w:t xml:space="preserve"> institucionet dhe siguria publike. Prandaj, </w:t>
      </w:r>
      <w:r w:rsidR="00EE1FCE" w:rsidRPr="00B457F5">
        <w:rPr>
          <w:rFonts w:ascii="Garamond" w:eastAsia="MS Mincho" w:hAnsi="Garamond" w:cs="Times New Roman"/>
          <w:szCs w:val="24"/>
        </w:rPr>
        <w:t>qëllimi kryesor është adresimi i shkaqeve rrënjësore të dinamikës së migrimit të paqëndrueshëm. Për më tepër, nxitja e migracionit të menaxhuar mirë konsiderohet një pjesë integrale e zgjidhjes</w:t>
      </w:r>
      <w:r w:rsidR="00C87388" w:rsidRPr="00B457F5">
        <w:rPr>
          <w:rFonts w:ascii="Garamond" w:eastAsia="MS Mincho" w:hAnsi="Garamond" w:cs="Times New Roman"/>
          <w:szCs w:val="24"/>
        </w:rPr>
        <w:t>.</w:t>
      </w:r>
    </w:p>
    <w:p w14:paraId="41C7B0F0" w14:textId="629DC43C" w:rsidR="002E4E5F" w:rsidRPr="00B457F5" w:rsidRDefault="002E4E5F" w:rsidP="002E693B">
      <w:pPr>
        <w:spacing w:before="0" w:after="0"/>
        <w:ind w:firstLine="284"/>
        <w:rPr>
          <w:rFonts w:ascii="Garamond" w:eastAsia="MS Mincho" w:hAnsi="Garamond" w:cs="Times New Roman"/>
          <w:szCs w:val="24"/>
        </w:rPr>
      </w:pPr>
      <w:r w:rsidRPr="00B457F5">
        <w:rPr>
          <w:rFonts w:ascii="Garamond" w:eastAsia="MS Mincho" w:hAnsi="Garamond" w:cs="Times New Roman"/>
          <w:bCs/>
          <w:i/>
          <w:iCs/>
          <w:szCs w:val="24"/>
        </w:rPr>
        <w:t>Ndikimi i migracionit</w:t>
      </w:r>
      <w:r w:rsidRPr="00B457F5">
        <w:rPr>
          <w:rFonts w:ascii="Garamond" w:eastAsia="MS Mincho" w:hAnsi="Garamond" w:cs="Times New Roman"/>
          <w:bCs/>
          <w:iCs/>
          <w:szCs w:val="24"/>
        </w:rPr>
        <w:t>.</w:t>
      </w:r>
      <w:r w:rsidRPr="00B457F5">
        <w:rPr>
          <w:rFonts w:ascii="Garamond" w:eastAsia="MS Mincho" w:hAnsi="Garamond" w:cs="Times New Roman"/>
          <w:iCs/>
          <w:szCs w:val="24"/>
        </w:rPr>
        <w:t xml:space="preserve"> </w:t>
      </w:r>
      <w:r w:rsidRPr="00B457F5">
        <w:rPr>
          <w:rFonts w:ascii="Garamond" w:eastAsia="MS Mincho" w:hAnsi="Garamond" w:cs="Times New Roman"/>
          <w:szCs w:val="24"/>
        </w:rPr>
        <w:t>Nga ana tjetër, SKZHIE-ja njeh emigrimin e fuqisë punëtore të kualifikuar si një realitet që ndikon negativisht mbi zhvillimin social-ekonomik të vendit. Inkurajimi dhe nxitja e migrimit të përkohshëm, veçanërisht migrimit qarkullues, po konsiderohet si një alternativë për të shmangur largimin e përhershëm të individëve të kualifikuar. Qeveria synon të zbatojë kthimin vullnetar të emigrantëve të kualifikuar, përkohësisht ose përgjithmonë, nëpërmjet qëndrimeve të shkurtra për këshillim dhe</w:t>
      </w:r>
      <w:r w:rsidR="004D6364" w:rsidRPr="00B457F5">
        <w:rPr>
          <w:rFonts w:ascii="Garamond" w:eastAsia="MS Mincho" w:hAnsi="Garamond" w:cs="Times New Roman"/>
          <w:szCs w:val="24"/>
        </w:rPr>
        <w:t xml:space="preserve"> </w:t>
      </w:r>
      <w:r w:rsidRPr="00B457F5">
        <w:rPr>
          <w:rFonts w:ascii="Garamond" w:eastAsia="MS Mincho" w:hAnsi="Garamond" w:cs="Times New Roman"/>
          <w:szCs w:val="24"/>
        </w:rPr>
        <w:t>përfshirje në aktivitete mësimore ose trajnimi. Në këtë kontekst, konsiderohet e rëndësishme të identifikohen të gjitha kapacitetet intelektuale që punojnë jashtë vendit.</w:t>
      </w:r>
    </w:p>
    <w:p w14:paraId="792280DC" w14:textId="326AB5A4" w:rsidR="002E4E5F" w:rsidRPr="00B457F5" w:rsidRDefault="002E4E5F" w:rsidP="002E693B">
      <w:pPr>
        <w:spacing w:before="0" w:after="0"/>
        <w:ind w:firstLine="284"/>
        <w:rPr>
          <w:rFonts w:ascii="Garamond" w:eastAsia="MS Mincho" w:hAnsi="Garamond" w:cs="Times New Roman"/>
          <w:szCs w:val="24"/>
        </w:rPr>
      </w:pPr>
      <w:r w:rsidRPr="00B457F5">
        <w:rPr>
          <w:rFonts w:ascii="Garamond" w:eastAsia="MS Mincho" w:hAnsi="Garamond" w:cs="Times New Roman"/>
          <w:bCs/>
          <w:szCs w:val="24"/>
        </w:rPr>
        <w:t>Azilk</w:t>
      </w:r>
      <w:r w:rsidR="00DD7F5B" w:rsidRPr="00B457F5">
        <w:rPr>
          <w:rFonts w:ascii="Garamond" w:eastAsia="MS Mincho" w:hAnsi="Garamond" w:cs="Times New Roman"/>
          <w:bCs/>
          <w:szCs w:val="24"/>
        </w:rPr>
        <w:t>ë</w:t>
      </w:r>
      <w:r w:rsidRPr="00B457F5">
        <w:rPr>
          <w:rFonts w:ascii="Garamond" w:eastAsia="MS Mincho" w:hAnsi="Garamond" w:cs="Times New Roman"/>
          <w:bCs/>
          <w:szCs w:val="24"/>
        </w:rPr>
        <w:t>rkues n</w:t>
      </w:r>
      <w:r w:rsidR="00DD7F5B" w:rsidRPr="00B457F5">
        <w:rPr>
          <w:rFonts w:ascii="Garamond" w:eastAsia="MS Mincho" w:hAnsi="Garamond" w:cs="Times New Roman"/>
          <w:bCs/>
          <w:szCs w:val="24"/>
        </w:rPr>
        <w:t>ë</w:t>
      </w:r>
      <w:r w:rsidRPr="00B457F5">
        <w:rPr>
          <w:rFonts w:ascii="Garamond" w:eastAsia="MS Mincho" w:hAnsi="Garamond" w:cs="Times New Roman"/>
          <w:bCs/>
          <w:szCs w:val="24"/>
        </w:rPr>
        <w:t xml:space="preserve"> Shqip</w:t>
      </w:r>
      <w:r w:rsidR="00DD7F5B" w:rsidRPr="00B457F5">
        <w:rPr>
          <w:rFonts w:ascii="Garamond" w:eastAsia="MS Mincho" w:hAnsi="Garamond" w:cs="Times New Roman"/>
          <w:bCs/>
          <w:szCs w:val="24"/>
        </w:rPr>
        <w:t>ë</w:t>
      </w:r>
      <w:r w:rsidR="00486ACB" w:rsidRPr="00B457F5">
        <w:rPr>
          <w:rFonts w:ascii="Garamond" w:eastAsia="MS Mincho" w:hAnsi="Garamond" w:cs="Times New Roman"/>
          <w:bCs/>
          <w:szCs w:val="24"/>
        </w:rPr>
        <w:t xml:space="preserve">ri: </w:t>
      </w:r>
      <w:r w:rsidRPr="00B457F5">
        <w:rPr>
          <w:rFonts w:ascii="Garamond" w:eastAsia="MS Mincho" w:hAnsi="Garamond" w:cs="Times New Roman"/>
          <w:szCs w:val="24"/>
        </w:rPr>
        <w:t>Mbështetur në të dhënat e Regjistrit Elektronik për të Huajt, përgjatë viteve 2019</w:t>
      </w:r>
      <w:r w:rsidR="004D6364" w:rsidRPr="00B457F5">
        <w:rPr>
          <w:rStyle w:val="contentpasted1"/>
          <w:rFonts w:ascii="Garamond" w:hAnsi="Garamond" w:cs="Times New Roman"/>
          <w:color w:val="000000"/>
        </w:rPr>
        <w:t>–</w:t>
      </w:r>
      <w:r w:rsidRPr="00B457F5">
        <w:rPr>
          <w:rFonts w:ascii="Garamond" w:eastAsia="MS Mincho" w:hAnsi="Garamond" w:cs="Times New Roman"/>
          <w:szCs w:val="24"/>
        </w:rPr>
        <w:t>2022 numërohen 20 268 shtetas të huaj me qëndrim në Shqipëri, të cilët u përkasin kategorive në vijim: imigrantë të rregullt ek</w:t>
      </w:r>
      <w:r w:rsidR="005F598C" w:rsidRPr="00B457F5">
        <w:rPr>
          <w:rFonts w:ascii="Garamond" w:eastAsia="MS Mincho" w:hAnsi="Garamond" w:cs="Times New Roman"/>
          <w:szCs w:val="24"/>
        </w:rPr>
        <w:t xml:space="preserve">onomikë, studentë, azilkërkues, </w:t>
      </w:r>
      <w:r w:rsidRPr="00B457F5">
        <w:rPr>
          <w:rFonts w:ascii="Garamond" w:eastAsia="MS Mincho" w:hAnsi="Garamond" w:cs="Times New Roman"/>
          <w:szCs w:val="24"/>
        </w:rPr>
        <w:t>të huaj të natyralizuar, imigrantë për motive të tjera. P</w:t>
      </w:r>
      <w:r w:rsidR="00DD7F5B" w:rsidRPr="00B457F5">
        <w:rPr>
          <w:rFonts w:ascii="Garamond" w:eastAsia="MS Mincho" w:hAnsi="Garamond" w:cs="Times New Roman"/>
          <w:szCs w:val="24"/>
        </w:rPr>
        <w:t>ë</w:t>
      </w:r>
      <w:r w:rsidR="005F598C" w:rsidRPr="00B457F5">
        <w:rPr>
          <w:rFonts w:ascii="Garamond" w:eastAsia="MS Mincho" w:hAnsi="Garamond" w:cs="Times New Roman"/>
          <w:szCs w:val="24"/>
        </w:rPr>
        <w:t xml:space="preserve">r vitin </w:t>
      </w:r>
      <w:r w:rsidRPr="00B457F5">
        <w:rPr>
          <w:rFonts w:ascii="Garamond" w:eastAsia="MS Mincho" w:hAnsi="Garamond" w:cs="Times New Roman"/>
          <w:szCs w:val="24"/>
        </w:rPr>
        <w:t>2019</w:t>
      </w:r>
      <w:r w:rsidR="005F598C" w:rsidRPr="00B457F5">
        <w:rPr>
          <w:rFonts w:ascii="Garamond" w:eastAsia="MS Mincho" w:hAnsi="Garamond" w:cs="Times New Roman"/>
          <w:szCs w:val="24"/>
        </w:rPr>
        <w:t>,</w:t>
      </w:r>
      <w:r w:rsidRPr="00B457F5">
        <w:rPr>
          <w:rFonts w:ascii="Garamond" w:eastAsia="MS Mincho" w:hAnsi="Garamond" w:cs="Times New Roman"/>
          <w:szCs w:val="24"/>
        </w:rPr>
        <w:t xml:space="preserve"> 609 kan</w:t>
      </w:r>
      <w:r w:rsidR="00DD7F5B" w:rsidRPr="00B457F5">
        <w:rPr>
          <w:rFonts w:ascii="Garamond" w:eastAsia="MS Mincho" w:hAnsi="Garamond" w:cs="Times New Roman"/>
          <w:szCs w:val="24"/>
        </w:rPr>
        <w:t>ë</w:t>
      </w:r>
      <w:r w:rsidRPr="00B457F5">
        <w:rPr>
          <w:rFonts w:ascii="Garamond" w:eastAsia="MS Mincho" w:hAnsi="Garamond" w:cs="Times New Roman"/>
          <w:szCs w:val="24"/>
        </w:rPr>
        <w:t xml:space="preserve"> marr</w:t>
      </w:r>
      <w:r w:rsidR="00DD7F5B" w:rsidRPr="00B457F5">
        <w:rPr>
          <w:rFonts w:ascii="Garamond" w:eastAsia="MS Mincho" w:hAnsi="Garamond" w:cs="Times New Roman"/>
          <w:szCs w:val="24"/>
        </w:rPr>
        <w:t>ë</w:t>
      </w:r>
      <w:r w:rsidRPr="00B457F5">
        <w:rPr>
          <w:rFonts w:ascii="Garamond" w:eastAsia="MS Mincho" w:hAnsi="Garamond" w:cs="Times New Roman"/>
          <w:szCs w:val="24"/>
        </w:rPr>
        <w:t xml:space="preserve"> leje q</w:t>
      </w:r>
      <w:r w:rsidR="00DD7F5B" w:rsidRPr="00B457F5">
        <w:rPr>
          <w:rFonts w:ascii="Garamond" w:eastAsia="MS Mincho" w:hAnsi="Garamond" w:cs="Times New Roman"/>
          <w:szCs w:val="24"/>
        </w:rPr>
        <w:t>ë</w:t>
      </w:r>
      <w:r w:rsidRPr="00B457F5">
        <w:rPr>
          <w:rFonts w:ascii="Garamond" w:eastAsia="MS Mincho" w:hAnsi="Garamond" w:cs="Times New Roman"/>
          <w:szCs w:val="24"/>
        </w:rPr>
        <w:t>ndrimi p</w:t>
      </w:r>
      <w:r w:rsidR="00DD7F5B" w:rsidRPr="00B457F5">
        <w:rPr>
          <w:rFonts w:ascii="Garamond" w:eastAsia="MS Mincho" w:hAnsi="Garamond" w:cs="Times New Roman"/>
          <w:szCs w:val="24"/>
        </w:rPr>
        <w:t>ë</w:t>
      </w:r>
      <w:r w:rsidRPr="00B457F5">
        <w:rPr>
          <w:rFonts w:ascii="Garamond" w:eastAsia="MS Mincho" w:hAnsi="Garamond" w:cs="Times New Roman"/>
          <w:szCs w:val="24"/>
        </w:rPr>
        <w:t>r arsye humanitare, n</w:t>
      </w:r>
      <w:r w:rsidR="00DD7F5B" w:rsidRPr="00B457F5">
        <w:rPr>
          <w:rFonts w:ascii="Garamond" w:eastAsia="MS Mincho" w:hAnsi="Garamond" w:cs="Times New Roman"/>
          <w:szCs w:val="24"/>
        </w:rPr>
        <w:t>ë</w:t>
      </w:r>
      <w:r w:rsidRPr="00B457F5">
        <w:rPr>
          <w:rFonts w:ascii="Garamond" w:eastAsia="MS Mincho" w:hAnsi="Garamond" w:cs="Times New Roman"/>
          <w:szCs w:val="24"/>
        </w:rPr>
        <w:t xml:space="preserve"> 2020</w:t>
      </w:r>
      <w:r w:rsidR="00507493">
        <w:rPr>
          <w:rFonts w:ascii="Garamond" w:eastAsia="MS Mincho" w:hAnsi="Garamond" w:cs="Times New Roman"/>
          <w:szCs w:val="24"/>
        </w:rPr>
        <w:t>-ën</w:t>
      </w:r>
      <w:r w:rsidR="005F598C" w:rsidRPr="00B457F5">
        <w:rPr>
          <w:rFonts w:ascii="Garamond" w:eastAsia="MS Mincho" w:hAnsi="Garamond" w:cs="Times New Roman"/>
          <w:szCs w:val="24"/>
        </w:rPr>
        <w:t>, 2482 persona, 2021</w:t>
      </w:r>
      <w:r w:rsidR="000441EF">
        <w:rPr>
          <w:rFonts w:ascii="Garamond" w:eastAsia="MS Mincho" w:hAnsi="Garamond" w:cs="Times New Roman"/>
          <w:szCs w:val="24"/>
        </w:rPr>
        <w:t>-shin</w:t>
      </w:r>
      <w:r w:rsidR="005F598C" w:rsidRPr="00B457F5">
        <w:rPr>
          <w:rFonts w:ascii="Garamond" w:eastAsia="MS Mincho" w:hAnsi="Garamond" w:cs="Times New Roman"/>
          <w:szCs w:val="24"/>
        </w:rPr>
        <w:t xml:space="preserve">, </w:t>
      </w:r>
      <w:r w:rsidRPr="00B457F5">
        <w:rPr>
          <w:rFonts w:ascii="Garamond" w:eastAsia="MS Mincho" w:hAnsi="Garamond" w:cs="Times New Roman"/>
          <w:szCs w:val="24"/>
        </w:rPr>
        <w:t>3326 persona dhe p</w:t>
      </w:r>
      <w:r w:rsidR="00DD7F5B" w:rsidRPr="00B457F5">
        <w:rPr>
          <w:rFonts w:ascii="Garamond" w:eastAsia="MS Mincho" w:hAnsi="Garamond" w:cs="Times New Roman"/>
          <w:szCs w:val="24"/>
        </w:rPr>
        <w:t>ë</w:t>
      </w:r>
      <w:r w:rsidR="005F598C" w:rsidRPr="00B457F5">
        <w:rPr>
          <w:rFonts w:ascii="Garamond" w:eastAsia="MS Mincho" w:hAnsi="Garamond" w:cs="Times New Roman"/>
          <w:szCs w:val="24"/>
        </w:rPr>
        <w:t xml:space="preserve">r vitin 2022, </w:t>
      </w:r>
      <w:r w:rsidRPr="00B457F5">
        <w:rPr>
          <w:rFonts w:ascii="Garamond" w:eastAsia="MS Mincho" w:hAnsi="Garamond" w:cs="Times New Roman"/>
          <w:szCs w:val="24"/>
        </w:rPr>
        <w:t>191 persona.</w:t>
      </w:r>
    </w:p>
    <w:p w14:paraId="6CD7D26E" w14:textId="3FE27357" w:rsidR="004C4549" w:rsidRPr="00B457F5" w:rsidRDefault="004C4549" w:rsidP="002E693B">
      <w:pPr>
        <w:spacing w:before="0" w:after="0"/>
        <w:ind w:firstLine="284"/>
        <w:rPr>
          <w:rFonts w:ascii="Garamond" w:eastAsia="MS Mincho" w:hAnsi="Garamond" w:cs="Times New Roman"/>
          <w:bCs/>
          <w:szCs w:val="24"/>
        </w:rPr>
      </w:pPr>
      <w:r w:rsidRPr="00B457F5">
        <w:rPr>
          <w:rFonts w:ascii="Garamond" w:eastAsia="MS Mincho" w:hAnsi="Garamond" w:cs="Times New Roman"/>
          <w:bCs/>
          <w:szCs w:val="24"/>
        </w:rPr>
        <w:t>Referuar 5 viteve të fundit, ka një rënie të ndjeshme të numrit të kërkesave për azil në Shqipëri, nga 6 604 kërkesa në 2019 (ku 24 azilkërkues morën mbrojtje ndërkombëtare), në 142 kërkesa në vitin 2023 (janar</w:t>
      </w:r>
      <w:r w:rsidR="004D6364" w:rsidRPr="00B457F5">
        <w:rPr>
          <w:rStyle w:val="contentpasted1"/>
          <w:rFonts w:ascii="Garamond" w:hAnsi="Garamond" w:cs="Times New Roman"/>
          <w:color w:val="000000"/>
        </w:rPr>
        <w:t>–</w:t>
      </w:r>
      <w:r w:rsidRPr="00B457F5">
        <w:rPr>
          <w:rFonts w:ascii="Garamond" w:eastAsia="MS Mincho" w:hAnsi="Garamond" w:cs="Times New Roman"/>
          <w:bCs/>
          <w:szCs w:val="24"/>
        </w:rPr>
        <w:t>gusht), prej tyre 11 azilkërkues morën mbrojtje ndërkombëtare (mbrojtje plotësuese subsid</w:t>
      </w:r>
      <w:r w:rsidR="00CB7B63" w:rsidRPr="00B457F5">
        <w:rPr>
          <w:rFonts w:ascii="Garamond" w:eastAsia="MS Mincho" w:hAnsi="Garamond" w:cs="Times New Roman"/>
          <w:bCs/>
          <w:szCs w:val="24"/>
        </w:rPr>
        <w:t xml:space="preserve">iare). Për vitin 2022, shtetësitë kryesore të azilkërkuesve janë: </w:t>
      </w:r>
      <w:r w:rsidR="00C87388" w:rsidRPr="00B457F5">
        <w:rPr>
          <w:rFonts w:ascii="Garamond" w:eastAsia="MS Mincho" w:hAnsi="Garamond" w:cs="Times New Roman"/>
          <w:bCs/>
          <w:szCs w:val="24"/>
        </w:rPr>
        <w:t>a</w:t>
      </w:r>
      <w:r w:rsidR="00CB7B63" w:rsidRPr="00B457F5">
        <w:rPr>
          <w:rFonts w:ascii="Garamond" w:eastAsia="MS Mincho" w:hAnsi="Garamond" w:cs="Times New Roman"/>
          <w:bCs/>
          <w:szCs w:val="24"/>
        </w:rPr>
        <w:t xml:space="preserve">fgane me 36 kërkesa, </w:t>
      </w:r>
      <w:r w:rsidR="00C87388" w:rsidRPr="00B457F5">
        <w:rPr>
          <w:rFonts w:ascii="Garamond" w:eastAsia="MS Mincho" w:hAnsi="Garamond" w:cs="Times New Roman"/>
          <w:bCs/>
          <w:szCs w:val="24"/>
        </w:rPr>
        <w:t>u</w:t>
      </w:r>
      <w:r w:rsidR="00CB7B63" w:rsidRPr="00B457F5">
        <w:rPr>
          <w:rFonts w:ascii="Garamond" w:eastAsia="MS Mincho" w:hAnsi="Garamond" w:cs="Times New Roman"/>
          <w:bCs/>
          <w:szCs w:val="24"/>
        </w:rPr>
        <w:t xml:space="preserve">krainase 27 kërkesa, </w:t>
      </w:r>
      <w:r w:rsidR="00C87388" w:rsidRPr="00B457F5">
        <w:rPr>
          <w:rFonts w:ascii="Garamond" w:eastAsia="MS Mincho" w:hAnsi="Garamond" w:cs="Times New Roman"/>
          <w:bCs/>
          <w:szCs w:val="24"/>
        </w:rPr>
        <w:t xml:space="preserve">irakene </w:t>
      </w:r>
      <w:r w:rsidR="00CB7B63" w:rsidRPr="00B457F5">
        <w:rPr>
          <w:rFonts w:ascii="Garamond" w:eastAsia="MS Mincho" w:hAnsi="Garamond" w:cs="Times New Roman"/>
          <w:bCs/>
          <w:szCs w:val="24"/>
        </w:rPr>
        <w:t xml:space="preserve">me 18 kërkesa, </w:t>
      </w:r>
      <w:r w:rsidR="00C87388" w:rsidRPr="00B457F5">
        <w:rPr>
          <w:rFonts w:ascii="Garamond" w:eastAsia="MS Mincho" w:hAnsi="Garamond" w:cs="Times New Roman"/>
          <w:bCs/>
          <w:szCs w:val="24"/>
        </w:rPr>
        <w:t xml:space="preserve">ruse </w:t>
      </w:r>
      <w:r w:rsidR="00CB7B63" w:rsidRPr="00B457F5">
        <w:rPr>
          <w:rFonts w:ascii="Garamond" w:eastAsia="MS Mincho" w:hAnsi="Garamond" w:cs="Times New Roman"/>
          <w:bCs/>
          <w:szCs w:val="24"/>
        </w:rPr>
        <w:t xml:space="preserve">10 kërkesa, </w:t>
      </w:r>
      <w:r w:rsidR="00C87388" w:rsidRPr="00B457F5">
        <w:rPr>
          <w:rFonts w:ascii="Garamond" w:eastAsia="MS Mincho" w:hAnsi="Garamond" w:cs="Times New Roman"/>
          <w:bCs/>
          <w:szCs w:val="24"/>
        </w:rPr>
        <w:t xml:space="preserve">pakistaneze </w:t>
      </w:r>
      <w:r w:rsidRPr="00B457F5">
        <w:rPr>
          <w:rFonts w:ascii="Garamond" w:eastAsia="MS Mincho" w:hAnsi="Garamond" w:cs="Times New Roman"/>
          <w:bCs/>
          <w:szCs w:val="24"/>
        </w:rPr>
        <w:t xml:space="preserve">7 kërkesa, </w:t>
      </w:r>
      <w:r w:rsidR="00C87388" w:rsidRPr="00B457F5">
        <w:rPr>
          <w:rFonts w:ascii="Garamond" w:eastAsia="MS Mincho" w:hAnsi="Garamond" w:cs="Times New Roman"/>
          <w:bCs/>
          <w:szCs w:val="24"/>
        </w:rPr>
        <w:t xml:space="preserve">iraniane </w:t>
      </w:r>
      <w:r w:rsidR="00CB7B63" w:rsidRPr="00B457F5">
        <w:rPr>
          <w:rFonts w:ascii="Garamond" w:eastAsia="MS Mincho" w:hAnsi="Garamond" w:cs="Times New Roman"/>
          <w:bCs/>
          <w:szCs w:val="24"/>
        </w:rPr>
        <w:t>me</w:t>
      </w:r>
      <w:r w:rsidRPr="00B457F5">
        <w:rPr>
          <w:rFonts w:ascii="Garamond" w:eastAsia="MS Mincho" w:hAnsi="Garamond" w:cs="Times New Roman"/>
          <w:bCs/>
          <w:szCs w:val="24"/>
        </w:rPr>
        <w:t xml:space="preserve"> 6 kërkesa</w:t>
      </w:r>
      <w:r w:rsidR="00F81562" w:rsidRPr="00B457F5">
        <w:rPr>
          <w:rFonts w:ascii="Garamond" w:eastAsia="MS Mincho" w:hAnsi="Garamond" w:cs="Times New Roman"/>
          <w:bCs/>
          <w:szCs w:val="24"/>
        </w:rPr>
        <w:t>,</w:t>
      </w:r>
      <w:r w:rsidRPr="00B457F5">
        <w:rPr>
          <w:rFonts w:ascii="Garamond" w:eastAsia="MS Mincho" w:hAnsi="Garamond" w:cs="Times New Roman"/>
          <w:bCs/>
          <w:szCs w:val="24"/>
        </w:rPr>
        <w:t xml:space="preserve"> etj.</w:t>
      </w:r>
    </w:p>
    <w:p w14:paraId="3BB679EC" w14:textId="090309B0" w:rsidR="002E4E5F" w:rsidRPr="00B457F5" w:rsidRDefault="002E4E5F"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Shqipëria është prekur nga flukset e përziera migratore, të cilat përbëhen, ndër të tjera, nga refugjatët dhe azilkërkuesit, migrantët, viktimat e trafikimit, të miturit e pashoqëruar dhe të ndarë, si dhe personat pa shtetësi. Disa prej tyre bëjnë pjesë në më shumë sesa një</w:t>
      </w:r>
      <w:r w:rsidR="009135BA" w:rsidRPr="00B457F5">
        <w:rPr>
          <w:rFonts w:ascii="Garamond" w:eastAsia="MS Mincho" w:hAnsi="Garamond" w:cs="Times New Roman"/>
          <w:szCs w:val="24"/>
        </w:rPr>
        <w:t xml:space="preserve"> nga këto kategori. Këta shtetas të vendeve të treta</w:t>
      </w:r>
      <w:r w:rsidRPr="00B457F5">
        <w:rPr>
          <w:rFonts w:ascii="Garamond" w:eastAsia="MS Mincho" w:hAnsi="Garamond" w:cs="Times New Roman"/>
          <w:szCs w:val="24"/>
        </w:rPr>
        <w:t xml:space="preserve"> kanë shtetësi të ndryshme, shumica prej të cilëve janë sirianë dhe afganë dhe, shpesh, futen në vend pa leje hyrjeje. Në të </w:t>
      </w:r>
      <w:r w:rsidR="009135BA" w:rsidRPr="00B457F5">
        <w:rPr>
          <w:rFonts w:ascii="Garamond" w:eastAsia="MS Mincho" w:hAnsi="Garamond" w:cs="Times New Roman"/>
          <w:szCs w:val="24"/>
        </w:rPr>
        <w:t>shumtën e rasteve, këta shtetas të vendeve të treta</w:t>
      </w:r>
      <w:r w:rsidRPr="00B457F5">
        <w:rPr>
          <w:rFonts w:ascii="Garamond" w:eastAsia="MS Mincho" w:hAnsi="Garamond" w:cs="Times New Roman"/>
          <w:szCs w:val="24"/>
        </w:rPr>
        <w:t xml:space="preserve"> janë në një gjendje të caktuar vështirësie, për shkak të situatës në vendet e tyre të origj</w:t>
      </w:r>
      <w:r w:rsidR="009135BA" w:rsidRPr="00B457F5">
        <w:rPr>
          <w:rFonts w:ascii="Garamond" w:eastAsia="MS Mincho" w:hAnsi="Garamond" w:cs="Times New Roman"/>
          <w:szCs w:val="24"/>
        </w:rPr>
        <w:t xml:space="preserve">inës ose </w:t>
      </w:r>
      <w:r w:rsidRPr="00B457F5">
        <w:rPr>
          <w:rFonts w:ascii="Garamond" w:eastAsia="MS Mincho" w:hAnsi="Garamond" w:cs="Times New Roman"/>
          <w:szCs w:val="24"/>
        </w:rPr>
        <w:t>për shkak të kushteve të vështira ose shfrytëzimit dhe abuzim</w:t>
      </w:r>
      <w:r w:rsidR="005F598C" w:rsidRPr="00B457F5">
        <w:rPr>
          <w:rFonts w:ascii="Garamond" w:eastAsia="MS Mincho" w:hAnsi="Garamond" w:cs="Times New Roman"/>
          <w:szCs w:val="24"/>
        </w:rPr>
        <w:t>it të pësuar përgjatë udhëtimit</w:t>
      </w:r>
      <w:r w:rsidR="0050653E" w:rsidRPr="00B457F5">
        <w:rPr>
          <w:rFonts w:ascii="Garamond" w:eastAsia="MS Mincho" w:hAnsi="Garamond" w:cs="Times New Roman"/>
          <w:szCs w:val="24"/>
        </w:rPr>
        <w:t>. Sidoqoftë, ata</w:t>
      </w:r>
      <w:r w:rsidRPr="00B457F5">
        <w:rPr>
          <w:rFonts w:ascii="Garamond" w:eastAsia="MS Mincho" w:hAnsi="Garamond" w:cs="Times New Roman"/>
          <w:szCs w:val="24"/>
        </w:rPr>
        <w:t xml:space="preserve"> kalojnë kryesisht tranzit në Shqipëri, përpara se të hyjnë në vendet e BE-së.</w:t>
      </w:r>
    </w:p>
    <w:p w14:paraId="6A213C5C" w14:textId="27B481F0" w:rsidR="00D866BE" w:rsidRPr="00B457F5" w:rsidRDefault="00D866BE" w:rsidP="002E693B">
      <w:pPr>
        <w:spacing w:before="0" w:after="0"/>
        <w:ind w:firstLine="284"/>
        <w:rPr>
          <w:rFonts w:ascii="Garamond" w:eastAsia="MS Mincho" w:hAnsi="Garamond" w:cs="Times New Roman"/>
          <w:szCs w:val="24"/>
        </w:rPr>
      </w:pPr>
      <w:r w:rsidRPr="00B457F5">
        <w:rPr>
          <w:rFonts w:ascii="Garamond" w:eastAsia="MS Mincho" w:hAnsi="Garamond" w:cs="Times New Roman"/>
          <w:i/>
          <w:szCs w:val="24"/>
        </w:rPr>
        <w:t>Politika e vizave</w:t>
      </w:r>
      <w:r w:rsidRPr="00B457F5">
        <w:rPr>
          <w:rFonts w:ascii="Garamond" w:eastAsia="MS Mincho" w:hAnsi="Garamond" w:cs="Times New Roman"/>
          <w:szCs w:val="24"/>
        </w:rPr>
        <w:t>:</w:t>
      </w:r>
      <w:r w:rsidR="0006016F" w:rsidRPr="00B457F5">
        <w:rPr>
          <w:rFonts w:ascii="Garamond" w:eastAsia="MS Mincho" w:hAnsi="Garamond" w:cs="Times New Roman"/>
          <w:szCs w:val="24"/>
        </w:rPr>
        <w:t xml:space="preserve"> </w:t>
      </w:r>
      <w:r w:rsidRPr="00B457F5">
        <w:rPr>
          <w:rFonts w:ascii="Garamond" w:eastAsia="MS Mincho" w:hAnsi="Garamond" w:cs="Times New Roman"/>
          <w:szCs w:val="24"/>
        </w:rPr>
        <w:t xml:space="preserve">Kuadri ligjor në fushën e vizave në Shqipëri është pjesërisht i përafruar me </w:t>
      </w:r>
      <w:r w:rsidRPr="00B457F5">
        <w:rPr>
          <w:rFonts w:ascii="Garamond" w:eastAsia="MS Mincho" w:hAnsi="Garamond" w:cs="Times New Roman"/>
          <w:i/>
          <w:szCs w:val="24"/>
        </w:rPr>
        <w:t>acquis</w:t>
      </w:r>
      <w:r w:rsidRPr="00B457F5">
        <w:rPr>
          <w:rFonts w:ascii="Garamond" w:eastAsia="MS Mincho" w:hAnsi="Garamond" w:cs="Times New Roman"/>
          <w:szCs w:val="24"/>
        </w:rPr>
        <w:t xml:space="preserve"> të BE-së</w:t>
      </w:r>
      <w:r w:rsidRPr="00010F4A">
        <w:rPr>
          <w:rFonts w:ascii="Garamond" w:eastAsia="MS Mincho" w:hAnsi="Garamond" w:cs="Times New Roman"/>
          <w:szCs w:val="24"/>
        </w:rPr>
        <w:t>. Misionet Diplomatike dhe Konsullore të Ministria për Evropën dhe Punët e Jashtme është autoriteti kompetent për pranim</w:t>
      </w:r>
      <w:r w:rsidR="00953DA6" w:rsidRPr="00010F4A">
        <w:rPr>
          <w:rFonts w:ascii="Garamond" w:eastAsia="MS Mincho" w:hAnsi="Garamond" w:cs="Times New Roman"/>
          <w:szCs w:val="24"/>
        </w:rPr>
        <w:t>in dhe dhënien e vizave.</w:t>
      </w:r>
      <w:r w:rsidR="00953DA6" w:rsidRPr="00B457F5">
        <w:rPr>
          <w:rFonts w:ascii="Garamond" w:eastAsia="MS Mincho" w:hAnsi="Garamond" w:cs="Times New Roman"/>
          <w:szCs w:val="24"/>
        </w:rPr>
        <w:t xml:space="preserve"> Proc</w:t>
      </w:r>
      <w:r w:rsidR="00486ACB" w:rsidRPr="00B457F5">
        <w:rPr>
          <w:rFonts w:ascii="Garamond" w:eastAsia="MS Mincho" w:hAnsi="Garamond" w:cs="Times New Roman"/>
          <w:szCs w:val="24"/>
        </w:rPr>
        <w:t>esi i vizave</w:t>
      </w:r>
      <w:r w:rsidR="00953DA6" w:rsidRPr="00B457F5">
        <w:rPr>
          <w:rFonts w:ascii="Garamond" w:eastAsia="MS Mincho" w:hAnsi="Garamond" w:cs="Times New Roman"/>
          <w:szCs w:val="24"/>
        </w:rPr>
        <w:t xml:space="preserve"> kalon në</w:t>
      </w:r>
      <w:r w:rsidRPr="00B457F5">
        <w:rPr>
          <w:rFonts w:ascii="Garamond" w:eastAsia="MS Mincho" w:hAnsi="Garamond" w:cs="Times New Roman"/>
          <w:szCs w:val="24"/>
        </w:rPr>
        <w:t>p</w:t>
      </w:r>
      <w:r w:rsidR="00953DA6" w:rsidRPr="00B457F5">
        <w:rPr>
          <w:rFonts w:ascii="Garamond" w:eastAsia="MS Mincho" w:hAnsi="Garamond" w:cs="Times New Roman"/>
          <w:szCs w:val="24"/>
        </w:rPr>
        <w:t>ërm</w:t>
      </w:r>
      <w:r w:rsidR="00486ACB" w:rsidRPr="00B457F5">
        <w:rPr>
          <w:rFonts w:ascii="Garamond" w:eastAsia="MS Mincho" w:hAnsi="Garamond" w:cs="Times New Roman"/>
          <w:szCs w:val="24"/>
        </w:rPr>
        <w:t>j</w:t>
      </w:r>
      <w:r w:rsidR="00953DA6" w:rsidRPr="00B457F5">
        <w:rPr>
          <w:rFonts w:ascii="Garamond" w:eastAsia="MS Mincho" w:hAnsi="Garamond" w:cs="Times New Roman"/>
          <w:szCs w:val="24"/>
        </w:rPr>
        <w:t>e</w:t>
      </w:r>
      <w:r w:rsidR="00486ACB" w:rsidRPr="00B457F5">
        <w:rPr>
          <w:rFonts w:ascii="Garamond" w:eastAsia="MS Mincho" w:hAnsi="Garamond" w:cs="Times New Roman"/>
          <w:szCs w:val="24"/>
        </w:rPr>
        <w:t xml:space="preserve">t sistemit </w:t>
      </w:r>
      <w:r w:rsidR="00486ACB" w:rsidRPr="00B457F5">
        <w:rPr>
          <w:rFonts w:ascii="Garamond" w:eastAsia="MS Mincho" w:hAnsi="Garamond" w:cs="Times New Roman"/>
          <w:i/>
          <w:szCs w:val="24"/>
        </w:rPr>
        <w:t>online e-viza</w:t>
      </w:r>
      <w:r w:rsidR="00486ACB" w:rsidRPr="00B457F5">
        <w:rPr>
          <w:rFonts w:ascii="Garamond" w:eastAsia="MS Mincho" w:hAnsi="Garamond" w:cs="Times New Roman"/>
          <w:szCs w:val="24"/>
        </w:rPr>
        <w:t xml:space="preserve"> siç</w:t>
      </w:r>
      <w:r w:rsidRPr="00B457F5">
        <w:rPr>
          <w:rFonts w:ascii="Garamond" w:eastAsia="MS Mincho" w:hAnsi="Garamond" w:cs="Times New Roman"/>
          <w:szCs w:val="24"/>
        </w:rPr>
        <w:t xml:space="preserve"> p</w:t>
      </w:r>
      <w:r w:rsidR="00345FA2" w:rsidRPr="00B457F5">
        <w:rPr>
          <w:rFonts w:ascii="Garamond" w:eastAsia="MS Mincho" w:hAnsi="Garamond" w:cs="Times New Roman"/>
          <w:szCs w:val="24"/>
        </w:rPr>
        <w:t>arash</w:t>
      </w:r>
      <w:r w:rsidR="00342B5F" w:rsidRPr="00B457F5">
        <w:rPr>
          <w:rFonts w:ascii="Garamond" w:eastAsia="MS Mincho" w:hAnsi="Garamond" w:cs="Times New Roman"/>
          <w:szCs w:val="24"/>
        </w:rPr>
        <w:t>ikohet në</w:t>
      </w:r>
      <w:r w:rsidR="00345FA2" w:rsidRPr="00B457F5">
        <w:rPr>
          <w:rFonts w:ascii="Garamond" w:eastAsia="MS Mincho" w:hAnsi="Garamond" w:cs="Times New Roman"/>
          <w:szCs w:val="24"/>
        </w:rPr>
        <w:t xml:space="preserve"> kodin e vizave. </w:t>
      </w:r>
      <w:r w:rsidRPr="00B457F5">
        <w:rPr>
          <w:rFonts w:ascii="Garamond" w:eastAsia="MS Mincho" w:hAnsi="Garamond" w:cs="Times New Roman"/>
          <w:szCs w:val="24"/>
        </w:rPr>
        <w:t>Ky sistem përdoret nga të gjitha autoritetet kompetente për të marrë, verifikuar, vlerësuar dhe lëshuar</w:t>
      </w:r>
      <w:r w:rsidR="00342B5F" w:rsidRPr="00B457F5">
        <w:rPr>
          <w:rFonts w:ascii="Garamond" w:eastAsia="MS Mincho" w:hAnsi="Garamond" w:cs="Times New Roman"/>
          <w:szCs w:val="24"/>
        </w:rPr>
        <w:t>,</w:t>
      </w:r>
      <w:r w:rsidRPr="00B457F5">
        <w:rPr>
          <w:rFonts w:ascii="Garamond" w:eastAsia="MS Mincho" w:hAnsi="Garamond" w:cs="Times New Roman"/>
          <w:szCs w:val="24"/>
        </w:rPr>
        <w:t xml:space="preserve"> ose refuzuar viza në mënyrë elektronike (me një kod QR) ose një viz</w:t>
      </w:r>
      <w:r w:rsidR="00DD7F5B" w:rsidRPr="00B457F5">
        <w:rPr>
          <w:rFonts w:ascii="Garamond" w:eastAsia="MS Mincho" w:hAnsi="Garamond" w:cs="Times New Roman"/>
          <w:szCs w:val="24"/>
        </w:rPr>
        <w:t>ë</w:t>
      </w:r>
      <w:r w:rsidRPr="00B457F5">
        <w:rPr>
          <w:rFonts w:ascii="Garamond" w:eastAsia="MS Mincho" w:hAnsi="Garamond" w:cs="Times New Roman"/>
          <w:szCs w:val="24"/>
        </w:rPr>
        <w:t xml:space="preserve"> n</w:t>
      </w:r>
      <w:r w:rsidR="00DD7F5B" w:rsidRPr="00B457F5">
        <w:rPr>
          <w:rFonts w:ascii="Garamond" w:eastAsia="MS Mincho" w:hAnsi="Garamond" w:cs="Times New Roman"/>
          <w:szCs w:val="24"/>
        </w:rPr>
        <w:t>ë</w:t>
      </w:r>
      <w:r w:rsidR="00342B5F" w:rsidRPr="00B457F5">
        <w:rPr>
          <w:rFonts w:ascii="Garamond" w:eastAsia="MS Mincho" w:hAnsi="Garamond" w:cs="Times New Roman"/>
          <w:szCs w:val="24"/>
        </w:rPr>
        <w:t xml:space="preserve"> pasap</w:t>
      </w:r>
      <w:r w:rsidRPr="00B457F5">
        <w:rPr>
          <w:rFonts w:ascii="Garamond" w:eastAsia="MS Mincho" w:hAnsi="Garamond" w:cs="Times New Roman"/>
          <w:szCs w:val="24"/>
        </w:rPr>
        <w:t>ort</w:t>
      </w:r>
      <w:r w:rsidR="00DD7F5B" w:rsidRPr="00B457F5">
        <w:rPr>
          <w:rFonts w:ascii="Garamond" w:eastAsia="MS Mincho" w:hAnsi="Garamond" w:cs="Times New Roman"/>
          <w:szCs w:val="24"/>
        </w:rPr>
        <w:t>ë</w:t>
      </w:r>
      <w:r w:rsidRPr="00B457F5">
        <w:rPr>
          <w:rFonts w:ascii="Garamond" w:eastAsia="MS Mincho" w:hAnsi="Garamond" w:cs="Times New Roman"/>
          <w:szCs w:val="24"/>
        </w:rPr>
        <w:t xml:space="preserve"> për të lëshuar vizë elektronike të mbyllur di</w:t>
      </w:r>
      <w:r w:rsidR="004D6364" w:rsidRPr="00B457F5">
        <w:rPr>
          <w:rFonts w:ascii="Garamond" w:eastAsia="MS Mincho" w:hAnsi="Garamond" w:cs="Times New Roman"/>
          <w:szCs w:val="24"/>
        </w:rPr>
        <w:t>gj</w:t>
      </w:r>
      <w:r w:rsidRPr="00B457F5">
        <w:rPr>
          <w:rFonts w:ascii="Garamond" w:eastAsia="MS Mincho" w:hAnsi="Garamond" w:cs="Times New Roman"/>
          <w:szCs w:val="24"/>
        </w:rPr>
        <w:t xml:space="preserve">italisht ose </w:t>
      </w:r>
      <w:r w:rsidR="00342B5F" w:rsidRPr="00B457F5">
        <w:rPr>
          <w:rFonts w:ascii="Garamond" w:eastAsia="MS Mincho" w:hAnsi="Garamond" w:cs="Times New Roman"/>
          <w:szCs w:val="24"/>
        </w:rPr>
        <w:t xml:space="preserve">vizë të </w:t>
      </w:r>
      <w:r w:rsidR="005C6A14" w:rsidRPr="00B457F5">
        <w:rPr>
          <w:rFonts w:ascii="Garamond" w:eastAsia="MS Mincho" w:hAnsi="Garamond" w:cs="Times New Roman"/>
          <w:szCs w:val="24"/>
        </w:rPr>
        <w:t>stampuar</w:t>
      </w:r>
      <w:r w:rsidRPr="00B457F5">
        <w:rPr>
          <w:rFonts w:ascii="Garamond" w:eastAsia="MS Mincho" w:hAnsi="Garamond" w:cs="Times New Roman"/>
          <w:szCs w:val="24"/>
        </w:rPr>
        <w:t xml:space="preserve">. Procesi i aplikimit dhe procesi i verifikimit janë të ngjashëm me ato të parashikuara në </w:t>
      </w:r>
      <w:r w:rsidRPr="00B457F5">
        <w:rPr>
          <w:rFonts w:ascii="Garamond" w:eastAsia="MS Mincho" w:hAnsi="Garamond" w:cs="Times New Roman"/>
          <w:i/>
          <w:szCs w:val="24"/>
        </w:rPr>
        <w:t>acquis</w:t>
      </w:r>
      <w:r w:rsidRPr="00B457F5">
        <w:rPr>
          <w:rFonts w:ascii="Garamond" w:eastAsia="MS Mincho" w:hAnsi="Garamond" w:cs="Times New Roman"/>
          <w:szCs w:val="24"/>
        </w:rPr>
        <w:t xml:space="preserve"> të BE-së. Shqipëria lëshon viza me një hyrje në kufi për një kohëzgjatje nga një deri në 15 ditë. MEPJ</w:t>
      </w:r>
      <w:r w:rsidR="00242F59" w:rsidRPr="00B457F5">
        <w:rPr>
          <w:rFonts w:ascii="Garamond" w:eastAsia="MS Mincho" w:hAnsi="Garamond" w:cs="Times New Roman"/>
          <w:szCs w:val="24"/>
        </w:rPr>
        <w:t>-ja</w:t>
      </w:r>
      <w:r w:rsidRPr="00B457F5">
        <w:rPr>
          <w:rFonts w:ascii="Garamond" w:eastAsia="MS Mincho" w:hAnsi="Garamond" w:cs="Times New Roman"/>
          <w:szCs w:val="24"/>
        </w:rPr>
        <w:t xml:space="preserve"> lëshon vetëm viza që plotëso</w:t>
      </w:r>
      <w:r w:rsidR="000A6D67" w:rsidRPr="00B457F5">
        <w:rPr>
          <w:rFonts w:ascii="Garamond" w:eastAsia="MS Mincho" w:hAnsi="Garamond" w:cs="Times New Roman"/>
          <w:szCs w:val="24"/>
        </w:rPr>
        <w:t>jnë kriteret ligjore dhe numri i</w:t>
      </w:r>
      <w:r w:rsidRPr="00B457F5">
        <w:rPr>
          <w:rFonts w:ascii="Garamond" w:eastAsia="MS Mincho" w:hAnsi="Garamond" w:cs="Times New Roman"/>
          <w:szCs w:val="24"/>
        </w:rPr>
        <w:t xml:space="preserve"> vizave t</w:t>
      </w:r>
      <w:r w:rsidR="00DD7F5B" w:rsidRPr="00B457F5">
        <w:rPr>
          <w:rFonts w:ascii="Garamond" w:eastAsia="MS Mincho" w:hAnsi="Garamond" w:cs="Times New Roman"/>
          <w:szCs w:val="24"/>
        </w:rPr>
        <w:t>ë</w:t>
      </w:r>
      <w:r w:rsidRPr="00B457F5">
        <w:rPr>
          <w:rFonts w:ascii="Garamond" w:eastAsia="MS Mincho" w:hAnsi="Garamond" w:cs="Times New Roman"/>
          <w:szCs w:val="24"/>
        </w:rPr>
        <w:t xml:space="preserve"> l</w:t>
      </w:r>
      <w:r w:rsidR="00DD7F5B" w:rsidRPr="00B457F5">
        <w:rPr>
          <w:rFonts w:ascii="Garamond" w:eastAsia="MS Mincho" w:hAnsi="Garamond" w:cs="Times New Roman"/>
          <w:szCs w:val="24"/>
        </w:rPr>
        <w:t>ë</w:t>
      </w:r>
      <w:r w:rsidRPr="00B457F5">
        <w:rPr>
          <w:rFonts w:ascii="Garamond" w:eastAsia="MS Mincho" w:hAnsi="Garamond" w:cs="Times New Roman"/>
          <w:szCs w:val="24"/>
        </w:rPr>
        <w:t>shuara n</w:t>
      </w:r>
      <w:r w:rsidR="00DD7F5B" w:rsidRPr="00B457F5">
        <w:rPr>
          <w:rFonts w:ascii="Garamond" w:eastAsia="MS Mincho" w:hAnsi="Garamond" w:cs="Times New Roman"/>
          <w:szCs w:val="24"/>
        </w:rPr>
        <w:t>ë</w:t>
      </w:r>
      <w:r w:rsidRPr="00B457F5">
        <w:rPr>
          <w:rFonts w:ascii="Garamond" w:eastAsia="MS Mincho" w:hAnsi="Garamond" w:cs="Times New Roman"/>
          <w:szCs w:val="24"/>
        </w:rPr>
        <w:t xml:space="preserve"> kufi </w:t>
      </w:r>
      <w:r w:rsidR="00DD7F5B" w:rsidRPr="00B457F5">
        <w:rPr>
          <w:rFonts w:ascii="Garamond" w:eastAsia="MS Mincho" w:hAnsi="Garamond" w:cs="Times New Roman"/>
          <w:szCs w:val="24"/>
        </w:rPr>
        <w:t>ë</w:t>
      </w:r>
      <w:r w:rsidRPr="00B457F5">
        <w:rPr>
          <w:rFonts w:ascii="Garamond" w:eastAsia="MS Mincho" w:hAnsi="Garamond" w:cs="Times New Roman"/>
          <w:szCs w:val="24"/>
        </w:rPr>
        <w:t>sht</w:t>
      </w:r>
      <w:r w:rsidR="00DD7F5B" w:rsidRPr="00B457F5">
        <w:rPr>
          <w:rFonts w:ascii="Garamond" w:eastAsia="MS Mincho" w:hAnsi="Garamond" w:cs="Times New Roman"/>
          <w:szCs w:val="24"/>
        </w:rPr>
        <w:t>ë</w:t>
      </w:r>
      <w:r w:rsidRPr="00B457F5">
        <w:rPr>
          <w:rFonts w:ascii="Garamond" w:eastAsia="MS Mincho" w:hAnsi="Garamond" w:cs="Times New Roman"/>
          <w:szCs w:val="24"/>
        </w:rPr>
        <w:t xml:space="preserve"> ulur ndjesh</w:t>
      </w:r>
      <w:r w:rsidR="00DD7F5B" w:rsidRPr="00B457F5">
        <w:rPr>
          <w:rFonts w:ascii="Garamond" w:eastAsia="MS Mincho" w:hAnsi="Garamond" w:cs="Times New Roman"/>
          <w:szCs w:val="24"/>
        </w:rPr>
        <w:t>ë</w:t>
      </w:r>
      <w:r w:rsidRPr="00B457F5">
        <w:rPr>
          <w:rFonts w:ascii="Garamond" w:eastAsia="MS Mincho" w:hAnsi="Garamond" w:cs="Times New Roman"/>
          <w:szCs w:val="24"/>
        </w:rPr>
        <w:t xml:space="preserve">m </w:t>
      </w:r>
      <w:r w:rsidRPr="00821EC8">
        <w:rPr>
          <w:rFonts w:ascii="Garamond" w:eastAsia="MS Mincho" w:hAnsi="Garamond" w:cs="Times New Roman"/>
          <w:szCs w:val="24"/>
        </w:rPr>
        <w:t>nga</w:t>
      </w:r>
      <w:r w:rsidR="004603C3" w:rsidRPr="00821EC8">
        <w:rPr>
          <w:rFonts w:ascii="Garamond" w:eastAsia="MS Mincho" w:hAnsi="Garamond" w:cs="Times New Roman"/>
          <w:szCs w:val="24"/>
        </w:rPr>
        <w:t xml:space="preserve"> t’i </w:t>
      </w:r>
      <w:r w:rsidRPr="00821EC8">
        <w:rPr>
          <w:rFonts w:ascii="Garamond" w:eastAsia="MS Mincho" w:hAnsi="Garamond" w:cs="Times New Roman"/>
          <w:szCs w:val="24"/>
        </w:rPr>
        <w:t>zvogëlojë nga</w:t>
      </w:r>
      <w:r w:rsidRPr="00B457F5">
        <w:rPr>
          <w:rFonts w:ascii="Garamond" w:eastAsia="MS Mincho" w:hAnsi="Garamond" w:cs="Times New Roman"/>
          <w:szCs w:val="24"/>
        </w:rPr>
        <w:t xml:space="preserve"> 101 në 2018 në 2 në 2021 dhe 2 në 2022 dhe asnjë vizë në kufi për periudhën janar</w:t>
      </w:r>
      <w:r w:rsidR="00242F59" w:rsidRPr="00B457F5">
        <w:rPr>
          <w:rStyle w:val="contentpasted1"/>
          <w:rFonts w:ascii="Garamond" w:hAnsi="Garamond" w:cs="Times New Roman"/>
          <w:color w:val="000000"/>
        </w:rPr>
        <w:t>–</w:t>
      </w:r>
      <w:r w:rsidRPr="00B457F5">
        <w:rPr>
          <w:rFonts w:ascii="Garamond" w:eastAsia="MS Mincho" w:hAnsi="Garamond" w:cs="Times New Roman"/>
          <w:szCs w:val="24"/>
        </w:rPr>
        <w:t>qershor 2023.</w:t>
      </w:r>
    </w:p>
    <w:p w14:paraId="60A9AB06" w14:textId="5E487431" w:rsidR="006E335F" w:rsidRPr="00B457F5" w:rsidRDefault="00D866BE" w:rsidP="002E693B">
      <w:pPr>
        <w:spacing w:before="0" w:after="0"/>
        <w:ind w:firstLine="284"/>
        <w:rPr>
          <w:rFonts w:ascii="Garamond" w:eastAsia="MS Mincho" w:hAnsi="Garamond" w:cs="Times New Roman"/>
          <w:color w:val="FF0000"/>
          <w:szCs w:val="24"/>
        </w:rPr>
      </w:pPr>
      <w:r w:rsidRPr="00B457F5">
        <w:rPr>
          <w:rFonts w:ascii="Garamond" w:eastAsia="MS Mincho" w:hAnsi="Garamond" w:cs="Times New Roman"/>
          <w:szCs w:val="24"/>
        </w:rPr>
        <w:t xml:space="preserve">Shqipëria ka gjatë </w:t>
      </w:r>
      <w:r w:rsidR="00242F59" w:rsidRPr="00B457F5">
        <w:rPr>
          <w:rFonts w:ascii="Garamond" w:eastAsia="MS Mincho" w:hAnsi="Garamond" w:cs="Times New Roman"/>
          <w:szCs w:val="24"/>
        </w:rPr>
        <w:t xml:space="preserve">të </w:t>
      </w:r>
      <w:r w:rsidRPr="00B457F5">
        <w:rPr>
          <w:rFonts w:ascii="Garamond" w:eastAsia="MS Mincho" w:hAnsi="Garamond" w:cs="Times New Roman"/>
          <w:szCs w:val="24"/>
        </w:rPr>
        <w:t>gjithë vitit marrëveshje pa v</w:t>
      </w:r>
      <w:r w:rsidR="00D8288D" w:rsidRPr="00B457F5">
        <w:rPr>
          <w:rFonts w:ascii="Garamond" w:eastAsia="MS Mincho" w:hAnsi="Garamond" w:cs="Times New Roman"/>
          <w:szCs w:val="24"/>
        </w:rPr>
        <w:t>iza me tetë vende që nuk mund të lëvizin pa viza në</w:t>
      </w:r>
      <w:r w:rsidRPr="00B457F5">
        <w:rPr>
          <w:rFonts w:ascii="Garamond" w:eastAsia="MS Mincho" w:hAnsi="Garamond" w:cs="Times New Roman"/>
          <w:szCs w:val="24"/>
        </w:rPr>
        <w:t xml:space="preserve"> BE</w:t>
      </w:r>
      <w:r w:rsidR="00242F59" w:rsidRPr="00B457F5">
        <w:rPr>
          <w:rFonts w:ascii="Garamond" w:eastAsia="MS Mincho" w:hAnsi="Garamond" w:cs="Times New Roman"/>
          <w:szCs w:val="24"/>
        </w:rPr>
        <w:t>,</w:t>
      </w:r>
      <w:r w:rsidRPr="00B457F5">
        <w:rPr>
          <w:rFonts w:ascii="Garamond" w:eastAsia="MS Mincho" w:hAnsi="Garamond" w:cs="Times New Roman"/>
          <w:szCs w:val="24"/>
        </w:rPr>
        <w:t xml:space="preserve"> si</w:t>
      </w:r>
      <w:r w:rsidR="00242F59" w:rsidRPr="00B457F5">
        <w:rPr>
          <w:rFonts w:ascii="Garamond" w:eastAsia="MS Mincho" w:hAnsi="Garamond" w:cs="Times New Roman"/>
          <w:szCs w:val="24"/>
        </w:rPr>
        <w:t>:</w:t>
      </w:r>
      <w:r w:rsidRPr="00B457F5">
        <w:rPr>
          <w:rFonts w:ascii="Garamond" w:eastAsia="MS Mincho" w:hAnsi="Garamond" w:cs="Times New Roman"/>
          <w:szCs w:val="24"/>
        </w:rPr>
        <w:t xml:space="preserve"> Armenia, Azerbajxhani, Bjellorusia, Kina, Guajana, Kazakistani, Kuvajti dhe Turqia. Përveç kësaj, shtetasve të vendeve të treta</w:t>
      </w:r>
      <w:r w:rsidR="00242F59" w:rsidRPr="00B457F5">
        <w:rPr>
          <w:rFonts w:ascii="Garamond" w:eastAsia="MS Mincho" w:hAnsi="Garamond" w:cs="Times New Roman"/>
          <w:szCs w:val="24"/>
        </w:rPr>
        <w:t>,</w:t>
      </w:r>
      <w:r w:rsidRPr="00B457F5">
        <w:rPr>
          <w:rFonts w:ascii="Garamond" w:eastAsia="MS Mincho" w:hAnsi="Garamond" w:cs="Times New Roman"/>
          <w:szCs w:val="24"/>
        </w:rPr>
        <w:t xml:space="preserve"> që kanë një leje qëndrimi dhjetëvjeçare në Emiratet e Bashkuara Arabe</w:t>
      </w:r>
      <w:r w:rsidR="00242F59" w:rsidRPr="00B457F5">
        <w:rPr>
          <w:rFonts w:ascii="Garamond" w:eastAsia="MS Mincho" w:hAnsi="Garamond" w:cs="Times New Roman"/>
          <w:szCs w:val="24"/>
        </w:rPr>
        <w:t>,</w:t>
      </w:r>
      <w:r w:rsidRPr="00B457F5">
        <w:rPr>
          <w:rFonts w:ascii="Garamond" w:eastAsia="MS Mincho" w:hAnsi="Garamond" w:cs="Times New Roman"/>
          <w:szCs w:val="24"/>
        </w:rPr>
        <w:t xml:space="preserve"> u jepet gjithashtu akses pa viza. Shtetasit nga vende si</w:t>
      </w:r>
      <w:r w:rsidR="00242F59" w:rsidRPr="00B457F5">
        <w:rPr>
          <w:rFonts w:ascii="Garamond" w:eastAsia="MS Mincho" w:hAnsi="Garamond" w:cs="Times New Roman"/>
          <w:szCs w:val="24"/>
        </w:rPr>
        <w:t>:</w:t>
      </w:r>
      <w:r w:rsidRPr="00B457F5">
        <w:rPr>
          <w:rFonts w:ascii="Garamond" w:eastAsia="MS Mincho" w:hAnsi="Garamond" w:cs="Times New Roman"/>
          <w:szCs w:val="24"/>
        </w:rPr>
        <w:t xml:space="preserve"> Bahreini, India, Omani, Katari, Arabia Saudite dhe Tajlanda, të cilët kanë nevojë për vizë për të udhëtuar në BE, kanë përfituar nga heqja e </w:t>
      </w:r>
      <w:r w:rsidRPr="00B457F5">
        <w:rPr>
          <w:rFonts w:ascii="Garamond" w:eastAsia="MS Mincho" w:hAnsi="Garamond" w:cs="Times New Roman"/>
          <w:szCs w:val="24"/>
        </w:rPr>
        <w:lastRenderedPageBreak/>
        <w:t xml:space="preserve">vizave sezonale deri në fund të vitit 2022. </w:t>
      </w:r>
      <w:r w:rsidR="002E4E5F" w:rsidRPr="00B457F5">
        <w:rPr>
          <w:rFonts w:ascii="Garamond" w:eastAsia="MS Mincho" w:hAnsi="Garamond" w:cs="Times New Roman"/>
          <w:szCs w:val="24"/>
        </w:rPr>
        <w:t>K</w:t>
      </w:r>
      <w:r w:rsidRPr="00B457F5">
        <w:rPr>
          <w:rFonts w:ascii="Garamond" w:eastAsia="MS Mincho" w:hAnsi="Garamond" w:cs="Times New Roman"/>
          <w:szCs w:val="24"/>
        </w:rPr>
        <w:t xml:space="preserve">y regjim sezonal pa viza ka </w:t>
      </w:r>
      <w:r w:rsidR="004D6364" w:rsidRPr="00B457F5">
        <w:rPr>
          <w:rFonts w:ascii="Garamond" w:eastAsia="MS Mincho" w:hAnsi="Garamond" w:cs="Times New Roman"/>
          <w:szCs w:val="24"/>
        </w:rPr>
        <w:t>qenë</w:t>
      </w:r>
      <w:r w:rsidRPr="00B457F5">
        <w:rPr>
          <w:rFonts w:ascii="Garamond" w:eastAsia="MS Mincho" w:hAnsi="Garamond" w:cs="Times New Roman"/>
          <w:szCs w:val="24"/>
        </w:rPr>
        <w:t xml:space="preserve"> i zbatueshëm midis 20 prill</w:t>
      </w:r>
      <w:r w:rsidR="00242F59" w:rsidRPr="00B457F5">
        <w:rPr>
          <w:rFonts w:ascii="Garamond" w:eastAsia="MS Mincho" w:hAnsi="Garamond" w:cs="Times New Roman"/>
          <w:szCs w:val="24"/>
        </w:rPr>
        <w:t>it</w:t>
      </w:r>
      <w:r w:rsidRPr="00B457F5">
        <w:rPr>
          <w:rFonts w:ascii="Garamond" w:eastAsia="MS Mincho" w:hAnsi="Garamond" w:cs="Times New Roman"/>
          <w:szCs w:val="24"/>
        </w:rPr>
        <w:t xml:space="preserve"> dhe 31 dhjetor</w:t>
      </w:r>
      <w:r w:rsidR="00242F59" w:rsidRPr="00B457F5">
        <w:rPr>
          <w:rFonts w:ascii="Garamond" w:eastAsia="MS Mincho" w:hAnsi="Garamond" w:cs="Times New Roman"/>
          <w:szCs w:val="24"/>
        </w:rPr>
        <w:t>it</w:t>
      </w:r>
      <w:r w:rsidRPr="00B457F5">
        <w:rPr>
          <w:rFonts w:ascii="Garamond" w:eastAsia="MS Mincho" w:hAnsi="Garamond" w:cs="Times New Roman"/>
          <w:szCs w:val="24"/>
        </w:rPr>
        <w:t xml:space="preserve"> 2023</w:t>
      </w:r>
      <w:r w:rsidR="00242F59" w:rsidRPr="00B457F5">
        <w:rPr>
          <w:rFonts w:ascii="Garamond" w:eastAsia="MS Mincho" w:hAnsi="Garamond" w:cs="Times New Roman"/>
          <w:szCs w:val="24"/>
        </w:rPr>
        <w:t>,</w:t>
      </w:r>
      <w:r w:rsidRPr="00B457F5">
        <w:rPr>
          <w:rFonts w:ascii="Garamond" w:eastAsia="MS Mincho" w:hAnsi="Garamond" w:cs="Times New Roman"/>
          <w:szCs w:val="24"/>
        </w:rPr>
        <w:t xml:space="preserve"> për shtetasit e pesë vendeve</w:t>
      </w:r>
      <w:r w:rsidR="00242F59" w:rsidRPr="00B457F5">
        <w:rPr>
          <w:rFonts w:ascii="Garamond" w:eastAsia="MS Mincho" w:hAnsi="Garamond" w:cs="Times New Roman"/>
          <w:szCs w:val="24"/>
        </w:rPr>
        <w:t>:</w:t>
      </w:r>
      <w:r w:rsidRPr="00B457F5">
        <w:rPr>
          <w:rFonts w:ascii="Garamond" w:eastAsia="MS Mincho" w:hAnsi="Garamond" w:cs="Times New Roman"/>
          <w:szCs w:val="24"/>
        </w:rPr>
        <w:t xml:space="preserve"> Bahrein, Oman, Katar, Arabi Saudite dhe Tajlandë. Shtetasit e Egjiptit dhe Rusisë përfituan nga heqja e vizave sezonale deri në fund të shtatorit 2022. India, Egjipti dhe Rusia nuk janë në listën e vendeve, qytetarët e të cilëve përfitojnë nga përjashtimi sezonal i vizave në 2023</w:t>
      </w:r>
      <w:r w:rsidR="00242F59" w:rsidRPr="00B457F5">
        <w:rPr>
          <w:rFonts w:ascii="Garamond" w:eastAsia="MS Mincho" w:hAnsi="Garamond" w:cs="Times New Roman"/>
          <w:szCs w:val="24"/>
        </w:rPr>
        <w:t>-shin</w:t>
      </w:r>
      <w:r w:rsidRPr="00B457F5">
        <w:rPr>
          <w:rFonts w:ascii="Garamond" w:eastAsia="MS Mincho" w:hAnsi="Garamond" w:cs="Times New Roman"/>
          <w:szCs w:val="24"/>
        </w:rPr>
        <w:t>.</w:t>
      </w:r>
      <w:r w:rsidR="00B155E1" w:rsidRPr="00B457F5">
        <w:rPr>
          <w:rFonts w:ascii="Garamond" w:eastAsia="MS Mincho" w:hAnsi="Garamond" w:cs="Times New Roman"/>
          <w:szCs w:val="24"/>
        </w:rPr>
        <w:t xml:space="preserve"> </w:t>
      </w:r>
      <w:r w:rsidRPr="00B457F5">
        <w:rPr>
          <w:rFonts w:ascii="Garamond" w:eastAsia="MS Mincho" w:hAnsi="Garamond" w:cs="Times New Roman"/>
          <w:szCs w:val="24"/>
        </w:rPr>
        <w:t>N</w:t>
      </w:r>
      <w:r w:rsidR="00DD7F5B" w:rsidRPr="00B457F5">
        <w:rPr>
          <w:rFonts w:ascii="Garamond" w:eastAsia="MS Mincho" w:hAnsi="Garamond" w:cs="Times New Roman"/>
          <w:szCs w:val="24"/>
        </w:rPr>
        <w:t>ë</w:t>
      </w:r>
      <w:r w:rsidRPr="00B457F5">
        <w:rPr>
          <w:rFonts w:ascii="Garamond" w:eastAsia="MS Mincho" w:hAnsi="Garamond" w:cs="Times New Roman"/>
          <w:szCs w:val="24"/>
        </w:rPr>
        <w:t xml:space="preserve"> baz</w:t>
      </w:r>
      <w:r w:rsidR="00DD7F5B" w:rsidRPr="00B457F5">
        <w:rPr>
          <w:rFonts w:ascii="Garamond" w:eastAsia="MS Mincho" w:hAnsi="Garamond" w:cs="Times New Roman"/>
          <w:szCs w:val="24"/>
        </w:rPr>
        <w:t>ë</w:t>
      </w:r>
      <w:r w:rsidRPr="00B457F5">
        <w:rPr>
          <w:rFonts w:ascii="Garamond" w:eastAsia="MS Mincho" w:hAnsi="Garamond" w:cs="Times New Roman"/>
          <w:szCs w:val="24"/>
        </w:rPr>
        <w:t xml:space="preserve"> t</w:t>
      </w:r>
      <w:r w:rsidR="00DD7F5B" w:rsidRPr="00B457F5">
        <w:rPr>
          <w:rFonts w:ascii="Garamond" w:eastAsia="MS Mincho" w:hAnsi="Garamond" w:cs="Times New Roman"/>
          <w:szCs w:val="24"/>
        </w:rPr>
        <w:t>ë</w:t>
      </w:r>
      <w:r w:rsidR="00272D02" w:rsidRPr="00B457F5">
        <w:rPr>
          <w:rFonts w:ascii="Garamond" w:eastAsia="MS Mincho" w:hAnsi="Garamond" w:cs="Times New Roman"/>
          <w:szCs w:val="24"/>
        </w:rPr>
        <w:t xml:space="preserve"> Rregullores (BE) 2018/1806 </w:t>
      </w:r>
      <w:r w:rsidR="00242F59" w:rsidRPr="00B457F5">
        <w:rPr>
          <w:rFonts w:ascii="Garamond" w:eastAsia="MS Mincho" w:hAnsi="Garamond" w:cs="Times New Roman"/>
          <w:szCs w:val="24"/>
        </w:rPr>
        <w:t>të</w:t>
      </w:r>
      <w:r w:rsidR="00272D02" w:rsidRPr="00B457F5">
        <w:rPr>
          <w:rFonts w:ascii="Garamond" w:eastAsia="MS Mincho" w:hAnsi="Garamond" w:cs="Times New Roman"/>
          <w:szCs w:val="24"/>
        </w:rPr>
        <w:t xml:space="preserve"> Parlamentit Evropian dhe të Këshillit</w:t>
      </w:r>
      <w:r w:rsidR="00242F59" w:rsidRPr="00B457F5">
        <w:rPr>
          <w:rFonts w:ascii="Garamond" w:eastAsia="MS Mincho" w:hAnsi="Garamond" w:cs="Times New Roman"/>
          <w:szCs w:val="24"/>
        </w:rPr>
        <w:t>,</w:t>
      </w:r>
      <w:r w:rsidR="00272D02" w:rsidRPr="00B457F5">
        <w:rPr>
          <w:rFonts w:ascii="Garamond" w:eastAsia="MS Mincho" w:hAnsi="Garamond" w:cs="Times New Roman"/>
          <w:szCs w:val="24"/>
        </w:rPr>
        <w:t xml:space="preserve"> </w:t>
      </w:r>
      <w:r w:rsidR="00242F59" w:rsidRPr="00B457F5">
        <w:rPr>
          <w:rFonts w:ascii="Garamond" w:eastAsia="MS Mincho" w:hAnsi="Garamond" w:cs="Times New Roman"/>
          <w:szCs w:val="24"/>
        </w:rPr>
        <w:t>të</w:t>
      </w:r>
      <w:r w:rsidR="00272D02" w:rsidRPr="00B457F5">
        <w:rPr>
          <w:rFonts w:ascii="Garamond" w:eastAsia="MS Mincho" w:hAnsi="Garamond" w:cs="Times New Roman"/>
          <w:szCs w:val="24"/>
        </w:rPr>
        <w:t xml:space="preserve"> datës 14 nëntor 2018, duke renditur vendet e treta, shtetasit e të cilëve duhet të kenë viza kur kalojnë kufijtë e jashtëm dhe ata shtetasit e të cilëve janë të përjashtuar nga kjo kërkesë (kodifikimi)</w:t>
      </w:r>
      <w:r w:rsidR="00242F59" w:rsidRPr="00B457F5">
        <w:rPr>
          <w:rFonts w:ascii="Garamond" w:eastAsia="MS Mincho" w:hAnsi="Garamond" w:cs="Times New Roman"/>
          <w:szCs w:val="24"/>
        </w:rPr>
        <w:t>,</w:t>
      </w:r>
      <w:r w:rsidR="00272D02" w:rsidRPr="00B457F5">
        <w:rPr>
          <w:rFonts w:ascii="Garamond" w:eastAsia="MS Mincho" w:hAnsi="Garamond" w:cs="Times New Roman"/>
          <w:szCs w:val="24"/>
        </w:rPr>
        <w:t xml:space="preserve"> </w:t>
      </w:r>
      <w:r w:rsidRPr="00B457F5">
        <w:rPr>
          <w:rFonts w:ascii="Garamond" w:eastAsia="MS Mincho" w:hAnsi="Garamond" w:cs="Times New Roman"/>
          <w:szCs w:val="24"/>
        </w:rPr>
        <w:t xml:space="preserve">dhe </w:t>
      </w:r>
      <w:r w:rsidR="002E4E5F" w:rsidRPr="00B457F5">
        <w:rPr>
          <w:rFonts w:ascii="Garamond" w:eastAsia="MS Mincho" w:hAnsi="Garamond" w:cs="Times New Roman"/>
          <w:szCs w:val="24"/>
        </w:rPr>
        <w:t>Raporti</w:t>
      </w:r>
      <w:r w:rsidR="004452DC" w:rsidRPr="00B457F5">
        <w:rPr>
          <w:rFonts w:ascii="Garamond" w:eastAsia="MS Mincho" w:hAnsi="Garamond" w:cs="Times New Roman"/>
          <w:szCs w:val="24"/>
        </w:rPr>
        <w:t>t</w:t>
      </w:r>
      <w:r w:rsidR="002E4E5F" w:rsidRPr="00B457F5">
        <w:rPr>
          <w:rFonts w:ascii="Garamond" w:eastAsia="MS Mincho" w:hAnsi="Garamond" w:cs="Times New Roman"/>
          <w:szCs w:val="24"/>
        </w:rPr>
        <w:t xml:space="preserve"> </w:t>
      </w:r>
      <w:r w:rsidR="004452DC" w:rsidRPr="00B457F5">
        <w:rPr>
          <w:rFonts w:ascii="Garamond" w:eastAsia="MS Mincho" w:hAnsi="Garamond" w:cs="Times New Roman"/>
          <w:szCs w:val="24"/>
        </w:rPr>
        <w:t>të</w:t>
      </w:r>
      <w:r w:rsidR="002E4E5F" w:rsidRPr="00B457F5">
        <w:rPr>
          <w:rFonts w:ascii="Garamond" w:eastAsia="MS Mincho" w:hAnsi="Garamond" w:cs="Times New Roman"/>
          <w:szCs w:val="24"/>
        </w:rPr>
        <w:t xml:space="preserve"> Gjashtë </w:t>
      </w:r>
      <w:r w:rsidR="004452DC" w:rsidRPr="00B457F5">
        <w:rPr>
          <w:rFonts w:ascii="Garamond" w:eastAsia="MS Mincho" w:hAnsi="Garamond" w:cs="Times New Roman"/>
          <w:szCs w:val="24"/>
        </w:rPr>
        <w:t>të Mekanizmit</w:t>
      </w:r>
      <w:r w:rsidR="002E4E5F" w:rsidRPr="00B457F5">
        <w:rPr>
          <w:rFonts w:ascii="Garamond" w:eastAsia="MS Mincho" w:hAnsi="Garamond" w:cs="Times New Roman"/>
          <w:szCs w:val="24"/>
        </w:rPr>
        <w:t xml:space="preserve"> </w:t>
      </w:r>
      <w:r w:rsidR="004452DC" w:rsidRPr="00B457F5">
        <w:rPr>
          <w:rFonts w:ascii="Garamond" w:eastAsia="MS Mincho" w:hAnsi="Garamond" w:cs="Times New Roman"/>
          <w:szCs w:val="24"/>
        </w:rPr>
        <w:t>të</w:t>
      </w:r>
      <w:r w:rsidR="002E4E5F" w:rsidRPr="00B457F5">
        <w:rPr>
          <w:rFonts w:ascii="Garamond" w:eastAsia="MS Mincho" w:hAnsi="Garamond" w:cs="Times New Roman"/>
          <w:szCs w:val="24"/>
        </w:rPr>
        <w:t xml:space="preserve"> Pezullimit të Vizave, </w:t>
      </w:r>
      <w:r w:rsidR="00E06EE4" w:rsidRPr="00B457F5">
        <w:rPr>
          <w:rFonts w:ascii="Garamond" w:eastAsia="MS Mincho" w:hAnsi="Garamond" w:cs="Times New Roman"/>
          <w:szCs w:val="24"/>
        </w:rPr>
        <w:t>Shqipë</w:t>
      </w:r>
      <w:r w:rsidRPr="00B457F5">
        <w:rPr>
          <w:rFonts w:ascii="Garamond" w:eastAsia="MS Mincho" w:hAnsi="Garamond" w:cs="Times New Roman"/>
          <w:szCs w:val="24"/>
        </w:rPr>
        <w:t xml:space="preserve">ria </w:t>
      </w:r>
      <w:r w:rsidR="00DD7F5B" w:rsidRPr="00B457F5">
        <w:rPr>
          <w:rFonts w:ascii="Garamond" w:eastAsia="MS Mincho" w:hAnsi="Garamond" w:cs="Times New Roman"/>
          <w:szCs w:val="24"/>
        </w:rPr>
        <w:t>ë</w:t>
      </w:r>
      <w:r w:rsidRPr="00B457F5">
        <w:rPr>
          <w:rFonts w:ascii="Garamond" w:eastAsia="MS Mincho" w:hAnsi="Garamond" w:cs="Times New Roman"/>
          <w:szCs w:val="24"/>
        </w:rPr>
        <w:t>sht</w:t>
      </w:r>
      <w:r w:rsidR="00DD7F5B" w:rsidRPr="00B457F5">
        <w:rPr>
          <w:rFonts w:ascii="Garamond" w:eastAsia="MS Mincho" w:hAnsi="Garamond" w:cs="Times New Roman"/>
          <w:szCs w:val="24"/>
        </w:rPr>
        <w:t>ë</w:t>
      </w:r>
      <w:r w:rsidRPr="00B457F5">
        <w:rPr>
          <w:rFonts w:ascii="Garamond" w:eastAsia="MS Mincho" w:hAnsi="Garamond" w:cs="Times New Roman"/>
          <w:szCs w:val="24"/>
        </w:rPr>
        <w:t xml:space="preserve"> </w:t>
      </w:r>
      <w:r w:rsidR="00E06EE4" w:rsidRPr="00B457F5">
        <w:rPr>
          <w:rFonts w:ascii="Garamond" w:eastAsia="MS Mincho" w:hAnsi="Garamond" w:cs="Times New Roman"/>
          <w:szCs w:val="24"/>
        </w:rPr>
        <w:t>e</w:t>
      </w:r>
      <w:r w:rsidRPr="00B457F5">
        <w:rPr>
          <w:rFonts w:ascii="Garamond" w:eastAsia="MS Mincho" w:hAnsi="Garamond" w:cs="Times New Roman"/>
          <w:szCs w:val="24"/>
        </w:rPr>
        <w:t xml:space="preserve"> angazhuar </w:t>
      </w:r>
      <w:r w:rsidR="00242F59" w:rsidRPr="00B457F5">
        <w:rPr>
          <w:rFonts w:ascii="Garamond" w:eastAsia="MS Mincho" w:hAnsi="Garamond" w:cs="Times New Roman"/>
          <w:szCs w:val="24"/>
        </w:rPr>
        <w:t xml:space="preserve">për </w:t>
      </w:r>
      <w:r w:rsidRPr="00B457F5">
        <w:rPr>
          <w:rFonts w:ascii="Garamond" w:eastAsia="MS Mincho" w:hAnsi="Garamond" w:cs="Times New Roman"/>
          <w:szCs w:val="24"/>
        </w:rPr>
        <w:t>përafrimi</w:t>
      </w:r>
      <w:r w:rsidR="00242F59" w:rsidRPr="00B457F5">
        <w:rPr>
          <w:rFonts w:ascii="Garamond" w:eastAsia="MS Mincho" w:hAnsi="Garamond" w:cs="Times New Roman"/>
          <w:szCs w:val="24"/>
        </w:rPr>
        <w:t>n</w:t>
      </w:r>
      <w:r w:rsidRPr="00B457F5">
        <w:rPr>
          <w:rFonts w:ascii="Garamond" w:eastAsia="MS Mincho" w:hAnsi="Garamond" w:cs="Times New Roman"/>
          <w:szCs w:val="24"/>
        </w:rPr>
        <w:t xml:space="preserve"> </w:t>
      </w:r>
      <w:r w:rsidR="00242F59" w:rsidRPr="00B457F5">
        <w:rPr>
          <w:rFonts w:ascii="Garamond" w:eastAsia="MS Mincho" w:hAnsi="Garamond" w:cs="Times New Roman"/>
          <w:szCs w:val="24"/>
        </w:rPr>
        <w:t>e</w:t>
      </w:r>
      <w:r w:rsidRPr="00B457F5">
        <w:rPr>
          <w:rFonts w:ascii="Garamond" w:eastAsia="MS Mincho" w:hAnsi="Garamond" w:cs="Times New Roman"/>
          <w:szCs w:val="24"/>
        </w:rPr>
        <w:t xml:space="preserve"> mëtejshëm t</w:t>
      </w:r>
      <w:r w:rsidR="00DD7F5B" w:rsidRPr="00B457F5">
        <w:rPr>
          <w:rFonts w:ascii="Garamond" w:eastAsia="MS Mincho" w:hAnsi="Garamond" w:cs="Times New Roman"/>
          <w:szCs w:val="24"/>
        </w:rPr>
        <w:t>ë</w:t>
      </w:r>
      <w:r w:rsidR="00654B47" w:rsidRPr="00B457F5">
        <w:rPr>
          <w:rFonts w:ascii="Garamond" w:eastAsia="MS Mincho" w:hAnsi="Garamond" w:cs="Times New Roman"/>
          <w:szCs w:val="24"/>
        </w:rPr>
        <w:t xml:space="preserve"> </w:t>
      </w:r>
      <w:r w:rsidRPr="00B457F5">
        <w:rPr>
          <w:rFonts w:ascii="Garamond" w:eastAsia="MS Mincho" w:hAnsi="Garamond" w:cs="Times New Roman"/>
          <w:szCs w:val="24"/>
        </w:rPr>
        <w:t>politikës së vizave me listën e vendeve të BE-së, veçanërisht në lidhje me vendet që paraqesin migrim të parregullt ose rreziqe sigurie për BE-në. Ashtu dhe</w:t>
      </w:r>
      <w:r w:rsidR="00242F59" w:rsidRPr="00B457F5">
        <w:rPr>
          <w:rFonts w:ascii="Garamond" w:eastAsia="MS Mincho" w:hAnsi="Garamond" w:cs="Times New Roman"/>
          <w:szCs w:val="24"/>
        </w:rPr>
        <w:t xml:space="preserve"> me </w:t>
      </w:r>
      <w:r w:rsidRPr="00B457F5">
        <w:rPr>
          <w:rFonts w:ascii="Garamond" w:eastAsia="MS Mincho" w:hAnsi="Garamond" w:cs="Times New Roman"/>
          <w:szCs w:val="24"/>
        </w:rPr>
        <w:t>vazhdimin e bashkëpunimit me shtetet anëtare më të prekura nga kërkesat e pabazuara për azil dhe zbatimi</w:t>
      </w:r>
      <w:r w:rsidR="00242F59" w:rsidRPr="00B457F5">
        <w:rPr>
          <w:rFonts w:ascii="Garamond" w:eastAsia="MS Mincho" w:hAnsi="Garamond" w:cs="Times New Roman"/>
          <w:szCs w:val="24"/>
        </w:rPr>
        <w:t>n</w:t>
      </w:r>
      <w:r w:rsidRPr="00B457F5">
        <w:rPr>
          <w:rFonts w:ascii="Garamond" w:eastAsia="MS Mincho" w:hAnsi="Garamond" w:cs="Times New Roman"/>
          <w:szCs w:val="24"/>
        </w:rPr>
        <w:t xml:space="preserve"> </w:t>
      </w:r>
      <w:r w:rsidR="00242F59" w:rsidRPr="00B457F5">
        <w:rPr>
          <w:rFonts w:ascii="Garamond" w:eastAsia="MS Mincho" w:hAnsi="Garamond" w:cs="Times New Roman"/>
          <w:szCs w:val="24"/>
        </w:rPr>
        <w:t>e</w:t>
      </w:r>
      <w:r w:rsidRPr="00B457F5">
        <w:rPr>
          <w:rFonts w:ascii="Garamond" w:eastAsia="MS Mincho" w:hAnsi="Garamond" w:cs="Times New Roman"/>
          <w:szCs w:val="24"/>
        </w:rPr>
        <w:t xml:space="preserve"> fushatave informuese për regjimin pa viza.</w:t>
      </w:r>
    </w:p>
    <w:p w14:paraId="0F7D8C05" w14:textId="2A83ACBA" w:rsidR="00A619CA" w:rsidRPr="00B457F5" w:rsidRDefault="002E4E5F" w:rsidP="002E693B">
      <w:pPr>
        <w:pStyle w:val="Heading1"/>
        <w:spacing w:before="0" w:after="0"/>
        <w:ind w:left="0" w:firstLine="284"/>
        <w:rPr>
          <w:rFonts w:ascii="Garamond" w:hAnsi="Garamond" w:cs="Times New Roman"/>
          <w:color w:val="auto"/>
          <w:sz w:val="24"/>
          <w:szCs w:val="24"/>
        </w:rPr>
      </w:pPr>
      <w:bookmarkStart w:id="25" w:name="_Toc148097433"/>
      <w:bookmarkStart w:id="26" w:name="_Toc155620721"/>
      <w:r w:rsidRPr="00B457F5">
        <w:rPr>
          <w:rFonts w:ascii="Garamond" w:hAnsi="Garamond" w:cs="Times New Roman"/>
          <w:color w:val="auto"/>
          <w:sz w:val="24"/>
          <w:szCs w:val="24"/>
        </w:rPr>
        <w:t xml:space="preserve">Përmirësimi i </w:t>
      </w:r>
      <w:r w:rsidR="00242F59" w:rsidRPr="00B457F5">
        <w:rPr>
          <w:rFonts w:ascii="Garamond" w:hAnsi="Garamond" w:cs="Times New Roman"/>
          <w:color w:val="auto"/>
          <w:sz w:val="24"/>
          <w:szCs w:val="24"/>
        </w:rPr>
        <w:t>cilësisë së të dhënave të migracionit</w:t>
      </w:r>
      <w:bookmarkEnd w:id="25"/>
      <w:bookmarkEnd w:id="26"/>
    </w:p>
    <w:p w14:paraId="3F2C1D31" w14:textId="3377B620" w:rsidR="00A619CA" w:rsidRPr="00B457F5" w:rsidRDefault="005D1D8A" w:rsidP="002E693B">
      <w:pPr>
        <w:spacing w:before="0" w:after="0"/>
        <w:ind w:firstLine="284"/>
        <w:rPr>
          <w:rFonts w:ascii="Garamond" w:eastAsia="MS Mincho" w:hAnsi="Garamond" w:cs="Times New Roman"/>
          <w:color w:val="0D0D0D" w:themeColor="text1" w:themeTint="F2"/>
          <w:szCs w:val="24"/>
        </w:rPr>
      </w:pPr>
      <w:r w:rsidRPr="00B457F5">
        <w:rPr>
          <w:rFonts w:ascii="Garamond" w:eastAsia="MS Mincho" w:hAnsi="Garamond" w:cs="Times New Roman"/>
          <w:bCs/>
          <w:iCs/>
          <w:szCs w:val="24"/>
        </w:rPr>
        <w:t>Programi aktual i statistikave zyrtare 2022</w:t>
      </w:r>
      <w:r w:rsidR="004D6364" w:rsidRPr="00B457F5">
        <w:rPr>
          <w:rStyle w:val="contentpasted1"/>
          <w:rFonts w:ascii="Garamond" w:hAnsi="Garamond" w:cs="Times New Roman"/>
          <w:color w:val="000000"/>
        </w:rPr>
        <w:t>–</w:t>
      </w:r>
      <w:r w:rsidRPr="00B457F5">
        <w:rPr>
          <w:rFonts w:ascii="Garamond" w:eastAsia="MS Mincho" w:hAnsi="Garamond" w:cs="Times New Roman"/>
          <w:bCs/>
          <w:iCs/>
          <w:szCs w:val="24"/>
        </w:rPr>
        <w:t>2026</w:t>
      </w:r>
      <w:r w:rsidR="00A619CA" w:rsidRPr="00B457F5">
        <w:rPr>
          <w:rFonts w:ascii="Garamond" w:eastAsia="MS Mincho" w:hAnsi="Garamond" w:cs="Times New Roman"/>
          <w:szCs w:val="24"/>
          <w:vertAlign w:val="superscript"/>
        </w:rPr>
        <w:footnoteReference w:id="42"/>
      </w:r>
      <w:r w:rsidR="00A619CA" w:rsidRPr="00B457F5">
        <w:rPr>
          <w:rFonts w:ascii="Garamond" w:eastAsia="MS Mincho" w:hAnsi="Garamond" w:cs="Times New Roman"/>
          <w:szCs w:val="24"/>
        </w:rPr>
        <w:t xml:space="preserve"> </w:t>
      </w:r>
      <w:r w:rsidR="001520F1" w:rsidRPr="00B457F5">
        <w:rPr>
          <w:rFonts w:ascii="Garamond" w:eastAsia="MS Mincho" w:hAnsi="Garamond" w:cs="Times New Roman"/>
          <w:szCs w:val="24"/>
        </w:rPr>
        <w:t xml:space="preserve">njeh faktin që statistikat demografike të migrimit, popullsisë dhe </w:t>
      </w:r>
      <w:r w:rsidR="00B62205" w:rsidRPr="00B457F5">
        <w:rPr>
          <w:rFonts w:ascii="Garamond" w:eastAsia="MS Mincho" w:hAnsi="Garamond" w:cs="Times New Roman"/>
          <w:szCs w:val="24"/>
        </w:rPr>
        <w:t xml:space="preserve">parashikimet </w:t>
      </w:r>
      <w:r w:rsidR="001520F1" w:rsidRPr="00B457F5">
        <w:rPr>
          <w:rFonts w:ascii="Garamond" w:eastAsia="MS Mincho" w:hAnsi="Garamond" w:cs="Times New Roman"/>
          <w:szCs w:val="24"/>
        </w:rPr>
        <w:t>e tyre janë pjesërisht në përputhje me rregulloret e BE-së</w:t>
      </w:r>
      <w:r w:rsidR="00242F59" w:rsidRPr="00B457F5">
        <w:rPr>
          <w:rFonts w:ascii="Garamond" w:eastAsia="MS Mincho" w:hAnsi="Garamond" w:cs="Times New Roman"/>
          <w:szCs w:val="24"/>
        </w:rPr>
        <w:t>,</w:t>
      </w:r>
      <w:r w:rsidR="001520F1" w:rsidRPr="00B457F5">
        <w:rPr>
          <w:rFonts w:ascii="Garamond" w:eastAsia="MS Mincho" w:hAnsi="Garamond" w:cs="Times New Roman"/>
          <w:szCs w:val="24"/>
        </w:rPr>
        <w:t xml:space="preserve"> për statistikat demografike evropiane (</w:t>
      </w:r>
      <w:r w:rsidR="00B95279" w:rsidRPr="00B457F5">
        <w:rPr>
          <w:rFonts w:ascii="Garamond" w:eastAsia="MS Mincho" w:hAnsi="Garamond" w:cs="Times New Roman"/>
          <w:szCs w:val="24"/>
        </w:rPr>
        <w:t xml:space="preserve">rregullorja </w:t>
      </w:r>
      <w:r w:rsidR="001520F1" w:rsidRPr="00B457F5">
        <w:rPr>
          <w:rFonts w:ascii="Garamond" w:eastAsia="MS Mincho" w:hAnsi="Garamond" w:cs="Times New Roman"/>
          <w:szCs w:val="24"/>
        </w:rPr>
        <w:t xml:space="preserve">126/2013) dhe mbi statistikat e </w:t>
      </w:r>
      <w:r w:rsidR="00242F59" w:rsidRPr="00B457F5">
        <w:rPr>
          <w:rFonts w:ascii="Garamond" w:eastAsia="MS Mincho" w:hAnsi="Garamond" w:cs="Times New Roman"/>
          <w:szCs w:val="24"/>
        </w:rPr>
        <w:t xml:space="preserve">komunitetit </w:t>
      </w:r>
      <w:r w:rsidR="001520F1" w:rsidRPr="00B457F5">
        <w:rPr>
          <w:rFonts w:ascii="Garamond" w:eastAsia="MS Mincho" w:hAnsi="Garamond" w:cs="Times New Roman"/>
          <w:szCs w:val="24"/>
        </w:rPr>
        <w:t>për migracionin dhe mbrojtjen ndërkombëtare (</w:t>
      </w:r>
      <w:r w:rsidR="00B95279" w:rsidRPr="00B457F5">
        <w:rPr>
          <w:rFonts w:ascii="Garamond" w:eastAsia="MS Mincho" w:hAnsi="Garamond" w:cs="Times New Roman"/>
          <w:szCs w:val="24"/>
        </w:rPr>
        <w:t xml:space="preserve">rregullorja </w:t>
      </w:r>
      <w:r w:rsidR="001520F1" w:rsidRPr="00B457F5">
        <w:rPr>
          <w:rFonts w:ascii="Garamond" w:eastAsia="MS Mincho" w:hAnsi="Garamond" w:cs="Times New Roman"/>
          <w:szCs w:val="24"/>
        </w:rPr>
        <w:t>862/2007)</w:t>
      </w:r>
      <w:r w:rsidR="00242F59" w:rsidRPr="00B457F5">
        <w:rPr>
          <w:rFonts w:ascii="Garamond" w:eastAsia="MS Mincho" w:hAnsi="Garamond" w:cs="Times New Roman"/>
          <w:szCs w:val="24"/>
        </w:rPr>
        <w:t>,</w:t>
      </w:r>
      <w:r w:rsidR="001520F1" w:rsidRPr="00B457F5">
        <w:rPr>
          <w:rFonts w:ascii="Garamond" w:eastAsia="MS Mincho" w:hAnsi="Garamond" w:cs="Times New Roman"/>
          <w:szCs w:val="24"/>
        </w:rPr>
        <w:t xml:space="preserve"> dhe zbaton të nj</w:t>
      </w:r>
      <w:r w:rsidR="00B62205" w:rsidRPr="00B457F5">
        <w:rPr>
          <w:rFonts w:ascii="Garamond" w:eastAsia="MS Mincho" w:hAnsi="Garamond" w:cs="Times New Roman"/>
          <w:szCs w:val="24"/>
        </w:rPr>
        <w:t>ë</w:t>
      </w:r>
      <w:r w:rsidR="001520F1" w:rsidRPr="00B457F5">
        <w:rPr>
          <w:rFonts w:ascii="Garamond" w:eastAsia="MS Mincho" w:hAnsi="Garamond" w:cs="Times New Roman"/>
          <w:szCs w:val="24"/>
        </w:rPr>
        <w:t xml:space="preserve">jtat përkufizime dhe klasifikime. </w:t>
      </w:r>
      <w:r w:rsidR="006C49B7" w:rsidRPr="00B457F5">
        <w:rPr>
          <w:rFonts w:ascii="Garamond" w:eastAsia="MS Mincho" w:hAnsi="Garamond" w:cs="Times New Roman"/>
          <w:szCs w:val="24"/>
        </w:rPr>
        <w:t xml:space="preserve">Në një farë mase, ka një përmirësim në lidhje me rritjen e gamës së treguesve të prodhuar dhe numrin e tabelave të transmetuara në </w:t>
      </w:r>
      <w:r w:rsidR="000B7E4C" w:rsidRPr="00B457F5">
        <w:rPr>
          <w:rFonts w:ascii="Garamond" w:eastAsia="MS Mincho" w:hAnsi="Garamond" w:cs="Times New Roman"/>
          <w:szCs w:val="24"/>
        </w:rPr>
        <w:t>EUROSTAT</w:t>
      </w:r>
      <w:r w:rsidR="006C49B7" w:rsidRPr="00B457F5">
        <w:rPr>
          <w:rFonts w:ascii="Garamond" w:eastAsia="MS Mincho" w:hAnsi="Garamond" w:cs="Times New Roman"/>
          <w:szCs w:val="24"/>
        </w:rPr>
        <w:t xml:space="preserve">. Megjithatë, kërkohet një nivel më i lartë i harmonizimit me </w:t>
      </w:r>
      <w:r w:rsidR="006C49B7" w:rsidRPr="00B457F5">
        <w:rPr>
          <w:rFonts w:ascii="Garamond" w:eastAsia="MS Mincho" w:hAnsi="Garamond" w:cs="Times New Roman"/>
          <w:i/>
          <w:iCs/>
          <w:szCs w:val="24"/>
        </w:rPr>
        <w:t>acquis</w:t>
      </w:r>
      <w:r w:rsidR="00B62205" w:rsidRPr="00B457F5">
        <w:rPr>
          <w:rFonts w:ascii="Garamond" w:eastAsia="MS Mincho" w:hAnsi="Garamond" w:cs="Times New Roman"/>
          <w:szCs w:val="24"/>
        </w:rPr>
        <w:t>-in</w:t>
      </w:r>
      <w:r w:rsidR="006C49B7" w:rsidRPr="00B457F5">
        <w:rPr>
          <w:rFonts w:ascii="Garamond" w:eastAsia="MS Mincho" w:hAnsi="Garamond" w:cs="Times New Roman"/>
          <w:szCs w:val="24"/>
        </w:rPr>
        <w:t xml:space="preserve"> </w:t>
      </w:r>
      <w:r w:rsidR="00B62205" w:rsidRPr="00B457F5">
        <w:rPr>
          <w:rFonts w:ascii="Garamond" w:eastAsia="MS Mincho" w:hAnsi="Garamond" w:cs="Times New Roman"/>
          <w:szCs w:val="24"/>
        </w:rPr>
        <w:t>e</w:t>
      </w:r>
      <w:r w:rsidR="006C49B7" w:rsidRPr="00B457F5">
        <w:rPr>
          <w:rFonts w:ascii="Garamond" w:eastAsia="MS Mincho" w:hAnsi="Garamond" w:cs="Times New Roman"/>
          <w:szCs w:val="24"/>
        </w:rPr>
        <w:t xml:space="preserve"> BE-së</w:t>
      </w:r>
      <w:r w:rsidR="00242F59" w:rsidRPr="00B457F5">
        <w:rPr>
          <w:rFonts w:ascii="Garamond" w:eastAsia="MS Mincho" w:hAnsi="Garamond" w:cs="Times New Roman"/>
          <w:szCs w:val="24"/>
        </w:rPr>
        <w:t>,</w:t>
      </w:r>
      <w:r w:rsidR="006C49B7" w:rsidRPr="00B457F5">
        <w:rPr>
          <w:rFonts w:ascii="Garamond" w:eastAsia="MS Mincho" w:hAnsi="Garamond" w:cs="Times New Roman"/>
          <w:szCs w:val="24"/>
        </w:rPr>
        <w:t xml:space="preserve"> përmes harmonizimit të metodologjisë për monitorimin e migracionit dhe azilkërkuesve. Që nga viti 2017, të dhënat për azilkërkuesit dhe të huajt që jetojnë </w:t>
      </w:r>
      <w:r w:rsidR="006C49B7" w:rsidRPr="00B457F5">
        <w:rPr>
          <w:rFonts w:ascii="Garamond" w:eastAsia="MS Mincho" w:hAnsi="Garamond" w:cs="Times New Roman"/>
          <w:color w:val="0D0D0D" w:themeColor="text1" w:themeTint="F2"/>
          <w:szCs w:val="24"/>
        </w:rPr>
        <w:t>në Shqipëri publikohen çdo vit</w:t>
      </w:r>
      <w:r w:rsidR="00A619CA" w:rsidRPr="00B457F5">
        <w:rPr>
          <w:rFonts w:ascii="Garamond" w:eastAsia="MS Mincho" w:hAnsi="Garamond" w:cs="Times New Roman"/>
          <w:color w:val="0D0D0D" w:themeColor="text1" w:themeTint="F2"/>
          <w:szCs w:val="24"/>
        </w:rPr>
        <w:t>.</w:t>
      </w:r>
    </w:p>
    <w:p w14:paraId="49910F03" w14:textId="6FC3DB0C" w:rsidR="00D14B1D" w:rsidRPr="00B457F5" w:rsidRDefault="00365D78" w:rsidP="002E693B">
      <w:pPr>
        <w:spacing w:before="0" w:after="0"/>
        <w:ind w:firstLine="284"/>
        <w:rPr>
          <w:rFonts w:ascii="Garamond" w:eastAsia="MS Mincho" w:hAnsi="Garamond" w:cs="Times New Roman"/>
          <w:color w:val="0D0D0D" w:themeColor="text1" w:themeTint="F2"/>
          <w:szCs w:val="24"/>
        </w:rPr>
      </w:pPr>
      <w:r w:rsidRPr="00B457F5">
        <w:rPr>
          <w:rFonts w:ascii="Garamond" w:eastAsia="MS Mincho" w:hAnsi="Garamond" w:cs="Times New Roman"/>
          <w:color w:val="0D0D0D" w:themeColor="text1" w:themeTint="F2"/>
          <w:szCs w:val="24"/>
        </w:rPr>
        <w:t>Përmirësimi i administrimit të të dhënave për migracionin nëpërmjet aksesit në një sistem të përbashkët për menaxhimin e informacionit ka shënuar progres me hartimin e Udhërrëfyesit për Statistikat e Migracionit në Shqipëri dhe zhvillimin e programit të trajnimit për të dhënat dhe statistikat e migracionit</w:t>
      </w:r>
      <w:r w:rsidR="0023185E" w:rsidRPr="00B457F5">
        <w:rPr>
          <w:rFonts w:ascii="Garamond" w:eastAsia="MS Mincho" w:hAnsi="Garamond" w:cs="Times New Roman"/>
          <w:color w:val="0D0D0D" w:themeColor="text1" w:themeTint="F2"/>
          <w:szCs w:val="24"/>
        </w:rPr>
        <w:t>,</w:t>
      </w:r>
      <w:r w:rsidRPr="00B457F5">
        <w:rPr>
          <w:rFonts w:ascii="Garamond" w:eastAsia="MS Mincho" w:hAnsi="Garamond" w:cs="Times New Roman"/>
          <w:color w:val="0D0D0D" w:themeColor="text1" w:themeTint="F2"/>
          <w:szCs w:val="24"/>
        </w:rPr>
        <w:t xml:space="preserve"> për motive punësimi</w:t>
      </w:r>
      <w:r w:rsidR="0023185E" w:rsidRPr="00B457F5">
        <w:rPr>
          <w:rFonts w:ascii="Garamond" w:eastAsia="MS Mincho" w:hAnsi="Garamond" w:cs="Times New Roman"/>
          <w:color w:val="0D0D0D" w:themeColor="text1" w:themeTint="F2"/>
          <w:szCs w:val="24"/>
        </w:rPr>
        <w:t>,</w:t>
      </w:r>
      <w:r w:rsidRPr="00B457F5">
        <w:rPr>
          <w:rFonts w:ascii="Garamond" w:eastAsia="MS Mincho" w:hAnsi="Garamond" w:cs="Times New Roman"/>
          <w:color w:val="0D0D0D" w:themeColor="text1" w:themeTint="F2"/>
          <w:szCs w:val="24"/>
        </w:rPr>
        <w:t xml:space="preserve"> për Institutin e Statistikave (INSTAT) dhe zyrtarë</w:t>
      </w:r>
      <w:r w:rsidR="00D14B1D" w:rsidRPr="00B457F5">
        <w:rPr>
          <w:rFonts w:ascii="Garamond" w:eastAsia="MS Mincho" w:hAnsi="Garamond" w:cs="Times New Roman"/>
          <w:color w:val="0D0D0D" w:themeColor="text1" w:themeTint="F2"/>
          <w:szCs w:val="24"/>
        </w:rPr>
        <w:t>t</w:t>
      </w:r>
      <w:r w:rsidRPr="00B457F5">
        <w:rPr>
          <w:rFonts w:ascii="Garamond" w:eastAsia="MS Mincho" w:hAnsi="Garamond" w:cs="Times New Roman"/>
          <w:color w:val="0D0D0D" w:themeColor="text1" w:themeTint="F2"/>
          <w:szCs w:val="24"/>
        </w:rPr>
        <w:t xml:space="preserve"> </w:t>
      </w:r>
      <w:r w:rsidR="00D14B1D" w:rsidRPr="00B457F5">
        <w:rPr>
          <w:rFonts w:ascii="Garamond" w:eastAsia="MS Mincho" w:hAnsi="Garamond" w:cs="Times New Roman"/>
          <w:color w:val="0D0D0D" w:themeColor="text1" w:themeTint="F2"/>
          <w:szCs w:val="24"/>
        </w:rPr>
        <w:t>e</w:t>
      </w:r>
      <w:r w:rsidRPr="00B457F5">
        <w:rPr>
          <w:rFonts w:ascii="Garamond" w:eastAsia="MS Mincho" w:hAnsi="Garamond" w:cs="Times New Roman"/>
          <w:color w:val="0D0D0D" w:themeColor="text1" w:themeTint="F2"/>
          <w:szCs w:val="24"/>
        </w:rPr>
        <w:t xml:space="preserve"> tjerë publikë të përfshirë. Pavarësisht përpjekjeve të deritanishme për përdorimin efektiv të të dhënave të migracionit</w:t>
      </w:r>
      <w:r w:rsidR="0023185E" w:rsidRPr="00B457F5">
        <w:rPr>
          <w:rFonts w:ascii="Garamond" w:eastAsia="MS Mincho" w:hAnsi="Garamond" w:cs="Times New Roman"/>
          <w:color w:val="0D0D0D" w:themeColor="text1" w:themeTint="F2"/>
          <w:szCs w:val="24"/>
        </w:rPr>
        <w:t>,</w:t>
      </w:r>
      <w:r w:rsidRPr="00B457F5">
        <w:rPr>
          <w:rFonts w:ascii="Garamond" w:eastAsia="MS Mincho" w:hAnsi="Garamond" w:cs="Times New Roman"/>
          <w:color w:val="0D0D0D" w:themeColor="text1" w:themeTint="F2"/>
          <w:szCs w:val="24"/>
        </w:rPr>
        <w:t xml:space="preserve"> </w:t>
      </w:r>
      <w:r w:rsidR="0045106F" w:rsidRPr="00B457F5">
        <w:rPr>
          <w:rFonts w:ascii="Garamond" w:eastAsia="MS Mincho" w:hAnsi="Garamond" w:cs="Times New Roman"/>
          <w:color w:val="0D0D0D" w:themeColor="text1" w:themeTint="F2"/>
          <w:szCs w:val="24"/>
        </w:rPr>
        <w:t xml:space="preserve">për </w:t>
      </w:r>
      <w:r w:rsidRPr="00B457F5">
        <w:rPr>
          <w:rFonts w:ascii="Garamond" w:eastAsia="MS Mincho" w:hAnsi="Garamond" w:cs="Times New Roman"/>
          <w:color w:val="0D0D0D" w:themeColor="text1" w:themeTint="F2"/>
          <w:szCs w:val="24"/>
        </w:rPr>
        <w:t>hartimin dhe monitorimin e politikave të lidhura me migracionin, ka ende sfida për</w:t>
      </w:r>
      <w:r w:rsidR="00A313AE" w:rsidRPr="00B457F5">
        <w:rPr>
          <w:rFonts w:ascii="Garamond" w:eastAsia="MS Mincho" w:hAnsi="Garamond" w:cs="Times New Roman"/>
          <w:color w:val="0D0D0D" w:themeColor="text1" w:themeTint="F2"/>
          <w:szCs w:val="24"/>
        </w:rPr>
        <w:t xml:space="preserve"> t’u </w:t>
      </w:r>
      <w:r w:rsidR="0045106F" w:rsidRPr="00B457F5">
        <w:rPr>
          <w:rFonts w:ascii="Garamond" w:eastAsia="MS Mincho" w:hAnsi="Garamond" w:cs="Times New Roman"/>
          <w:color w:val="0D0D0D" w:themeColor="text1" w:themeTint="F2"/>
          <w:szCs w:val="24"/>
        </w:rPr>
        <w:t>trajtuar</w:t>
      </w:r>
      <w:r w:rsidRPr="00B457F5">
        <w:rPr>
          <w:rFonts w:ascii="Garamond" w:eastAsia="MS Mincho" w:hAnsi="Garamond" w:cs="Times New Roman"/>
          <w:color w:val="0D0D0D" w:themeColor="text1" w:themeTint="F2"/>
          <w:szCs w:val="24"/>
        </w:rPr>
        <w:t xml:space="preserve">. </w:t>
      </w:r>
    </w:p>
    <w:p w14:paraId="13D29C77" w14:textId="76328679" w:rsidR="006501B6" w:rsidRPr="00B457F5" w:rsidRDefault="006501B6"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Mungesa e standardizimit që ndikon në cilësinë e të dhënave, si dhe kapacitetet e pamjaftueshme të zyrtarëve publikë në nivel </w:t>
      </w:r>
      <w:r w:rsidR="00D61C3D" w:rsidRPr="00B457F5">
        <w:rPr>
          <w:rFonts w:ascii="Garamond" w:eastAsia="MS Mincho" w:hAnsi="Garamond" w:cs="Times New Roman"/>
          <w:szCs w:val="24"/>
        </w:rPr>
        <w:t>ven</w:t>
      </w:r>
      <w:r w:rsidR="00B968DD" w:rsidRPr="00B457F5">
        <w:rPr>
          <w:rFonts w:ascii="Garamond" w:eastAsia="MS Mincho" w:hAnsi="Garamond" w:cs="Times New Roman"/>
          <w:szCs w:val="24"/>
        </w:rPr>
        <w:t>dor</w:t>
      </w:r>
      <w:r w:rsidR="00D61C3D" w:rsidRPr="00B457F5">
        <w:rPr>
          <w:rFonts w:ascii="Garamond" w:eastAsia="MS Mincho" w:hAnsi="Garamond" w:cs="Times New Roman"/>
          <w:szCs w:val="24"/>
        </w:rPr>
        <w:t xml:space="preserve"> </w:t>
      </w:r>
      <w:r w:rsidRPr="00B457F5">
        <w:rPr>
          <w:rFonts w:ascii="Garamond" w:eastAsia="MS Mincho" w:hAnsi="Garamond" w:cs="Times New Roman"/>
          <w:szCs w:val="24"/>
        </w:rPr>
        <w:t>dhe kombëtar për të mbledhur, menaxhuar dhe përpunuar të dhëna</w:t>
      </w:r>
      <w:r w:rsidR="00B968DD" w:rsidRPr="00B457F5">
        <w:rPr>
          <w:rFonts w:ascii="Garamond" w:eastAsia="MS Mincho" w:hAnsi="Garamond" w:cs="Times New Roman"/>
          <w:szCs w:val="24"/>
        </w:rPr>
        <w:t>,</w:t>
      </w:r>
      <w:r w:rsidRPr="00B457F5">
        <w:rPr>
          <w:rFonts w:ascii="Garamond" w:eastAsia="MS Mincho" w:hAnsi="Garamond" w:cs="Times New Roman"/>
          <w:szCs w:val="24"/>
        </w:rPr>
        <w:t xml:space="preserve"> lidhur me migracionin, vazhdojnë të jenë çështje shqetësuese. Gjithashtu, kërkohen përpjekje dhe angazhim </w:t>
      </w:r>
      <w:r w:rsidR="00D61C3D" w:rsidRPr="00B457F5">
        <w:rPr>
          <w:rFonts w:ascii="Garamond" w:eastAsia="MS Mincho" w:hAnsi="Garamond" w:cs="Times New Roman"/>
          <w:szCs w:val="24"/>
        </w:rPr>
        <w:t xml:space="preserve">i </w:t>
      </w:r>
      <w:r w:rsidRPr="00B457F5">
        <w:rPr>
          <w:rFonts w:ascii="Garamond" w:eastAsia="MS Mincho" w:hAnsi="Garamond" w:cs="Times New Roman"/>
          <w:szCs w:val="24"/>
        </w:rPr>
        <w:t>mëtejsh</w:t>
      </w:r>
      <w:r w:rsidR="00D61C3D" w:rsidRPr="00B457F5">
        <w:rPr>
          <w:rFonts w:ascii="Garamond" w:eastAsia="MS Mincho" w:hAnsi="Garamond" w:cs="Times New Roman"/>
          <w:szCs w:val="24"/>
        </w:rPr>
        <w:t>ë</w:t>
      </w:r>
      <w:r w:rsidRPr="00B457F5">
        <w:rPr>
          <w:rFonts w:ascii="Garamond" w:eastAsia="MS Mincho" w:hAnsi="Garamond" w:cs="Times New Roman"/>
          <w:szCs w:val="24"/>
        </w:rPr>
        <w:t>m nga ministritë e linjës (MB, MEF, MSHMSH, MEPJ) dhe institucionet dhe agjencitë në varësi të tyre</w:t>
      </w:r>
      <w:r w:rsidR="00B968DD" w:rsidRPr="00B457F5">
        <w:rPr>
          <w:rFonts w:ascii="Garamond" w:eastAsia="MS Mincho" w:hAnsi="Garamond" w:cs="Times New Roman"/>
          <w:szCs w:val="24"/>
        </w:rPr>
        <w:t>,</w:t>
      </w:r>
      <w:r w:rsidRPr="00B457F5">
        <w:rPr>
          <w:rFonts w:ascii="Garamond" w:eastAsia="MS Mincho" w:hAnsi="Garamond" w:cs="Times New Roman"/>
          <w:szCs w:val="24"/>
        </w:rPr>
        <w:t xml:space="preserve"> si</w:t>
      </w:r>
      <w:r w:rsidR="00B968DD" w:rsidRPr="00B457F5">
        <w:rPr>
          <w:rFonts w:ascii="Garamond" w:eastAsia="MS Mincho" w:hAnsi="Garamond" w:cs="Times New Roman"/>
          <w:szCs w:val="24"/>
        </w:rPr>
        <w:t>:</w:t>
      </w:r>
      <w:r w:rsidRPr="00B457F5">
        <w:rPr>
          <w:rFonts w:ascii="Garamond" w:eastAsia="MS Mincho" w:hAnsi="Garamond" w:cs="Times New Roman"/>
          <w:szCs w:val="24"/>
        </w:rPr>
        <w:t xml:space="preserve"> AKPA</w:t>
      </w:r>
      <w:r w:rsidR="00B968DD" w:rsidRPr="00B457F5">
        <w:rPr>
          <w:rFonts w:ascii="Garamond" w:eastAsia="MS Mincho" w:hAnsi="Garamond" w:cs="Times New Roman"/>
          <w:szCs w:val="24"/>
        </w:rPr>
        <w:t>-ja</w:t>
      </w:r>
      <w:r w:rsidRPr="00B457F5">
        <w:rPr>
          <w:rFonts w:ascii="Garamond" w:eastAsia="MS Mincho" w:hAnsi="Garamond" w:cs="Times New Roman"/>
          <w:szCs w:val="24"/>
        </w:rPr>
        <w:t>, Drejtoria e Përgjithshme e Policisë së Shtetit, AIDA, Shërbimi Social Shtetëror, etj.</w:t>
      </w:r>
      <w:r w:rsidR="00B968DD" w:rsidRPr="00B457F5">
        <w:rPr>
          <w:rFonts w:ascii="Garamond" w:eastAsia="MS Mincho" w:hAnsi="Garamond" w:cs="Times New Roman"/>
          <w:szCs w:val="24"/>
        </w:rPr>
        <w:t>,</w:t>
      </w:r>
      <w:r w:rsidRPr="00B457F5">
        <w:rPr>
          <w:rFonts w:ascii="Garamond" w:eastAsia="MS Mincho" w:hAnsi="Garamond" w:cs="Times New Roman"/>
          <w:szCs w:val="24"/>
        </w:rPr>
        <w:t xml:space="preserve"> për të përmbushur objektivat e përcaktuar </w:t>
      </w:r>
      <w:r w:rsidR="00D61C3D" w:rsidRPr="00B457F5">
        <w:rPr>
          <w:rFonts w:ascii="Garamond" w:eastAsia="MS Mincho" w:hAnsi="Garamond" w:cs="Times New Roman"/>
          <w:szCs w:val="24"/>
        </w:rPr>
        <w:t xml:space="preserve">në </w:t>
      </w:r>
      <w:r w:rsidRPr="00B457F5">
        <w:rPr>
          <w:rFonts w:ascii="Garamond" w:eastAsia="MS Mincho" w:hAnsi="Garamond" w:cs="Times New Roman"/>
          <w:szCs w:val="24"/>
        </w:rPr>
        <w:t>Programi</w:t>
      </w:r>
      <w:r w:rsidR="00E06F2A" w:rsidRPr="00B457F5">
        <w:rPr>
          <w:rFonts w:ascii="Garamond" w:eastAsia="MS Mincho" w:hAnsi="Garamond" w:cs="Times New Roman"/>
          <w:szCs w:val="24"/>
        </w:rPr>
        <w:t>n</w:t>
      </w:r>
      <w:r w:rsidRPr="00B457F5">
        <w:rPr>
          <w:rFonts w:ascii="Garamond" w:eastAsia="MS Mincho" w:hAnsi="Garamond" w:cs="Times New Roman"/>
          <w:szCs w:val="24"/>
        </w:rPr>
        <w:t xml:space="preserve"> </w:t>
      </w:r>
      <w:r w:rsidR="00E06F2A" w:rsidRPr="00B457F5">
        <w:rPr>
          <w:rFonts w:ascii="Garamond" w:eastAsia="MS Mincho" w:hAnsi="Garamond" w:cs="Times New Roman"/>
          <w:szCs w:val="24"/>
        </w:rPr>
        <w:t>e</w:t>
      </w:r>
      <w:r w:rsidRPr="00B457F5">
        <w:rPr>
          <w:rFonts w:ascii="Garamond" w:eastAsia="MS Mincho" w:hAnsi="Garamond" w:cs="Times New Roman"/>
          <w:szCs w:val="24"/>
        </w:rPr>
        <w:t xml:space="preserve"> Statistikave Zyrtare (2022</w:t>
      </w:r>
      <w:r w:rsidR="004D6364" w:rsidRPr="00B457F5">
        <w:rPr>
          <w:rStyle w:val="contentpasted1"/>
          <w:rFonts w:ascii="Garamond" w:hAnsi="Garamond" w:cs="Times New Roman"/>
          <w:color w:val="000000"/>
        </w:rPr>
        <w:t>–</w:t>
      </w:r>
      <w:r w:rsidRPr="00B457F5">
        <w:rPr>
          <w:rFonts w:ascii="Garamond" w:eastAsia="MS Mincho" w:hAnsi="Garamond" w:cs="Times New Roman"/>
          <w:szCs w:val="24"/>
        </w:rPr>
        <w:t>2026).</w:t>
      </w:r>
    </w:p>
    <w:p w14:paraId="1A835C8C" w14:textId="0CD88650" w:rsidR="00B26E03" w:rsidRPr="00B457F5" w:rsidRDefault="00B26E03"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SKZHIE</w:t>
      </w:r>
      <w:r w:rsidR="00E06F2A" w:rsidRPr="00B457F5">
        <w:rPr>
          <w:rFonts w:ascii="Garamond" w:eastAsia="MS Mincho" w:hAnsi="Garamond" w:cs="Times New Roman"/>
          <w:szCs w:val="24"/>
        </w:rPr>
        <w:t>-ja</w:t>
      </w:r>
      <w:r w:rsidRPr="00B457F5">
        <w:rPr>
          <w:rFonts w:ascii="Garamond" w:eastAsia="MS Mincho" w:hAnsi="Garamond" w:cs="Times New Roman"/>
          <w:szCs w:val="24"/>
        </w:rPr>
        <w:t xml:space="preserve"> thekson analizën e tendencave migratore dhe treguesve migratorë për të arritur objektivat e politikës së migracionit. Për periudhën e ardhshme deri në vitin 2030, sfidat e lidhura me statistikat përfshijnë forcimin e rolit të Sistemit Kombëtar të Statistikave për të furnizuar institucionet publike me statistika zyrtare të mjaftueshme, të sakta dhe transparente, nëpërmjet mobilizimit të burimeve për financimin e programeve dhe projekteve statistikore, duke rritur kapacitetet e </w:t>
      </w:r>
      <w:r w:rsidR="00D5262B" w:rsidRPr="00B457F5">
        <w:rPr>
          <w:rFonts w:ascii="Garamond" w:eastAsia="MS Mincho" w:hAnsi="Garamond" w:cs="Times New Roman"/>
          <w:szCs w:val="24"/>
        </w:rPr>
        <w:t xml:space="preserve">personelit </w:t>
      </w:r>
      <w:r w:rsidR="00D8521D" w:rsidRPr="00B457F5">
        <w:rPr>
          <w:rFonts w:ascii="Garamond" w:eastAsia="MS Mincho" w:hAnsi="Garamond" w:cs="Times New Roman"/>
          <w:szCs w:val="24"/>
        </w:rPr>
        <w:t>t</w:t>
      </w:r>
      <w:r w:rsidR="00B0743F" w:rsidRPr="00B457F5">
        <w:rPr>
          <w:rFonts w:ascii="Garamond" w:eastAsia="MS Mincho" w:hAnsi="Garamond" w:cs="Times New Roman"/>
          <w:szCs w:val="24"/>
        </w:rPr>
        <w:t>ë</w:t>
      </w:r>
      <w:r w:rsidRPr="00B457F5">
        <w:rPr>
          <w:rFonts w:ascii="Garamond" w:eastAsia="MS Mincho" w:hAnsi="Garamond" w:cs="Times New Roman"/>
          <w:szCs w:val="24"/>
        </w:rPr>
        <w:t xml:space="preserve"> ministrive/institucioneve të angazhuara </w:t>
      </w:r>
      <w:r w:rsidR="00E06F2A" w:rsidRPr="00B457F5">
        <w:rPr>
          <w:rFonts w:ascii="Garamond" w:eastAsia="MS Mincho" w:hAnsi="Garamond" w:cs="Times New Roman"/>
          <w:szCs w:val="24"/>
        </w:rPr>
        <w:t xml:space="preserve">për </w:t>
      </w:r>
      <w:r w:rsidRPr="00B457F5">
        <w:rPr>
          <w:rFonts w:ascii="Garamond" w:eastAsia="MS Mincho" w:hAnsi="Garamond" w:cs="Times New Roman"/>
          <w:szCs w:val="24"/>
        </w:rPr>
        <w:t>mbledhjen e të dhënave/statistikave.</w:t>
      </w:r>
    </w:p>
    <w:p w14:paraId="6A1BE6D9" w14:textId="09210569" w:rsidR="00B26E03" w:rsidRPr="00B457F5" w:rsidRDefault="00B26E03"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Një synim i rëndësishëm është përmirësimi i cilësisë së informacionit të ofruar nga institucionet, rritja e bashkëpunimit ndërinstitucional, duke i konsideruar statistikat zyrtare </w:t>
      </w:r>
      <w:r w:rsidR="00D8521D" w:rsidRPr="00B457F5">
        <w:rPr>
          <w:rFonts w:ascii="Garamond" w:eastAsia="MS Mincho" w:hAnsi="Garamond" w:cs="Times New Roman"/>
          <w:szCs w:val="24"/>
        </w:rPr>
        <w:t xml:space="preserve">si </w:t>
      </w:r>
      <w:r w:rsidRPr="00B457F5">
        <w:rPr>
          <w:rFonts w:ascii="Garamond" w:eastAsia="MS Mincho" w:hAnsi="Garamond" w:cs="Times New Roman"/>
          <w:szCs w:val="24"/>
        </w:rPr>
        <w:t xml:space="preserve">një të mirë publike dhe shërbim për përdoruesit publik. Statistikat e besueshme dhe të sakta krijojnë bazën për zhvillimin dhe marrjen e masave </w:t>
      </w:r>
      <w:r w:rsidR="004957A8" w:rsidRPr="00B457F5">
        <w:rPr>
          <w:rFonts w:ascii="Garamond" w:eastAsia="MS Mincho" w:hAnsi="Garamond" w:cs="Times New Roman"/>
          <w:szCs w:val="24"/>
        </w:rPr>
        <w:t>të përshtatshme</w:t>
      </w:r>
      <w:r w:rsidR="006302A8" w:rsidRPr="00B457F5">
        <w:rPr>
          <w:rFonts w:ascii="Garamond" w:eastAsia="MS Mincho" w:hAnsi="Garamond" w:cs="Times New Roman"/>
          <w:szCs w:val="24"/>
        </w:rPr>
        <w:t>,</w:t>
      </w:r>
      <w:r w:rsidR="004957A8" w:rsidRPr="00B457F5">
        <w:rPr>
          <w:rFonts w:ascii="Garamond" w:eastAsia="MS Mincho" w:hAnsi="Garamond" w:cs="Times New Roman"/>
          <w:szCs w:val="24"/>
        </w:rPr>
        <w:t xml:space="preserve"> </w:t>
      </w:r>
      <w:r w:rsidRPr="00B457F5">
        <w:rPr>
          <w:rFonts w:ascii="Garamond" w:eastAsia="MS Mincho" w:hAnsi="Garamond" w:cs="Times New Roman"/>
          <w:szCs w:val="24"/>
        </w:rPr>
        <w:t>në përputhje me treguesit dhe tendencat e migracionit, si dhe për të parandaluar faktorët që nxisin emigracionin dhe motivojnë kthimin e emigrantëve aktualë.</w:t>
      </w:r>
    </w:p>
    <w:p w14:paraId="2DA79F8D" w14:textId="3F370F62" w:rsidR="00783BF2" w:rsidRPr="00B457F5" w:rsidRDefault="00D8521D" w:rsidP="00783BF2">
      <w:pPr>
        <w:spacing w:before="0" w:after="0"/>
        <w:ind w:firstLine="284"/>
        <w:rPr>
          <w:rFonts w:ascii="Garamond" w:eastAsia="MS Mincho" w:hAnsi="Garamond" w:cs="Times New Roman"/>
          <w:szCs w:val="24"/>
        </w:rPr>
      </w:pPr>
      <w:r w:rsidRPr="00B457F5">
        <w:rPr>
          <w:rFonts w:ascii="Garamond" w:eastAsia="MS Mincho" w:hAnsi="Garamond" w:cs="Times New Roman"/>
          <w:bCs/>
          <w:szCs w:val="24"/>
        </w:rPr>
        <w:t xml:space="preserve">Krijimi dhe funksionimi </w:t>
      </w:r>
      <w:r w:rsidRPr="00B457F5">
        <w:rPr>
          <w:rFonts w:ascii="Garamond" w:eastAsia="MS Mincho" w:hAnsi="Garamond" w:cs="Times New Roman"/>
          <w:iCs/>
          <w:szCs w:val="24"/>
        </w:rPr>
        <w:t>i regjistrit elektronik p</w:t>
      </w:r>
      <w:r w:rsidR="00B0743F" w:rsidRPr="00B457F5">
        <w:rPr>
          <w:rFonts w:ascii="Garamond" w:eastAsia="MS Mincho" w:hAnsi="Garamond" w:cs="Times New Roman"/>
          <w:iCs/>
          <w:szCs w:val="24"/>
        </w:rPr>
        <w:t>ë</w:t>
      </w:r>
      <w:r w:rsidRPr="00B457F5">
        <w:rPr>
          <w:rFonts w:ascii="Garamond" w:eastAsia="MS Mincho" w:hAnsi="Garamond" w:cs="Times New Roman"/>
          <w:iCs/>
          <w:szCs w:val="24"/>
        </w:rPr>
        <w:t>r t</w:t>
      </w:r>
      <w:r w:rsidR="00B0743F" w:rsidRPr="00B457F5">
        <w:rPr>
          <w:rFonts w:ascii="Garamond" w:eastAsia="MS Mincho" w:hAnsi="Garamond" w:cs="Times New Roman"/>
          <w:iCs/>
          <w:szCs w:val="24"/>
        </w:rPr>
        <w:t>ë</w:t>
      </w:r>
      <w:r w:rsidRPr="00B457F5">
        <w:rPr>
          <w:rFonts w:ascii="Garamond" w:eastAsia="MS Mincho" w:hAnsi="Garamond" w:cs="Times New Roman"/>
          <w:iCs/>
          <w:szCs w:val="24"/>
        </w:rPr>
        <w:t xml:space="preserve"> huajt</w:t>
      </w:r>
      <w:r w:rsidR="00A619CA" w:rsidRPr="00B457F5">
        <w:rPr>
          <w:rFonts w:ascii="Garamond" w:eastAsia="MS Mincho" w:hAnsi="Garamond" w:cs="Times New Roman"/>
          <w:szCs w:val="24"/>
          <w:vertAlign w:val="superscript"/>
        </w:rPr>
        <w:footnoteReference w:id="43"/>
      </w:r>
      <w:r w:rsidR="00A619CA" w:rsidRPr="00B457F5">
        <w:rPr>
          <w:rFonts w:ascii="Garamond" w:eastAsia="MS Mincho" w:hAnsi="Garamond" w:cs="Times New Roman"/>
          <w:szCs w:val="24"/>
        </w:rPr>
        <w:t xml:space="preserve"> </w:t>
      </w:r>
      <w:r w:rsidR="00A00355" w:rsidRPr="00B457F5">
        <w:rPr>
          <w:rFonts w:ascii="Garamond" w:eastAsia="MS Mincho" w:hAnsi="Garamond" w:cs="Times New Roman"/>
          <w:szCs w:val="24"/>
        </w:rPr>
        <w:t xml:space="preserve">shënon një përmirësim në fushën e migracionit. Ai përmban të dhëna për të huajt që hyjnë në vend për qëllime qëndrimi, tranziti, studimi </w:t>
      </w:r>
      <w:r w:rsidR="00A00355" w:rsidRPr="00B457F5">
        <w:rPr>
          <w:rFonts w:ascii="Garamond" w:eastAsia="MS Mincho" w:hAnsi="Garamond" w:cs="Times New Roman"/>
          <w:szCs w:val="24"/>
        </w:rPr>
        <w:lastRenderedPageBreak/>
        <w:t>dhe punësimi, si dhe për dalje nga vendi. Ky regjistër përmban gjithashtu të dhëna për migrantët e parregullt dhe ndërvepron me regjistrin TIMS</w:t>
      </w:r>
      <w:r w:rsidR="006302A8" w:rsidRPr="00B457F5">
        <w:rPr>
          <w:rFonts w:ascii="Garamond" w:eastAsia="MS Mincho" w:hAnsi="Garamond" w:cs="Times New Roman"/>
          <w:szCs w:val="24"/>
        </w:rPr>
        <w:t>,</w:t>
      </w:r>
      <w:r w:rsidR="00A00355" w:rsidRPr="00B457F5">
        <w:rPr>
          <w:rFonts w:ascii="Garamond" w:eastAsia="MS Mincho" w:hAnsi="Garamond" w:cs="Times New Roman"/>
          <w:szCs w:val="24"/>
        </w:rPr>
        <w:t xml:space="preserve"> si dhe me Regjistrin Kombëtar të Gjendjes Civile. </w:t>
      </w:r>
      <w:bookmarkStart w:id="27" w:name="_Toc142297476"/>
      <w:r w:rsidR="00A00355" w:rsidRPr="00B457F5">
        <w:rPr>
          <w:rFonts w:ascii="Garamond" w:eastAsia="MS Mincho" w:hAnsi="Garamond" w:cs="Times New Roman"/>
          <w:szCs w:val="24"/>
        </w:rPr>
        <w:t>Një nga pesë modulet e përfshira në këtë regjistër është moduli i vetëm dhe i lejes së qëndrimit</w:t>
      </w:r>
      <w:r w:rsidR="00651344" w:rsidRPr="00B457F5">
        <w:rPr>
          <w:rFonts w:ascii="Garamond" w:eastAsia="MS Mincho" w:hAnsi="Garamond" w:cs="Times New Roman"/>
          <w:szCs w:val="24"/>
        </w:rPr>
        <w:t>,</w:t>
      </w:r>
      <w:r w:rsidR="00A00355" w:rsidRPr="00B457F5">
        <w:rPr>
          <w:rFonts w:ascii="Garamond" w:eastAsia="MS Mincho" w:hAnsi="Garamond" w:cs="Times New Roman"/>
          <w:szCs w:val="24"/>
        </w:rPr>
        <w:t xml:space="preserve"> i cili përmban të dhëna të regjistruara dhe të kontrolluara nga </w:t>
      </w:r>
      <w:r w:rsidR="00A00355" w:rsidRPr="00B457F5">
        <w:rPr>
          <w:rFonts w:ascii="Garamond" w:eastAsia="MS Mincho" w:hAnsi="Garamond" w:cs="Times New Roman"/>
          <w:bCs/>
          <w:iCs/>
          <w:szCs w:val="24"/>
        </w:rPr>
        <w:t>Departamenti i Kufirit dhe Migracionit (DKM)</w:t>
      </w:r>
      <w:r w:rsidR="00A00355" w:rsidRPr="00B457F5">
        <w:rPr>
          <w:rFonts w:ascii="Garamond" w:eastAsia="MS Mincho" w:hAnsi="Garamond" w:cs="Times New Roman"/>
          <w:b/>
          <w:bCs/>
          <w:i/>
          <w:iCs/>
          <w:szCs w:val="24"/>
        </w:rPr>
        <w:t xml:space="preserve"> </w:t>
      </w:r>
      <w:r w:rsidR="00A00355" w:rsidRPr="00B457F5">
        <w:rPr>
          <w:rFonts w:ascii="Garamond" w:eastAsia="MS Mincho" w:hAnsi="Garamond" w:cs="Times New Roman"/>
          <w:szCs w:val="24"/>
        </w:rPr>
        <w:t>dhe AKPA</w:t>
      </w:r>
      <w:r w:rsidR="00651344" w:rsidRPr="00B457F5">
        <w:rPr>
          <w:rFonts w:ascii="Garamond" w:eastAsia="MS Mincho" w:hAnsi="Garamond" w:cs="Times New Roman"/>
          <w:szCs w:val="24"/>
        </w:rPr>
        <w:t>-ja</w:t>
      </w:r>
      <w:r w:rsidR="00A00355" w:rsidRPr="00B457F5">
        <w:rPr>
          <w:rFonts w:ascii="Garamond" w:eastAsia="MS Mincho" w:hAnsi="Garamond" w:cs="Times New Roman"/>
          <w:szCs w:val="24"/>
        </w:rPr>
        <w:t>. Regjistri elektronik kombëtar për të huajt mund të sigurojë statistika dhe raporte për çdo modul</w:t>
      </w:r>
      <w:r w:rsidR="006302A8" w:rsidRPr="00B457F5">
        <w:rPr>
          <w:rFonts w:ascii="Garamond" w:eastAsia="MS Mincho" w:hAnsi="Garamond" w:cs="Times New Roman"/>
          <w:szCs w:val="24"/>
        </w:rPr>
        <w:t>,</w:t>
      </w:r>
      <w:r w:rsidR="00A00355" w:rsidRPr="00B457F5">
        <w:rPr>
          <w:rFonts w:ascii="Garamond" w:eastAsia="MS Mincho" w:hAnsi="Garamond" w:cs="Times New Roman"/>
          <w:szCs w:val="24"/>
        </w:rPr>
        <w:t xml:space="preserve"> sipas nevojave dhe kërkesave të institucioneve që kanë akses në to</w:t>
      </w:r>
      <w:r w:rsidR="006302A8" w:rsidRPr="00B457F5">
        <w:rPr>
          <w:rFonts w:ascii="Garamond" w:eastAsia="MS Mincho" w:hAnsi="Garamond" w:cs="Times New Roman"/>
          <w:szCs w:val="24"/>
        </w:rPr>
        <w:t>,</w:t>
      </w:r>
      <w:r w:rsidR="00A00355" w:rsidRPr="00B457F5">
        <w:rPr>
          <w:rFonts w:ascii="Garamond" w:eastAsia="MS Mincho" w:hAnsi="Garamond" w:cs="Times New Roman"/>
          <w:szCs w:val="24"/>
        </w:rPr>
        <w:t xml:space="preserve"> si në rastin e AKPA-së.</w:t>
      </w:r>
      <w:bookmarkStart w:id="28" w:name="_Toc148097434"/>
      <w:bookmarkStart w:id="29" w:name="_Toc155620722"/>
    </w:p>
    <w:p w14:paraId="55E29F36" w14:textId="7B0BBAE1" w:rsidR="00A619CA" w:rsidRPr="00B457F5" w:rsidRDefault="002E4E5F" w:rsidP="00783BF2">
      <w:pPr>
        <w:spacing w:before="0" w:after="0"/>
        <w:ind w:firstLine="284"/>
        <w:rPr>
          <w:rFonts w:ascii="Garamond" w:hAnsi="Garamond" w:cs="Times New Roman"/>
          <w:b/>
          <w:szCs w:val="24"/>
        </w:rPr>
      </w:pPr>
      <w:r w:rsidRPr="00B457F5">
        <w:rPr>
          <w:rFonts w:ascii="Garamond" w:hAnsi="Garamond" w:cs="Times New Roman"/>
          <w:b/>
          <w:szCs w:val="24"/>
        </w:rPr>
        <w:t xml:space="preserve">Zhvillimi i </w:t>
      </w:r>
      <w:r w:rsidR="004D6364" w:rsidRPr="00B457F5">
        <w:rPr>
          <w:rFonts w:ascii="Garamond" w:hAnsi="Garamond" w:cs="Times New Roman"/>
          <w:b/>
          <w:szCs w:val="24"/>
        </w:rPr>
        <w:t>kuadrit ligjor</w:t>
      </w:r>
      <w:bookmarkEnd w:id="27"/>
      <w:bookmarkEnd w:id="28"/>
      <w:bookmarkEnd w:id="29"/>
    </w:p>
    <w:p w14:paraId="70191869" w14:textId="0CB13A36" w:rsidR="00A619CA" w:rsidRPr="00B457F5" w:rsidRDefault="00651344" w:rsidP="002E693B">
      <w:pPr>
        <w:spacing w:before="0" w:after="0"/>
        <w:ind w:firstLine="284"/>
        <w:rPr>
          <w:rFonts w:ascii="Garamond" w:eastAsia="MS Mincho" w:hAnsi="Garamond" w:cs="Times New Roman"/>
          <w:color w:val="000000"/>
          <w:szCs w:val="24"/>
        </w:rPr>
      </w:pPr>
      <w:r w:rsidRPr="00B457F5">
        <w:rPr>
          <w:rFonts w:ascii="Garamond" w:eastAsia="MS Mincho" w:hAnsi="Garamond" w:cs="Times New Roman"/>
          <w:color w:val="000000"/>
          <w:szCs w:val="24"/>
        </w:rPr>
        <w:t>Gjatë</w:t>
      </w:r>
      <w:r w:rsidR="003F31F9" w:rsidRPr="00B457F5">
        <w:rPr>
          <w:rFonts w:ascii="Garamond" w:eastAsia="MS Mincho" w:hAnsi="Garamond" w:cs="Times New Roman"/>
          <w:color w:val="000000"/>
          <w:szCs w:val="24"/>
        </w:rPr>
        <w:t xml:space="preserve"> katër vite</w:t>
      </w:r>
      <w:r w:rsidRPr="00B457F5">
        <w:rPr>
          <w:rFonts w:ascii="Garamond" w:eastAsia="MS Mincho" w:hAnsi="Garamond" w:cs="Times New Roman"/>
          <w:color w:val="000000"/>
          <w:szCs w:val="24"/>
        </w:rPr>
        <w:t>ve të</w:t>
      </w:r>
      <w:r w:rsidR="003F31F9" w:rsidRPr="00B457F5">
        <w:rPr>
          <w:rFonts w:ascii="Garamond" w:eastAsia="MS Mincho" w:hAnsi="Garamond" w:cs="Times New Roman"/>
          <w:color w:val="000000"/>
          <w:szCs w:val="24"/>
        </w:rPr>
        <w:t xml:space="preserve"> fundit, qeveria shqiptare ka ndërmarrë nisma të rëndësishme legjislative në fushën e migracionit. Kuadri ligjor është përmirësuar duke miratuar disa akte ligjore dhe nënligjore, të cilat sigurojnë përafrimin me </w:t>
      </w:r>
      <w:r w:rsidR="003F31F9" w:rsidRPr="00B457F5">
        <w:rPr>
          <w:rFonts w:ascii="Garamond" w:eastAsia="MS Mincho" w:hAnsi="Garamond" w:cs="Times New Roman"/>
          <w:i/>
          <w:iCs/>
          <w:color w:val="000000"/>
          <w:szCs w:val="24"/>
        </w:rPr>
        <w:t>acquis</w:t>
      </w:r>
      <w:r w:rsidR="0086772C" w:rsidRPr="00B457F5">
        <w:rPr>
          <w:rFonts w:ascii="Garamond" w:eastAsia="MS Mincho" w:hAnsi="Garamond" w:cs="Times New Roman"/>
          <w:color w:val="000000"/>
          <w:szCs w:val="24"/>
        </w:rPr>
        <w:t>-in</w:t>
      </w:r>
      <w:r w:rsidR="003F31F9" w:rsidRPr="00B457F5">
        <w:rPr>
          <w:rFonts w:ascii="Garamond" w:eastAsia="MS Mincho" w:hAnsi="Garamond" w:cs="Times New Roman"/>
          <w:color w:val="000000"/>
          <w:szCs w:val="24"/>
        </w:rPr>
        <w:t xml:space="preserve"> </w:t>
      </w:r>
      <w:r w:rsidR="0086772C" w:rsidRPr="00B457F5">
        <w:rPr>
          <w:rFonts w:ascii="Garamond" w:eastAsia="MS Mincho" w:hAnsi="Garamond" w:cs="Times New Roman"/>
          <w:color w:val="000000"/>
          <w:szCs w:val="24"/>
        </w:rPr>
        <w:t>e</w:t>
      </w:r>
      <w:r w:rsidR="003F31F9" w:rsidRPr="00B457F5">
        <w:rPr>
          <w:rFonts w:ascii="Garamond" w:eastAsia="MS Mincho" w:hAnsi="Garamond" w:cs="Times New Roman"/>
          <w:color w:val="000000"/>
          <w:szCs w:val="24"/>
        </w:rPr>
        <w:t xml:space="preserve"> BE-së. Ligjet kryesore të miratuara janë: </w:t>
      </w:r>
      <w:r w:rsidR="004D6364" w:rsidRPr="00B457F5">
        <w:rPr>
          <w:rFonts w:ascii="Garamond" w:eastAsia="MS Mincho" w:hAnsi="Garamond" w:cs="Times New Roman"/>
          <w:color w:val="000000"/>
          <w:szCs w:val="24"/>
        </w:rPr>
        <w:t>l</w:t>
      </w:r>
      <w:r w:rsidR="003F31F9" w:rsidRPr="00B457F5">
        <w:rPr>
          <w:rFonts w:ascii="Garamond" w:eastAsia="MS Mincho" w:hAnsi="Garamond" w:cs="Times New Roman"/>
          <w:color w:val="000000"/>
          <w:szCs w:val="24"/>
        </w:rPr>
        <w:t>igji nr. 79/2021</w:t>
      </w:r>
      <w:r w:rsidR="004D6364" w:rsidRPr="00B457F5">
        <w:rPr>
          <w:rFonts w:ascii="Garamond" w:eastAsia="MS Mincho" w:hAnsi="Garamond" w:cs="Times New Roman"/>
          <w:color w:val="000000"/>
          <w:szCs w:val="24"/>
        </w:rPr>
        <w:t>,</w:t>
      </w:r>
      <w:r w:rsidR="003F31F9" w:rsidRPr="00B457F5">
        <w:rPr>
          <w:rFonts w:ascii="Garamond" w:eastAsia="MS Mincho" w:hAnsi="Garamond" w:cs="Times New Roman"/>
          <w:color w:val="000000"/>
          <w:szCs w:val="24"/>
        </w:rPr>
        <w:t xml:space="preserve"> </w:t>
      </w:r>
      <w:r w:rsidR="00A313AE" w:rsidRPr="00B457F5">
        <w:rPr>
          <w:rFonts w:ascii="Garamond" w:eastAsia="MS Mincho" w:hAnsi="Garamond" w:cs="Times New Roman"/>
          <w:color w:val="000000"/>
          <w:szCs w:val="24"/>
        </w:rPr>
        <w:t>“</w:t>
      </w:r>
      <w:r w:rsidR="003F31F9" w:rsidRPr="00B457F5">
        <w:rPr>
          <w:rFonts w:ascii="Garamond" w:eastAsia="MS Mincho" w:hAnsi="Garamond" w:cs="Times New Roman"/>
          <w:color w:val="000000"/>
          <w:szCs w:val="24"/>
        </w:rPr>
        <w:t>Për të huajt</w:t>
      </w:r>
      <w:r w:rsidR="00A313AE" w:rsidRPr="00B457F5">
        <w:rPr>
          <w:rFonts w:ascii="Garamond" w:eastAsia="MS Mincho" w:hAnsi="Garamond" w:cs="Times New Roman"/>
          <w:color w:val="000000"/>
          <w:szCs w:val="24"/>
        </w:rPr>
        <w:t>”</w:t>
      </w:r>
      <w:r w:rsidR="003F31F9" w:rsidRPr="00B457F5">
        <w:rPr>
          <w:rFonts w:ascii="Garamond" w:eastAsia="MS Mincho" w:hAnsi="Garamond" w:cs="Times New Roman"/>
          <w:color w:val="000000"/>
          <w:szCs w:val="24"/>
        </w:rPr>
        <w:t xml:space="preserve"> dhe 28 akte nënligjore (të përafruara me 18 direktiva, rregullore, vendime); </w:t>
      </w:r>
      <w:r w:rsidR="004D6364" w:rsidRPr="00B457F5">
        <w:rPr>
          <w:rFonts w:ascii="Garamond" w:eastAsia="MS Mincho" w:hAnsi="Garamond" w:cs="Times New Roman"/>
          <w:color w:val="000000"/>
          <w:szCs w:val="24"/>
        </w:rPr>
        <w:t>l</w:t>
      </w:r>
      <w:r w:rsidR="003F31F9" w:rsidRPr="00B457F5">
        <w:rPr>
          <w:rFonts w:ascii="Garamond" w:eastAsia="MS Mincho" w:hAnsi="Garamond" w:cs="Times New Roman"/>
          <w:color w:val="000000"/>
          <w:szCs w:val="24"/>
        </w:rPr>
        <w:t>igji nr. 10/2021</w:t>
      </w:r>
      <w:r w:rsidR="004D6364" w:rsidRPr="00B457F5">
        <w:rPr>
          <w:rFonts w:ascii="Garamond" w:eastAsia="MS Mincho" w:hAnsi="Garamond" w:cs="Times New Roman"/>
          <w:color w:val="000000"/>
          <w:szCs w:val="24"/>
        </w:rPr>
        <w:t>,</w:t>
      </w:r>
      <w:r w:rsidR="003F31F9" w:rsidRPr="00B457F5">
        <w:rPr>
          <w:rFonts w:ascii="Garamond" w:eastAsia="MS Mincho" w:hAnsi="Garamond" w:cs="Times New Roman"/>
          <w:color w:val="000000"/>
          <w:szCs w:val="24"/>
        </w:rPr>
        <w:t xml:space="preserve"> </w:t>
      </w:r>
      <w:r w:rsidR="00A313AE" w:rsidRPr="00B457F5">
        <w:rPr>
          <w:rFonts w:ascii="Garamond" w:eastAsia="MS Mincho" w:hAnsi="Garamond" w:cs="Times New Roman"/>
          <w:color w:val="000000"/>
          <w:szCs w:val="24"/>
        </w:rPr>
        <w:t>“</w:t>
      </w:r>
      <w:r w:rsidR="003F31F9" w:rsidRPr="00B457F5">
        <w:rPr>
          <w:rFonts w:ascii="Garamond" w:eastAsia="MS Mincho" w:hAnsi="Garamond" w:cs="Times New Roman"/>
          <w:color w:val="000000"/>
          <w:szCs w:val="24"/>
        </w:rPr>
        <w:t>Për azilin në Republikën e Shqipë</w:t>
      </w:r>
      <w:r w:rsidR="00B27061" w:rsidRPr="00B457F5">
        <w:rPr>
          <w:rFonts w:ascii="Garamond" w:eastAsia="MS Mincho" w:hAnsi="Garamond" w:cs="Times New Roman"/>
          <w:color w:val="000000"/>
          <w:szCs w:val="24"/>
        </w:rPr>
        <w:t>risë</w:t>
      </w:r>
      <w:r w:rsidR="00A313AE" w:rsidRPr="00B457F5">
        <w:rPr>
          <w:rFonts w:ascii="Garamond" w:eastAsia="MS Mincho" w:hAnsi="Garamond" w:cs="Times New Roman"/>
          <w:color w:val="000000"/>
          <w:szCs w:val="24"/>
        </w:rPr>
        <w:t>”</w:t>
      </w:r>
      <w:r w:rsidR="00B27061" w:rsidRPr="00B457F5">
        <w:rPr>
          <w:rFonts w:ascii="Garamond" w:eastAsia="MS Mincho" w:hAnsi="Garamond" w:cs="Times New Roman"/>
          <w:color w:val="000000"/>
          <w:szCs w:val="24"/>
        </w:rPr>
        <w:t xml:space="preserve"> përafruar me CEAS</w:t>
      </w:r>
      <w:r w:rsidR="004D6364" w:rsidRPr="00B457F5">
        <w:rPr>
          <w:rFonts w:ascii="Garamond" w:eastAsia="MS Mincho" w:hAnsi="Garamond" w:cs="Times New Roman"/>
          <w:color w:val="000000"/>
          <w:szCs w:val="24"/>
        </w:rPr>
        <w:t>;</w:t>
      </w:r>
      <w:r w:rsidR="00B27061" w:rsidRPr="00B457F5">
        <w:rPr>
          <w:rFonts w:ascii="Garamond" w:eastAsia="MS Mincho" w:hAnsi="Garamond" w:cs="Times New Roman"/>
          <w:color w:val="000000"/>
          <w:szCs w:val="24"/>
        </w:rPr>
        <w:t xml:space="preserve"> </w:t>
      </w:r>
      <w:r w:rsidR="004D6364" w:rsidRPr="00B457F5">
        <w:rPr>
          <w:rFonts w:ascii="Garamond" w:eastAsia="MS Mincho" w:hAnsi="Garamond" w:cs="Times New Roman"/>
          <w:color w:val="000000"/>
          <w:szCs w:val="24"/>
        </w:rPr>
        <w:t>l</w:t>
      </w:r>
      <w:r w:rsidR="003F31F9" w:rsidRPr="00B457F5">
        <w:rPr>
          <w:rFonts w:ascii="Garamond" w:eastAsia="MS Mincho" w:hAnsi="Garamond" w:cs="Times New Roman"/>
          <w:color w:val="000000"/>
          <w:szCs w:val="24"/>
        </w:rPr>
        <w:t xml:space="preserve">igji nr. 113/2020 </w:t>
      </w:r>
      <w:r w:rsidR="00A313AE" w:rsidRPr="00B457F5">
        <w:rPr>
          <w:rFonts w:ascii="Garamond" w:eastAsia="MS Mincho" w:hAnsi="Garamond" w:cs="Times New Roman"/>
          <w:color w:val="000000"/>
          <w:szCs w:val="24"/>
        </w:rPr>
        <w:t>“</w:t>
      </w:r>
      <w:r w:rsidR="003F31F9" w:rsidRPr="00B457F5">
        <w:rPr>
          <w:rFonts w:ascii="Garamond" w:eastAsia="MS Mincho" w:hAnsi="Garamond" w:cs="Times New Roman"/>
          <w:color w:val="000000"/>
          <w:szCs w:val="24"/>
        </w:rPr>
        <w:t>Për shtetësinë</w:t>
      </w:r>
      <w:r w:rsidR="00A313AE" w:rsidRPr="00B457F5">
        <w:rPr>
          <w:rFonts w:ascii="Garamond" w:eastAsia="MS Mincho" w:hAnsi="Garamond" w:cs="Times New Roman"/>
          <w:color w:val="000000"/>
          <w:szCs w:val="24"/>
        </w:rPr>
        <w:t>”</w:t>
      </w:r>
      <w:r w:rsidR="003F31F9" w:rsidRPr="00B457F5">
        <w:rPr>
          <w:rFonts w:ascii="Garamond" w:eastAsia="MS Mincho" w:hAnsi="Garamond" w:cs="Times New Roman"/>
          <w:color w:val="000000"/>
          <w:szCs w:val="24"/>
        </w:rPr>
        <w:t xml:space="preserve">; </w:t>
      </w:r>
      <w:r w:rsidR="004D6364" w:rsidRPr="00B457F5">
        <w:rPr>
          <w:rFonts w:ascii="Garamond" w:eastAsia="MS Mincho" w:hAnsi="Garamond" w:cs="Times New Roman"/>
          <w:color w:val="000000"/>
          <w:szCs w:val="24"/>
        </w:rPr>
        <w:t>l</w:t>
      </w:r>
      <w:r w:rsidR="003F31F9" w:rsidRPr="00B457F5">
        <w:rPr>
          <w:rFonts w:ascii="Garamond" w:eastAsia="MS Mincho" w:hAnsi="Garamond" w:cs="Times New Roman"/>
          <w:color w:val="000000"/>
          <w:szCs w:val="24"/>
        </w:rPr>
        <w:t>igji nr. 15/2019</w:t>
      </w:r>
      <w:r w:rsidR="004D6364" w:rsidRPr="00B457F5">
        <w:rPr>
          <w:rFonts w:ascii="Garamond" w:eastAsia="MS Mincho" w:hAnsi="Garamond" w:cs="Times New Roman"/>
          <w:color w:val="000000"/>
          <w:szCs w:val="24"/>
        </w:rPr>
        <w:t>,</w:t>
      </w:r>
      <w:r w:rsidR="003F31F9" w:rsidRPr="00B457F5">
        <w:rPr>
          <w:rFonts w:ascii="Garamond" w:eastAsia="MS Mincho" w:hAnsi="Garamond" w:cs="Times New Roman"/>
          <w:color w:val="000000"/>
          <w:szCs w:val="24"/>
        </w:rPr>
        <w:t xml:space="preserve"> </w:t>
      </w:r>
      <w:r w:rsidR="00A313AE" w:rsidRPr="00B457F5">
        <w:rPr>
          <w:rFonts w:ascii="Garamond" w:eastAsia="MS Mincho" w:hAnsi="Garamond" w:cs="Times New Roman"/>
          <w:color w:val="000000"/>
          <w:szCs w:val="24"/>
        </w:rPr>
        <w:t>“</w:t>
      </w:r>
      <w:r w:rsidR="003F31F9" w:rsidRPr="00B457F5">
        <w:rPr>
          <w:rFonts w:ascii="Garamond" w:eastAsia="MS Mincho" w:hAnsi="Garamond" w:cs="Times New Roman"/>
          <w:color w:val="000000"/>
          <w:szCs w:val="24"/>
        </w:rPr>
        <w:t>Për nxitjen e punësimit</w:t>
      </w:r>
      <w:r w:rsidR="00A313AE" w:rsidRPr="00B457F5">
        <w:rPr>
          <w:rFonts w:ascii="Garamond" w:eastAsia="MS Mincho" w:hAnsi="Garamond" w:cs="Times New Roman"/>
          <w:color w:val="000000"/>
          <w:szCs w:val="24"/>
        </w:rPr>
        <w:t>”</w:t>
      </w:r>
      <w:r w:rsidR="003F31F9" w:rsidRPr="00B457F5">
        <w:rPr>
          <w:rFonts w:ascii="Garamond" w:eastAsia="MS Mincho" w:hAnsi="Garamond" w:cs="Times New Roman"/>
          <w:color w:val="000000"/>
          <w:szCs w:val="24"/>
        </w:rPr>
        <w:t>.</w:t>
      </w:r>
    </w:p>
    <w:p w14:paraId="28B664E9" w14:textId="64B27FEC" w:rsidR="00A619CA" w:rsidRPr="00B457F5" w:rsidRDefault="003F31F9" w:rsidP="002E693B">
      <w:pPr>
        <w:spacing w:before="0" w:after="0"/>
        <w:ind w:firstLine="284"/>
        <w:rPr>
          <w:rFonts w:ascii="Garamond" w:eastAsia="MS Mincho" w:hAnsi="Garamond" w:cs="Times New Roman"/>
          <w:color w:val="000000"/>
          <w:szCs w:val="24"/>
        </w:rPr>
      </w:pPr>
      <w:r w:rsidRPr="00B457F5">
        <w:rPr>
          <w:rFonts w:ascii="Garamond" w:eastAsia="MS Mincho" w:hAnsi="Garamond" w:cs="Times New Roman"/>
          <w:szCs w:val="24"/>
        </w:rPr>
        <w:t>Baza ligjore për imigracionin do të rishikohet gjatë konsultimeve me MB</w:t>
      </w:r>
      <w:r w:rsidR="00C47637" w:rsidRPr="00B457F5">
        <w:rPr>
          <w:rFonts w:ascii="Garamond" w:eastAsia="MS Mincho" w:hAnsi="Garamond" w:cs="Times New Roman"/>
          <w:szCs w:val="24"/>
        </w:rPr>
        <w:t>-në</w:t>
      </w:r>
      <w:r w:rsidRPr="00B457F5">
        <w:rPr>
          <w:rFonts w:ascii="Garamond" w:eastAsia="MS Mincho" w:hAnsi="Garamond" w:cs="Times New Roman"/>
          <w:szCs w:val="24"/>
        </w:rPr>
        <w:t xml:space="preserve"> dhe palët e tjera të interes</w:t>
      </w:r>
      <w:r w:rsidR="00C47637" w:rsidRPr="00B457F5">
        <w:rPr>
          <w:rFonts w:ascii="Garamond" w:eastAsia="MS Mincho" w:hAnsi="Garamond" w:cs="Times New Roman"/>
          <w:szCs w:val="24"/>
        </w:rPr>
        <w:t>it</w:t>
      </w:r>
      <w:r w:rsidRPr="00B457F5">
        <w:rPr>
          <w:rFonts w:ascii="Garamond" w:eastAsia="MS Mincho" w:hAnsi="Garamond" w:cs="Times New Roman"/>
          <w:szCs w:val="24"/>
        </w:rPr>
        <w:t>. Gjithashtu, vëmendje e veçantë do</w:t>
      </w:r>
      <w:r w:rsidR="004603C3" w:rsidRPr="00B457F5">
        <w:rPr>
          <w:rFonts w:ascii="Garamond" w:eastAsia="MS Mincho" w:hAnsi="Garamond" w:cs="Times New Roman"/>
          <w:szCs w:val="24"/>
        </w:rPr>
        <w:t xml:space="preserve"> t’i </w:t>
      </w:r>
      <w:r w:rsidRPr="00B457F5">
        <w:rPr>
          <w:rFonts w:ascii="Garamond" w:eastAsia="MS Mincho" w:hAnsi="Garamond" w:cs="Times New Roman"/>
          <w:szCs w:val="24"/>
        </w:rPr>
        <w:t>kushtohet disa çështjeve të rëndësishme</w:t>
      </w:r>
      <w:r w:rsidR="00C47637" w:rsidRPr="00B457F5">
        <w:rPr>
          <w:rFonts w:ascii="Garamond" w:eastAsia="MS Mincho" w:hAnsi="Garamond" w:cs="Times New Roman"/>
          <w:szCs w:val="24"/>
        </w:rPr>
        <w:t>, të tilla</w:t>
      </w:r>
      <w:r w:rsidRPr="00B457F5">
        <w:rPr>
          <w:rFonts w:ascii="Garamond" w:eastAsia="MS Mincho" w:hAnsi="Garamond" w:cs="Times New Roman"/>
          <w:szCs w:val="24"/>
        </w:rPr>
        <w:t xml:space="preserve"> si emigrimi i shtetasve shqiptarë për arsye punësimi e të tjera, kuadri institucional dhe procedural, funksionimi i strukturës së posaçme për diasporën dhe migracionin, si dhe i organeve të migracionit në nivel vendor.</w:t>
      </w:r>
    </w:p>
    <w:p w14:paraId="4C6C4C4C" w14:textId="215D25E5" w:rsidR="00A619CA" w:rsidRPr="00B457F5" w:rsidRDefault="005E3229" w:rsidP="002E693B">
      <w:pPr>
        <w:pStyle w:val="Heading1"/>
        <w:spacing w:before="0" w:after="0"/>
        <w:ind w:left="0" w:firstLine="284"/>
        <w:rPr>
          <w:rFonts w:ascii="Garamond" w:hAnsi="Garamond" w:cs="Times New Roman"/>
          <w:color w:val="auto"/>
          <w:sz w:val="24"/>
          <w:szCs w:val="24"/>
        </w:rPr>
      </w:pPr>
      <w:bookmarkStart w:id="30" w:name="_Toc148097435"/>
      <w:bookmarkStart w:id="31" w:name="_Toc155620723"/>
      <w:r w:rsidRPr="00B457F5">
        <w:rPr>
          <w:rFonts w:ascii="Garamond" w:hAnsi="Garamond" w:cs="Times New Roman"/>
          <w:color w:val="auto"/>
          <w:sz w:val="24"/>
          <w:szCs w:val="24"/>
        </w:rPr>
        <w:t xml:space="preserve">Qeverisja </w:t>
      </w:r>
      <w:r w:rsidR="004D6364" w:rsidRPr="00B457F5">
        <w:rPr>
          <w:rFonts w:ascii="Garamond" w:hAnsi="Garamond" w:cs="Times New Roman"/>
          <w:color w:val="auto"/>
          <w:sz w:val="24"/>
          <w:szCs w:val="24"/>
        </w:rPr>
        <w:t>institucionale e migracionit</w:t>
      </w:r>
      <w:bookmarkEnd w:id="30"/>
      <w:bookmarkEnd w:id="31"/>
    </w:p>
    <w:p w14:paraId="7F0D1EC9" w14:textId="5650B7A6" w:rsidR="00684C07" w:rsidRPr="00B457F5" w:rsidRDefault="00175094" w:rsidP="002E693B">
      <w:pPr>
        <w:spacing w:before="0" w:after="0"/>
        <w:ind w:firstLine="284"/>
        <w:rPr>
          <w:rFonts w:ascii="Garamond" w:eastAsiaTheme="minorHAnsi" w:hAnsi="Garamond" w:cs="Times New Roman"/>
          <w:color w:val="000000"/>
          <w:szCs w:val="24"/>
        </w:rPr>
      </w:pPr>
      <w:r w:rsidRPr="00B457F5">
        <w:rPr>
          <w:rFonts w:ascii="Garamond" w:eastAsia="MS Mincho" w:hAnsi="Garamond" w:cs="Times New Roman"/>
          <w:szCs w:val="24"/>
        </w:rPr>
        <w:t xml:space="preserve">Sipas </w:t>
      </w:r>
      <w:bookmarkStart w:id="32" w:name="_Hlk155613555"/>
      <w:r w:rsidR="006302A8" w:rsidRPr="00B457F5">
        <w:rPr>
          <w:rFonts w:ascii="Garamond" w:eastAsia="MS Mincho" w:hAnsi="Garamond" w:cs="Times New Roman"/>
          <w:bCs/>
          <w:iCs/>
          <w:szCs w:val="24"/>
        </w:rPr>
        <w:t>l</w:t>
      </w:r>
      <w:r w:rsidRPr="00B457F5">
        <w:rPr>
          <w:rFonts w:ascii="Garamond" w:eastAsia="MS Mincho" w:hAnsi="Garamond" w:cs="Times New Roman"/>
          <w:bCs/>
          <w:iCs/>
          <w:szCs w:val="24"/>
        </w:rPr>
        <w:t xml:space="preserve">igjit </w:t>
      </w:r>
      <w:r w:rsidR="00A313AE" w:rsidRPr="00B457F5">
        <w:rPr>
          <w:rFonts w:ascii="Garamond" w:eastAsia="MS Mincho" w:hAnsi="Garamond" w:cs="Times New Roman"/>
          <w:bCs/>
          <w:iCs/>
          <w:szCs w:val="24"/>
        </w:rPr>
        <w:t>“</w:t>
      </w:r>
      <w:r w:rsidR="0040050F" w:rsidRPr="00B457F5">
        <w:rPr>
          <w:rFonts w:ascii="Garamond" w:eastAsia="MS Mincho" w:hAnsi="Garamond" w:cs="Times New Roman"/>
          <w:bCs/>
          <w:iCs/>
          <w:szCs w:val="24"/>
        </w:rPr>
        <w:t>M</w:t>
      </w:r>
      <w:r w:rsidRPr="00B457F5">
        <w:rPr>
          <w:rFonts w:ascii="Garamond" w:eastAsia="MS Mincho" w:hAnsi="Garamond" w:cs="Times New Roman"/>
          <w:bCs/>
          <w:iCs/>
          <w:szCs w:val="24"/>
        </w:rPr>
        <w:t xml:space="preserve">bi emigracionin </w:t>
      </w:r>
      <w:r w:rsidR="0040050F" w:rsidRPr="00B457F5">
        <w:rPr>
          <w:rFonts w:ascii="Garamond" w:eastAsia="MS Mincho" w:hAnsi="Garamond" w:cs="Times New Roman"/>
          <w:bCs/>
          <w:iCs/>
          <w:szCs w:val="24"/>
        </w:rPr>
        <w:t>e</w:t>
      </w:r>
      <w:r w:rsidRPr="00B457F5">
        <w:rPr>
          <w:rFonts w:ascii="Garamond" w:eastAsia="MS Mincho" w:hAnsi="Garamond" w:cs="Times New Roman"/>
          <w:bCs/>
          <w:iCs/>
          <w:szCs w:val="24"/>
        </w:rPr>
        <w:t xml:space="preserve"> shtetasve shqiptare p</w:t>
      </w:r>
      <w:r w:rsidR="00B0743F" w:rsidRPr="00B457F5">
        <w:rPr>
          <w:rFonts w:ascii="Garamond" w:eastAsia="MS Mincho" w:hAnsi="Garamond" w:cs="Times New Roman"/>
          <w:bCs/>
          <w:iCs/>
          <w:szCs w:val="24"/>
        </w:rPr>
        <w:t>ë</w:t>
      </w:r>
      <w:r w:rsidRPr="00B457F5">
        <w:rPr>
          <w:rFonts w:ascii="Garamond" w:eastAsia="MS Mincho" w:hAnsi="Garamond" w:cs="Times New Roman"/>
          <w:bCs/>
          <w:iCs/>
          <w:szCs w:val="24"/>
        </w:rPr>
        <w:t>r q</w:t>
      </w:r>
      <w:r w:rsidR="00B0743F" w:rsidRPr="00B457F5">
        <w:rPr>
          <w:rFonts w:ascii="Garamond" w:eastAsia="MS Mincho" w:hAnsi="Garamond" w:cs="Times New Roman"/>
          <w:bCs/>
          <w:iCs/>
          <w:szCs w:val="24"/>
        </w:rPr>
        <w:t>ë</w:t>
      </w:r>
      <w:r w:rsidRPr="00B457F5">
        <w:rPr>
          <w:rFonts w:ascii="Garamond" w:eastAsia="MS Mincho" w:hAnsi="Garamond" w:cs="Times New Roman"/>
          <w:bCs/>
          <w:iCs/>
          <w:szCs w:val="24"/>
        </w:rPr>
        <w:t>llime pun</w:t>
      </w:r>
      <w:r w:rsidR="00B0743F" w:rsidRPr="00B457F5">
        <w:rPr>
          <w:rFonts w:ascii="Garamond" w:eastAsia="MS Mincho" w:hAnsi="Garamond" w:cs="Times New Roman"/>
          <w:bCs/>
          <w:iCs/>
          <w:szCs w:val="24"/>
        </w:rPr>
        <w:t>ë</w:t>
      </w:r>
      <w:r w:rsidRPr="00B457F5">
        <w:rPr>
          <w:rFonts w:ascii="Garamond" w:eastAsia="MS Mincho" w:hAnsi="Garamond" w:cs="Times New Roman"/>
          <w:bCs/>
          <w:iCs/>
          <w:szCs w:val="24"/>
        </w:rPr>
        <w:t>simi</w:t>
      </w:r>
      <w:bookmarkEnd w:id="32"/>
      <w:r w:rsidR="00A313AE" w:rsidRPr="00B457F5">
        <w:rPr>
          <w:rFonts w:ascii="Garamond" w:eastAsia="MS Mincho" w:hAnsi="Garamond" w:cs="Times New Roman"/>
          <w:bCs/>
          <w:iCs/>
          <w:szCs w:val="24"/>
        </w:rPr>
        <w:t>”</w:t>
      </w:r>
      <w:r w:rsidR="005E3229" w:rsidRPr="00B457F5">
        <w:rPr>
          <w:rStyle w:val="FootnoteReference"/>
          <w:rFonts w:ascii="Garamond" w:eastAsia="MS Mincho" w:hAnsi="Garamond" w:cs="Times New Roman"/>
          <w:bCs/>
          <w:iCs/>
          <w:szCs w:val="24"/>
        </w:rPr>
        <w:footnoteReference w:id="44"/>
      </w:r>
      <w:r w:rsidR="00A619CA" w:rsidRPr="00B457F5">
        <w:rPr>
          <w:rFonts w:ascii="Garamond" w:eastAsia="MS Mincho" w:hAnsi="Garamond" w:cs="Times New Roman"/>
          <w:szCs w:val="24"/>
        </w:rPr>
        <w:t xml:space="preserve">, </w:t>
      </w:r>
      <w:r w:rsidR="00CE1B05" w:rsidRPr="00B457F5">
        <w:rPr>
          <w:rFonts w:ascii="Garamond" w:eastAsia="MS Mincho" w:hAnsi="Garamond" w:cs="Times New Roman"/>
          <w:szCs w:val="24"/>
        </w:rPr>
        <w:t xml:space="preserve">menaxhimi i emigrimit të shtetasve shqiptarë nga autoritetet shtetërore kryhet nëpërmjet krijimit të lehtësive ligjore dhe administrative për të gjithë shtetasit që zgjedhin të emigrojnë ose </w:t>
      </w:r>
      <w:r w:rsidR="0040050F" w:rsidRPr="00B457F5">
        <w:rPr>
          <w:rFonts w:ascii="Garamond" w:eastAsia="MS Mincho" w:hAnsi="Garamond" w:cs="Times New Roman"/>
          <w:szCs w:val="24"/>
        </w:rPr>
        <w:t xml:space="preserve">të </w:t>
      </w:r>
      <w:r w:rsidR="00CE1B05" w:rsidRPr="00B457F5">
        <w:rPr>
          <w:rFonts w:ascii="Garamond" w:eastAsia="MS Mincho" w:hAnsi="Garamond" w:cs="Times New Roman"/>
          <w:szCs w:val="24"/>
        </w:rPr>
        <w:t xml:space="preserve">kthehen, si dhe nëpërmjet informimit të vazhdueshëm, për publikun dhe individët, </w:t>
      </w:r>
      <w:r w:rsidR="00FF7FE7" w:rsidRPr="00B457F5">
        <w:rPr>
          <w:rFonts w:ascii="Garamond" w:eastAsia="MS Mincho" w:hAnsi="Garamond" w:cs="Times New Roman"/>
          <w:szCs w:val="24"/>
        </w:rPr>
        <w:t xml:space="preserve">mbi </w:t>
      </w:r>
      <w:r w:rsidR="00CE1B05" w:rsidRPr="00B457F5">
        <w:rPr>
          <w:rFonts w:ascii="Garamond" w:eastAsia="MS Mincho" w:hAnsi="Garamond" w:cs="Times New Roman"/>
          <w:szCs w:val="24"/>
        </w:rPr>
        <w:t xml:space="preserve">mundësitë e punësimit dhe formimit profesional në vendet pritëse, si dhe për ndryshimet në kuadrin ligjor në ato vende, të cilat mund të ndikojnë në kërkesat për emigracion. </w:t>
      </w:r>
      <w:r w:rsidR="00A80EF7" w:rsidRPr="00B457F5">
        <w:rPr>
          <w:rFonts w:ascii="Garamond" w:eastAsia="MS Mincho" w:hAnsi="Garamond" w:cs="Times New Roman"/>
          <w:szCs w:val="24"/>
        </w:rPr>
        <w:t xml:space="preserve">Autoriteti kryesor koordinues për zbatimin e ligjit është aktualisht </w:t>
      </w:r>
      <w:r w:rsidR="00A80EF7" w:rsidRPr="00B457F5">
        <w:rPr>
          <w:rFonts w:ascii="Garamond" w:eastAsia="MS Mincho" w:hAnsi="Garamond" w:cs="Times New Roman"/>
          <w:bCs/>
          <w:iCs/>
          <w:szCs w:val="24"/>
        </w:rPr>
        <w:t>Ministria e Financave dhe Ekonomisë</w:t>
      </w:r>
      <w:r w:rsidR="00A80EF7" w:rsidRPr="00B457F5">
        <w:rPr>
          <w:rFonts w:ascii="Garamond" w:eastAsia="MS Mincho" w:hAnsi="Garamond" w:cs="Times New Roman"/>
          <w:szCs w:val="24"/>
        </w:rPr>
        <w:t xml:space="preserve">. Autoritetet e tjera shtetërore përgjegjëse për zbatimin e ligjit janë </w:t>
      </w:r>
      <w:r w:rsidR="00A80EF7" w:rsidRPr="00B457F5">
        <w:rPr>
          <w:rFonts w:ascii="Garamond" w:eastAsia="MS Mincho" w:hAnsi="Garamond" w:cs="Times New Roman"/>
          <w:bCs/>
          <w:iCs/>
          <w:szCs w:val="24"/>
        </w:rPr>
        <w:t>Ministria e Brendshme dhe Ministria për Evropën dhe Punët e Jashtme</w:t>
      </w:r>
      <w:r w:rsidR="00A80EF7" w:rsidRPr="00B457F5">
        <w:rPr>
          <w:rFonts w:ascii="Garamond" w:eastAsia="MS Mincho" w:hAnsi="Garamond" w:cs="Times New Roman"/>
          <w:szCs w:val="24"/>
        </w:rPr>
        <w:t xml:space="preserve">. Ligji përcakton gjithashtu detyrimin e autoriteteve shtetërore përgjegjëse për fillimin dhe </w:t>
      </w:r>
      <w:r w:rsidR="00FF7FE7" w:rsidRPr="00B457F5">
        <w:rPr>
          <w:rFonts w:ascii="Garamond" w:eastAsia="MS Mincho" w:hAnsi="Garamond" w:cs="Times New Roman"/>
          <w:szCs w:val="24"/>
        </w:rPr>
        <w:t>përfundimin</w:t>
      </w:r>
      <w:r w:rsidR="00A80EF7" w:rsidRPr="00B457F5">
        <w:rPr>
          <w:rFonts w:ascii="Garamond" w:eastAsia="MS Mincho" w:hAnsi="Garamond" w:cs="Times New Roman"/>
          <w:szCs w:val="24"/>
        </w:rPr>
        <w:t xml:space="preserve"> e marrëveshjeve të bashkëpunimit</w:t>
      </w:r>
      <w:r w:rsidR="006302A8" w:rsidRPr="00B457F5">
        <w:rPr>
          <w:rFonts w:ascii="Garamond" w:eastAsia="MS Mincho" w:hAnsi="Garamond" w:cs="Times New Roman"/>
          <w:szCs w:val="24"/>
        </w:rPr>
        <w:t>,</w:t>
      </w:r>
      <w:r w:rsidR="00A80EF7" w:rsidRPr="00B457F5">
        <w:rPr>
          <w:rFonts w:ascii="Garamond" w:eastAsia="MS Mincho" w:hAnsi="Garamond" w:cs="Times New Roman"/>
          <w:szCs w:val="24"/>
        </w:rPr>
        <w:t xml:space="preserve"> dy ose shumëpalësh</w:t>
      </w:r>
      <w:r w:rsidR="006302A8" w:rsidRPr="00B457F5">
        <w:rPr>
          <w:rFonts w:ascii="Garamond" w:eastAsia="MS Mincho" w:hAnsi="Garamond" w:cs="Times New Roman"/>
          <w:szCs w:val="24"/>
        </w:rPr>
        <w:t>e,</w:t>
      </w:r>
      <w:r w:rsidR="00A80EF7" w:rsidRPr="00B457F5">
        <w:rPr>
          <w:rFonts w:ascii="Garamond" w:eastAsia="MS Mincho" w:hAnsi="Garamond" w:cs="Times New Roman"/>
          <w:szCs w:val="24"/>
        </w:rPr>
        <w:t xml:space="preserve"> në mbështetje të politikave kombëtare të emigracionit.</w:t>
      </w:r>
      <w:r w:rsidR="00684C07" w:rsidRPr="00B457F5">
        <w:rPr>
          <w:rFonts w:ascii="Garamond" w:eastAsiaTheme="minorHAnsi" w:hAnsi="Garamond" w:cs="Times New Roman"/>
          <w:color w:val="000000"/>
          <w:szCs w:val="24"/>
        </w:rPr>
        <w:t xml:space="preserve"> </w:t>
      </w:r>
    </w:p>
    <w:p w14:paraId="2199EFDC" w14:textId="1FF6C52B" w:rsidR="00684C07" w:rsidRPr="00B457F5" w:rsidRDefault="00684C07" w:rsidP="002E693B">
      <w:pPr>
        <w:spacing w:before="0" w:after="0"/>
        <w:ind w:firstLine="284"/>
        <w:rPr>
          <w:rFonts w:ascii="Garamond" w:eastAsia="MS Mincho" w:hAnsi="Garamond" w:cs="Times New Roman"/>
          <w:szCs w:val="24"/>
        </w:rPr>
      </w:pPr>
      <w:r w:rsidRPr="00B457F5">
        <w:rPr>
          <w:rFonts w:ascii="Garamond" w:eastAsia="MS Mincho" w:hAnsi="Garamond" w:cs="Times New Roman"/>
          <w:iCs/>
          <w:szCs w:val="24"/>
        </w:rPr>
        <w:t xml:space="preserve">Në Agjencinë Kombëtare të Punësimit dhe Aftësive, në Drejtorinë e Shërbimeve të Tregut të Punës, përgjegjës për çështjet e migracionit është Sektori i Koordinimit të EURES dhe Migracionit, i cili mbështet dhe monitoron dinamikën migratore të punëkërkuesve shqiptarë dhe </w:t>
      </w:r>
      <w:r w:rsidR="006302A8" w:rsidRPr="00B457F5">
        <w:rPr>
          <w:rFonts w:ascii="Garamond" w:eastAsia="MS Mincho" w:hAnsi="Garamond" w:cs="Times New Roman"/>
          <w:szCs w:val="24"/>
        </w:rPr>
        <w:t>të</w:t>
      </w:r>
      <w:r w:rsidR="006302A8" w:rsidRPr="00B457F5">
        <w:rPr>
          <w:rFonts w:ascii="Garamond" w:eastAsia="MS Mincho" w:hAnsi="Garamond" w:cs="Times New Roman"/>
          <w:iCs/>
          <w:szCs w:val="24"/>
        </w:rPr>
        <w:t xml:space="preserve"> </w:t>
      </w:r>
      <w:r w:rsidRPr="00B457F5">
        <w:rPr>
          <w:rFonts w:ascii="Garamond" w:eastAsia="MS Mincho" w:hAnsi="Garamond" w:cs="Times New Roman"/>
          <w:iCs/>
          <w:szCs w:val="24"/>
        </w:rPr>
        <w:t>shtetasve të huaj me motiv punësimi në Republikën e Shqipërisë. Rreth 40 punonjës në drejtoritë rajonale dhe zyrat vendore të AKPA-së zbatojnë legjislacionin në fuqi</w:t>
      </w:r>
      <w:r w:rsidR="006302A8" w:rsidRPr="00B457F5">
        <w:rPr>
          <w:rFonts w:ascii="Garamond" w:eastAsia="MS Mincho" w:hAnsi="Garamond" w:cs="Times New Roman"/>
          <w:iCs/>
          <w:szCs w:val="24"/>
        </w:rPr>
        <w:t>,</w:t>
      </w:r>
      <w:r w:rsidRPr="00B457F5">
        <w:rPr>
          <w:rFonts w:ascii="Garamond" w:eastAsia="MS Mincho" w:hAnsi="Garamond" w:cs="Times New Roman"/>
          <w:iCs/>
          <w:szCs w:val="24"/>
        </w:rPr>
        <w:t xml:space="preserve"> në lidhje me mënyrat e rregullta të emigrimit dhe ndihmë për </w:t>
      </w:r>
      <w:r w:rsidR="006302A8" w:rsidRPr="00B457F5">
        <w:rPr>
          <w:rFonts w:ascii="Garamond" w:eastAsia="MS Mincho" w:hAnsi="Garamond" w:cs="Times New Roman"/>
          <w:iCs/>
          <w:szCs w:val="24"/>
        </w:rPr>
        <w:t>procesin</w:t>
      </w:r>
      <w:r w:rsidRPr="00B457F5">
        <w:rPr>
          <w:rFonts w:ascii="Garamond" w:eastAsia="MS Mincho" w:hAnsi="Garamond" w:cs="Times New Roman"/>
          <w:iCs/>
          <w:szCs w:val="24"/>
        </w:rPr>
        <w:t xml:space="preserve"> e riintegrim pas kthimit</w:t>
      </w:r>
      <w:r w:rsidR="006302A8" w:rsidRPr="00B457F5">
        <w:rPr>
          <w:rFonts w:ascii="Garamond" w:eastAsia="MS Mincho" w:hAnsi="Garamond" w:cs="Times New Roman"/>
          <w:iCs/>
          <w:szCs w:val="24"/>
        </w:rPr>
        <w:t>,</w:t>
      </w:r>
      <w:r w:rsidRPr="00B457F5">
        <w:rPr>
          <w:rFonts w:ascii="Garamond" w:eastAsia="MS Mincho" w:hAnsi="Garamond" w:cs="Times New Roman"/>
          <w:iCs/>
          <w:szCs w:val="24"/>
        </w:rPr>
        <w:t xml:space="preserve"> për shtetasit shqiptarë të kthyer nga emigracioni.</w:t>
      </w:r>
    </w:p>
    <w:p w14:paraId="327E3382" w14:textId="63B9C71F" w:rsidR="00A619CA" w:rsidRPr="00B457F5" w:rsidRDefault="00B74404"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Ndryshimet e miratuara në </w:t>
      </w:r>
      <w:r w:rsidRPr="00B457F5">
        <w:rPr>
          <w:rFonts w:ascii="Garamond" w:eastAsia="MS Mincho" w:hAnsi="Garamond" w:cs="Times New Roman"/>
          <w:bCs/>
          <w:iCs/>
          <w:szCs w:val="24"/>
        </w:rPr>
        <w:t xml:space="preserve">ligjin për vetëqeverisjen </w:t>
      </w:r>
      <w:r w:rsidR="00850BA5" w:rsidRPr="00B457F5">
        <w:rPr>
          <w:rFonts w:ascii="Garamond" w:eastAsia="MS Mincho" w:hAnsi="Garamond" w:cs="Times New Roman"/>
          <w:bCs/>
          <w:iCs/>
          <w:szCs w:val="24"/>
        </w:rPr>
        <w:t>vendore</w:t>
      </w:r>
      <w:r w:rsidR="006302A8" w:rsidRPr="00B457F5">
        <w:rPr>
          <w:rFonts w:ascii="Garamond" w:eastAsia="MS Mincho" w:hAnsi="Garamond" w:cs="Times New Roman"/>
          <w:bCs/>
          <w:iCs/>
          <w:szCs w:val="24"/>
        </w:rPr>
        <w:t>,</w:t>
      </w:r>
      <w:r w:rsidR="00A619CA" w:rsidRPr="00B457F5">
        <w:rPr>
          <w:rFonts w:ascii="Garamond" w:eastAsia="MS Mincho" w:hAnsi="Garamond" w:cs="Times New Roman"/>
          <w:szCs w:val="24"/>
          <w:vertAlign w:val="superscript"/>
        </w:rPr>
        <w:footnoteReference w:id="45"/>
      </w:r>
      <w:r w:rsidR="00A619CA" w:rsidRPr="00B457F5">
        <w:rPr>
          <w:rFonts w:ascii="Garamond" w:eastAsia="MS Mincho" w:hAnsi="Garamond" w:cs="Times New Roman"/>
          <w:szCs w:val="24"/>
        </w:rPr>
        <w:t xml:space="preserve"> </w:t>
      </w:r>
      <w:r w:rsidR="002C054D" w:rsidRPr="00B457F5">
        <w:rPr>
          <w:rFonts w:ascii="Garamond" w:eastAsia="MS Mincho" w:hAnsi="Garamond" w:cs="Times New Roman"/>
          <w:szCs w:val="24"/>
        </w:rPr>
        <w:t>në vitin 2019</w:t>
      </w:r>
      <w:r w:rsidR="006302A8" w:rsidRPr="00B457F5">
        <w:rPr>
          <w:rFonts w:ascii="Garamond" w:eastAsia="MS Mincho" w:hAnsi="Garamond" w:cs="Times New Roman"/>
          <w:szCs w:val="24"/>
        </w:rPr>
        <w:t>,</w:t>
      </w:r>
      <w:r w:rsidR="002C054D" w:rsidRPr="00B457F5">
        <w:rPr>
          <w:rFonts w:ascii="Garamond" w:eastAsia="MS Mincho" w:hAnsi="Garamond" w:cs="Times New Roman"/>
          <w:szCs w:val="24"/>
        </w:rPr>
        <w:t xml:space="preserve"> ngarkuan njësitë e </w:t>
      </w:r>
      <w:r w:rsidR="002C054D" w:rsidRPr="00B457F5">
        <w:rPr>
          <w:rFonts w:ascii="Garamond" w:eastAsia="MS Mincho" w:hAnsi="Garamond" w:cs="Times New Roman"/>
          <w:bCs/>
          <w:iCs/>
          <w:szCs w:val="24"/>
        </w:rPr>
        <w:t>vetëqeverisjes vendore (NJQV)</w:t>
      </w:r>
      <w:r w:rsidR="002C054D" w:rsidRPr="00B457F5">
        <w:rPr>
          <w:rFonts w:ascii="Garamond" w:eastAsia="MS Mincho" w:hAnsi="Garamond" w:cs="Times New Roman"/>
          <w:szCs w:val="24"/>
        </w:rPr>
        <w:t xml:space="preserve"> me disa përgjegjësi shtesë</w:t>
      </w:r>
      <w:r w:rsidR="006302A8" w:rsidRPr="00B457F5">
        <w:rPr>
          <w:rFonts w:ascii="Garamond" w:eastAsia="MS Mincho" w:hAnsi="Garamond" w:cs="Times New Roman"/>
          <w:szCs w:val="24"/>
        </w:rPr>
        <w:t>,</w:t>
      </w:r>
      <w:r w:rsidR="002C054D" w:rsidRPr="00B457F5">
        <w:rPr>
          <w:rFonts w:ascii="Garamond" w:eastAsia="MS Mincho" w:hAnsi="Garamond" w:cs="Times New Roman"/>
          <w:szCs w:val="24"/>
        </w:rPr>
        <w:t xml:space="preserve"> me q</w:t>
      </w:r>
      <w:r w:rsidR="00B0743F" w:rsidRPr="00B457F5">
        <w:rPr>
          <w:rFonts w:ascii="Garamond" w:eastAsia="MS Mincho" w:hAnsi="Garamond" w:cs="Times New Roman"/>
          <w:szCs w:val="24"/>
        </w:rPr>
        <w:t>ë</w:t>
      </w:r>
      <w:r w:rsidR="002C054D" w:rsidRPr="00B457F5">
        <w:rPr>
          <w:rFonts w:ascii="Garamond" w:eastAsia="MS Mincho" w:hAnsi="Garamond" w:cs="Times New Roman"/>
          <w:szCs w:val="24"/>
        </w:rPr>
        <w:t>llim</w:t>
      </w:r>
      <w:r w:rsidR="0006016F" w:rsidRPr="00B457F5">
        <w:rPr>
          <w:rFonts w:ascii="Garamond" w:eastAsia="MS Mincho" w:hAnsi="Garamond" w:cs="Times New Roman"/>
          <w:szCs w:val="24"/>
        </w:rPr>
        <w:t xml:space="preserve"> </w:t>
      </w:r>
      <w:r w:rsidR="002C054D" w:rsidRPr="00B457F5">
        <w:rPr>
          <w:rFonts w:ascii="Garamond" w:eastAsia="MS Mincho" w:hAnsi="Garamond" w:cs="Times New Roman"/>
          <w:szCs w:val="24"/>
        </w:rPr>
        <w:t>ngritjen e një strukture të veçantë për diasporën dhe migracionin në çdo bashki. Funksionet e kësaj strukture përfshijnë ofrimin e mbështetjes, informacionit dhe shërbimeve për migrantët</w:t>
      </w:r>
      <w:r w:rsidR="006302A8" w:rsidRPr="00B457F5">
        <w:rPr>
          <w:rFonts w:ascii="Garamond" w:eastAsia="MS Mincho" w:hAnsi="Garamond" w:cs="Times New Roman"/>
          <w:szCs w:val="24"/>
        </w:rPr>
        <w:t>,</w:t>
      </w:r>
      <w:r w:rsidR="002C054D" w:rsidRPr="00B457F5">
        <w:rPr>
          <w:rFonts w:ascii="Garamond" w:eastAsia="MS Mincho" w:hAnsi="Garamond" w:cs="Times New Roman"/>
          <w:szCs w:val="24"/>
        </w:rPr>
        <w:t xml:space="preserve"> në lidhje me mundësitë e investimit</w:t>
      </w:r>
      <w:r w:rsidR="006302A8" w:rsidRPr="00B457F5">
        <w:rPr>
          <w:rFonts w:ascii="Garamond" w:eastAsia="MS Mincho" w:hAnsi="Garamond" w:cs="Times New Roman"/>
          <w:szCs w:val="24"/>
        </w:rPr>
        <w:t>,</w:t>
      </w:r>
      <w:r w:rsidR="002C054D" w:rsidRPr="00B457F5">
        <w:rPr>
          <w:rFonts w:ascii="Garamond" w:eastAsia="MS Mincho" w:hAnsi="Garamond" w:cs="Times New Roman"/>
          <w:szCs w:val="24"/>
        </w:rPr>
        <w:t xml:space="preserve"> si dhe riintegrimin social të migrantëve të kthyer.</w:t>
      </w:r>
    </w:p>
    <w:p w14:paraId="6B18400E" w14:textId="598A9D8E" w:rsidR="007A76CC" w:rsidRPr="00B457F5" w:rsidRDefault="007A76CC"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Një funksion tjetër i NJVQ</w:t>
      </w:r>
      <w:r w:rsidR="004E37E0" w:rsidRPr="00B457F5">
        <w:rPr>
          <w:rFonts w:ascii="Garamond" w:eastAsia="MS Mincho" w:hAnsi="Garamond" w:cs="Times New Roman"/>
          <w:szCs w:val="24"/>
        </w:rPr>
        <w:t>-ve</w:t>
      </w:r>
      <w:r w:rsidRPr="00B457F5">
        <w:rPr>
          <w:rFonts w:ascii="Garamond" w:eastAsia="MS Mincho" w:hAnsi="Garamond" w:cs="Times New Roman"/>
          <w:szCs w:val="24"/>
        </w:rPr>
        <w:t xml:space="preserve"> është ruajtja e komunikimit të vazhdueshëm me emigrantët dhe diasporën</w:t>
      </w:r>
      <w:r w:rsidR="006302A8" w:rsidRPr="00B457F5">
        <w:rPr>
          <w:rFonts w:ascii="Garamond" w:eastAsia="MS Mincho" w:hAnsi="Garamond" w:cs="Times New Roman"/>
          <w:szCs w:val="24"/>
        </w:rPr>
        <w:t>,</w:t>
      </w:r>
      <w:r w:rsidRPr="00B457F5">
        <w:rPr>
          <w:rFonts w:ascii="Garamond" w:eastAsia="MS Mincho" w:hAnsi="Garamond" w:cs="Times New Roman"/>
          <w:szCs w:val="24"/>
        </w:rPr>
        <w:t xml:space="preserve"> përmes aktiviteteve të ndryshme të organizuara brenda dhe jashtë vendit. Ato do të koordinojnë aktivitetet e tyre me ministritë përgjegjëse për migracionin dhe punët e jashtme</w:t>
      </w:r>
      <w:r w:rsidR="006302A8" w:rsidRPr="00B457F5">
        <w:rPr>
          <w:rFonts w:ascii="Garamond" w:eastAsia="MS Mincho" w:hAnsi="Garamond" w:cs="Times New Roman"/>
          <w:szCs w:val="24"/>
        </w:rPr>
        <w:t>,</w:t>
      </w:r>
      <w:r w:rsidRPr="00B457F5">
        <w:rPr>
          <w:rFonts w:ascii="Garamond" w:eastAsia="MS Mincho" w:hAnsi="Garamond" w:cs="Times New Roman"/>
          <w:szCs w:val="24"/>
        </w:rPr>
        <w:t xml:space="preserve"> për të ofruar informacion dhe mbështetje për çështjet që lidhen me migracionin dhe diasporën.</w:t>
      </w:r>
    </w:p>
    <w:p w14:paraId="3A326DD9" w14:textId="53BF77ED" w:rsidR="00A619CA" w:rsidRPr="00B457F5" w:rsidRDefault="000D3EC1" w:rsidP="002E693B">
      <w:pPr>
        <w:pStyle w:val="BodyText1"/>
        <w:spacing w:before="0" w:after="0"/>
        <w:ind w:firstLine="284"/>
        <w:rPr>
          <w:rFonts w:ascii="Garamond" w:hAnsi="Garamond"/>
          <w:sz w:val="24"/>
          <w:szCs w:val="24"/>
          <w:lang w:val="sq-AL"/>
        </w:rPr>
      </w:pPr>
      <w:r w:rsidRPr="00B457F5">
        <w:rPr>
          <w:rFonts w:ascii="Garamond" w:hAnsi="Garamond"/>
          <w:sz w:val="24"/>
          <w:szCs w:val="24"/>
          <w:lang w:val="sq-AL"/>
        </w:rPr>
        <w:t>Bashkia e Tiranës ka dhënë shembullin e për</w:t>
      </w:r>
      <w:r w:rsidR="00624601" w:rsidRPr="00B457F5">
        <w:rPr>
          <w:rFonts w:ascii="Garamond" w:hAnsi="Garamond"/>
          <w:sz w:val="24"/>
          <w:szCs w:val="24"/>
          <w:lang w:val="sq-AL"/>
        </w:rPr>
        <w:t>fshirjes</w:t>
      </w:r>
      <w:r w:rsidRPr="00B457F5">
        <w:rPr>
          <w:rFonts w:ascii="Garamond" w:hAnsi="Garamond"/>
          <w:sz w:val="24"/>
          <w:szCs w:val="24"/>
          <w:lang w:val="sq-AL"/>
        </w:rPr>
        <w:t xml:space="preserve"> </w:t>
      </w:r>
      <w:r w:rsidR="006302A8" w:rsidRPr="00B457F5">
        <w:rPr>
          <w:rFonts w:ascii="Garamond" w:hAnsi="Garamond"/>
          <w:sz w:val="24"/>
          <w:szCs w:val="24"/>
          <w:lang w:val="sq-AL"/>
        </w:rPr>
        <w:t>s</w:t>
      </w:r>
      <w:r w:rsidRPr="00B457F5">
        <w:rPr>
          <w:rFonts w:ascii="Garamond" w:hAnsi="Garamond"/>
          <w:sz w:val="24"/>
          <w:szCs w:val="24"/>
          <w:lang w:val="sq-AL"/>
        </w:rPr>
        <w:t>ë përgjegjësive të reja të NJVQ</w:t>
      </w:r>
      <w:r w:rsidR="00B438FA" w:rsidRPr="00B457F5">
        <w:rPr>
          <w:rFonts w:ascii="Garamond" w:hAnsi="Garamond"/>
          <w:sz w:val="24"/>
          <w:szCs w:val="24"/>
          <w:lang w:val="sq-AL"/>
        </w:rPr>
        <w:t>-ve</w:t>
      </w:r>
      <w:r w:rsidRPr="00B457F5">
        <w:rPr>
          <w:rFonts w:ascii="Garamond" w:hAnsi="Garamond"/>
          <w:sz w:val="24"/>
          <w:szCs w:val="24"/>
          <w:lang w:val="sq-AL"/>
        </w:rPr>
        <w:t xml:space="preserve"> në fushën e migracionit, duke miratuar </w:t>
      </w:r>
      <w:r w:rsidRPr="00B457F5">
        <w:rPr>
          <w:rFonts w:ascii="Garamond" w:hAnsi="Garamond"/>
          <w:bCs/>
          <w:iCs/>
          <w:sz w:val="24"/>
          <w:szCs w:val="24"/>
          <w:lang w:val="sq-AL"/>
        </w:rPr>
        <w:t>Plan</w:t>
      </w:r>
      <w:r w:rsidR="00B438FA" w:rsidRPr="00B457F5">
        <w:rPr>
          <w:rFonts w:ascii="Garamond" w:hAnsi="Garamond"/>
          <w:bCs/>
          <w:iCs/>
          <w:sz w:val="24"/>
          <w:szCs w:val="24"/>
          <w:lang w:val="sq-AL"/>
        </w:rPr>
        <w:t>in</w:t>
      </w:r>
      <w:r w:rsidRPr="00B457F5">
        <w:rPr>
          <w:rFonts w:ascii="Garamond" w:hAnsi="Garamond"/>
          <w:bCs/>
          <w:iCs/>
          <w:sz w:val="24"/>
          <w:szCs w:val="24"/>
          <w:lang w:val="sq-AL"/>
        </w:rPr>
        <w:t xml:space="preserve"> Vendor për Migracionin dhe Diasporën 2022</w:t>
      </w:r>
      <w:r w:rsidR="004D6364" w:rsidRPr="00B457F5">
        <w:rPr>
          <w:rStyle w:val="contentpasted1"/>
          <w:rFonts w:ascii="Garamond" w:hAnsi="Garamond"/>
          <w:color w:val="000000"/>
          <w:lang w:val="sq-AL"/>
        </w:rPr>
        <w:t>–</w:t>
      </w:r>
      <w:r w:rsidRPr="00B457F5">
        <w:rPr>
          <w:rFonts w:ascii="Garamond" w:hAnsi="Garamond"/>
          <w:bCs/>
          <w:iCs/>
          <w:sz w:val="24"/>
          <w:szCs w:val="24"/>
          <w:lang w:val="sq-AL"/>
        </w:rPr>
        <w:t>2026</w:t>
      </w:r>
      <w:r w:rsidRPr="00B457F5">
        <w:rPr>
          <w:rFonts w:ascii="Garamond" w:hAnsi="Garamond"/>
          <w:sz w:val="24"/>
          <w:szCs w:val="24"/>
          <w:lang w:val="sq-AL"/>
        </w:rPr>
        <w:t xml:space="preserve">. Plani synon </w:t>
      </w:r>
      <w:r w:rsidRPr="00B457F5">
        <w:rPr>
          <w:rFonts w:ascii="Garamond" w:hAnsi="Garamond"/>
          <w:sz w:val="24"/>
          <w:szCs w:val="24"/>
          <w:lang w:val="sq-AL"/>
        </w:rPr>
        <w:lastRenderedPageBreak/>
        <w:t xml:space="preserve">të krijojë kushtet për integrimin e qëndrueshëm të </w:t>
      </w:r>
      <w:r w:rsidR="00CD026E" w:rsidRPr="00B457F5">
        <w:rPr>
          <w:rFonts w:ascii="Garamond" w:hAnsi="Garamond"/>
          <w:sz w:val="24"/>
          <w:szCs w:val="24"/>
          <w:lang w:val="sq-AL"/>
        </w:rPr>
        <w:t>i</w:t>
      </w:r>
      <w:r w:rsidRPr="00B457F5">
        <w:rPr>
          <w:rFonts w:ascii="Garamond" w:hAnsi="Garamond"/>
          <w:sz w:val="24"/>
          <w:szCs w:val="24"/>
          <w:lang w:val="sq-AL"/>
        </w:rPr>
        <w:t>migrantëve dhe emigrantëve të kthyer, duke përdorur sistemet e informacionit dhe duke bashkëpunuar me aktorë të tjerë të përfshirë. Gjithashtu, bashkitë e tjera</w:t>
      </w:r>
      <w:r w:rsidR="006302A8" w:rsidRPr="00B457F5">
        <w:rPr>
          <w:rFonts w:ascii="Garamond" w:hAnsi="Garamond"/>
          <w:sz w:val="24"/>
          <w:szCs w:val="24"/>
          <w:lang w:val="sq-AL"/>
        </w:rPr>
        <w:t>,</w:t>
      </w:r>
      <w:r w:rsidRPr="00B457F5">
        <w:rPr>
          <w:rFonts w:ascii="Garamond" w:hAnsi="Garamond"/>
          <w:sz w:val="24"/>
          <w:szCs w:val="24"/>
          <w:lang w:val="sq-AL"/>
        </w:rPr>
        <w:t xml:space="preserve"> si</w:t>
      </w:r>
      <w:r w:rsidR="006302A8" w:rsidRPr="00B457F5">
        <w:rPr>
          <w:rFonts w:ascii="Garamond" w:hAnsi="Garamond"/>
          <w:sz w:val="24"/>
          <w:szCs w:val="24"/>
          <w:lang w:val="sq-AL"/>
        </w:rPr>
        <w:t>:</w:t>
      </w:r>
      <w:r w:rsidRPr="00B457F5">
        <w:rPr>
          <w:rFonts w:ascii="Garamond" w:hAnsi="Garamond"/>
          <w:sz w:val="24"/>
          <w:szCs w:val="24"/>
          <w:lang w:val="sq-AL"/>
        </w:rPr>
        <w:t xml:space="preserve"> Korça, Shkodra, Kukësi, Dibra dhe Elbasani</w:t>
      </w:r>
      <w:r w:rsidR="006302A8" w:rsidRPr="00B457F5">
        <w:rPr>
          <w:rFonts w:ascii="Garamond" w:hAnsi="Garamond"/>
          <w:sz w:val="24"/>
          <w:szCs w:val="24"/>
          <w:lang w:val="sq-AL"/>
        </w:rPr>
        <w:t>,</w:t>
      </w:r>
      <w:r w:rsidRPr="00B457F5">
        <w:rPr>
          <w:rFonts w:ascii="Garamond" w:hAnsi="Garamond"/>
          <w:sz w:val="24"/>
          <w:szCs w:val="24"/>
          <w:lang w:val="sq-AL"/>
        </w:rPr>
        <w:t xml:space="preserve"> kanë hartuar plane vendore për migracionin dhe diasporën.</w:t>
      </w:r>
    </w:p>
    <w:p w14:paraId="77699ED9" w14:textId="2025342F" w:rsidR="00A619CA" w:rsidRPr="00B457F5" w:rsidRDefault="005E3229" w:rsidP="002E693B">
      <w:pPr>
        <w:pStyle w:val="Heading1"/>
        <w:spacing w:before="0" w:after="0"/>
        <w:ind w:left="0" w:firstLine="284"/>
        <w:rPr>
          <w:rFonts w:ascii="Garamond" w:hAnsi="Garamond" w:cs="Times New Roman"/>
          <w:color w:val="auto"/>
          <w:sz w:val="24"/>
          <w:szCs w:val="24"/>
          <w:lang w:eastAsia="fr-RE"/>
        </w:rPr>
      </w:pPr>
      <w:bookmarkStart w:id="33" w:name="_Toc148097436"/>
      <w:bookmarkStart w:id="34" w:name="_Toc155620724"/>
      <w:r w:rsidRPr="00B457F5">
        <w:rPr>
          <w:rFonts w:ascii="Garamond" w:hAnsi="Garamond" w:cs="Times New Roman"/>
          <w:color w:val="auto"/>
          <w:sz w:val="24"/>
          <w:szCs w:val="24"/>
          <w:lang w:eastAsia="fr-RE"/>
        </w:rPr>
        <w:t>Bash</w:t>
      </w:r>
      <w:r w:rsidR="00C770F5" w:rsidRPr="00B457F5">
        <w:rPr>
          <w:rFonts w:ascii="Garamond" w:hAnsi="Garamond" w:cs="Times New Roman"/>
          <w:color w:val="auto"/>
          <w:sz w:val="24"/>
          <w:szCs w:val="24"/>
          <w:lang w:eastAsia="fr-RE"/>
        </w:rPr>
        <w:t xml:space="preserve">këpunimet </w:t>
      </w:r>
      <w:r w:rsidR="006302A8" w:rsidRPr="00B457F5">
        <w:rPr>
          <w:rFonts w:ascii="Garamond" w:hAnsi="Garamond" w:cs="Times New Roman"/>
          <w:color w:val="auto"/>
          <w:sz w:val="24"/>
          <w:szCs w:val="24"/>
          <w:lang w:eastAsia="fr-RE"/>
        </w:rPr>
        <w:t>rajonale dhe ndërkombëtare</w:t>
      </w:r>
      <w:bookmarkEnd w:id="33"/>
      <w:bookmarkEnd w:id="34"/>
    </w:p>
    <w:p w14:paraId="29FFEFC2" w14:textId="6ACD2CF9" w:rsidR="00A619CA" w:rsidRPr="00B457F5" w:rsidRDefault="00624601" w:rsidP="002E693B">
      <w:pPr>
        <w:spacing w:before="0" w:after="0"/>
        <w:ind w:firstLine="284"/>
        <w:rPr>
          <w:rFonts w:ascii="Garamond" w:eastAsia="MS Mincho" w:hAnsi="Garamond" w:cs="Times New Roman"/>
          <w:szCs w:val="24"/>
        </w:rPr>
      </w:pPr>
      <w:r w:rsidRPr="00B457F5">
        <w:rPr>
          <w:rFonts w:ascii="Garamond" w:eastAsia="MS Mincho" w:hAnsi="Garamond" w:cs="Times New Roman"/>
          <w:bCs/>
          <w:i/>
          <w:iCs/>
          <w:szCs w:val="24"/>
        </w:rPr>
        <w:t>Bashk</w:t>
      </w:r>
      <w:r w:rsidR="00B0743F" w:rsidRPr="00B457F5">
        <w:rPr>
          <w:rFonts w:ascii="Garamond" w:eastAsia="MS Mincho" w:hAnsi="Garamond" w:cs="Times New Roman"/>
          <w:bCs/>
          <w:i/>
          <w:iCs/>
          <w:szCs w:val="24"/>
        </w:rPr>
        <w:t>ë</w:t>
      </w:r>
      <w:r w:rsidRPr="00B457F5">
        <w:rPr>
          <w:rFonts w:ascii="Garamond" w:eastAsia="MS Mincho" w:hAnsi="Garamond" w:cs="Times New Roman"/>
          <w:bCs/>
          <w:i/>
          <w:iCs/>
          <w:szCs w:val="24"/>
        </w:rPr>
        <w:t xml:space="preserve">punimet </w:t>
      </w:r>
      <w:r w:rsidR="006302A8" w:rsidRPr="00B457F5">
        <w:rPr>
          <w:rFonts w:ascii="Garamond" w:eastAsia="MS Mincho" w:hAnsi="Garamond" w:cs="Times New Roman"/>
          <w:bCs/>
          <w:i/>
          <w:iCs/>
          <w:szCs w:val="24"/>
        </w:rPr>
        <w:t>r</w:t>
      </w:r>
      <w:r w:rsidRPr="00B457F5">
        <w:rPr>
          <w:rFonts w:ascii="Garamond" w:eastAsia="MS Mincho" w:hAnsi="Garamond" w:cs="Times New Roman"/>
          <w:bCs/>
          <w:i/>
          <w:iCs/>
          <w:szCs w:val="24"/>
        </w:rPr>
        <w:t>ajonale</w:t>
      </w:r>
      <w:r w:rsidR="00A619CA" w:rsidRPr="00B457F5">
        <w:rPr>
          <w:rFonts w:ascii="Garamond" w:eastAsia="MS Mincho" w:hAnsi="Garamond" w:cs="Times New Roman"/>
          <w:bCs/>
          <w:iCs/>
          <w:szCs w:val="24"/>
        </w:rPr>
        <w:t>.</w:t>
      </w:r>
      <w:r w:rsidR="00A619CA" w:rsidRPr="00B457F5">
        <w:rPr>
          <w:rFonts w:ascii="Garamond" w:eastAsia="MS Mincho" w:hAnsi="Garamond" w:cs="Times New Roman"/>
          <w:iCs/>
          <w:szCs w:val="24"/>
        </w:rPr>
        <w:t xml:space="preserve"> </w:t>
      </w:r>
      <w:bookmarkStart w:id="35" w:name="_Toc122115266"/>
      <w:r w:rsidR="004F6B28" w:rsidRPr="00B457F5">
        <w:rPr>
          <w:rFonts w:ascii="Garamond" w:eastAsia="MS Mincho" w:hAnsi="Garamond" w:cs="Times New Roman"/>
          <w:szCs w:val="24"/>
        </w:rPr>
        <w:t xml:space="preserve">Të dhënat tregojnë se emigrimi i shtetasve shqiptarë drejt vendeve të BE-së vazhdon pavarësisht përmirësimit të lehtë të kushteve të jetesës dhe zhvillimit social-ekonomik të vendit tonë. Tendencat e emigracionit mund të rriten edhe si rezultat i marrëveshjes me vendet e Ballkanit Perëndimor. Kjo marrëveshje synon të forcojë bashkëpunimin rajonal dhe mirëkuptimin e ndërsjellë, të kontribuojë </w:t>
      </w:r>
      <w:r w:rsidR="00B93891" w:rsidRPr="00B457F5">
        <w:rPr>
          <w:rFonts w:ascii="Garamond" w:eastAsia="MS Mincho" w:hAnsi="Garamond" w:cs="Times New Roman"/>
          <w:szCs w:val="24"/>
        </w:rPr>
        <w:t xml:space="preserve">për </w:t>
      </w:r>
      <w:r w:rsidR="004F6B28" w:rsidRPr="00B457F5">
        <w:rPr>
          <w:rFonts w:ascii="Garamond" w:eastAsia="MS Mincho" w:hAnsi="Garamond" w:cs="Times New Roman"/>
          <w:szCs w:val="24"/>
        </w:rPr>
        <w:t xml:space="preserve">zhvillimin ekonomik dhe rritjen ekonomike, investimet dhe punësimin në Ballkanin Perëndimor, duke siguruar progres dhe prosperitet ekonomik. </w:t>
      </w:r>
      <w:r w:rsidR="003E73DA" w:rsidRPr="00B457F5">
        <w:rPr>
          <w:rFonts w:ascii="Garamond" w:eastAsia="MS Mincho" w:hAnsi="Garamond" w:cs="Times New Roman"/>
          <w:szCs w:val="24"/>
        </w:rPr>
        <w:t>Zhvillime të reja</w:t>
      </w:r>
      <w:r w:rsidR="006302A8" w:rsidRPr="00B457F5">
        <w:rPr>
          <w:rFonts w:ascii="Garamond" w:eastAsia="MS Mincho" w:hAnsi="Garamond" w:cs="Times New Roman"/>
          <w:szCs w:val="24"/>
        </w:rPr>
        <w:t>,</w:t>
      </w:r>
      <w:r w:rsidR="003E73DA" w:rsidRPr="00B457F5">
        <w:rPr>
          <w:rFonts w:ascii="Garamond" w:eastAsia="MS Mincho" w:hAnsi="Garamond" w:cs="Times New Roman"/>
          <w:szCs w:val="24"/>
        </w:rPr>
        <w:t xml:space="preserve"> në lidhje me aksesin e lirë në tregun e punës në Ballkanin Perëndimor</w:t>
      </w:r>
      <w:r w:rsidR="006302A8" w:rsidRPr="00B457F5">
        <w:rPr>
          <w:rFonts w:ascii="Garamond" w:eastAsia="MS Mincho" w:hAnsi="Garamond" w:cs="Times New Roman"/>
          <w:szCs w:val="24"/>
        </w:rPr>
        <w:t>,</w:t>
      </w:r>
      <w:r w:rsidR="003E73DA" w:rsidRPr="00B457F5">
        <w:rPr>
          <w:rFonts w:ascii="Garamond" w:eastAsia="MS Mincho" w:hAnsi="Garamond" w:cs="Times New Roman"/>
          <w:szCs w:val="24"/>
        </w:rPr>
        <w:t xml:space="preserve"> </w:t>
      </w:r>
      <w:r w:rsidR="009E7732" w:rsidRPr="00B457F5">
        <w:rPr>
          <w:rFonts w:ascii="Garamond" w:eastAsia="MS Mincho" w:hAnsi="Garamond" w:cs="Times New Roman"/>
          <w:szCs w:val="24"/>
        </w:rPr>
        <w:t>po ndodhin</w:t>
      </w:r>
      <w:r w:rsidR="003E73DA" w:rsidRPr="00B457F5">
        <w:rPr>
          <w:rFonts w:ascii="Garamond" w:eastAsia="MS Mincho" w:hAnsi="Garamond" w:cs="Times New Roman"/>
          <w:szCs w:val="24"/>
        </w:rPr>
        <w:t xml:space="preserve"> në kuadrin e </w:t>
      </w:r>
      <w:r w:rsidR="003E73DA" w:rsidRPr="00B457F5">
        <w:rPr>
          <w:rFonts w:ascii="Garamond" w:eastAsia="MS Mincho" w:hAnsi="Garamond" w:cs="Times New Roman"/>
          <w:bCs/>
          <w:iCs/>
          <w:szCs w:val="24"/>
        </w:rPr>
        <w:t xml:space="preserve">Iniciativës për Ballkanin e Hapur </w:t>
      </w:r>
      <w:r w:rsidR="003E73DA" w:rsidRPr="00B457F5">
        <w:rPr>
          <w:rFonts w:ascii="Garamond" w:eastAsia="MS Mincho" w:hAnsi="Garamond" w:cs="Times New Roman"/>
          <w:szCs w:val="24"/>
        </w:rPr>
        <w:t>të krijuar më 29 korrik 2021</w:t>
      </w:r>
      <w:r w:rsidR="006302A8" w:rsidRPr="00B457F5">
        <w:rPr>
          <w:rFonts w:ascii="Garamond" w:eastAsia="MS Mincho" w:hAnsi="Garamond" w:cs="Times New Roman"/>
          <w:szCs w:val="24"/>
        </w:rPr>
        <w:t>,</w:t>
      </w:r>
      <w:r w:rsidR="003E73DA" w:rsidRPr="00B457F5">
        <w:rPr>
          <w:rFonts w:ascii="Garamond" w:eastAsia="MS Mincho" w:hAnsi="Garamond" w:cs="Times New Roman"/>
          <w:szCs w:val="24"/>
        </w:rPr>
        <w:t xml:space="preserve"> nga Shqipëria, Mali i Zi dhe Serbia</w:t>
      </w:r>
      <w:r w:rsidR="009E7732" w:rsidRPr="00B457F5">
        <w:rPr>
          <w:rFonts w:ascii="Garamond" w:eastAsia="MS Mincho" w:hAnsi="Garamond" w:cs="Times New Roman"/>
          <w:szCs w:val="24"/>
        </w:rPr>
        <w:t>,</w:t>
      </w:r>
      <w:r w:rsidR="003E73DA" w:rsidRPr="00B457F5">
        <w:rPr>
          <w:rFonts w:ascii="Garamond" w:eastAsia="MS Mincho" w:hAnsi="Garamond" w:cs="Times New Roman"/>
          <w:szCs w:val="24"/>
        </w:rPr>
        <w:t xml:space="preserve"> me qëllim rritjen e tregtisë dhe bashkëpunimit</w:t>
      </w:r>
      <w:r w:rsidR="006302A8" w:rsidRPr="00B457F5">
        <w:rPr>
          <w:rFonts w:ascii="Garamond" w:eastAsia="MS Mincho" w:hAnsi="Garamond" w:cs="Times New Roman"/>
          <w:szCs w:val="24"/>
        </w:rPr>
        <w:t>,</w:t>
      </w:r>
      <w:r w:rsidR="003E73DA" w:rsidRPr="00B457F5">
        <w:rPr>
          <w:rFonts w:ascii="Garamond" w:eastAsia="MS Mincho" w:hAnsi="Garamond" w:cs="Times New Roman"/>
          <w:szCs w:val="24"/>
        </w:rPr>
        <w:t xml:space="preserve"> si dhe përmirësimin e marrëdhënieve dypalëshe</w:t>
      </w:r>
      <w:r w:rsidR="004C3834" w:rsidRPr="00B457F5">
        <w:rPr>
          <w:rFonts w:ascii="Garamond" w:eastAsia="MS Mincho" w:hAnsi="Garamond" w:cs="Times New Roman"/>
          <w:szCs w:val="24"/>
        </w:rPr>
        <w:t>. Një tjetër instrument i rëndësishëm për këtë qëllim është</w:t>
      </w:r>
      <w:r w:rsidR="00A52465" w:rsidRPr="00B457F5">
        <w:rPr>
          <w:rFonts w:ascii="Garamond" w:eastAsia="MS Mincho" w:hAnsi="Garamond" w:cs="Times New Roman"/>
          <w:szCs w:val="24"/>
        </w:rPr>
        <w:t xml:space="preserve"> dhe</w:t>
      </w:r>
      <w:r w:rsidR="004D6364" w:rsidRPr="00B457F5">
        <w:rPr>
          <w:rFonts w:ascii="Garamond" w:eastAsia="MS Mincho" w:hAnsi="Garamond" w:cs="Times New Roman"/>
          <w:szCs w:val="24"/>
        </w:rPr>
        <w:t xml:space="preserve"> </w:t>
      </w:r>
      <w:r w:rsidR="006302A8" w:rsidRPr="00B457F5">
        <w:rPr>
          <w:rFonts w:ascii="Garamond" w:eastAsia="MS Mincho" w:hAnsi="Garamond" w:cs="Times New Roman"/>
          <w:szCs w:val="24"/>
        </w:rPr>
        <w:t xml:space="preserve">protokolli shtesë </w:t>
      </w:r>
      <w:r w:rsidR="003E73DA" w:rsidRPr="00B457F5">
        <w:rPr>
          <w:rFonts w:ascii="Garamond" w:eastAsia="MS Mincho" w:hAnsi="Garamond" w:cs="Times New Roman"/>
          <w:szCs w:val="24"/>
        </w:rPr>
        <w:t xml:space="preserve">nr. 6 </w:t>
      </w:r>
      <w:r w:rsidR="00A52465" w:rsidRPr="00B457F5">
        <w:rPr>
          <w:rFonts w:ascii="Garamond" w:eastAsia="MS Mincho" w:hAnsi="Garamond" w:cs="Times New Roman"/>
          <w:szCs w:val="24"/>
        </w:rPr>
        <w:t>i</w:t>
      </w:r>
      <w:r w:rsidR="003E73DA" w:rsidRPr="00B457F5">
        <w:rPr>
          <w:rFonts w:ascii="Garamond" w:eastAsia="MS Mincho" w:hAnsi="Garamond" w:cs="Times New Roman"/>
          <w:szCs w:val="24"/>
        </w:rPr>
        <w:t xml:space="preserve"> Marrëveshjes së Tregtisë së Lirë të Evropës Qendrore (CEFTA). Protokolli hyri në fuqi më 11 janar 2021 dhe zgje</w:t>
      </w:r>
      <w:r w:rsidR="004D6364" w:rsidRPr="00B457F5">
        <w:rPr>
          <w:rFonts w:ascii="Garamond" w:eastAsia="MS Mincho" w:hAnsi="Garamond" w:cs="Times New Roman"/>
          <w:szCs w:val="24"/>
        </w:rPr>
        <w:t>r</w:t>
      </w:r>
      <w:r w:rsidR="003E73DA" w:rsidRPr="00B457F5">
        <w:rPr>
          <w:rFonts w:ascii="Garamond" w:eastAsia="MS Mincho" w:hAnsi="Garamond" w:cs="Times New Roman"/>
          <w:szCs w:val="24"/>
        </w:rPr>
        <w:t>on</w:t>
      </w:r>
      <w:r w:rsidR="00A52465" w:rsidRPr="00B457F5">
        <w:rPr>
          <w:rFonts w:ascii="Garamond" w:eastAsia="MS Mincho" w:hAnsi="Garamond" w:cs="Times New Roman"/>
          <w:szCs w:val="24"/>
        </w:rPr>
        <w:t xml:space="preserve"> zonën e </w:t>
      </w:r>
      <w:r w:rsidR="003E73DA" w:rsidRPr="00B457F5">
        <w:rPr>
          <w:rFonts w:ascii="Garamond" w:eastAsia="MS Mincho" w:hAnsi="Garamond" w:cs="Times New Roman"/>
          <w:szCs w:val="24"/>
        </w:rPr>
        <w:t>CEFTA-</w:t>
      </w:r>
      <w:r w:rsidR="006302A8" w:rsidRPr="00B457F5">
        <w:rPr>
          <w:rFonts w:ascii="Garamond" w:eastAsia="MS Mincho" w:hAnsi="Garamond" w:cs="Times New Roman"/>
          <w:szCs w:val="24"/>
        </w:rPr>
        <w:t>s</w:t>
      </w:r>
      <w:r w:rsidR="003E73DA" w:rsidRPr="00B457F5">
        <w:rPr>
          <w:rFonts w:ascii="Garamond" w:eastAsia="MS Mincho" w:hAnsi="Garamond" w:cs="Times New Roman"/>
          <w:szCs w:val="24"/>
        </w:rPr>
        <w:t xml:space="preserve"> për tregtin</w:t>
      </w:r>
      <w:r w:rsidR="00B0743F" w:rsidRPr="00B457F5">
        <w:rPr>
          <w:rFonts w:ascii="Garamond" w:eastAsia="MS Mincho" w:hAnsi="Garamond" w:cs="Times New Roman"/>
          <w:szCs w:val="24"/>
        </w:rPr>
        <w:t>ë</w:t>
      </w:r>
      <w:r w:rsidR="003E73DA" w:rsidRPr="00B457F5">
        <w:rPr>
          <w:rFonts w:ascii="Garamond" w:eastAsia="MS Mincho" w:hAnsi="Garamond" w:cs="Times New Roman"/>
          <w:szCs w:val="24"/>
        </w:rPr>
        <w:t xml:space="preserve"> e shërbimeve</w:t>
      </w:r>
      <w:r w:rsidR="00A619CA" w:rsidRPr="00B457F5">
        <w:rPr>
          <w:rFonts w:ascii="Garamond" w:eastAsia="MS Mincho" w:hAnsi="Garamond" w:cs="Times New Roman"/>
          <w:szCs w:val="24"/>
        </w:rPr>
        <w:t>.</w:t>
      </w:r>
      <w:r w:rsidR="00A619CA" w:rsidRPr="00B457F5">
        <w:rPr>
          <w:rFonts w:ascii="Garamond" w:eastAsia="MS Mincho" w:hAnsi="Garamond" w:cs="Times New Roman"/>
          <w:szCs w:val="24"/>
          <w:vertAlign w:val="superscript"/>
        </w:rPr>
        <w:footnoteReference w:id="46"/>
      </w:r>
    </w:p>
    <w:bookmarkEnd w:id="35"/>
    <w:p w14:paraId="688B6B54" w14:textId="20E99357" w:rsidR="00A619CA" w:rsidRPr="00B457F5" w:rsidRDefault="002305F7" w:rsidP="002E693B">
      <w:pPr>
        <w:spacing w:before="0" w:after="0"/>
        <w:ind w:firstLine="284"/>
        <w:rPr>
          <w:rFonts w:ascii="Garamond" w:eastAsia="MS Mincho" w:hAnsi="Garamond" w:cs="Times New Roman"/>
          <w:iCs/>
          <w:szCs w:val="24"/>
        </w:rPr>
      </w:pPr>
      <w:r w:rsidRPr="00B457F5">
        <w:rPr>
          <w:rFonts w:ascii="Garamond" w:eastAsia="MS Mincho" w:hAnsi="Garamond" w:cs="Times New Roman"/>
          <w:bCs/>
          <w:i/>
          <w:iCs/>
          <w:szCs w:val="24"/>
        </w:rPr>
        <w:t xml:space="preserve">Bashkimi </w:t>
      </w:r>
      <w:r w:rsidR="004D6364" w:rsidRPr="00B457F5">
        <w:rPr>
          <w:rFonts w:ascii="Garamond" w:eastAsia="MS Mincho" w:hAnsi="Garamond" w:cs="Times New Roman"/>
          <w:bCs/>
          <w:i/>
          <w:iCs/>
          <w:szCs w:val="24"/>
        </w:rPr>
        <w:t>Evropian</w:t>
      </w:r>
      <w:r w:rsidRPr="00B457F5">
        <w:rPr>
          <w:rFonts w:ascii="Garamond" w:eastAsia="MS Mincho" w:hAnsi="Garamond" w:cs="Times New Roman"/>
          <w:bCs/>
          <w:iCs/>
          <w:szCs w:val="24"/>
        </w:rPr>
        <w:t>.</w:t>
      </w:r>
      <w:r w:rsidRPr="00B457F5">
        <w:rPr>
          <w:rFonts w:ascii="Garamond" w:eastAsia="MS Mincho" w:hAnsi="Garamond" w:cs="Times New Roman"/>
          <w:i/>
          <w:iCs/>
          <w:szCs w:val="24"/>
        </w:rPr>
        <w:t xml:space="preserve"> </w:t>
      </w:r>
      <w:r w:rsidRPr="00B457F5">
        <w:rPr>
          <w:rFonts w:ascii="Garamond" w:eastAsia="MS Mincho" w:hAnsi="Garamond" w:cs="Times New Roman"/>
          <w:szCs w:val="24"/>
        </w:rPr>
        <w:t>Marrëveshja e ripranimit me BE-në po funksionon mirë</w:t>
      </w:r>
      <w:r w:rsidR="00A52465" w:rsidRPr="00B457F5">
        <w:rPr>
          <w:rFonts w:ascii="Garamond" w:eastAsia="MS Mincho" w:hAnsi="Garamond" w:cs="Times New Roman"/>
          <w:szCs w:val="24"/>
        </w:rPr>
        <w:t>.</w:t>
      </w:r>
      <w:r w:rsidRPr="00B457F5">
        <w:rPr>
          <w:rFonts w:ascii="Garamond" w:eastAsia="MS Mincho" w:hAnsi="Garamond" w:cs="Times New Roman"/>
          <w:szCs w:val="24"/>
        </w:rPr>
        <w:t xml:space="preserve"> Shqipëria po përmbush me shpejtësi kërkesat e vendeve anëtare për ripranimin e qytetarëve të saj dhe atyre të vendeve të treta. Gjithashtu, në proces negociatash janë edhe </w:t>
      </w:r>
      <w:r w:rsidR="0048136A" w:rsidRPr="00B457F5">
        <w:rPr>
          <w:rFonts w:ascii="Garamond" w:eastAsia="MS Mincho" w:hAnsi="Garamond" w:cs="Times New Roman"/>
          <w:szCs w:val="24"/>
        </w:rPr>
        <w:t>projekt</w:t>
      </w:r>
      <w:r w:rsidRPr="00B457F5">
        <w:rPr>
          <w:rFonts w:ascii="Garamond" w:eastAsia="MS Mincho" w:hAnsi="Garamond" w:cs="Times New Roman"/>
          <w:szCs w:val="24"/>
        </w:rPr>
        <w:t>marrëveshjet e ripranimit me disa vende të origjinës. Siç raportohet në raportin e Komis</w:t>
      </w:r>
      <w:r w:rsidR="00015A85" w:rsidRPr="00B457F5">
        <w:rPr>
          <w:rFonts w:ascii="Garamond" w:eastAsia="MS Mincho" w:hAnsi="Garamond" w:cs="Times New Roman"/>
          <w:szCs w:val="24"/>
        </w:rPr>
        <w:t xml:space="preserve">ionit Evropian të vitit 2022, 8 </w:t>
      </w:r>
      <w:r w:rsidRPr="00B457F5">
        <w:rPr>
          <w:rFonts w:ascii="Garamond" w:eastAsia="MS Mincho" w:hAnsi="Garamond" w:cs="Times New Roman"/>
          <w:szCs w:val="24"/>
        </w:rPr>
        <w:t>555 shtetas shqiptarë u kthyen efektivisht në vitin 2021. Një zhvillim i dukshëm ishte kthimi i rreth 50 emigrantëve të parregullt shqiptarë</w:t>
      </w:r>
      <w:r w:rsidR="006302A8" w:rsidRPr="00B457F5">
        <w:rPr>
          <w:rFonts w:ascii="Garamond" w:eastAsia="MS Mincho" w:hAnsi="Garamond" w:cs="Times New Roman"/>
          <w:szCs w:val="24"/>
        </w:rPr>
        <w:t>,</w:t>
      </w:r>
      <w:r w:rsidRPr="00B457F5">
        <w:rPr>
          <w:rFonts w:ascii="Garamond" w:eastAsia="MS Mincho" w:hAnsi="Garamond" w:cs="Times New Roman"/>
          <w:szCs w:val="24"/>
        </w:rPr>
        <w:t xml:space="preserve"> në janar </w:t>
      </w:r>
      <w:r w:rsidR="0048136A" w:rsidRPr="00B457F5">
        <w:rPr>
          <w:rFonts w:ascii="Garamond" w:eastAsia="MS Mincho" w:hAnsi="Garamond" w:cs="Times New Roman"/>
          <w:szCs w:val="24"/>
        </w:rPr>
        <w:t xml:space="preserve">të vitit </w:t>
      </w:r>
      <w:r w:rsidRPr="00B457F5">
        <w:rPr>
          <w:rFonts w:ascii="Garamond" w:eastAsia="MS Mincho" w:hAnsi="Garamond" w:cs="Times New Roman"/>
          <w:szCs w:val="24"/>
        </w:rPr>
        <w:t>2022</w:t>
      </w:r>
      <w:r w:rsidR="006302A8" w:rsidRPr="00B457F5">
        <w:rPr>
          <w:rFonts w:ascii="Garamond" w:eastAsia="MS Mincho" w:hAnsi="Garamond" w:cs="Times New Roman"/>
          <w:szCs w:val="24"/>
        </w:rPr>
        <w:t>,</w:t>
      </w:r>
      <w:r w:rsidRPr="00B457F5">
        <w:rPr>
          <w:rFonts w:ascii="Garamond" w:eastAsia="MS Mincho" w:hAnsi="Garamond" w:cs="Times New Roman"/>
          <w:szCs w:val="24"/>
        </w:rPr>
        <w:t xml:space="preserve"> me ndihmën e </w:t>
      </w:r>
      <w:r w:rsidR="00A2088F" w:rsidRPr="00B457F5">
        <w:rPr>
          <w:rFonts w:ascii="Garamond" w:eastAsia="MS Mincho" w:hAnsi="Garamond" w:cs="Times New Roman"/>
          <w:szCs w:val="24"/>
        </w:rPr>
        <w:t>FRONTEX</w:t>
      </w:r>
      <w:r w:rsidR="0048136A" w:rsidRPr="00B457F5">
        <w:rPr>
          <w:rFonts w:ascii="Garamond" w:eastAsia="MS Mincho" w:hAnsi="Garamond" w:cs="Times New Roman"/>
          <w:szCs w:val="24"/>
        </w:rPr>
        <w:t>-it</w:t>
      </w:r>
      <w:r w:rsidR="006302A8" w:rsidRPr="00B457F5">
        <w:rPr>
          <w:rFonts w:ascii="Garamond" w:eastAsia="MS Mincho" w:hAnsi="Garamond" w:cs="Times New Roman"/>
          <w:szCs w:val="24"/>
        </w:rPr>
        <w:t>,</w:t>
      </w:r>
      <w:r w:rsidRPr="00B457F5">
        <w:rPr>
          <w:rFonts w:ascii="Garamond" w:eastAsia="MS Mincho" w:hAnsi="Garamond" w:cs="Times New Roman"/>
          <w:szCs w:val="24"/>
        </w:rPr>
        <w:t xml:space="preserve"> nga BE</w:t>
      </w:r>
      <w:r w:rsidR="0048136A" w:rsidRPr="00B457F5">
        <w:rPr>
          <w:rFonts w:ascii="Garamond" w:eastAsia="MS Mincho" w:hAnsi="Garamond" w:cs="Times New Roman"/>
          <w:szCs w:val="24"/>
        </w:rPr>
        <w:t>-ja</w:t>
      </w:r>
      <w:r w:rsidRPr="00B457F5">
        <w:rPr>
          <w:rFonts w:ascii="Garamond" w:eastAsia="MS Mincho" w:hAnsi="Garamond" w:cs="Times New Roman"/>
          <w:szCs w:val="24"/>
        </w:rPr>
        <w:t xml:space="preserve"> në Shqipëri</w:t>
      </w:r>
      <w:r w:rsidRPr="00B457F5">
        <w:rPr>
          <w:rFonts w:ascii="Garamond" w:eastAsia="MS Mincho" w:hAnsi="Garamond" w:cs="Times New Roman"/>
          <w:i/>
          <w:iCs/>
          <w:szCs w:val="24"/>
        </w:rPr>
        <w:t>.</w:t>
      </w:r>
      <w:r w:rsidR="00A619CA" w:rsidRPr="00B457F5">
        <w:rPr>
          <w:rFonts w:ascii="Garamond" w:eastAsia="MS Mincho" w:hAnsi="Garamond" w:cs="Times New Roman"/>
          <w:szCs w:val="24"/>
          <w:vertAlign w:val="superscript"/>
        </w:rPr>
        <w:footnoteReference w:id="47"/>
      </w:r>
      <w:r w:rsidR="00BD1786" w:rsidRPr="00B457F5">
        <w:rPr>
          <w:rFonts w:ascii="Garamond" w:eastAsia="MS Mincho" w:hAnsi="Garamond" w:cs="Times New Roman"/>
          <w:i/>
          <w:iCs/>
          <w:szCs w:val="24"/>
        </w:rPr>
        <w:t xml:space="preserve"> </w:t>
      </w:r>
      <w:r w:rsidR="00BD1786" w:rsidRPr="00B457F5">
        <w:rPr>
          <w:rFonts w:ascii="Garamond" w:eastAsia="MS Mincho" w:hAnsi="Garamond" w:cs="Times New Roman"/>
          <w:iCs/>
          <w:szCs w:val="24"/>
        </w:rPr>
        <w:t xml:space="preserve">Ndjekur nga një operacion i ngjashëm i kthimeve zhvilluar nga </w:t>
      </w:r>
      <w:r w:rsidR="00A2088F" w:rsidRPr="00B457F5">
        <w:rPr>
          <w:rFonts w:ascii="Garamond" w:eastAsia="MS Mincho" w:hAnsi="Garamond" w:cs="Times New Roman"/>
          <w:iCs/>
          <w:szCs w:val="24"/>
        </w:rPr>
        <w:t xml:space="preserve">FRONTEX </w:t>
      </w:r>
      <w:r w:rsidR="00BD1786" w:rsidRPr="00B457F5">
        <w:rPr>
          <w:rFonts w:ascii="Garamond" w:eastAsia="MS Mincho" w:hAnsi="Garamond" w:cs="Times New Roman"/>
          <w:iCs/>
          <w:szCs w:val="24"/>
        </w:rPr>
        <w:t>në shtator 2023.</w:t>
      </w:r>
    </w:p>
    <w:p w14:paraId="65A82E67" w14:textId="6B0B537D" w:rsidR="00651992" w:rsidRPr="00B457F5" w:rsidRDefault="00651992" w:rsidP="002E693B">
      <w:pPr>
        <w:spacing w:before="0" w:after="0"/>
        <w:ind w:firstLine="284"/>
        <w:rPr>
          <w:rFonts w:ascii="Garamond" w:eastAsia="MS Mincho" w:hAnsi="Garamond" w:cs="Times New Roman"/>
          <w:iCs/>
          <w:szCs w:val="24"/>
        </w:rPr>
      </w:pPr>
      <w:r w:rsidRPr="00B457F5">
        <w:rPr>
          <w:rFonts w:ascii="Garamond" w:eastAsia="MS Mincho" w:hAnsi="Garamond" w:cs="Times New Roman"/>
          <w:iCs/>
          <w:szCs w:val="24"/>
        </w:rPr>
        <w:t xml:space="preserve">Siç raportohet në raportin e Komisionit Evropian të vitit 2023, numri i refuzimeve të hyrjes për shtetasit shqiptarë në </w:t>
      </w:r>
      <w:r w:rsidR="006302A8" w:rsidRPr="00B457F5">
        <w:rPr>
          <w:rFonts w:ascii="Garamond" w:eastAsia="MS Mincho" w:hAnsi="Garamond" w:cs="Times New Roman"/>
          <w:iCs/>
          <w:szCs w:val="24"/>
        </w:rPr>
        <w:t xml:space="preserve">shtetet anëtare </w:t>
      </w:r>
      <w:r w:rsidRPr="00B457F5">
        <w:rPr>
          <w:rFonts w:ascii="Garamond" w:eastAsia="MS Mincho" w:hAnsi="Garamond" w:cs="Times New Roman"/>
          <w:iCs/>
          <w:szCs w:val="24"/>
        </w:rPr>
        <w:t>ra me 18,5% në vitin 2022 (nga 18 850 në 2021 në 15 350 në 2022). Numri i vendimeve të kthimit të lëshuara në vitin 2022 (24 180) u rrit me 8% krahasuar me vitin 2021 (22 445). Në vitin 2022 u raportuan 9 745 kthime të shtetasve shqiptarë, krahasuar me 8 610 në 2021 (një rritje prej 13%). Norma e kthimit u rrit pak</w:t>
      </w:r>
      <w:r w:rsidR="006302A8" w:rsidRPr="00B457F5">
        <w:rPr>
          <w:rFonts w:ascii="Garamond" w:eastAsia="MS Mincho" w:hAnsi="Garamond" w:cs="Times New Roman"/>
          <w:iCs/>
          <w:szCs w:val="24"/>
        </w:rPr>
        <w:t>,</w:t>
      </w:r>
      <w:r w:rsidRPr="00B457F5">
        <w:rPr>
          <w:rFonts w:ascii="Garamond" w:eastAsia="MS Mincho" w:hAnsi="Garamond" w:cs="Times New Roman"/>
          <w:iCs/>
          <w:szCs w:val="24"/>
        </w:rPr>
        <w:t xml:space="preserve"> nga 38% në 2021 në 40% në 2022</w:t>
      </w:r>
      <w:r w:rsidR="006302A8" w:rsidRPr="00B457F5">
        <w:rPr>
          <w:rFonts w:ascii="Garamond" w:eastAsia="MS Mincho" w:hAnsi="Garamond" w:cs="Times New Roman"/>
          <w:iCs/>
          <w:szCs w:val="24"/>
        </w:rPr>
        <w:t>,</w:t>
      </w:r>
      <w:r w:rsidRPr="00B457F5">
        <w:rPr>
          <w:rFonts w:ascii="Garamond" w:eastAsia="MS Mincho" w:hAnsi="Garamond" w:cs="Times New Roman"/>
          <w:iCs/>
          <w:szCs w:val="24"/>
        </w:rPr>
        <w:t xml:space="preserve"> duke shënuar një ndryshim pozitiv të trendit nga vitet e kaluara.</w:t>
      </w:r>
    </w:p>
    <w:p w14:paraId="6D50BAD9" w14:textId="08F149BA" w:rsidR="002F4EF5" w:rsidRPr="00B457F5" w:rsidRDefault="002305F7"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Shqipëria kryeson rrugën në rajon </w:t>
      </w:r>
      <w:r w:rsidR="00AF1E2A" w:rsidRPr="00B457F5">
        <w:rPr>
          <w:rFonts w:ascii="Garamond" w:eastAsia="MS Mincho" w:hAnsi="Garamond" w:cs="Times New Roman"/>
          <w:szCs w:val="24"/>
        </w:rPr>
        <w:t>sa i takon</w:t>
      </w:r>
      <w:r w:rsidRPr="00B457F5">
        <w:rPr>
          <w:rFonts w:ascii="Garamond" w:eastAsia="MS Mincho" w:hAnsi="Garamond" w:cs="Times New Roman"/>
          <w:szCs w:val="24"/>
        </w:rPr>
        <w:t xml:space="preserve"> bashkëpunim</w:t>
      </w:r>
      <w:r w:rsidR="00AF1E2A" w:rsidRPr="00B457F5">
        <w:rPr>
          <w:rFonts w:ascii="Garamond" w:eastAsia="MS Mincho" w:hAnsi="Garamond" w:cs="Times New Roman"/>
          <w:szCs w:val="24"/>
        </w:rPr>
        <w:t>eve</w:t>
      </w:r>
      <w:r w:rsidRPr="00B457F5">
        <w:rPr>
          <w:rFonts w:ascii="Garamond" w:eastAsia="MS Mincho" w:hAnsi="Garamond" w:cs="Times New Roman"/>
          <w:szCs w:val="24"/>
        </w:rPr>
        <w:t xml:space="preserve"> operacional</w:t>
      </w:r>
      <w:r w:rsidR="00AF1E2A" w:rsidRPr="00B457F5">
        <w:rPr>
          <w:rFonts w:ascii="Garamond" w:eastAsia="MS Mincho" w:hAnsi="Garamond" w:cs="Times New Roman"/>
          <w:szCs w:val="24"/>
        </w:rPr>
        <w:t>e</w:t>
      </w:r>
      <w:r w:rsidRPr="00B457F5">
        <w:rPr>
          <w:rFonts w:ascii="Garamond" w:eastAsia="MS Mincho" w:hAnsi="Garamond" w:cs="Times New Roman"/>
          <w:szCs w:val="24"/>
        </w:rPr>
        <w:t xml:space="preserve"> me BE-në për </w:t>
      </w:r>
      <w:r w:rsidR="00AF1E2A" w:rsidRPr="00B457F5">
        <w:rPr>
          <w:rFonts w:ascii="Garamond" w:eastAsia="MS Mincho" w:hAnsi="Garamond" w:cs="Times New Roman"/>
          <w:szCs w:val="24"/>
        </w:rPr>
        <w:t>menaxhimin e</w:t>
      </w:r>
      <w:r w:rsidRPr="00B457F5">
        <w:rPr>
          <w:rFonts w:ascii="Garamond" w:eastAsia="MS Mincho" w:hAnsi="Garamond" w:cs="Times New Roman"/>
          <w:szCs w:val="24"/>
        </w:rPr>
        <w:t xml:space="preserve"> lëvizje</w:t>
      </w:r>
      <w:r w:rsidR="00AF1E2A" w:rsidRPr="00B457F5">
        <w:rPr>
          <w:rFonts w:ascii="Garamond" w:eastAsia="MS Mincho" w:hAnsi="Garamond" w:cs="Times New Roman"/>
          <w:szCs w:val="24"/>
        </w:rPr>
        <w:t xml:space="preserve">ve </w:t>
      </w:r>
      <w:r w:rsidRPr="00B457F5">
        <w:rPr>
          <w:rFonts w:ascii="Garamond" w:eastAsia="MS Mincho" w:hAnsi="Garamond" w:cs="Times New Roman"/>
          <w:szCs w:val="24"/>
        </w:rPr>
        <w:t>migra</w:t>
      </w:r>
      <w:r w:rsidR="00A5258B" w:rsidRPr="00B457F5">
        <w:rPr>
          <w:rFonts w:ascii="Garamond" w:eastAsia="MS Mincho" w:hAnsi="Garamond" w:cs="Times New Roman"/>
          <w:szCs w:val="24"/>
        </w:rPr>
        <w:t>tore</w:t>
      </w:r>
      <w:r w:rsidRPr="00B457F5">
        <w:rPr>
          <w:rFonts w:ascii="Garamond" w:eastAsia="MS Mincho" w:hAnsi="Garamond" w:cs="Times New Roman"/>
          <w:szCs w:val="24"/>
        </w:rPr>
        <w:t>. Një ngjarje historike ishte hyrja në fuqi më 1 maj 2019 e një marrëveshjeje për statusin me Bashkimin Evropian</w:t>
      </w:r>
      <w:r w:rsidR="00A619CA" w:rsidRPr="00B457F5">
        <w:rPr>
          <w:rFonts w:ascii="Garamond" w:eastAsia="MS Mincho" w:hAnsi="Garamond" w:cs="Times New Roman"/>
          <w:szCs w:val="24"/>
        </w:rPr>
        <w:t>,</w:t>
      </w:r>
      <w:r w:rsidR="00A619CA" w:rsidRPr="00B457F5">
        <w:rPr>
          <w:rFonts w:ascii="Garamond" w:eastAsia="MS Mincho" w:hAnsi="Garamond" w:cs="Times New Roman"/>
          <w:szCs w:val="24"/>
          <w:vertAlign w:val="superscript"/>
        </w:rPr>
        <w:footnoteReference w:id="48"/>
      </w:r>
      <w:r w:rsidR="00A619CA" w:rsidRPr="00B457F5">
        <w:rPr>
          <w:rFonts w:ascii="Garamond" w:eastAsia="MS Mincho" w:hAnsi="Garamond" w:cs="Times New Roman"/>
          <w:szCs w:val="24"/>
        </w:rPr>
        <w:t xml:space="preserve"> </w:t>
      </w:r>
      <w:r w:rsidR="00A5258B" w:rsidRPr="00B457F5">
        <w:rPr>
          <w:rFonts w:ascii="Garamond" w:eastAsia="MS Mincho" w:hAnsi="Garamond" w:cs="Times New Roman"/>
          <w:szCs w:val="24"/>
        </w:rPr>
        <w:t>e</w:t>
      </w:r>
      <w:r w:rsidR="00AF1E2A" w:rsidRPr="00B457F5">
        <w:rPr>
          <w:rFonts w:ascii="Garamond" w:eastAsia="MS Mincho" w:hAnsi="Garamond" w:cs="Times New Roman"/>
          <w:szCs w:val="24"/>
        </w:rPr>
        <w:t xml:space="preserve"> cil</w:t>
      </w:r>
      <w:r w:rsidR="00A5258B" w:rsidRPr="00B457F5">
        <w:rPr>
          <w:rFonts w:ascii="Garamond" w:eastAsia="MS Mincho" w:hAnsi="Garamond" w:cs="Times New Roman"/>
          <w:szCs w:val="24"/>
        </w:rPr>
        <w:t>a</w:t>
      </w:r>
      <w:r w:rsidR="00AF1E2A" w:rsidRPr="00B457F5">
        <w:rPr>
          <w:rFonts w:ascii="Garamond" w:eastAsia="MS Mincho" w:hAnsi="Garamond" w:cs="Times New Roman"/>
          <w:szCs w:val="24"/>
        </w:rPr>
        <w:t xml:space="preserve"> autorizoi vendosjen e personelit të Rojës Kufitare dhe Bregdetare Evropiane (</w:t>
      </w:r>
      <w:r w:rsidR="00A2088F" w:rsidRPr="00B457F5">
        <w:rPr>
          <w:rFonts w:ascii="Garamond" w:eastAsia="MS Mincho" w:hAnsi="Garamond" w:cs="Times New Roman"/>
          <w:szCs w:val="24"/>
        </w:rPr>
        <w:t>FRONTEX</w:t>
      </w:r>
      <w:r w:rsidR="00AF1E2A" w:rsidRPr="00B457F5">
        <w:rPr>
          <w:rFonts w:ascii="Garamond" w:eastAsia="MS Mincho" w:hAnsi="Garamond" w:cs="Times New Roman"/>
          <w:szCs w:val="24"/>
        </w:rPr>
        <w:t xml:space="preserve">) në kufirin tokësor të Shqipërisë me Greqinë dhe në kufirin detar. Sipas kushteve të marrëveshjes, dy operacione të përbashkëta u nisën nga </w:t>
      </w:r>
      <w:r w:rsidR="00A2088F" w:rsidRPr="00B457F5">
        <w:rPr>
          <w:rFonts w:ascii="Garamond" w:eastAsia="MS Mincho" w:hAnsi="Garamond" w:cs="Times New Roman"/>
          <w:szCs w:val="24"/>
        </w:rPr>
        <w:t>FRONTEX</w:t>
      </w:r>
      <w:r w:rsidR="00AF1E2A" w:rsidRPr="00B457F5">
        <w:rPr>
          <w:rFonts w:ascii="Garamond" w:eastAsia="MS Mincho" w:hAnsi="Garamond" w:cs="Times New Roman"/>
          <w:szCs w:val="24"/>
        </w:rPr>
        <w:t xml:space="preserve">: një në kufirin tokësor me Greqinë (22 maj 2019) dhe </w:t>
      </w:r>
      <w:r w:rsidR="008B06FC" w:rsidRPr="00B457F5">
        <w:rPr>
          <w:rFonts w:ascii="Garamond" w:eastAsia="MS Mincho" w:hAnsi="Garamond" w:cs="Times New Roman"/>
          <w:szCs w:val="24"/>
        </w:rPr>
        <w:t xml:space="preserve">një në </w:t>
      </w:r>
      <w:r w:rsidR="00AF1E2A" w:rsidRPr="00B457F5">
        <w:rPr>
          <w:rFonts w:ascii="Garamond" w:eastAsia="MS Mincho" w:hAnsi="Garamond" w:cs="Times New Roman"/>
          <w:szCs w:val="24"/>
        </w:rPr>
        <w:t>kufirin detar (24 mars 2021)</w:t>
      </w:r>
      <w:r w:rsidR="00A619CA" w:rsidRPr="00B457F5">
        <w:rPr>
          <w:rFonts w:ascii="Garamond" w:eastAsia="MS Mincho" w:hAnsi="Garamond" w:cs="Times New Roman"/>
          <w:szCs w:val="24"/>
        </w:rPr>
        <w:t>.</w:t>
      </w:r>
      <w:r w:rsidR="004C0FFB" w:rsidRPr="00B457F5">
        <w:rPr>
          <w:rFonts w:ascii="Garamond" w:eastAsia="MS Mincho" w:hAnsi="Garamond" w:cs="Times New Roman"/>
          <w:szCs w:val="24"/>
        </w:rPr>
        <w:t xml:space="preserve"> </w:t>
      </w:r>
      <w:r w:rsidR="00A2088F" w:rsidRPr="00B457F5">
        <w:rPr>
          <w:rFonts w:ascii="Garamond" w:eastAsia="MS Mincho" w:hAnsi="Garamond" w:cs="Times New Roman"/>
          <w:szCs w:val="24"/>
        </w:rPr>
        <w:t>FRONTEX</w:t>
      </w:r>
      <w:r w:rsidR="00502327" w:rsidRPr="00B457F5">
        <w:rPr>
          <w:rFonts w:ascii="Garamond" w:eastAsia="MS Mincho" w:hAnsi="Garamond" w:cs="Times New Roman"/>
          <w:szCs w:val="24"/>
        </w:rPr>
        <w:t>-i</w:t>
      </w:r>
      <w:r w:rsidR="0006016F" w:rsidRPr="00B457F5">
        <w:rPr>
          <w:rFonts w:ascii="Garamond" w:eastAsia="MS Mincho" w:hAnsi="Garamond" w:cs="Times New Roman"/>
          <w:szCs w:val="24"/>
        </w:rPr>
        <w:t xml:space="preserve"> </w:t>
      </w:r>
      <w:r w:rsidR="00231300" w:rsidRPr="00B457F5">
        <w:rPr>
          <w:rFonts w:ascii="Garamond" w:eastAsia="MS Mincho" w:hAnsi="Garamond" w:cs="Times New Roman"/>
          <w:szCs w:val="24"/>
        </w:rPr>
        <w:t xml:space="preserve">bashkëpunon gjithashtu me IOM-in për të mbështetur zhvillimin e sistemeve elektronike që mundësojnë identifikimin dhe regjistrimin e flukseve të përziera të migracionit. Bashkëpunimi operacional u forcua më tej përmes përfundimit të Marrëveshjes së Punës ndërmjet </w:t>
      </w:r>
      <w:r w:rsidR="00A2088F" w:rsidRPr="00B457F5">
        <w:rPr>
          <w:rFonts w:ascii="Garamond" w:eastAsia="MS Mincho" w:hAnsi="Garamond" w:cs="Times New Roman"/>
          <w:szCs w:val="24"/>
        </w:rPr>
        <w:t>FRONTEX</w:t>
      </w:r>
      <w:r w:rsidR="00231300" w:rsidRPr="00B457F5">
        <w:rPr>
          <w:rFonts w:ascii="Garamond" w:eastAsia="MS Mincho" w:hAnsi="Garamond" w:cs="Times New Roman"/>
          <w:szCs w:val="24"/>
        </w:rPr>
        <w:t>-it dhe MB-së, të nënshkruar më 17 mars 2021, e cila parashikon shkëmbimin e rregullt të informacionit dhe analizat e përbashkëta të rrezikut</w:t>
      </w:r>
      <w:r w:rsidR="006302A8" w:rsidRPr="00B457F5">
        <w:rPr>
          <w:rFonts w:ascii="Garamond" w:eastAsia="MS Mincho" w:hAnsi="Garamond" w:cs="Times New Roman"/>
          <w:szCs w:val="24"/>
        </w:rPr>
        <w:t>,</w:t>
      </w:r>
      <w:r w:rsidR="00231300" w:rsidRPr="00B457F5">
        <w:rPr>
          <w:rFonts w:ascii="Garamond" w:eastAsia="MS Mincho" w:hAnsi="Garamond" w:cs="Times New Roman"/>
          <w:szCs w:val="24"/>
        </w:rPr>
        <w:t xml:space="preserve"> dhe hap rrugën drejt aktiviteteve të mëtejshme të ngritjes së kapaciteteve dhe vendosjes së </w:t>
      </w:r>
      <w:r w:rsidR="00502327" w:rsidRPr="00B457F5">
        <w:rPr>
          <w:rFonts w:ascii="Garamond" w:eastAsia="MS Mincho" w:hAnsi="Garamond" w:cs="Times New Roman"/>
          <w:szCs w:val="24"/>
        </w:rPr>
        <w:t xml:space="preserve">personelit </w:t>
      </w:r>
      <w:r w:rsidR="00231300" w:rsidRPr="00B457F5">
        <w:rPr>
          <w:rFonts w:ascii="Garamond" w:eastAsia="MS Mincho" w:hAnsi="Garamond" w:cs="Times New Roman"/>
          <w:szCs w:val="24"/>
        </w:rPr>
        <w:t xml:space="preserve">të </w:t>
      </w:r>
      <w:r w:rsidR="00A2088F" w:rsidRPr="00B457F5">
        <w:rPr>
          <w:rFonts w:ascii="Garamond" w:eastAsia="MS Mincho" w:hAnsi="Garamond" w:cs="Times New Roman"/>
          <w:szCs w:val="24"/>
        </w:rPr>
        <w:t>FRONTEX</w:t>
      </w:r>
      <w:r w:rsidR="004D6364" w:rsidRPr="00B457F5">
        <w:rPr>
          <w:rFonts w:ascii="Garamond" w:eastAsia="MS Mincho" w:hAnsi="Garamond" w:cs="Times New Roman"/>
          <w:szCs w:val="24"/>
        </w:rPr>
        <w:t>-i</w:t>
      </w:r>
      <w:r w:rsidR="00231300" w:rsidRPr="00B457F5">
        <w:rPr>
          <w:rFonts w:ascii="Garamond" w:eastAsia="MS Mincho" w:hAnsi="Garamond" w:cs="Times New Roman"/>
          <w:szCs w:val="24"/>
        </w:rPr>
        <w:t>t pa kompetenca ekzekutive</w:t>
      </w:r>
      <w:r w:rsidR="00A619CA" w:rsidRPr="00B457F5">
        <w:rPr>
          <w:rFonts w:ascii="Garamond" w:eastAsia="MS Mincho" w:hAnsi="Garamond" w:cs="Times New Roman"/>
          <w:szCs w:val="24"/>
        </w:rPr>
        <w:t>.</w:t>
      </w:r>
      <w:r w:rsidR="00A619CA" w:rsidRPr="00B457F5">
        <w:rPr>
          <w:rFonts w:ascii="Garamond" w:eastAsia="MS Mincho" w:hAnsi="Garamond" w:cs="Times New Roman"/>
          <w:szCs w:val="24"/>
          <w:vertAlign w:val="superscript"/>
        </w:rPr>
        <w:footnoteReference w:id="49"/>
      </w:r>
      <w:r w:rsidR="00A619CA" w:rsidRPr="00B457F5">
        <w:rPr>
          <w:rFonts w:ascii="Garamond" w:eastAsia="MS Mincho" w:hAnsi="Garamond" w:cs="Times New Roman"/>
          <w:szCs w:val="24"/>
        </w:rPr>
        <w:t xml:space="preserve"> </w:t>
      </w:r>
      <w:r w:rsidR="00231300" w:rsidRPr="00B457F5">
        <w:rPr>
          <w:rFonts w:ascii="Garamond" w:eastAsia="MS Mincho" w:hAnsi="Garamond" w:cs="Times New Roman"/>
          <w:szCs w:val="24"/>
        </w:rPr>
        <w:lastRenderedPageBreak/>
        <w:t>N</w:t>
      </w:r>
      <w:r w:rsidR="00B0743F" w:rsidRPr="00B457F5">
        <w:rPr>
          <w:rFonts w:ascii="Garamond" w:eastAsia="MS Mincho" w:hAnsi="Garamond" w:cs="Times New Roman"/>
          <w:szCs w:val="24"/>
        </w:rPr>
        <w:t>ë</w:t>
      </w:r>
      <w:r w:rsidR="00231300" w:rsidRPr="00B457F5">
        <w:rPr>
          <w:rFonts w:ascii="Garamond" w:eastAsia="MS Mincho" w:hAnsi="Garamond" w:cs="Times New Roman"/>
          <w:szCs w:val="24"/>
        </w:rPr>
        <w:t xml:space="preserve"> qershor </w:t>
      </w:r>
      <w:r w:rsidR="00502327" w:rsidRPr="00B457F5">
        <w:rPr>
          <w:rFonts w:ascii="Garamond" w:eastAsia="MS Mincho" w:hAnsi="Garamond" w:cs="Times New Roman"/>
          <w:szCs w:val="24"/>
        </w:rPr>
        <w:t xml:space="preserve">të vitit </w:t>
      </w:r>
      <w:r w:rsidR="00231300" w:rsidRPr="00B457F5">
        <w:rPr>
          <w:rFonts w:ascii="Garamond" w:eastAsia="MS Mincho" w:hAnsi="Garamond" w:cs="Times New Roman"/>
          <w:szCs w:val="24"/>
        </w:rPr>
        <w:t>2023, kishte 162 oficerë evropianë të rojeve kufitare që punonin me DKM</w:t>
      </w:r>
      <w:r w:rsidR="001A3BD2" w:rsidRPr="00B457F5">
        <w:rPr>
          <w:rFonts w:ascii="Garamond" w:eastAsia="MS Mincho" w:hAnsi="Garamond" w:cs="Times New Roman"/>
          <w:szCs w:val="24"/>
        </w:rPr>
        <w:t>-në</w:t>
      </w:r>
      <w:r w:rsidR="00231300" w:rsidRPr="00B457F5">
        <w:rPr>
          <w:rFonts w:ascii="Garamond" w:eastAsia="MS Mincho" w:hAnsi="Garamond" w:cs="Times New Roman"/>
          <w:szCs w:val="24"/>
        </w:rPr>
        <w:t xml:space="preserve"> në Shqipëri, që ishte më shumë se dyfishi i numrit në vitin 2021</w:t>
      </w:r>
      <w:r w:rsidR="00A619CA" w:rsidRPr="00B457F5">
        <w:rPr>
          <w:rFonts w:ascii="Garamond" w:eastAsia="MS Mincho" w:hAnsi="Garamond" w:cs="Times New Roman"/>
          <w:szCs w:val="24"/>
        </w:rPr>
        <w:t>.</w:t>
      </w:r>
      <w:r w:rsidR="00A619CA" w:rsidRPr="00B457F5">
        <w:rPr>
          <w:rFonts w:ascii="Garamond" w:eastAsia="MS Mincho" w:hAnsi="Garamond" w:cs="Times New Roman"/>
          <w:szCs w:val="24"/>
          <w:vertAlign w:val="superscript"/>
        </w:rPr>
        <w:footnoteReference w:id="50"/>
      </w:r>
    </w:p>
    <w:p w14:paraId="17702E0E" w14:textId="69F82C34" w:rsidR="00A619CA" w:rsidRPr="00B457F5" w:rsidRDefault="002F4EF5"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Në zbatim të masave të planit të</w:t>
      </w:r>
      <w:r w:rsidR="00406C01" w:rsidRPr="00B457F5">
        <w:rPr>
          <w:rFonts w:ascii="Garamond" w:eastAsia="MS Mincho" w:hAnsi="Garamond" w:cs="Times New Roman"/>
          <w:szCs w:val="24"/>
        </w:rPr>
        <w:t xml:space="preserve"> veprimit të</w:t>
      </w:r>
      <w:r w:rsidRPr="00B457F5">
        <w:rPr>
          <w:rFonts w:ascii="Garamond" w:eastAsia="MS Mincho" w:hAnsi="Garamond" w:cs="Times New Roman"/>
          <w:szCs w:val="24"/>
        </w:rPr>
        <w:t xml:space="preserve"> BE-së për Ballkanin </w:t>
      </w:r>
      <w:r w:rsidR="004D6364" w:rsidRPr="00B457F5">
        <w:rPr>
          <w:rFonts w:ascii="Garamond" w:eastAsia="MS Mincho" w:hAnsi="Garamond" w:cs="Times New Roman"/>
          <w:szCs w:val="24"/>
        </w:rPr>
        <w:t>Perëndimor</w:t>
      </w:r>
      <w:r w:rsidRPr="00B457F5">
        <w:rPr>
          <w:rFonts w:ascii="Garamond" w:eastAsia="MS Mincho" w:hAnsi="Garamond" w:cs="Times New Roman"/>
          <w:szCs w:val="24"/>
        </w:rPr>
        <w:t xml:space="preserve"> dhe për forcimin e mëtejshëm të bashkëpunimit me BE-në, më 15 shtator 2023</w:t>
      </w:r>
      <w:r w:rsidR="001A3BD2" w:rsidRPr="00B457F5">
        <w:rPr>
          <w:rFonts w:ascii="Garamond" w:eastAsia="MS Mincho" w:hAnsi="Garamond" w:cs="Times New Roman"/>
          <w:szCs w:val="24"/>
        </w:rPr>
        <w:t>,</w:t>
      </w:r>
      <w:r w:rsidRPr="00B457F5">
        <w:rPr>
          <w:rFonts w:ascii="Garamond" w:eastAsia="MS Mincho" w:hAnsi="Garamond" w:cs="Times New Roman"/>
          <w:szCs w:val="24"/>
        </w:rPr>
        <w:t xml:space="preserve"> Shqipëria nënshkroi një marrëveshje të re me </w:t>
      </w:r>
      <w:r w:rsidR="00A2088F" w:rsidRPr="00B457F5">
        <w:rPr>
          <w:rFonts w:ascii="Garamond" w:eastAsia="MS Mincho" w:hAnsi="Garamond" w:cs="Times New Roman"/>
          <w:szCs w:val="24"/>
        </w:rPr>
        <w:t>FRONTEX</w:t>
      </w:r>
      <w:r w:rsidR="001A3BD2" w:rsidRPr="00B457F5">
        <w:rPr>
          <w:rFonts w:ascii="Garamond" w:eastAsia="MS Mincho" w:hAnsi="Garamond" w:cs="Times New Roman"/>
          <w:szCs w:val="24"/>
        </w:rPr>
        <w:t>-in</w:t>
      </w:r>
      <w:r w:rsidR="00A2088F" w:rsidRPr="00B457F5">
        <w:rPr>
          <w:rFonts w:ascii="Garamond" w:eastAsia="MS Mincho" w:hAnsi="Garamond" w:cs="Times New Roman"/>
          <w:szCs w:val="24"/>
        </w:rPr>
        <w:t xml:space="preserve"> </w:t>
      </w:r>
      <w:r w:rsidRPr="00B457F5">
        <w:rPr>
          <w:rFonts w:ascii="Garamond" w:eastAsia="MS Mincho" w:hAnsi="Garamond" w:cs="Times New Roman"/>
          <w:szCs w:val="24"/>
        </w:rPr>
        <w:t>në Tiranë, si dëshmia e radhës e vullnetit t</w:t>
      </w:r>
      <w:r w:rsidR="00406C01" w:rsidRPr="00B457F5">
        <w:rPr>
          <w:rFonts w:ascii="Garamond" w:eastAsia="MS Mincho" w:hAnsi="Garamond" w:cs="Times New Roman"/>
          <w:szCs w:val="24"/>
        </w:rPr>
        <w:t>ë padiskutueshëm për të kontrib</w:t>
      </w:r>
      <w:r w:rsidRPr="00B457F5">
        <w:rPr>
          <w:rFonts w:ascii="Garamond" w:eastAsia="MS Mincho" w:hAnsi="Garamond" w:cs="Times New Roman"/>
          <w:szCs w:val="24"/>
        </w:rPr>
        <w:t>uar në sigurinë e përbashkët të hapësirës së zgjeruar evropiane.</w:t>
      </w:r>
    </w:p>
    <w:p w14:paraId="16C7E687" w14:textId="1475F630" w:rsidR="00E3762B" w:rsidRPr="00B457F5" w:rsidRDefault="00CE28B9" w:rsidP="002E693B">
      <w:pPr>
        <w:shd w:val="clear" w:color="auto" w:fill="FFFFFF"/>
        <w:spacing w:before="0" w:after="0"/>
        <w:ind w:firstLine="284"/>
        <w:rPr>
          <w:rFonts w:ascii="Garamond" w:eastAsia="Calibri" w:hAnsi="Garamond" w:cs="Times New Roman"/>
          <w:color w:val="000000"/>
          <w:szCs w:val="24"/>
        </w:rPr>
      </w:pPr>
      <w:r w:rsidRPr="00B457F5">
        <w:rPr>
          <w:rFonts w:ascii="Garamond" w:eastAsia="Calibri" w:hAnsi="Garamond" w:cs="Times New Roman"/>
          <w:color w:val="000000"/>
          <w:szCs w:val="24"/>
        </w:rPr>
        <w:t>EUAA (ish</w:t>
      </w:r>
      <w:r w:rsidR="001A3BD2" w:rsidRPr="00B457F5">
        <w:rPr>
          <w:rFonts w:ascii="Garamond" w:eastAsia="Calibri" w:hAnsi="Garamond" w:cs="Times New Roman"/>
          <w:color w:val="000000"/>
          <w:szCs w:val="24"/>
        </w:rPr>
        <w:t>-</w:t>
      </w:r>
      <w:r w:rsidRPr="00B457F5">
        <w:rPr>
          <w:rFonts w:ascii="Garamond" w:eastAsia="Calibri" w:hAnsi="Garamond" w:cs="Times New Roman"/>
          <w:color w:val="000000"/>
          <w:szCs w:val="24"/>
        </w:rPr>
        <w:t xml:space="preserve">EASO) ka nisur bashkëpunimin me Shqipërinë për të forcuar sistemin </w:t>
      </w:r>
      <w:r w:rsidR="001A3BD2" w:rsidRPr="00B457F5">
        <w:rPr>
          <w:rFonts w:ascii="Garamond" w:eastAsia="Calibri" w:hAnsi="Garamond" w:cs="Times New Roman"/>
          <w:color w:val="000000"/>
          <w:szCs w:val="24"/>
        </w:rPr>
        <w:t>e</w:t>
      </w:r>
      <w:r w:rsidRPr="00B457F5">
        <w:rPr>
          <w:rFonts w:ascii="Garamond" w:eastAsia="Calibri" w:hAnsi="Garamond" w:cs="Times New Roman"/>
          <w:color w:val="000000"/>
          <w:szCs w:val="24"/>
        </w:rPr>
        <w:t xml:space="preserve"> azilit dhe të pritjes përmes implementimit të aktiviteteve rajonale brenda kuadrit të projektit </w:t>
      </w:r>
      <w:r w:rsidR="00A313AE" w:rsidRPr="00B457F5">
        <w:rPr>
          <w:rFonts w:ascii="Garamond" w:eastAsia="Calibri" w:hAnsi="Garamond" w:cs="Times New Roman"/>
          <w:color w:val="000000"/>
          <w:szCs w:val="24"/>
        </w:rPr>
        <w:t>“</w:t>
      </w:r>
      <w:r w:rsidRPr="00B457F5">
        <w:rPr>
          <w:rFonts w:ascii="Garamond" w:eastAsia="Calibri" w:hAnsi="Garamond" w:cs="Times New Roman"/>
          <w:color w:val="000000"/>
          <w:szCs w:val="24"/>
        </w:rPr>
        <w:t xml:space="preserve">Mbështetja rajonale për </w:t>
      </w:r>
      <w:r w:rsidR="001A3BD2" w:rsidRPr="00B457F5">
        <w:rPr>
          <w:rFonts w:ascii="Garamond" w:eastAsia="Calibri" w:hAnsi="Garamond" w:cs="Times New Roman"/>
          <w:color w:val="000000"/>
          <w:szCs w:val="24"/>
        </w:rPr>
        <w:t>m</w:t>
      </w:r>
      <w:r w:rsidRPr="00B457F5">
        <w:rPr>
          <w:rFonts w:ascii="Garamond" w:eastAsia="Calibri" w:hAnsi="Garamond" w:cs="Times New Roman"/>
          <w:color w:val="000000"/>
          <w:szCs w:val="24"/>
        </w:rPr>
        <w:t>enaxhimin e migracionit në aspektin e mbrojtjes në Ballkanin Perëndimor dhe Turqi</w:t>
      </w:r>
      <w:r w:rsidR="00A313AE" w:rsidRPr="00B457F5">
        <w:rPr>
          <w:rFonts w:ascii="Garamond" w:eastAsia="Calibri" w:hAnsi="Garamond" w:cs="Times New Roman"/>
          <w:color w:val="000000"/>
          <w:szCs w:val="24"/>
        </w:rPr>
        <w:t>”</w:t>
      </w:r>
      <w:r w:rsidRPr="00B457F5">
        <w:rPr>
          <w:rFonts w:ascii="Garamond" w:eastAsia="Calibri" w:hAnsi="Garamond" w:cs="Times New Roman"/>
          <w:color w:val="000000"/>
          <w:szCs w:val="24"/>
        </w:rPr>
        <w:t>.</w:t>
      </w:r>
      <w:r w:rsidR="0006016F" w:rsidRPr="00B457F5">
        <w:rPr>
          <w:rFonts w:ascii="Garamond" w:eastAsia="Calibri" w:hAnsi="Garamond" w:cs="Times New Roman"/>
          <w:color w:val="000000"/>
          <w:szCs w:val="24"/>
        </w:rPr>
        <w:t xml:space="preserve"> </w:t>
      </w:r>
      <w:r w:rsidR="00E51C27" w:rsidRPr="00B457F5">
        <w:rPr>
          <w:rFonts w:ascii="Garamond" w:eastAsia="Calibri" w:hAnsi="Garamond" w:cs="Times New Roman"/>
          <w:color w:val="000000"/>
          <w:szCs w:val="24"/>
        </w:rPr>
        <w:t>K</w:t>
      </w:r>
      <w:r w:rsidR="00E3762B" w:rsidRPr="00B457F5">
        <w:rPr>
          <w:rFonts w:ascii="Garamond" w:eastAsia="Calibri" w:hAnsi="Garamond" w:cs="Times New Roman"/>
          <w:color w:val="000000"/>
          <w:szCs w:val="24"/>
        </w:rPr>
        <w:t>o</w:t>
      </w:r>
      <w:r w:rsidR="00E51C27" w:rsidRPr="00B457F5">
        <w:rPr>
          <w:rFonts w:ascii="Garamond" w:eastAsia="Calibri" w:hAnsi="Garamond" w:cs="Times New Roman"/>
          <w:color w:val="000000"/>
          <w:szCs w:val="24"/>
        </w:rPr>
        <w:t>ordinimi i</w:t>
      </w:r>
      <w:r w:rsidR="00B73195" w:rsidRPr="00B457F5">
        <w:rPr>
          <w:rFonts w:ascii="Garamond" w:eastAsia="Calibri" w:hAnsi="Garamond" w:cs="Times New Roman"/>
          <w:color w:val="000000"/>
          <w:szCs w:val="24"/>
        </w:rPr>
        <w:t xml:space="preserve"> veprimit midis EUAA</w:t>
      </w:r>
      <w:r w:rsidRPr="00B457F5">
        <w:rPr>
          <w:rFonts w:ascii="Garamond" w:eastAsia="Calibri" w:hAnsi="Garamond" w:cs="Times New Roman"/>
          <w:color w:val="000000"/>
          <w:szCs w:val="24"/>
        </w:rPr>
        <w:t xml:space="preserve"> dhe MB</w:t>
      </w:r>
      <w:r w:rsidR="001A3BD2" w:rsidRPr="00B457F5">
        <w:rPr>
          <w:rFonts w:ascii="Garamond" w:eastAsia="MS Mincho" w:hAnsi="Garamond" w:cs="Times New Roman"/>
          <w:szCs w:val="24"/>
        </w:rPr>
        <w:t>-së</w:t>
      </w:r>
      <w:r w:rsidRPr="00B457F5">
        <w:rPr>
          <w:rFonts w:ascii="Garamond" w:eastAsia="Calibri" w:hAnsi="Garamond" w:cs="Times New Roman"/>
          <w:color w:val="000000"/>
          <w:szCs w:val="24"/>
        </w:rPr>
        <w:t xml:space="preserve"> </w:t>
      </w:r>
      <w:r w:rsidR="00D765E2" w:rsidRPr="00B457F5">
        <w:rPr>
          <w:rFonts w:ascii="Garamond" w:eastAsia="Calibri" w:hAnsi="Garamond" w:cs="Times New Roman"/>
          <w:color w:val="000000"/>
          <w:szCs w:val="24"/>
        </w:rPr>
        <w:t>është drejtuar nga një</w:t>
      </w:r>
      <w:r w:rsidR="00E3762B" w:rsidRPr="00B457F5">
        <w:rPr>
          <w:rFonts w:ascii="Garamond" w:eastAsia="Calibri" w:hAnsi="Garamond" w:cs="Times New Roman"/>
          <w:color w:val="000000"/>
          <w:szCs w:val="24"/>
        </w:rPr>
        <w:t xml:space="preserve"> Udhërrëfyes</w:t>
      </w:r>
      <w:r w:rsidR="00B73195" w:rsidRPr="00B457F5">
        <w:rPr>
          <w:rFonts w:ascii="Garamond" w:eastAsia="Calibri" w:hAnsi="Garamond" w:cs="Times New Roman"/>
          <w:color w:val="000000"/>
          <w:szCs w:val="24"/>
        </w:rPr>
        <w:t xml:space="preserve"> i P</w:t>
      </w:r>
      <w:r w:rsidR="00E51C27" w:rsidRPr="00B457F5">
        <w:rPr>
          <w:rFonts w:ascii="Garamond" w:eastAsia="Calibri" w:hAnsi="Garamond" w:cs="Times New Roman"/>
          <w:color w:val="000000"/>
          <w:szCs w:val="24"/>
        </w:rPr>
        <w:t>ërbashkët</w:t>
      </w:r>
      <w:r w:rsidR="00B73195" w:rsidRPr="00B457F5">
        <w:rPr>
          <w:rFonts w:ascii="Garamond" w:eastAsia="Calibri" w:hAnsi="Garamond" w:cs="Times New Roman"/>
          <w:color w:val="000000"/>
          <w:szCs w:val="24"/>
        </w:rPr>
        <w:t xml:space="preserve"> </w:t>
      </w:r>
      <w:r w:rsidR="00E3762B" w:rsidRPr="00B457F5">
        <w:rPr>
          <w:rFonts w:ascii="Garamond" w:eastAsia="Calibri" w:hAnsi="Garamond" w:cs="Times New Roman"/>
          <w:color w:val="000000"/>
          <w:szCs w:val="24"/>
        </w:rPr>
        <w:t>për Bashkëpunimin</w:t>
      </w:r>
      <w:r w:rsidR="00E51C27" w:rsidRPr="00B457F5">
        <w:rPr>
          <w:rFonts w:ascii="Garamond" w:eastAsia="Calibri" w:hAnsi="Garamond" w:cs="Times New Roman"/>
          <w:color w:val="000000"/>
          <w:szCs w:val="24"/>
        </w:rPr>
        <w:t>, i</w:t>
      </w:r>
      <w:r w:rsidRPr="00B457F5">
        <w:rPr>
          <w:rFonts w:ascii="Garamond" w:eastAsia="Calibri" w:hAnsi="Garamond" w:cs="Times New Roman"/>
          <w:color w:val="000000"/>
          <w:szCs w:val="24"/>
        </w:rPr>
        <w:t xml:space="preserve"> cili ka pasur afat zbatimi nga data 1 dhjetor 2020 deri 30 nëntor 2022, por është dakor</w:t>
      </w:r>
      <w:r w:rsidR="004D6364" w:rsidRPr="00B457F5">
        <w:rPr>
          <w:rFonts w:ascii="Garamond" w:eastAsia="Calibri" w:hAnsi="Garamond" w:cs="Times New Roman"/>
          <w:color w:val="000000"/>
          <w:szCs w:val="24"/>
        </w:rPr>
        <w:t>d</w:t>
      </w:r>
      <w:r w:rsidRPr="00B457F5">
        <w:rPr>
          <w:rFonts w:ascii="Garamond" w:eastAsia="Calibri" w:hAnsi="Garamond" w:cs="Times New Roman"/>
          <w:color w:val="000000"/>
          <w:szCs w:val="24"/>
        </w:rPr>
        <w:t>ësuar zgjatja e afatit të tij deri në vitin 2023</w:t>
      </w:r>
      <w:r w:rsidR="001A3BD2" w:rsidRPr="00B457F5">
        <w:rPr>
          <w:rFonts w:ascii="Garamond" w:eastAsia="Calibri" w:hAnsi="Garamond" w:cs="Times New Roman"/>
          <w:color w:val="000000"/>
          <w:szCs w:val="24"/>
        </w:rPr>
        <w:t>,</w:t>
      </w:r>
      <w:r w:rsidRPr="00B457F5">
        <w:rPr>
          <w:rFonts w:ascii="Garamond" w:eastAsia="Calibri" w:hAnsi="Garamond" w:cs="Times New Roman"/>
          <w:color w:val="000000"/>
          <w:szCs w:val="24"/>
        </w:rPr>
        <w:t xml:space="preserve"> për shkak se kushtet e pandemisë nuk bënë të mundur implementimin e plotë të tij.</w:t>
      </w:r>
    </w:p>
    <w:p w14:paraId="68ECF938" w14:textId="7A0FE9F1" w:rsidR="00CE28B9" w:rsidRPr="00B457F5" w:rsidRDefault="00CE28B9" w:rsidP="002E693B">
      <w:pPr>
        <w:shd w:val="clear" w:color="auto" w:fill="FFFFFF"/>
        <w:spacing w:before="0" w:after="0"/>
        <w:ind w:firstLine="284"/>
        <w:rPr>
          <w:rFonts w:ascii="Garamond" w:eastAsia="Calibri" w:hAnsi="Garamond" w:cs="Times New Roman"/>
          <w:color w:val="000000"/>
          <w:szCs w:val="24"/>
        </w:rPr>
      </w:pPr>
      <w:r w:rsidRPr="00B457F5">
        <w:rPr>
          <w:rFonts w:ascii="Garamond" w:eastAsia="Calibri" w:hAnsi="Garamond" w:cs="Times New Roman"/>
          <w:bCs/>
          <w:color w:val="000000"/>
          <w:szCs w:val="24"/>
        </w:rPr>
        <w:t xml:space="preserve">Objektivi i përgjithshëm i </w:t>
      </w:r>
      <w:bookmarkStart w:id="36" w:name="_Hlk146877061"/>
      <w:r w:rsidR="001A3BD2" w:rsidRPr="00B457F5">
        <w:rPr>
          <w:rFonts w:ascii="Garamond" w:eastAsia="Calibri" w:hAnsi="Garamond" w:cs="Times New Roman"/>
          <w:bCs/>
          <w:color w:val="000000"/>
          <w:szCs w:val="24"/>
        </w:rPr>
        <w:t>u</w:t>
      </w:r>
      <w:r w:rsidRPr="00B457F5">
        <w:rPr>
          <w:rFonts w:ascii="Garamond" w:eastAsia="Calibri" w:hAnsi="Garamond" w:cs="Times New Roman"/>
          <w:bCs/>
          <w:color w:val="000000"/>
          <w:szCs w:val="24"/>
        </w:rPr>
        <w:t>dhërrëfyesit</w:t>
      </w:r>
      <w:r w:rsidR="00E3762B" w:rsidRPr="00B457F5">
        <w:rPr>
          <w:rFonts w:ascii="Garamond" w:eastAsia="Calibri" w:hAnsi="Garamond" w:cs="Times New Roman"/>
          <w:color w:val="000000"/>
          <w:szCs w:val="24"/>
        </w:rPr>
        <w:t xml:space="preserve"> për </w:t>
      </w:r>
      <w:r w:rsidRPr="00B457F5">
        <w:rPr>
          <w:rFonts w:ascii="Garamond" w:eastAsia="Calibri" w:hAnsi="Garamond" w:cs="Times New Roman"/>
          <w:color w:val="000000"/>
          <w:szCs w:val="24"/>
        </w:rPr>
        <w:t>ba</w:t>
      </w:r>
      <w:r w:rsidR="00E3762B" w:rsidRPr="00B457F5">
        <w:rPr>
          <w:rFonts w:ascii="Garamond" w:eastAsia="Calibri" w:hAnsi="Garamond" w:cs="Times New Roman"/>
          <w:color w:val="000000"/>
          <w:szCs w:val="24"/>
        </w:rPr>
        <w:t xml:space="preserve">shkëpunimin mes EUAA </w:t>
      </w:r>
      <w:r w:rsidRPr="00B457F5">
        <w:rPr>
          <w:rFonts w:ascii="Garamond" w:eastAsia="Calibri" w:hAnsi="Garamond" w:cs="Times New Roman"/>
          <w:color w:val="000000"/>
          <w:szCs w:val="24"/>
        </w:rPr>
        <w:t xml:space="preserve">dhe Shqipërisë </w:t>
      </w:r>
      <w:bookmarkEnd w:id="36"/>
      <w:r w:rsidRPr="00B457F5">
        <w:rPr>
          <w:rFonts w:ascii="Garamond" w:eastAsia="Calibri" w:hAnsi="Garamond" w:cs="Times New Roman"/>
          <w:color w:val="000000"/>
          <w:szCs w:val="24"/>
        </w:rPr>
        <w:t>është forcimi i sistemeve të azilit dhe të pritjes</w:t>
      </w:r>
      <w:r w:rsidR="001A3BD2" w:rsidRPr="00B457F5">
        <w:rPr>
          <w:rFonts w:ascii="Garamond" w:eastAsia="Calibri" w:hAnsi="Garamond" w:cs="Times New Roman"/>
          <w:color w:val="000000"/>
          <w:szCs w:val="24"/>
        </w:rPr>
        <w:t>,</w:t>
      </w:r>
      <w:r w:rsidRPr="00B457F5">
        <w:rPr>
          <w:rFonts w:ascii="Garamond" w:eastAsia="Calibri" w:hAnsi="Garamond" w:cs="Times New Roman"/>
          <w:color w:val="000000"/>
          <w:szCs w:val="24"/>
        </w:rPr>
        <w:t xml:space="preserve"> në përputhje me standardet e CEAS</w:t>
      </w:r>
      <w:r w:rsidR="00E3762B" w:rsidRPr="00B457F5">
        <w:rPr>
          <w:rFonts w:ascii="Garamond" w:eastAsia="Calibri" w:hAnsi="Garamond" w:cs="Times New Roman"/>
          <w:color w:val="000000"/>
          <w:szCs w:val="24"/>
        </w:rPr>
        <w:t xml:space="preserve"> dhe BE-së</w:t>
      </w:r>
      <w:r w:rsidRPr="00B457F5">
        <w:rPr>
          <w:rFonts w:ascii="Garamond" w:eastAsia="Calibri" w:hAnsi="Garamond" w:cs="Times New Roman"/>
          <w:color w:val="000000"/>
          <w:szCs w:val="24"/>
        </w:rPr>
        <w:t>.</w:t>
      </w:r>
      <w:r w:rsidR="00D765E2" w:rsidRPr="00B457F5">
        <w:rPr>
          <w:rFonts w:ascii="Garamond" w:eastAsia="Calibri" w:hAnsi="Garamond" w:cs="Times New Roman"/>
          <w:color w:val="000000"/>
          <w:szCs w:val="24"/>
        </w:rPr>
        <w:t xml:space="preserve"> </w:t>
      </w:r>
      <w:r w:rsidR="00E3762B" w:rsidRPr="00B457F5">
        <w:rPr>
          <w:rFonts w:ascii="Garamond" w:eastAsia="Calibri" w:hAnsi="Garamond" w:cs="Times New Roman"/>
          <w:color w:val="000000"/>
          <w:szCs w:val="24"/>
        </w:rPr>
        <w:t>F</w:t>
      </w:r>
      <w:r w:rsidRPr="00B457F5">
        <w:rPr>
          <w:rFonts w:ascii="Garamond" w:eastAsia="Calibri" w:hAnsi="Garamond" w:cs="Times New Roman"/>
          <w:color w:val="000000"/>
          <w:szCs w:val="24"/>
        </w:rPr>
        <w:t>ushat prioritare</w:t>
      </w:r>
      <w:r w:rsidR="00E3762B" w:rsidRPr="00B457F5">
        <w:rPr>
          <w:rFonts w:ascii="Garamond" w:eastAsia="Calibri" w:hAnsi="Garamond" w:cs="Times New Roman"/>
          <w:color w:val="000000"/>
          <w:szCs w:val="24"/>
        </w:rPr>
        <w:t xml:space="preserve"> janë identifikuar</w:t>
      </w:r>
      <w:r w:rsidRPr="00B457F5">
        <w:rPr>
          <w:rFonts w:ascii="Garamond" w:eastAsia="Calibri" w:hAnsi="Garamond" w:cs="Times New Roman"/>
          <w:color w:val="000000"/>
          <w:szCs w:val="24"/>
        </w:rPr>
        <w:t xml:space="preserve"> </w:t>
      </w:r>
      <w:r w:rsidR="00E3762B" w:rsidRPr="00B457F5">
        <w:rPr>
          <w:rFonts w:ascii="Garamond" w:eastAsia="Calibri" w:hAnsi="Garamond" w:cs="Times New Roman"/>
          <w:color w:val="000000"/>
          <w:szCs w:val="24"/>
        </w:rPr>
        <w:t xml:space="preserve">ku mbështetja e EUAA </w:t>
      </w:r>
      <w:r w:rsidRPr="00B457F5">
        <w:rPr>
          <w:rFonts w:ascii="Garamond" w:eastAsia="Calibri" w:hAnsi="Garamond" w:cs="Times New Roman"/>
          <w:color w:val="000000"/>
          <w:szCs w:val="24"/>
        </w:rPr>
        <w:t>për aut</w:t>
      </w:r>
      <w:r w:rsidR="00E3762B" w:rsidRPr="00B457F5">
        <w:rPr>
          <w:rFonts w:ascii="Garamond" w:eastAsia="Calibri" w:hAnsi="Garamond" w:cs="Times New Roman"/>
          <w:color w:val="000000"/>
          <w:szCs w:val="24"/>
        </w:rPr>
        <w:t>oritetet shqiptare ka një vlerë të shtuar dhe kontrib</w:t>
      </w:r>
      <w:r w:rsidR="001A3BD2" w:rsidRPr="00B457F5">
        <w:rPr>
          <w:rFonts w:ascii="Garamond" w:eastAsia="Calibri" w:hAnsi="Garamond" w:cs="Times New Roman"/>
          <w:color w:val="000000"/>
          <w:szCs w:val="24"/>
        </w:rPr>
        <w:t>u</w:t>
      </w:r>
      <w:r w:rsidR="00E3762B" w:rsidRPr="00B457F5">
        <w:rPr>
          <w:rFonts w:ascii="Garamond" w:eastAsia="Calibri" w:hAnsi="Garamond" w:cs="Times New Roman"/>
          <w:color w:val="000000"/>
          <w:szCs w:val="24"/>
        </w:rPr>
        <w:t>on</w:t>
      </w:r>
      <w:r w:rsidRPr="00B457F5">
        <w:rPr>
          <w:rFonts w:ascii="Garamond" w:eastAsia="Calibri" w:hAnsi="Garamond" w:cs="Times New Roman"/>
          <w:color w:val="000000"/>
          <w:szCs w:val="24"/>
        </w:rPr>
        <w:t xml:space="preserve"> në proces</w:t>
      </w:r>
      <w:r w:rsidR="00E3762B" w:rsidRPr="00B457F5">
        <w:rPr>
          <w:rFonts w:ascii="Garamond" w:eastAsia="Calibri" w:hAnsi="Garamond" w:cs="Times New Roman"/>
          <w:color w:val="000000"/>
          <w:szCs w:val="24"/>
        </w:rPr>
        <w:t>in e anëtarësimit</w:t>
      </w:r>
      <w:r w:rsidR="001A3BD2" w:rsidRPr="00B457F5">
        <w:rPr>
          <w:rFonts w:ascii="Garamond" w:eastAsia="Calibri" w:hAnsi="Garamond" w:cs="Times New Roman"/>
          <w:color w:val="000000"/>
          <w:szCs w:val="24"/>
        </w:rPr>
        <w:t>,</w:t>
      </w:r>
      <w:r w:rsidR="00E3762B" w:rsidRPr="00B457F5">
        <w:rPr>
          <w:rFonts w:ascii="Garamond" w:eastAsia="Calibri" w:hAnsi="Garamond" w:cs="Times New Roman"/>
          <w:color w:val="000000"/>
          <w:szCs w:val="24"/>
        </w:rPr>
        <w:t xml:space="preserve"> për përmbushjen </w:t>
      </w:r>
      <w:r w:rsidRPr="00B457F5">
        <w:rPr>
          <w:rFonts w:ascii="Garamond" w:eastAsia="Calibri" w:hAnsi="Garamond" w:cs="Times New Roman"/>
          <w:color w:val="000000"/>
          <w:szCs w:val="24"/>
        </w:rPr>
        <w:t xml:space="preserve">e rekomandimeve të përcaktuara në </w:t>
      </w:r>
      <w:r w:rsidR="001A3BD2" w:rsidRPr="00B457F5">
        <w:rPr>
          <w:rFonts w:ascii="Garamond" w:eastAsia="Calibri" w:hAnsi="Garamond" w:cs="Times New Roman"/>
          <w:color w:val="000000"/>
          <w:szCs w:val="24"/>
        </w:rPr>
        <w:t xml:space="preserve">raportet e progresit </w:t>
      </w:r>
      <w:r w:rsidR="00E3762B" w:rsidRPr="00B457F5">
        <w:rPr>
          <w:rFonts w:ascii="Garamond" w:eastAsia="Calibri" w:hAnsi="Garamond" w:cs="Times New Roman"/>
          <w:color w:val="000000"/>
          <w:szCs w:val="24"/>
        </w:rPr>
        <w:t>të</w:t>
      </w:r>
      <w:r w:rsidRPr="00B457F5">
        <w:rPr>
          <w:rFonts w:ascii="Garamond" w:eastAsia="Calibri" w:hAnsi="Garamond" w:cs="Times New Roman"/>
          <w:color w:val="000000"/>
          <w:szCs w:val="24"/>
        </w:rPr>
        <w:t xml:space="preserve"> Komisionit Evropian, në veçanti ato që synojnë të plotësojnë kriteret për </w:t>
      </w:r>
      <w:r w:rsidR="001A3BD2" w:rsidRPr="00B457F5">
        <w:rPr>
          <w:rFonts w:ascii="Garamond" w:eastAsia="Calibri" w:hAnsi="Garamond" w:cs="Times New Roman"/>
          <w:color w:val="000000"/>
          <w:szCs w:val="24"/>
        </w:rPr>
        <w:t>k</w:t>
      </w:r>
      <w:r w:rsidRPr="00B457F5">
        <w:rPr>
          <w:rFonts w:ascii="Garamond" w:eastAsia="Calibri" w:hAnsi="Garamond" w:cs="Times New Roman"/>
          <w:color w:val="000000"/>
          <w:szCs w:val="24"/>
        </w:rPr>
        <w:t>apitullin 24: Drejtësia, Liria dhe Siguria.</w:t>
      </w:r>
    </w:p>
    <w:p w14:paraId="4A79112C" w14:textId="2A70F02F" w:rsidR="00783BF2" w:rsidRPr="00B457F5" w:rsidRDefault="00227EB1" w:rsidP="002E693B">
      <w:pPr>
        <w:spacing w:before="0" w:after="0"/>
        <w:ind w:firstLine="284"/>
        <w:rPr>
          <w:rFonts w:ascii="Garamond" w:eastAsia="Calibri" w:hAnsi="Garamond" w:cs="Times New Roman"/>
          <w:color w:val="000000"/>
          <w:szCs w:val="24"/>
        </w:rPr>
      </w:pPr>
      <w:r w:rsidRPr="00B457F5">
        <w:rPr>
          <w:rFonts w:ascii="Garamond" w:eastAsia="Calibri" w:hAnsi="Garamond" w:cs="Times New Roman"/>
          <w:color w:val="000000"/>
          <w:szCs w:val="24"/>
        </w:rPr>
        <w:t>Mbështetja e siguruar nga EUAA për autoritetet shqiptare ka për qëllim të kontrib</w:t>
      </w:r>
      <w:r w:rsidR="004D6364" w:rsidRPr="00B457F5">
        <w:rPr>
          <w:rFonts w:ascii="Garamond" w:eastAsia="Calibri" w:hAnsi="Garamond" w:cs="Times New Roman"/>
          <w:color w:val="000000"/>
          <w:szCs w:val="24"/>
        </w:rPr>
        <w:t>u</w:t>
      </w:r>
      <w:r w:rsidRPr="00B457F5">
        <w:rPr>
          <w:rFonts w:ascii="Garamond" w:eastAsia="Calibri" w:hAnsi="Garamond" w:cs="Times New Roman"/>
          <w:color w:val="000000"/>
          <w:szCs w:val="24"/>
        </w:rPr>
        <w:t xml:space="preserve">ojë në: </w:t>
      </w:r>
      <w:r w:rsidR="001A3BD2" w:rsidRPr="00B457F5">
        <w:rPr>
          <w:rFonts w:ascii="Garamond" w:eastAsia="Calibri" w:hAnsi="Garamond" w:cs="Times New Roman"/>
          <w:color w:val="000000"/>
          <w:szCs w:val="24"/>
        </w:rPr>
        <w:t>f</w:t>
      </w:r>
      <w:r w:rsidRPr="00B457F5">
        <w:rPr>
          <w:rFonts w:ascii="Garamond" w:eastAsia="Calibri" w:hAnsi="Garamond" w:cs="Times New Roman"/>
          <w:color w:val="000000"/>
          <w:szCs w:val="24"/>
        </w:rPr>
        <w:t>orcimin e legjislacionit, sistemet dhe institucionet e lidhura me azilin, zbatimin e procedurave efikase të azilit dhe ngritj</w:t>
      </w:r>
      <w:r w:rsidR="001A3BD2" w:rsidRPr="00B457F5">
        <w:rPr>
          <w:rFonts w:ascii="Garamond" w:eastAsia="Calibri" w:hAnsi="Garamond" w:cs="Times New Roman"/>
          <w:color w:val="000000"/>
          <w:szCs w:val="24"/>
        </w:rPr>
        <w:t>en</w:t>
      </w:r>
      <w:r w:rsidRPr="00B457F5">
        <w:rPr>
          <w:rFonts w:ascii="Garamond" w:eastAsia="Calibri" w:hAnsi="Garamond" w:cs="Times New Roman"/>
          <w:color w:val="000000"/>
          <w:szCs w:val="24"/>
        </w:rPr>
        <w:t xml:space="preserve"> e një sistemi pritës sa më efikas.</w:t>
      </w:r>
    </w:p>
    <w:p w14:paraId="4E904474" w14:textId="1A71AF29" w:rsidR="00151C91" w:rsidRPr="00B457F5" w:rsidRDefault="00A13E64" w:rsidP="004D6364">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Angazhime </w:t>
      </w:r>
      <w:r w:rsidR="00A7515A" w:rsidRPr="00B457F5">
        <w:rPr>
          <w:rFonts w:ascii="Garamond" w:eastAsia="MS Mincho" w:hAnsi="Garamond" w:cs="Times New Roman"/>
          <w:szCs w:val="24"/>
        </w:rPr>
        <w:t xml:space="preserve">konkrete </w:t>
      </w:r>
      <w:r w:rsidRPr="00B457F5">
        <w:rPr>
          <w:rFonts w:ascii="Garamond" w:eastAsia="MS Mincho" w:hAnsi="Garamond" w:cs="Times New Roman"/>
          <w:szCs w:val="24"/>
        </w:rPr>
        <w:t>u ndërmorën nga Shqipëria së bashku me shtetet e tjera të Ballkanit Perëndimor</w:t>
      </w:r>
      <w:r w:rsidR="001A3BD2" w:rsidRPr="00B457F5">
        <w:rPr>
          <w:rFonts w:ascii="Garamond" w:eastAsia="MS Mincho" w:hAnsi="Garamond" w:cs="Times New Roman"/>
          <w:szCs w:val="24"/>
        </w:rPr>
        <w:t>,</w:t>
      </w:r>
      <w:r w:rsidRPr="00B457F5">
        <w:rPr>
          <w:rFonts w:ascii="Garamond" w:eastAsia="MS Mincho" w:hAnsi="Garamond" w:cs="Times New Roman"/>
          <w:szCs w:val="24"/>
        </w:rPr>
        <w:t xml:space="preserve"> më 3 nëntor 2022</w:t>
      </w:r>
      <w:r w:rsidR="001A3BD2" w:rsidRPr="00B457F5">
        <w:rPr>
          <w:rFonts w:ascii="Garamond" w:eastAsia="MS Mincho" w:hAnsi="Garamond" w:cs="Times New Roman"/>
          <w:szCs w:val="24"/>
        </w:rPr>
        <w:t>,</w:t>
      </w:r>
      <w:r w:rsidRPr="00B457F5">
        <w:rPr>
          <w:rFonts w:ascii="Garamond" w:eastAsia="MS Mincho" w:hAnsi="Garamond" w:cs="Times New Roman"/>
          <w:szCs w:val="24"/>
        </w:rPr>
        <w:t xml:space="preserve"> </w:t>
      </w:r>
      <w:r w:rsidR="00A7515A" w:rsidRPr="00B457F5">
        <w:rPr>
          <w:rFonts w:ascii="Garamond" w:eastAsia="MS Mincho" w:hAnsi="Garamond" w:cs="Times New Roman"/>
          <w:szCs w:val="24"/>
        </w:rPr>
        <w:t xml:space="preserve">në </w:t>
      </w:r>
      <w:r w:rsidR="001A3BD2" w:rsidRPr="00B457F5">
        <w:rPr>
          <w:rFonts w:ascii="Garamond" w:eastAsia="MS Mincho" w:hAnsi="Garamond" w:cs="Times New Roman"/>
          <w:szCs w:val="24"/>
        </w:rPr>
        <w:t>t</w:t>
      </w:r>
      <w:r w:rsidRPr="00B457F5">
        <w:rPr>
          <w:rFonts w:ascii="Garamond" w:eastAsia="MS Mincho" w:hAnsi="Garamond" w:cs="Times New Roman"/>
          <w:szCs w:val="24"/>
        </w:rPr>
        <w:t>akimi</w:t>
      </w:r>
      <w:r w:rsidR="00A7515A" w:rsidRPr="00B457F5">
        <w:rPr>
          <w:rFonts w:ascii="Garamond" w:eastAsia="MS Mincho" w:hAnsi="Garamond" w:cs="Times New Roman"/>
          <w:szCs w:val="24"/>
        </w:rPr>
        <w:t>n</w:t>
      </w:r>
      <w:r w:rsidRPr="00B457F5">
        <w:rPr>
          <w:rFonts w:ascii="Garamond" w:eastAsia="MS Mincho" w:hAnsi="Garamond" w:cs="Times New Roman"/>
          <w:szCs w:val="24"/>
        </w:rPr>
        <w:t xml:space="preserve"> minist</w:t>
      </w:r>
      <w:r w:rsidR="00F50075" w:rsidRPr="00B457F5">
        <w:rPr>
          <w:rFonts w:ascii="Garamond" w:eastAsia="MS Mincho" w:hAnsi="Garamond" w:cs="Times New Roman"/>
          <w:szCs w:val="24"/>
        </w:rPr>
        <w:t>erial</w:t>
      </w:r>
      <w:r w:rsidRPr="00B457F5">
        <w:rPr>
          <w:rFonts w:ascii="Garamond" w:eastAsia="MS Mincho" w:hAnsi="Garamond" w:cs="Times New Roman"/>
          <w:szCs w:val="24"/>
        </w:rPr>
        <w:t xml:space="preserve"> </w:t>
      </w:r>
      <w:r w:rsidR="00A7515A" w:rsidRPr="00B457F5">
        <w:rPr>
          <w:rFonts w:ascii="Garamond" w:eastAsia="MS Mincho" w:hAnsi="Garamond" w:cs="Times New Roman"/>
          <w:szCs w:val="24"/>
        </w:rPr>
        <w:t>të</w:t>
      </w:r>
      <w:r w:rsidRPr="00B457F5">
        <w:rPr>
          <w:rFonts w:ascii="Garamond" w:eastAsia="MS Mincho" w:hAnsi="Garamond" w:cs="Times New Roman"/>
          <w:szCs w:val="24"/>
        </w:rPr>
        <w:t xml:space="preserve"> </w:t>
      </w:r>
      <w:r w:rsidR="00A313AE" w:rsidRPr="00B457F5">
        <w:rPr>
          <w:rFonts w:ascii="Garamond" w:eastAsia="MS Mincho" w:hAnsi="Garamond" w:cs="Times New Roman"/>
          <w:szCs w:val="24"/>
        </w:rPr>
        <w:t>“</w:t>
      </w:r>
      <w:r w:rsidRPr="00B457F5">
        <w:rPr>
          <w:rFonts w:ascii="Garamond" w:eastAsia="MS Mincho" w:hAnsi="Garamond" w:cs="Times New Roman"/>
          <w:szCs w:val="24"/>
        </w:rPr>
        <w:t xml:space="preserve">Drejtësisë dhe </w:t>
      </w:r>
      <w:r w:rsidR="001A3BD2" w:rsidRPr="00B457F5">
        <w:rPr>
          <w:rFonts w:ascii="Garamond" w:eastAsia="MS Mincho" w:hAnsi="Garamond" w:cs="Times New Roman"/>
          <w:szCs w:val="24"/>
        </w:rPr>
        <w:t>punëve të brendshme</w:t>
      </w:r>
      <w:r w:rsidR="00A313AE" w:rsidRPr="00B457F5">
        <w:rPr>
          <w:rFonts w:ascii="Garamond" w:eastAsia="MS Mincho" w:hAnsi="Garamond" w:cs="Times New Roman"/>
          <w:szCs w:val="24"/>
        </w:rPr>
        <w:t>”</w:t>
      </w:r>
      <w:r w:rsidRPr="00B457F5">
        <w:rPr>
          <w:rFonts w:ascii="Garamond" w:eastAsia="MS Mincho" w:hAnsi="Garamond" w:cs="Times New Roman"/>
          <w:szCs w:val="24"/>
        </w:rPr>
        <w:t xml:space="preserve"> mes BE-</w:t>
      </w:r>
      <w:r w:rsidR="00A7515A" w:rsidRPr="00B457F5">
        <w:rPr>
          <w:rFonts w:ascii="Garamond" w:eastAsia="MS Mincho" w:hAnsi="Garamond" w:cs="Times New Roman"/>
          <w:szCs w:val="24"/>
        </w:rPr>
        <w:t xml:space="preserve">së dhe vendeve të </w:t>
      </w:r>
      <w:r w:rsidRPr="00B457F5">
        <w:rPr>
          <w:rFonts w:ascii="Garamond" w:eastAsia="MS Mincho" w:hAnsi="Garamond" w:cs="Times New Roman"/>
          <w:szCs w:val="24"/>
        </w:rPr>
        <w:t>Ballkanit Perëndimor në Tiranë. Sipas Planit të Veprimit të BE-së për Ballkanin Perëndimor</w:t>
      </w:r>
      <w:r w:rsidR="00A619CA" w:rsidRPr="00B457F5">
        <w:rPr>
          <w:rFonts w:ascii="Garamond" w:eastAsia="MS Mincho" w:hAnsi="Garamond" w:cs="Times New Roman"/>
          <w:szCs w:val="24"/>
        </w:rPr>
        <w:t>,</w:t>
      </w:r>
      <w:r w:rsidR="00A619CA" w:rsidRPr="00B457F5">
        <w:rPr>
          <w:rFonts w:ascii="Garamond" w:eastAsia="MS Mincho" w:hAnsi="Garamond" w:cs="Times New Roman"/>
          <w:szCs w:val="24"/>
          <w:vertAlign w:val="superscript"/>
        </w:rPr>
        <w:footnoteReference w:id="51"/>
      </w:r>
      <w:r w:rsidR="00A619CA" w:rsidRPr="00B457F5">
        <w:rPr>
          <w:rFonts w:ascii="Garamond" w:eastAsia="MS Mincho" w:hAnsi="Garamond" w:cs="Times New Roman"/>
          <w:szCs w:val="24"/>
        </w:rPr>
        <w:t xml:space="preserve"> </w:t>
      </w:r>
      <w:r w:rsidR="00361AAA" w:rsidRPr="00B457F5">
        <w:rPr>
          <w:rFonts w:ascii="Garamond" w:eastAsia="MS Mincho" w:hAnsi="Garamond" w:cs="Times New Roman"/>
          <w:szCs w:val="24"/>
        </w:rPr>
        <w:t xml:space="preserve">u identifikuan 20 masa operacionale për të udhëhequr përpjekjet drejt përafrimit të vazhdueshëm me </w:t>
      </w:r>
      <w:r w:rsidR="00361AAA" w:rsidRPr="00B457F5">
        <w:rPr>
          <w:rFonts w:ascii="Garamond" w:eastAsia="MS Mincho" w:hAnsi="Garamond" w:cs="Times New Roman"/>
          <w:i/>
          <w:iCs/>
          <w:szCs w:val="24"/>
        </w:rPr>
        <w:t>acquis</w:t>
      </w:r>
      <w:r w:rsidR="00B26732" w:rsidRPr="00B457F5">
        <w:rPr>
          <w:rFonts w:ascii="Garamond" w:eastAsia="MS Mincho" w:hAnsi="Garamond" w:cs="Times New Roman"/>
          <w:szCs w:val="24"/>
        </w:rPr>
        <w:t>-in</w:t>
      </w:r>
      <w:r w:rsidR="00361AAA" w:rsidRPr="00B457F5">
        <w:rPr>
          <w:rFonts w:ascii="Garamond" w:eastAsia="MS Mincho" w:hAnsi="Garamond" w:cs="Times New Roman"/>
          <w:szCs w:val="24"/>
        </w:rPr>
        <w:t xml:space="preserve"> </w:t>
      </w:r>
      <w:r w:rsidR="00B26732" w:rsidRPr="00B457F5">
        <w:rPr>
          <w:rFonts w:ascii="Garamond" w:eastAsia="MS Mincho" w:hAnsi="Garamond" w:cs="Times New Roman"/>
          <w:szCs w:val="24"/>
        </w:rPr>
        <w:t>e</w:t>
      </w:r>
      <w:r w:rsidR="00361AAA" w:rsidRPr="00B457F5">
        <w:rPr>
          <w:rFonts w:ascii="Garamond" w:eastAsia="MS Mincho" w:hAnsi="Garamond" w:cs="Times New Roman"/>
          <w:szCs w:val="24"/>
        </w:rPr>
        <w:t xml:space="preserve"> BE-së, forcimin e menaxhimit të kufijve, bashkëpunimin efektiv për kthimin dhe ripranimin, si dhe procedurat e shpejta të azilit. </w:t>
      </w:r>
      <w:r w:rsidR="00FF1534" w:rsidRPr="00B457F5">
        <w:rPr>
          <w:rFonts w:ascii="Garamond" w:eastAsia="MS Mincho" w:hAnsi="Garamond" w:cs="Times New Roman"/>
          <w:szCs w:val="24"/>
        </w:rPr>
        <w:t xml:space="preserve">Veçanërisht, prioritetet kryesore përfshijnë përfundimin e një </w:t>
      </w:r>
      <w:r w:rsidR="001A3BD2" w:rsidRPr="00B457F5">
        <w:rPr>
          <w:rFonts w:ascii="Garamond" w:eastAsia="MS Mincho" w:hAnsi="Garamond" w:cs="Times New Roman"/>
          <w:szCs w:val="24"/>
        </w:rPr>
        <w:t>m</w:t>
      </w:r>
      <w:r w:rsidR="00FF1534" w:rsidRPr="00B457F5">
        <w:rPr>
          <w:rFonts w:ascii="Garamond" w:eastAsia="MS Mincho" w:hAnsi="Garamond" w:cs="Times New Roman"/>
          <w:szCs w:val="24"/>
        </w:rPr>
        <w:t xml:space="preserve">arrëveshjeje të rinovuar të </w:t>
      </w:r>
      <w:r w:rsidR="00B26732" w:rsidRPr="00B457F5">
        <w:rPr>
          <w:rFonts w:ascii="Garamond" w:eastAsia="MS Mincho" w:hAnsi="Garamond" w:cs="Times New Roman"/>
          <w:szCs w:val="24"/>
        </w:rPr>
        <w:t>s</w:t>
      </w:r>
      <w:r w:rsidR="00FF1534" w:rsidRPr="00B457F5">
        <w:rPr>
          <w:rFonts w:ascii="Garamond" w:eastAsia="MS Mincho" w:hAnsi="Garamond" w:cs="Times New Roman"/>
          <w:szCs w:val="24"/>
        </w:rPr>
        <w:t xml:space="preserve">tatusit me </w:t>
      </w:r>
      <w:r w:rsidR="00A2088F" w:rsidRPr="00B457F5">
        <w:rPr>
          <w:rFonts w:ascii="Garamond" w:eastAsia="MS Mincho" w:hAnsi="Garamond" w:cs="Times New Roman"/>
          <w:szCs w:val="24"/>
        </w:rPr>
        <w:t>FRONTEX</w:t>
      </w:r>
      <w:r w:rsidR="00FF1534" w:rsidRPr="00B457F5">
        <w:rPr>
          <w:rFonts w:ascii="Garamond" w:eastAsia="MS Mincho" w:hAnsi="Garamond" w:cs="Times New Roman"/>
          <w:szCs w:val="24"/>
        </w:rPr>
        <w:t xml:space="preserve">-in, rritjen e mbështetjes së </w:t>
      </w:r>
      <w:r w:rsidR="00A2088F" w:rsidRPr="00B457F5">
        <w:rPr>
          <w:rFonts w:ascii="Garamond" w:eastAsia="MS Mincho" w:hAnsi="Garamond" w:cs="Times New Roman"/>
          <w:szCs w:val="24"/>
        </w:rPr>
        <w:t>FRONTEX</w:t>
      </w:r>
      <w:r w:rsidR="00FF1534" w:rsidRPr="00B457F5">
        <w:rPr>
          <w:rFonts w:ascii="Garamond" w:eastAsia="MS Mincho" w:hAnsi="Garamond" w:cs="Times New Roman"/>
          <w:szCs w:val="24"/>
        </w:rPr>
        <w:t xml:space="preserve">-it në kufijtë e jashtëm të BE-së dhe </w:t>
      </w:r>
      <w:r w:rsidR="00B26732" w:rsidRPr="00B457F5">
        <w:rPr>
          <w:rFonts w:ascii="Garamond" w:eastAsia="MS Mincho" w:hAnsi="Garamond" w:cs="Times New Roman"/>
          <w:szCs w:val="24"/>
        </w:rPr>
        <w:t xml:space="preserve">rritjen </w:t>
      </w:r>
      <w:r w:rsidR="00FF1534" w:rsidRPr="00B457F5">
        <w:rPr>
          <w:rFonts w:ascii="Garamond" w:eastAsia="MS Mincho" w:hAnsi="Garamond" w:cs="Times New Roman"/>
          <w:szCs w:val="24"/>
        </w:rPr>
        <w:t xml:space="preserve">e kapaciteteve në fushën e kthimit, duke përfshirë ndihmën </w:t>
      </w:r>
      <w:r w:rsidR="00B26732" w:rsidRPr="00B457F5">
        <w:rPr>
          <w:rFonts w:ascii="Garamond" w:eastAsia="MS Mincho" w:hAnsi="Garamond" w:cs="Times New Roman"/>
          <w:szCs w:val="24"/>
        </w:rPr>
        <w:t xml:space="preserve">për </w:t>
      </w:r>
      <w:r w:rsidR="00FF1534" w:rsidRPr="00B457F5">
        <w:rPr>
          <w:rFonts w:ascii="Garamond" w:eastAsia="MS Mincho" w:hAnsi="Garamond" w:cs="Times New Roman"/>
          <w:szCs w:val="24"/>
        </w:rPr>
        <w:t>zhvillimin e objekteve akomoduese. Këto prioritete u rikonfirmuan në vendimin zbatues të Komisionit Evropian të datës 27 qershor 2023, i cili ka të bëjë me financimin e masave specifike që synojnë rritjen e kapaciteteve të menaxhimit të migracionit në Ballkanin Perëndimor për vitin 2023</w:t>
      </w:r>
      <w:r w:rsidR="00A619CA" w:rsidRPr="00B457F5">
        <w:rPr>
          <w:rFonts w:ascii="Garamond" w:eastAsia="MS Mincho" w:hAnsi="Garamond" w:cs="Times New Roman"/>
          <w:szCs w:val="24"/>
        </w:rPr>
        <w:t>.</w:t>
      </w:r>
      <w:r w:rsidR="00A619CA" w:rsidRPr="00B457F5">
        <w:rPr>
          <w:rFonts w:ascii="Garamond" w:eastAsia="MS Mincho" w:hAnsi="Garamond" w:cs="Times New Roman"/>
          <w:szCs w:val="24"/>
          <w:vertAlign w:val="superscript"/>
        </w:rPr>
        <w:footnoteReference w:id="52"/>
      </w:r>
      <w:r w:rsidR="00A619CA" w:rsidRPr="00B457F5">
        <w:rPr>
          <w:rFonts w:ascii="Garamond" w:eastAsia="MS Mincho" w:hAnsi="Garamond" w:cs="Times New Roman"/>
          <w:szCs w:val="24"/>
        </w:rPr>
        <w:t xml:space="preserve"> </w:t>
      </w:r>
      <w:r w:rsidR="005F416A" w:rsidRPr="00B457F5">
        <w:rPr>
          <w:rFonts w:ascii="Garamond" w:eastAsia="MS Mincho" w:hAnsi="Garamond" w:cs="Times New Roman"/>
          <w:szCs w:val="24"/>
        </w:rPr>
        <w:t>Vlen të përmenden aktivitete të tilla si:</w:t>
      </w:r>
    </w:p>
    <w:p w14:paraId="0F9F03C4" w14:textId="1659721E" w:rsidR="00151C91" w:rsidRPr="00B457F5" w:rsidRDefault="00783BF2"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Wingdings"/>
          <w:color w:val="000000"/>
          <w:szCs w:val="24"/>
        </w:rPr>
        <w:t>-</w:t>
      </w:r>
      <w:r w:rsidR="00151C91" w:rsidRPr="00B457F5">
        <w:rPr>
          <w:rFonts w:ascii="Garamond" w:eastAsiaTheme="minorHAnsi" w:hAnsi="Garamond" w:cs="Times New Roman"/>
          <w:color w:val="000000"/>
          <w:szCs w:val="24"/>
        </w:rPr>
        <w:t xml:space="preserve"> </w:t>
      </w:r>
      <w:r w:rsidR="00A313AE" w:rsidRPr="00B457F5">
        <w:rPr>
          <w:rFonts w:ascii="Garamond" w:eastAsiaTheme="minorHAnsi" w:hAnsi="Garamond" w:cs="Times New Roman"/>
          <w:color w:val="000000"/>
          <w:szCs w:val="24"/>
        </w:rPr>
        <w:t>“</w:t>
      </w:r>
      <w:r w:rsidR="00151C91" w:rsidRPr="00B457F5">
        <w:rPr>
          <w:rFonts w:ascii="Garamond" w:eastAsiaTheme="minorHAnsi" w:hAnsi="Garamond" w:cs="Times New Roman"/>
          <w:color w:val="000000"/>
          <w:szCs w:val="24"/>
        </w:rPr>
        <w:t>Ndërtimi i objekteve të migracionit duke respektuar plotësisht të drejtat e njeriut dhe themelore</w:t>
      </w:r>
      <w:r w:rsidR="001A3BD2" w:rsidRPr="00B457F5">
        <w:rPr>
          <w:rFonts w:ascii="Garamond" w:eastAsiaTheme="minorHAnsi" w:hAnsi="Garamond" w:cs="Times New Roman"/>
          <w:color w:val="000000"/>
          <w:szCs w:val="24"/>
        </w:rPr>
        <w:t>,</w:t>
      </w:r>
      <w:r w:rsidR="00151C91" w:rsidRPr="00B457F5">
        <w:rPr>
          <w:rFonts w:ascii="Garamond" w:eastAsiaTheme="minorHAnsi" w:hAnsi="Garamond" w:cs="Times New Roman"/>
          <w:color w:val="000000"/>
          <w:szCs w:val="24"/>
        </w:rPr>
        <w:t xml:space="preserve"> dhe duke garantuar nevojat specifike të personave më të cenueshëm</w:t>
      </w:r>
      <w:r w:rsidR="00A313AE" w:rsidRPr="00B457F5">
        <w:rPr>
          <w:rFonts w:ascii="Garamond" w:eastAsiaTheme="minorHAnsi" w:hAnsi="Garamond" w:cs="Times New Roman"/>
          <w:color w:val="000000"/>
          <w:szCs w:val="24"/>
        </w:rPr>
        <w:t>”</w:t>
      </w:r>
      <w:r w:rsidR="00151C91" w:rsidRPr="00B457F5">
        <w:rPr>
          <w:rFonts w:ascii="Garamond" w:eastAsiaTheme="minorHAnsi" w:hAnsi="Garamond" w:cs="Times New Roman"/>
          <w:color w:val="000000"/>
          <w:szCs w:val="24"/>
        </w:rPr>
        <w:t>;</w:t>
      </w:r>
    </w:p>
    <w:p w14:paraId="62601FB6" w14:textId="0C51A06E" w:rsidR="00151C91" w:rsidRPr="00B457F5" w:rsidRDefault="00783BF2"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Wingdings"/>
          <w:color w:val="000000"/>
          <w:szCs w:val="24"/>
        </w:rPr>
        <w:t xml:space="preserve">- </w:t>
      </w:r>
      <w:r w:rsidR="00A313AE" w:rsidRPr="00B457F5">
        <w:rPr>
          <w:rFonts w:ascii="Garamond" w:eastAsiaTheme="minorHAnsi" w:hAnsi="Garamond" w:cs="Times New Roman"/>
          <w:color w:val="000000"/>
          <w:szCs w:val="24"/>
        </w:rPr>
        <w:t>“</w:t>
      </w:r>
      <w:r w:rsidR="00151C91" w:rsidRPr="00B457F5">
        <w:rPr>
          <w:rFonts w:ascii="Garamond" w:eastAsiaTheme="minorHAnsi" w:hAnsi="Garamond" w:cs="Times New Roman"/>
          <w:color w:val="000000"/>
          <w:szCs w:val="24"/>
        </w:rPr>
        <w:t>Asistenca teknike për të përmirësuar operacionet e kthimit (vullnetar dhe të detyruar) të migrantëve në vendet e origjinës</w:t>
      </w:r>
      <w:r w:rsidR="00A313AE" w:rsidRPr="00B457F5">
        <w:rPr>
          <w:rFonts w:ascii="Garamond" w:eastAsiaTheme="minorHAnsi" w:hAnsi="Garamond" w:cs="Times New Roman"/>
          <w:color w:val="000000"/>
          <w:szCs w:val="24"/>
        </w:rPr>
        <w:t>”</w:t>
      </w:r>
      <w:r w:rsidR="00151C91" w:rsidRPr="00B457F5">
        <w:rPr>
          <w:rFonts w:ascii="Garamond" w:eastAsiaTheme="minorHAnsi" w:hAnsi="Garamond" w:cs="Times New Roman"/>
          <w:color w:val="000000"/>
          <w:szCs w:val="24"/>
        </w:rPr>
        <w:t>;</w:t>
      </w:r>
    </w:p>
    <w:p w14:paraId="1CAD7B16" w14:textId="007BA18C" w:rsidR="00151C91" w:rsidRPr="00B457F5" w:rsidRDefault="00783BF2"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Wingdings"/>
          <w:color w:val="000000"/>
          <w:szCs w:val="24"/>
        </w:rPr>
        <w:t xml:space="preserve">- </w:t>
      </w:r>
      <w:r w:rsidR="00A313AE" w:rsidRPr="00B457F5">
        <w:rPr>
          <w:rFonts w:ascii="Garamond" w:eastAsiaTheme="minorHAnsi" w:hAnsi="Garamond" w:cs="Times New Roman"/>
          <w:color w:val="000000"/>
          <w:szCs w:val="24"/>
        </w:rPr>
        <w:t>“</w:t>
      </w:r>
      <w:r w:rsidR="00151C91" w:rsidRPr="00B457F5">
        <w:rPr>
          <w:rFonts w:ascii="Garamond" w:eastAsiaTheme="minorHAnsi" w:hAnsi="Garamond" w:cs="Times New Roman"/>
          <w:color w:val="000000"/>
          <w:szCs w:val="24"/>
        </w:rPr>
        <w:t>Mbështetja për kthimet (vullnetare dhe të detyruara) në vendet e origjinës</w:t>
      </w:r>
      <w:r w:rsidR="001A3BD2" w:rsidRPr="00B457F5">
        <w:rPr>
          <w:rFonts w:ascii="Garamond" w:eastAsiaTheme="minorHAnsi" w:hAnsi="Garamond" w:cs="Times New Roman"/>
          <w:color w:val="000000"/>
          <w:szCs w:val="24"/>
        </w:rPr>
        <w:t>,</w:t>
      </w:r>
      <w:r w:rsidR="00151C91" w:rsidRPr="00B457F5">
        <w:rPr>
          <w:rFonts w:ascii="Garamond" w:eastAsiaTheme="minorHAnsi" w:hAnsi="Garamond" w:cs="Times New Roman"/>
          <w:color w:val="000000"/>
          <w:szCs w:val="24"/>
        </w:rPr>
        <w:t xml:space="preserve"> duke respektuar plotësisht të drejtat themelore dhe të njeriut, duke përfshirë ndihmën e menjëhershme pas mbërritjes</w:t>
      </w:r>
      <w:r w:rsidR="00A313AE" w:rsidRPr="00B457F5">
        <w:rPr>
          <w:rFonts w:ascii="Garamond" w:eastAsiaTheme="minorHAnsi" w:hAnsi="Garamond" w:cs="Times New Roman"/>
          <w:color w:val="000000"/>
          <w:szCs w:val="24"/>
        </w:rPr>
        <w:t>”</w:t>
      </w:r>
      <w:r w:rsidR="00151C91" w:rsidRPr="00B457F5">
        <w:rPr>
          <w:rFonts w:ascii="Garamond" w:eastAsiaTheme="minorHAnsi" w:hAnsi="Garamond" w:cs="Times New Roman"/>
          <w:color w:val="000000"/>
          <w:szCs w:val="24"/>
        </w:rPr>
        <w:t>.</w:t>
      </w:r>
    </w:p>
    <w:p w14:paraId="6112CD5F" w14:textId="02C496AE" w:rsidR="00E27E67" w:rsidRPr="00B457F5" w:rsidRDefault="00E27E67" w:rsidP="002E693B">
      <w:pPr>
        <w:spacing w:before="0" w:after="0"/>
        <w:ind w:firstLine="284"/>
        <w:contextualSpacing/>
        <w:rPr>
          <w:rFonts w:ascii="Garamond" w:eastAsia="Times New Roman" w:hAnsi="Garamond" w:cs="Times New Roman"/>
          <w:szCs w:val="24"/>
        </w:rPr>
      </w:pPr>
      <w:r w:rsidRPr="006764A2">
        <w:rPr>
          <w:rFonts w:ascii="Garamond" w:eastAsia="Times New Roman" w:hAnsi="Garamond" w:cs="Times New Roman"/>
          <w:szCs w:val="24"/>
        </w:rPr>
        <w:t>Paralelisht me procesin e anëtarësimit në BE, angazhimet e Shqipërisë për migracionin e sigurt, të rregullt dhe të rregullt</w:t>
      </w:r>
      <w:r w:rsidRPr="00B457F5">
        <w:rPr>
          <w:rFonts w:ascii="Garamond" w:eastAsia="Times New Roman" w:hAnsi="Garamond" w:cs="Times New Roman"/>
          <w:szCs w:val="24"/>
        </w:rPr>
        <w:t xml:space="preserve"> janë ndjekur përmes angazhimit në disa platforma bashkëpunimi rajonal, veçanërisht në Procesin e Berlinit dhe Procesin e Pragës. Deklaratat e fundit rajonale konfirmojnë një unitet qëllimi midis shteteve të rajonit të Ballkanit Perëndimor për aplikimin e qasjeve të bazuara në të drejtat për</w:t>
      </w:r>
      <w:r w:rsidR="00A313AE" w:rsidRPr="00B457F5">
        <w:rPr>
          <w:rFonts w:ascii="Garamond" w:eastAsia="Times New Roman" w:hAnsi="Garamond" w:cs="Times New Roman"/>
          <w:szCs w:val="24"/>
        </w:rPr>
        <w:t xml:space="preserve"> t’u </w:t>
      </w:r>
      <w:r w:rsidRPr="00B457F5">
        <w:rPr>
          <w:rFonts w:ascii="Garamond" w:eastAsia="Times New Roman" w:hAnsi="Garamond" w:cs="Times New Roman"/>
          <w:szCs w:val="24"/>
        </w:rPr>
        <w:t xml:space="preserve">marrë me çështjet e kthimit, ripranimit dhe riintegrimit, hapjen e rrugëve të rregullta </w:t>
      </w:r>
      <w:r w:rsidRPr="00B457F5">
        <w:rPr>
          <w:rFonts w:ascii="Garamond" w:eastAsia="Times New Roman" w:hAnsi="Garamond" w:cs="Times New Roman"/>
          <w:szCs w:val="24"/>
        </w:rPr>
        <w:lastRenderedPageBreak/>
        <w:t>dhe heqjen e barrierave për lëvizshmërinë rajonale në mënyrë që të lehtësohet migrimi për motive punësimi</w:t>
      </w:r>
      <w:r w:rsidR="001A3BD2" w:rsidRPr="00B457F5">
        <w:rPr>
          <w:rFonts w:ascii="Garamond" w:eastAsia="Times New Roman" w:hAnsi="Garamond" w:cs="Times New Roman"/>
          <w:szCs w:val="24"/>
        </w:rPr>
        <w:t>,</w:t>
      </w:r>
      <w:r w:rsidRPr="00B457F5">
        <w:rPr>
          <w:rFonts w:ascii="Garamond" w:eastAsia="Times New Roman" w:hAnsi="Garamond" w:cs="Times New Roman"/>
          <w:szCs w:val="24"/>
        </w:rPr>
        <w:t xml:space="preserve"> për të përfituar si migrantët ashtu edhe vendet e rajonit.</w:t>
      </w:r>
    </w:p>
    <w:p w14:paraId="1FB07FBC" w14:textId="41180CF4" w:rsidR="00A67AB2" w:rsidRPr="00B457F5" w:rsidRDefault="00ED0420" w:rsidP="002E693B">
      <w:pPr>
        <w:spacing w:before="0" w:after="0"/>
        <w:ind w:firstLine="284"/>
        <w:rPr>
          <w:rFonts w:ascii="Garamond" w:eastAsia="MS Mincho" w:hAnsi="Garamond" w:cs="Times New Roman"/>
          <w:szCs w:val="24"/>
        </w:rPr>
      </w:pPr>
      <w:r w:rsidRPr="00B457F5">
        <w:rPr>
          <w:rFonts w:ascii="Garamond" w:eastAsia="MS Mincho" w:hAnsi="Garamond" w:cs="Times New Roman"/>
          <w:bCs/>
          <w:iCs/>
          <w:szCs w:val="24"/>
        </w:rPr>
        <w:t>Procesi i Berlinit</w:t>
      </w:r>
      <w:r w:rsidRPr="00B457F5">
        <w:rPr>
          <w:rFonts w:ascii="Garamond" w:eastAsia="MS Mincho" w:hAnsi="Garamond" w:cs="Times New Roman"/>
          <w:iCs/>
          <w:szCs w:val="24"/>
        </w:rPr>
        <w:t xml:space="preserve"> </w:t>
      </w:r>
      <w:r w:rsidR="009F1F96" w:rsidRPr="00B457F5">
        <w:rPr>
          <w:rFonts w:ascii="Garamond" w:eastAsia="MS Mincho" w:hAnsi="Garamond" w:cs="Times New Roman"/>
          <w:szCs w:val="24"/>
        </w:rPr>
        <w:t>nisi</w:t>
      </w:r>
      <w:r w:rsidRPr="00B457F5">
        <w:rPr>
          <w:rFonts w:ascii="Garamond" w:eastAsia="MS Mincho" w:hAnsi="Garamond" w:cs="Times New Roman"/>
          <w:szCs w:val="24"/>
        </w:rPr>
        <w:t xml:space="preserve"> në vitin 2014 si një platformë për bashkëpunim të nivelit të lartë midis vendeve të Ballkanit Perëndimor, disa shteteve anëtare të BE-së, institucioneve financiare ndërkombëtare dhe organizatave rajonale (përfshirë BE-në</w:t>
      </w:r>
      <w:r w:rsidRPr="00B457F5">
        <w:rPr>
          <w:rFonts w:ascii="Garamond" w:eastAsia="MS Mincho" w:hAnsi="Garamond" w:cs="Times New Roman"/>
          <w:iCs/>
          <w:szCs w:val="24"/>
        </w:rPr>
        <w:t>)</w:t>
      </w:r>
      <w:r w:rsidR="00A619CA" w:rsidRPr="00B457F5">
        <w:rPr>
          <w:rFonts w:ascii="Garamond" w:eastAsia="MS Mincho" w:hAnsi="Garamond" w:cs="Times New Roman"/>
          <w:szCs w:val="24"/>
        </w:rPr>
        <w:t>.</w:t>
      </w:r>
      <w:r w:rsidR="00A619CA" w:rsidRPr="00B457F5">
        <w:rPr>
          <w:rFonts w:ascii="Garamond" w:eastAsia="MS Mincho" w:hAnsi="Garamond" w:cs="Times New Roman"/>
          <w:szCs w:val="24"/>
          <w:vertAlign w:val="superscript"/>
        </w:rPr>
        <w:footnoteReference w:id="53"/>
      </w:r>
      <w:r w:rsidR="00A619CA" w:rsidRPr="00B457F5">
        <w:rPr>
          <w:rFonts w:ascii="Garamond" w:eastAsia="MS Mincho" w:hAnsi="Garamond" w:cs="Times New Roman"/>
          <w:szCs w:val="24"/>
        </w:rPr>
        <w:t xml:space="preserve"> </w:t>
      </w:r>
      <w:r w:rsidR="00CE46DE" w:rsidRPr="00B457F5">
        <w:rPr>
          <w:rFonts w:ascii="Garamond" w:eastAsia="MS Mincho" w:hAnsi="Garamond" w:cs="Times New Roman"/>
          <w:szCs w:val="24"/>
        </w:rPr>
        <w:t xml:space="preserve">Në kuadër të </w:t>
      </w:r>
      <w:r w:rsidR="001A3BD2" w:rsidRPr="00B457F5">
        <w:rPr>
          <w:rFonts w:ascii="Garamond" w:eastAsia="MS Mincho" w:hAnsi="Garamond" w:cs="Times New Roman"/>
          <w:szCs w:val="24"/>
        </w:rPr>
        <w:t>p</w:t>
      </w:r>
      <w:r w:rsidR="00CE46DE" w:rsidRPr="00B457F5">
        <w:rPr>
          <w:rFonts w:ascii="Garamond" w:eastAsia="MS Mincho" w:hAnsi="Garamond" w:cs="Times New Roman"/>
          <w:szCs w:val="24"/>
        </w:rPr>
        <w:t xml:space="preserve">rocesit në dhjetor </w:t>
      </w:r>
      <w:r w:rsidR="00660EA7" w:rsidRPr="00B457F5">
        <w:rPr>
          <w:rFonts w:ascii="Garamond" w:eastAsia="MS Mincho" w:hAnsi="Garamond" w:cs="Times New Roman"/>
          <w:szCs w:val="24"/>
        </w:rPr>
        <w:t xml:space="preserve">të vitit </w:t>
      </w:r>
      <w:r w:rsidR="00CE46DE" w:rsidRPr="00B457F5">
        <w:rPr>
          <w:rFonts w:ascii="Garamond" w:eastAsia="MS Mincho" w:hAnsi="Garamond" w:cs="Times New Roman"/>
          <w:szCs w:val="24"/>
        </w:rPr>
        <w:t>2022, u miratua Deklarata e Tiranës në Samitin BE</w:t>
      </w:r>
      <w:r w:rsidR="001A3BD2" w:rsidRPr="00B457F5">
        <w:rPr>
          <w:rFonts w:ascii="Garamond" w:eastAsia="MS Mincho" w:hAnsi="Garamond" w:cs="Times New Roman"/>
          <w:szCs w:val="24"/>
        </w:rPr>
        <w:t>–</w:t>
      </w:r>
      <w:r w:rsidR="00CE46DE" w:rsidRPr="00B457F5">
        <w:rPr>
          <w:rFonts w:ascii="Garamond" w:eastAsia="MS Mincho" w:hAnsi="Garamond" w:cs="Times New Roman"/>
          <w:szCs w:val="24"/>
        </w:rPr>
        <w:t>Ballkani Perëndimor, duke vendosur disa fusha me interes të përbashkët, përfshirë edhe fushën e qeverisjes së migracionit. Palët pranuan se nevojiten përpjekje të mëtejshme për të luftuar rritje</w:t>
      </w:r>
      <w:r w:rsidR="005F031E" w:rsidRPr="00B457F5">
        <w:rPr>
          <w:rFonts w:ascii="Garamond" w:eastAsia="MS Mincho" w:hAnsi="Garamond" w:cs="Times New Roman"/>
          <w:szCs w:val="24"/>
        </w:rPr>
        <w:t>n e kontrabandimit të</w:t>
      </w:r>
      <w:r w:rsidR="00CE46DE" w:rsidRPr="00B457F5">
        <w:rPr>
          <w:rFonts w:ascii="Garamond" w:eastAsia="MS Mincho" w:hAnsi="Garamond" w:cs="Times New Roman"/>
          <w:szCs w:val="24"/>
        </w:rPr>
        <w:t xml:space="preserve"> migrantëve dhe trafikimi</w:t>
      </w:r>
      <w:r w:rsidR="00207186" w:rsidRPr="00B457F5">
        <w:rPr>
          <w:rFonts w:ascii="Garamond" w:eastAsia="MS Mincho" w:hAnsi="Garamond" w:cs="Times New Roman"/>
          <w:szCs w:val="24"/>
        </w:rPr>
        <w:t>n e</w:t>
      </w:r>
      <w:r w:rsidR="00CE46DE" w:rsidRPr="00B457F5">
        <w:rPr>
          <w:rFonts w:ascii="Garamond" w:eastAsia="MS Mincho" w:hAnsi="Garamond" w:cs="Times New Roman"/>
          <w:szCs w:val="24"/>
        </w:rPr>
        <w:t xml:space="preserve"> qenieve njerëzore. Në veçanti, BE-ja premtoi fonde shtesë për rritjen e kapacitetit të qeverive të Ballkanit Perëndimor për të luftuar kontraband</w:t>
      </w:r>
      <w:r w:rsidR="00207186" w:rsidRPr="00B457F5">
        <w:rPr>
          <w:rFonts w:ascii="Garamond" w:eastAsia="MS Mincho" w:hAnsi="Garamond" w:cs="Times New Roman"/>
          <w:szCs w:val="24"/>
        </w:rPr>
        <w:t>imin</w:t>
      </w:r>
      <w:r w:rsidR="00CE46DE" w:rsidRPr="00B457F5">
        <w:rPr>
          <w:rFonts w:ascii="Garamond" w:eastAsia="MS Mincho" w:hAnsi="Garamond" w:cs="Times New Roman"/>
          <w:szCs w:val="24"/>
        </w:rPr>
        <w:t xml:space="preserve"> e emigrantëve dhe trafikimin e qenieve njerëzore</w:t>
      </w:r>
      <w:r w:rsidR="00A619CA" w:rsidRPr="00B457F5">
        <w:rPr>
          <w:rFonts w:ascii="Garamond" w:eastAsia="MS Mincho" w:hAnsi="Garamond" w:cs="Times New Roman"/>
          <w:szCs w:val="24"/>
        </w:rPr>
        <w:t xml:space="preserve">. </w:t>
      </w:r>
      <w:r w:rsidR="00CE46DE" w:rsidRPr="00B457F5">
        <w:rPr>
          <w:rFonts w:ascii="Garamond" w:eastAsia="MS Mincho" w:hAnsi="Garamond" w:cs="Times New Roman"/>
          <w:szCs w:val="24"/>
        </w:rPr>
        <w:t xml:space="preserve">BE-ja deklaroi gatishmërinë e saj për të </w:t>
      </w:r>
      <w:r w:rsidR="00A313AE" w:rsidRPr="00B457F5">
        <w:rPr>
          <w:rFonts w:ascii="Garamond" w:eastAsia="MS Mincho" w:hAnsi="Garamond" w:cs="Times New Roman"/>
          <w:szCs w:val="24"/>
        </w:rPr>
        <w:t>“</w:t>
      </w:r>
      <w:r w:rsidR="00CE46DE" w:rsidRPr="00B457F5">
        <w:rPr>
          <w:rFonts w:ascii="Garamond" w:eastAsia="MS Mincho" w:hAnsi="Garamond" w:cs="Times New Roman"/>
          <w:szCs w:val="24"/>
        </w:rPr>
        <w:t>mbështetur Ballkanin Perëndimor për të rritur kthimet vullnetare dhe jovullnetare, duke përfshirë drejtpërdrejt nga rajonet në qarqet e origjinës</w:t>
      </w:r>
      <w:r w:rsidR="00A313AE" w:rsidRPr="00B457F5">
        <w:rPr>
          <w:rFonts w:ascii="Garamond" w:eastAsia="MS Mincho" w:hAnsi="Garamond" w:cs="Times New Roman"/>
          <w:szCs w:val="24"/>
        </w:rPr>
        <w:t>”</w:t>
      </w:r>
      <w:r w:rsidR="00CE46DE" w:rsidRPr="00B457F5">
        <w:rPr>
          <w:rFonts w:ascii="Garamond" w:eastAsia="MS Mincho" w:hAnsi="Garamond" w:cs="Times New Roman"/>
          <w:szCs w:val="24"/>
        </w:rPr>
        <w:t xml:space="preserve">. Duke vënë në dukje një rritje të konsiderueshme të vëllimit të migracionit përgjatë rrugës së Ballkanit Perëndimor, nënshkruesit deklaruan se </w:t>
      </w:r>
      <w:r w:rsidR="00A313AE" w:rsidRPr="00B457F5">
        <w:rPr>
          <w:rFonts w:ascii="Garamond" w:eastAsia="MS Mincho" w:hAnsi="Garamond" w:cs="Times New Roman"/>
          <w:szCs w:val="24"/>
        </w:rPr>
        <w:t>“</w:t>
      </w:r>
      <w:r w:rsidR="00CE46DE" w:rsidRPr="00B457F5">
        <w:rPr>
          <w:rFonts w:ascii="Garamond" w:eastAsia="MS Mincho" w:hAnsi="Garamond" w:cs="Times New Roman"/>
          <w:szCs w:val="24"/>
        </w:rPr>
        <w:t>menaxhimi i migracionit mbetet një sfidë dhe përgjegjësi e përbashkët</w:t>
      </w:r>
      <w:r w:rsidR="00A313AE" w:rsidRPr="00B457F5">
        <w:rPr>
          <w:rFonts w:ascii="Garamond" w:eastAsia="MS Mincho" w:hAnsi="Garamond" w:cs="Times New Roman"/>
          <w:szCs w:val="24"/>
        </w:rPr>
        <w:t>”</w:t>
      </w:r>
      <w:r w:rsidR="00CE46DE" w:rsidRPr="00B457F5">
        <w:rPr>
          <w:rFonts w:ascii="Garamond" w:eastAsia="MS Mincho" w:hAnsi="Garamond" w:cs="Times New Roman"/>
          <w:szCs w:val="24"/>
        </w:rPr>
        <w:t>. Një prioritet tjetër i rëndësishëm është lehtësimi i lidhjes së marrëveshjeve për lëvizjen e lirë</w:t>
      </w:r>
      <w:r w:rsidR="001A3BD2" w:rsidRPr="00B457F5">
        <w:rPr>
          <w:rFonts w:ascii="Garamond" w:eastAsia="MS Mincho" w:hAnsi="Garamond" w:cs="Times New Roman"/>
          <w:szCs w:val="24"/>
        </w:rPr>
        <w:t>,</w:t>
      </w:r>
      <w:r w:rsidR="00CE46DE" w:rsidRPr="00B457F5">
        <w:rPr>
          <w:rFonts w:ascii="Garamond" w:eastAsia="MS Mincho" w:hAnsi="Garamond" w:cs="Times New Roman"/>
          <w:szCs w:val="24"/>
        </w:rPr>
        <w:t xml:space="preserve"> si dhe për njohjen e </w:t>
      </w:r>
      <w:r w:rsidR="003010C7" w:rsidRPr="00B457F5">
        <w:rPr>
          <w:rFonts w:ascii="Garamond" w:eastAsia="MS Mincho" w:hAnsi="Garamond" w:cs="Times New Roman"/>
          <w:szCs w:val="24"/>
        </w:rPr>
        <w:t>kartave të identitetit</w:t>
      </w:r>
      <w:r w:rsidR="00CE46DE" w:rsidRPr="00B457F5">
        <w:rPr>
          <w:rFonts w:ascii="Garamond" w:eastAsia="MS Mincho" w:hAnsi="Garamond" w:cs="Times New Roman"/>
          <w:szCs w:val="24"/>
        </w:rPr>
        <w:t>, diplomave dhe kualifikimeve profesionale nga shtetet e Ballkanit Perëndimor</w:t>
      </w:r>
      <w:r w:rsidR="00A619CA" w:rsidRPr="00B457F5">
        <w:rPr>
          <w:rFonts w:ascii="Garamond" w:eastAsia="MS Mincho" w:hAnsi="Garamond" w:cs="Times New Roman"/>
          <w:szCs w:val="24"/>
        </w:rPr>
        <w:t>.</w:t>
      </w:r>
      <w:r w:rsidR="00A619CA" w:rsidRPr="00B457F5">
        <w:rPr>
          <w:rFonts w:ascii="Garamond" w:eastAsia="MS Mincho" w:hAnsi="Garamond" w:cs="Times New Roman"/>
          <w:szCs w:val="24"/>
          <w:vertAlign w:val="superscript"/>
        </w:rPr>
        <w:footnoteReference w:id="54"/>
      </w:r>
    </w:p>
    <w:p w14:paraId="529D48E6" w14:textId="17428F9A" w:rsidR="00A619CA" w:rsidRPr="00B457F5" w:rsidRDefault="00FC0807" w:rsidP="002E693B">
      <w:pPr>
        <w:spacing w:before="0" w:after="0"/>
        <w:ind w:firstLine="284"/>
        <w:rPr>
          <w:rFonts w:ascii="Garamond" w:eastAsia="MS Mincho" w:hAnsi="Garamond" w:cs="Times New Roman"/>
          <w:szCs w:val="24"/>
        </w:rPr>
      </w:pPr>
      <w:r w:rsidRPr="00B457F5">
        <w:rPr>
          <w:rFonts w:ascii="Garamond" w:eastAsia="MS Mincho" w:hAnsi="Garamond" w:cs="Times New Roman"/>
          <w:bCs/>
          <w:iCs/>
          <w:szCs w:val="24"/>
        </w:rPr>
        <w:t>Procesi i Pragës</w:t>
      </w:r>
      <w:r w:rsidRPr="00B457F5">
        <w:rPr>
          <w:rFonts w:ascii="Garamond" w:eastAsia="MS Mincho" w:hAnsi="Garamond" w:cs="Times New Roman"/>
          <w:iCs/>
          <w:szCs w:val="24"/>
        </w:rPr>
        <w:t xml:space="preserve">, </w:t>
      </w:r>
      <w:r w:rsidRPr="00B457F5">
        <w:rPr>
          <w:rFonts w:ascii="Garamond" w:eastAsia="MS Mincho" w:hAnsi="Garamond" w:cs="Times New Roman"/>
          <w:szCs w:val="24"/>
        </w:rPr>
        <w:t>i nisur në vitin 2009, është një tjetër platformë rajonale e bashkëpunimit ndërqeveritar për menaxhimin e migracionit</w:t>
      </w:r>
      <w:r w:rsidR="00A619CA" w:rsidRPr="00B457F5">
        <w:rPr>
          <w:rFonts w:ascii="Garamond" w:eastAsia="MS Mincho" w:hAnsi="Garamond" w:cs="Times New Roman"/>
          <w:szCs w:val="24"/>
        </w:rPr>
        <w:t>,</w:t>
      </w:r>
      <w:r w:rsidR="00A619CA" w:rsidRPr="00B457F5">
        <w:rPr>
          <w:rFonts w:ascii="Garamond" w:eastAsia="MS Mincho" w:hAnsi="Garamond" w:cs="Times New Roman"/>
          <w:szCs w:val="24"/>
          <w:vertAlign w:val="superscript"/>
        </w:rPr>
        <w:footnoteReference w:id="55"/>
      </w:r>
      <w:r w:rsidR="00A619CA" w:rsidRPr="00B457F5">
        <w:rPr>
          <w:rFonts w:ascii="Garamond" w:eastAsia="MS Mincho" w:hAnsi="Garamond" w:cs="Times New Roman"/>
          <w:szCs w:val="24"/>
        </w:rPr>
        <w:t xml:space="preserve"> </w:t>
      </w:r>
      <w:r w:rsidRPr="00B457F5">
        <w:rPr>
          <w:rFonts w:ascii="Garamond" w:eastAsia="MS Mincho" w:hAnsi="Garamond" w:cs="Times New Roman"/>
          <w:szCs w:val="24"/>
        </w:rPr>
        <w:t xml:space="preserve">e cila sipas </w:t>
      </w:r>
      <w:r w:rsidR="001A3BD2" w:rsidRPr="00B457F5">
        <w:rPr>
          <w:rFonts w:ascii="Garamond" w:eastAsia="MS Mincho" w:hAnsi="Garamond" w:cs="Times New Roman"/>
          <w:szCs w:val="24"/>
        </w:rPr>
        <w:t xml:space="preserve">deklaratës së përbashkët </w:t>
      </w:r>
      <w:r w:rsidRPr="00B457F5">
        <w:rPr>
          <w:rFonts w:ascii="Garamond" w:eastAsia="MS Mincho" w:hAnsi="Garamond" w:cs="Times New Roman"/>
          <w:szCs w:val="24"/>
        </w:rPr>
        <w:t xml:space="preserve">ndjek </w:t>
      </w:r>
      <w:r w:rsidR="00A313AE" w:rsidRPr="00B457F5">
        <w:rPr>
          <w:rFonts w:ascii="Garamond" w:eastAsia="MS Mincho" w:hAnsi="Garamond" w:cs="Times New Roman"/>
          <w:szCs w:val="24"/>
        </w:rPr>
        <w:t>“</w:t>
      </w:r>
      <w:r w:rsidRPr="00B457F5">
        <w:rPr>
          <w:rFonts w:ascii="Garamond" w:eastAsia="MS Mincho" w:hAnsi="Garamond" w:cs="Times New Roman"/>
          <w:szCs w:val="24"/>
        </w:rPr>
        <w:t>një qasje gjithëpërfshirëse, të balancuar, pragmatike dhe operacionale, duke respektuar të drejtat dhe dinjitetin njerëzor të migrantëve dhe anëtarëve të familjeve të tyre, si dhe të refugjatëve</w:t>
      </w:r>
      <w:r w:rsidR="00A313AE" w:rsidRPr="00B457F5">
        <w:rPr>
          <w:rFonts w:ascii="Garamond" w:eastAsia="MS Mincho" w:hAnsi="Garamond" w:cs="Times New Roman"/>
          <w:szCs w:val="24"/>
        </w:rPr>
        <w:t>”</w:t>
      </w:r>
      <w:r w:rsidR="00A619CA" w:rsidRPr="00B457F5">
        <w:rPr>
          <w:rFonts w:ascii="Garamond" w:eastAsia="MS Mincho" w:hAnsi="Garamond" w:cs="Times New Roman"/>
          <w:szCs w:val="24"/>
        </w:rPr>
        <w:t>.</w:t>
      </w:r>
      <w:r w:rsidR="00A619CA" w:rsidRPr="00B457F5">
        <w:rPr>
          <w:rFonts w:ascii="Garamond" w:eastAsia="MS Mincho" w:hAnsi="Garamond" w:cs="Times New Roman"/>
          <w:szCs w:val="24"/>
          <w:vertAlign w:val="superscript"/>
        </w:rPr>
        <w:footnoteReference w:id="56"/>
      </w:r>
      <w:r w:rsidR="00A619CA" w:rsidRPr="00B457F5">
        <w:rPr>
          <w:rFonts w:ascii="Garamond" w:eastAsia="MS Mincho" w:hAnsi="Garamond" w:cs="Times New Roman"/>
          <w:szCs w:val="24"/>
        </w:rPr>
        <w:t xml:space="preserve"> </w:t>
      </w:r>
      <w:r w:rsidR="00E27070" w:rsidRPr="00B457F5">
        <w:rPr>
          <w:rFonts w:ascii="Garamond" w:eastAsia="MS Mincho" w:hAnsi="Garamond" w:cs="Times New Roman"/>
          <w:szCs w:val="24"/>
        </w:rPr>
        <w:t>Plani i fundit i Veprimit 2023</w:t>
      </w:r>
      <w:r w:rsidR="004D6364" w:rsidRPr="00B457F5">
        <w:rPr>
          <w:rStyle w:val="contentpasted1"/>
          <w:rFonts w:ascii="Garamond" w:hAnsi="Garamond" w:cs="Times New Roman"/>
          <w:color w:val="000000"/>
        </w:rPr>
        <w:t>–</w:t>
      </w:r>
      <w:r w:rsidR="00E27070" w:rsidRPr="00B457F5">
        <w:rPr>
          <w:rFonts w:ascii="Garamond" w:eastAsia="MS Mincho" w:hAnsi="Garamond" w:cs="Times New Roman"/>
          <w:szCs w:val="24"/>
        </w:rPr>
        <w:t>2027, i miratuar në Konferencën e Katërt Minist</w:t>
      </w:r>
      <w:r w:rsidR="00F50075" w:rsidRPr="00B457F5">
        <w:rPr>
          <w:rFonts w:ascii="Garamond" w:eastAsia="MS Mincho" w:hAnsi="Garamond" w:cs="Times New Roman"/>
          <w:szCs w:val="24"/>
        </w:rPr>
        <w:t>eriale</w:t>
      </w:r>
      <w:r w:rsidR="00E27070" w:rsidRPr="00B457F5">
        <w:rPr>
          <w:rFonts w:ascii="Garamond" w:eastAsia="MS Mincho" w:hAnsi="Garamond" w:cs="Times New Roman"/>
          <w:szCs w:val="24"/>
        </w:rPr>
        <w:t xml:space="preserve"> të Procesit të Pragës më 24</w:t>
      </w:r>
      <w:r w:rsidR="004D6364" w:rsidRPr="00B457F5">
        <w:rPr>
          <w:rStyle w:val="contentpasted1"/>
          <w:rFonts w:ascii="Garamond" w:hAnsi="Garamond" w:cs="Times New Roman"/>
          <w:color w:val="000000"/>
        </w:rPr>
        <w:t>–</w:t>
      </w:r>
      <w:r w:rsidR="00E27070" w:rsidRPr="00B457F5">
        <w:rPr>
          <w:rFonts w:ascii="Garamond" w:eastAsia="MS Mincho" w:hAnsi="Garamond" w:cs="Times New Roman"/>
          <w:szCs w:val="24"/>
        </w:rPr>
        <w:t>25 tetor 2022, përcakton objektiva specifik</w:t>
      </w:r>
      <w:r w:rsidR="00AF4731" w:rsidRPr="00B457F5">
        <w:rPr>
          <w:rFonts w:ascii="Garamond" w:eastAsia="MS Mincho" w:hAnsi="Garamond" w:cs="Times New Roman"/>
          <w:szCs w:val="24"/>
        </w:rPr>
        <w:t>ë</w:t>
      </w:r>
      <w:r w:rsidR="00E27070" w:rsidRPr="00B457F5">
        <w:rPr>
          <w:rFonts w:ascii="Garamond" w:eastAsia="MS Mincho" w:hAnsi="Garamond" w:cs="Times New Roman"/>
          <w:szCs w:val="24"/>
        </w:rPr>
        <w:t xml:space="preserve"> brenda gjashtë fushave tematike. Katër prej tyre duket se janë veçanërisht të rëndësishme për </w:t>
      </w:r>
      <w:r w:rsidR="001A3BD2" w:rsidRPr="00B457F5">
        <w:rPr>
          <w:rFonts w:ascii="Garamond" w:eastAsia="MS Mincho" w:hAnsi="Garamond" w:cs="Times New Roman"/>
          <w:szCs w:val="24"/>
        </w:rPr>
        <w:t>s</w:t>
      </w:r>
      <w:r w:rsidR="00E27070" w:rsidRPr="00B457F5">
        <w:rPr>
          <w:rFonts w:ascii="Garamond" w:eastAsia="MS Mincho" w:hAnsi="Garamond" w:cs="Times New Roman"/>
          <w:szCs w:val="24"/>
        </w:rPr>
        <w:t>trategjinë e re</w:t>
      </w:r>
      <w:r w:rsidR="00A619CA" w:rsidRPr="00B457F5">
        <w:rPr>
          <w:rFonts w:ascii="Garamond" w:eastAsia="MS Mincho" w:hAnsi="Garamond" w:cs="Times New Roman"/>
          <w:szCs w:val="24"/>
        </w:rPr>
        <w:t xml:space="preserve">: </w:t>
      </w:r>
      <w:r w:rsidR="00EF4099" w:rsidRPr="00B457F5">
        <w:rPr>
          <w:rFonts w:ascii="Garamond" w:eastAsia="MS Mincho" w:hAnsi="Garamond" w:cs="Times New Roman"/>
          <w:szCs w:val="24"/>
        </w:rPr>
        <w:t xml:space="preserve">promovimi i ripranimit, kthimit vullnetar dhe riintegrimit të qëndrueshëm; </w:t>
      </w:r>
      <w:r w:rsidR="00B5064B" w:rsidRPr="00B457F5">
        <w:rPr>
          <w:rFonts w:ascii="Garamond" w:eastAsia="MS Mincho" w:hAnsi="Garamond" w:cs="Times New Roman"/>
          <w:szCs w:val="24"/>
        </w:rPr>
        <w:t xml:space="preserve">trajtimi </w:t>
      </w:r>
      <w:r w:rsidR="00EF4099" w:rsidRPr="00B457F5">
        <w:rPr>
          <w:rFonts w:ascii="Garamond" w:eastAsia="MS Mincho" w:hAnsi="Garamond" w:cs="Times New Roman"/>
          <w:szCs w:val="24"/>
        </w:rPr>
        <w:t xml:space="preserve">i migracionit të rregullt dhe lëvizshmërisë </w:t>
      </w:r>
      <w:r w:rsidR="00B5064B" w:rsidRPr="00B457F5">
        <w:rPr>
          <w:rFonts w:ascii="Garamond" w:eastAsia="MS Mincho" w:hAnsi="Garamond" w:cs="Times New Roman"/>
          <w:szCs w:val="24"/>
        </w:rPr>
        <w:t>duke i kushtuar</w:t>
      </w:r>
      <w:r w:rsidR="00EF4099" w:rsidRPr="00B457F5">
        <w:rPr>
          <w:rFonts w:ascii="Garamond" w:eastAsia="MS Mincho" w:hAnsi="Garamond" w:cs="Times New Roman"/>
          <w:szCs w:val="24"/>
        </w:rPr>
        <w:t xml:space="preserve"> </w:t>
      </w:r>
      <w:r w:rsidR="00B5064B" w:rsidRPr="00B457F5">
        <w:rPr>
          <w:rFonts w:ascii="Garamond" w:eastAsia="MS Mincho" w:hAnsi="Garamond" w:cs="Times New Roman"/>
          <w:szCs w:val="24"/>
        </w:rPr>
        <w:t xml:space="preserve">rëndësi </w:t>
      </w:r>
      <w:r w:rsidR="00EF4099" w:rsidRPr="00B457F5">
        <w:rPr>
          <w:rFonts w:ascii="Garamond" w:eastAsia="MS Mincho" w:hAnsi="Garamond" w:cs="Times New Roman"/>
          <w:szCs w:val="24"/>
        </w:rPr>
        <w:t>të veçantë migrimi</w:t>
      </w:r>
      <w:r w:rsidR="00B5064B" w:rsidRPr="00B457F5">
        <w:rPr>
          <w:rFonts w:ascii="Garamond" w:eastAsia="MS Mincho" w:hAnsi="Garamond" w:cs="Times New Roman"/>
          <w:szCs w:val="24"/>
        </w:rPr>
        <w:t>t</w:t>
      </w:r>
      <w:r w:rsidR="00EF4099" w:rsidRPr="00B457F5">
        <w:rPr>
          <w:rFonts w:ascii="Garamond" w:eastAsia="MS Mincho" w:hAnsi="Garamond" w:cs="Times New Roman"/>
          <w:szCs w:val="24"/>
        </w:rPr>
        <w:t xml:space="preserve"> për motive punësimi; promovimi</w:t>
      </w:r>
      <w:r w:rsidR="00B5064B" w:rsidRPr="00B457F5">
        <w:rPr>
          <w:rFonts w:ascii="Garamond" w:eastAsia="MS Mincho" w:hAnsi="Garamond" w:cs="Times New Roman"/>
          <w:szCs w:val="24"/>
        </w:rPr>
        <w:t>t</w:t>
      </w:r>
      <w:r w:rsidR="00EF4099" w:rsidRPr="00B457F5">
        <w:rPr>
          <w:rFonts w:ascii="Garamond" w:eastAsia="MS Mincho" w:hAnsi="Garamond" w:cs="Times New Roman"/>
          <w:szCs w:val="24"/>
        </w:rPr>
        <w:t xml:space="preserve"> </w:t>
      </w:r>
      <w:r w:rsidR="00B5064B" w:rsidRPr="00B457F5">
        <w:rPr>
          <w:rFonts w:ascii="Garamond" w:eastAsia="MS Mincho" w:hAnsi="Garamond" w:cs="Times New Roman"/>
          <w:szCs w:val="24"/>
        </w:rPr>
        <w:t>të</w:t>
      </w:r>
      <w:r w:rsidR="00EF4099" w:rsidRPr="00B457F5">
        <w:rPr>
          <w:rFonts w:ascii="Garamond" w:eastAsia="MS Mincho" w:hAnsi="Garamond" w:cs="Times New Roman"/>
          <w:szCs w:val="24"/>
        </w:rPr>
        <w:t xml:space="preserve"> integrimit të migrantëve që banojnë </w:t>
      </w:r>
      <w:r w:rsidR="00B5064B" w:rsidRPr="00B457F5">
        <w:rPr>
          <w:rFonts w:ascii="Garamond" w:eastAsia="MS Mincho" w:hAnsi="Garamond" w:cs="Times New Roman"/>
          <w:szCs w:val="24"/>
        </w:rPr>
        <w:t>në mënyrë të ligjshme</w:t>
      </w:r>
      <w:r w:rsidR="00EF4099" w:rsidRPr="00B457F5">
        <w:rPr>
          <w:rFonts w:ascii="Garamond" w:eastAsia="MS Mincho" w:hAnsi="Garamond" w:cs="Times New Roman"/>
          <w:szCs w:val="24"/>
        </w:rPr>
        <w:t xml:space="preserve"> në shoqëritë e tyre pritëse; dhe shfrytëzimi</w:t>
      </w:r>
      <w:r w:rsidR="00EE180C" w:rsidRPr="00B457F5">
        <w:rPr>
          <w:rFonts w:ascii="Garamond" w:eastAsia="MS Mincho" w:hAnsi="Garamond" w:cs="Times New Roman"/>
          <w:szCs w:val="24"/>
        </w:rPr>
        <w:t>t të</w:t>
      </w:r>
      <w:r w:rsidR="00EF4099" w:rsidRPr="00B457F5">
        <w:rPr>
          <w:rFonts w:ascii="Garamond" w:eastAsia="MS Mincho" w:hAnsi="Garamond" w:cs="Times New Roman"/>
          <w:szCs w:val="24"/>
        </w:rPr>
        <w:t xml:space="preserve"> migracionit dhe lëvizshmërisë për të kontribuar pozitivisht në zhvillim</w:t>
      </w:r>
      <w:r w:rsidR="00A619CA" w:rsidRPr="00B457F5">
        <w:rPr>
          <w:rFonts w:ascii="Garamond" w:eastAsia="MS Mincho" w:hAnsi="Garamond" w:cs="Times New Roman"/>
          <w:szCs w:val="24"/>
        </w:rPr>
        <w:t>.</w:t>
      </w:r>
      <w:r w:rsidR="00A619CA" w:rsidRPr="00B457F5">
        <w:rPr>
          <w:rFonts w:ascii="Garamond" w:eastAsia="MS Mincho" w:hAnsi="Garamond" w:cs="Times New Roman"/>
          <w:szCs w:val="24"/>
          <w:vertAlign w:val="superscript"/>
        </w:rPr>
        <w:footnoteReference w:id="57"/>
      </w:r>
    </w:p>
    <w:p w14:paraId="37287025" w14:textId="712BBB8A" w:rsidR="00A619CA" w:rsidRPr="00B457F5" w:rsidRDefault="00D2077C"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Me rëndësi të veçantë është iniciativa e organizuar në kontekstin e Presidencës Çeke të Këshillit të BE-së dhe e </w:t>
      </w:r>
      <w:r w:rsidR="00EE180C" w:rsidRPr="00B457F5">
        <w:rPr>
          <w:rFonts w:ascii="Garamond" w:eastAsia="MS Mincho" w:hAnsi="Garamond" w:cs="Times New Roman"/>
          <w:szCs w:val="24"/>
        </w:rPr>
        <w:t xml:space="preserve">lehtësuar </w:t>
      </w:r>
      <w:r w:rsidRPr="00B457F5">
        <w:rPr>
          <w:rFonts w:ascii="Garamond" w:eastAsia="MS Mincho" w:hAnsi="Garamond" w:cs="Times New Roman"/>
          <w:szCs w:val="24"/>
        </w:rPr>
        <w:t xml:space="preserve">nga IOM, </w:t>
      </w:r>
      <w:r w:rsidR="00BA4029" w:rsidRPr="00B457F5">
        <w:rPr>
          <w:rFonts w:ascii="Garamond" w:eastAsia="MS Mincho" w:hAnsi="Garamond" w:cs="Times New Roman"/>
          <w:szCs w:val="24"/>
        </w:rPr>
        <w:t>me</w:t>
      </w:r>
      <w:r w:rsidRPr="00B457F5">
        <w:rPr>
          <w:rFonts w:ascii="Garamond" w:eastAsia="MS Mincho" w:hAnsi="Garamond" w:cs="Times New Roman"/>
          <w:szCs w:val="24"/>
        </w:rPr>
        <w:t xml:space="preserve"> përfaqësuesit e qeverive të Ballkanit Perëndimor për </w:t>
      </w:r>
      <w:r w:rsidR="00BA4029" w:rsidRPr="00B457F5">
        <w:rPr>
          <w:rFonts w:ascii="Garamond" w:eastAsia="MS Mincho" w:hAnsi="Garamond" w:cs="Times New Roman"/>
          <w:szCs w:val="24"/>
        </w:rPr>
        <w:t>zhvillimin e</w:t>
      </w:r>
      <w:r w:rsidRPr="00B457F5">
        <w:rPr>
          <w:rFonts w:ascii="Garamond" w:eastAsia="MS Mincho" w:hAnsi="Garamond" w:cs="Times New Roman"/>
          <w:szCs w:val="24"/>
        </w:rPr>
        <w:t xml:space="preserve"> zgjidhje</w:t>
      </w:r>
      <w:r w:rsidR="00BA4029" w:rsidRPr="00B457F5">
        <w:rPr>
          <w:rFonts w:ascii="Garamond" w:eastAsia="MS Mincho" w:hAnsi="Garamond" w:cs="Times New Roman"/>
          <w:szCs w:val="24"/>
        </w:rPr>
        <w:t>ve</w:t>
      </w:r>
      <w:r w:rsidRPr="00B457F5">
        <w:rPr>
          <w:rFonts w:ascii="Garamond" w:eastAsia="MS Mincho" w:hAnsi="Garamond" w:cs="Times New Roman"/>
          <w:szCs w:val="24"/>
        </w:rPr>
        <w:t xml:space="preserve"> të përbashkëta për menaxhimin e migracionit në rajon. Konferenca Minist</w:t>
      </w:r>
      <w:r w:rsidR="00FA211D" w:rsidRPr="00B457F5">
        <w:rPr>
          <w:rFonts w:ascii="Garamond" w:eastAsia="MS Mincho" w:hAnsi="Garamond" w:cs="Times New Roman"/>
          <w:szCs w:val="24"/>
        </w:rPr>
        <w:t>eriale</w:t>
      </w:r>
      <w:r w:rsidRPr="00B457F5">
        <w:rPr>
          <w:rFonts w:ascii="Garamond" w:eastAsia="MS Mincho" w:hAnsi="Garamond" w:cs="Times New Roman"/>
          <w:szCs w:val="24"/>
        </w:rPr>
        <w:t xml:space="preserve"> e mbajtur më 15</w:t>
      </w:r>
      <w:r w:rsidR="004D6364" w:rsidRPr="00B457F5">
        <w:rPr>
          <w:rStyle w:val="contentpasted1"/>
          <w:rFonts w:ascii="Garamond" w:hAnsi="Garamond" w:cs="Times New Roman"/>
          <w:color w:val="000000"/>
        </w:rPr>
        <w:t>–</w:t>
      </w:r>
      <w:r w:rsidRPr="00B457F5">
        <w:rPr>
          <w:rFonts w:ascii="Garamond" w:eastAsia="MS Mincho" w:hAnsi="Garamond" w:cs="Times New Roman"/>
          <w:szCs w:val="24"/>
        </w:rPr>
        <w:t>16 nëntor 2022</w:t>
      </w:r>
      <w:r w:rsidR="001A3BD2" w:rsidRPr="00B457F5">
        <w:rPr>
          <w:rFonts w:ascii="Garamond" w:eastAsia="MS Mincho" w:hAnsi="Garamond" w:cs="Times New Roman"/>
          <w:szCs w:val="24"/>
        </w:rPr>
        <w:t>,</w:t>
      </w:r>
      <w:r w:rsidRPr="00B457F5">
        <w:rPr>
          <w:rFonts w:ascii="Garamond" w:eastAsia="MS Mincho" w:hAnsi="Garamond" w:cs="Times New Roman"/>
          <w:szCs w:val="24"/>
        </w:rPr>
        <w:t xml:space="preserve"> përfundoi me Deklaratën e Shkupit për qeverisjen e qëndrueshme të migracionit në Ballkanin Perëndimor</w:t>
      </w:r>
      <w:r w:rsidR="00BA4029" w:rsidRPr="00B457F5">
        <w:rPr>
          <w:rFonts w:ascii="Garamond" w:eastAsia="MS Mincho" w:hAnsi="Garamond" w:cs="Times New Roman"/>
          <w:szCs w:val="24"/>
        </w:rPr>
        <w:t xml:space="preserve">, </w:t>
      </w:r>
      <w:r w:rsidR="00FA211D" w:rsidRPr="00B457F5">
        <w:rPr>
          <w:rFonts w:ascii="Garamond" w:eastAsia="MS Mincho" w:hAnsi="Garamond" w:cs="Times New Roman"/>
          <w:szCs w:val="24"/>
        </w:rPr>
        <w:t>ku</w:t>
      </w:r>
      <w:r w:rsidRPr="00B457F5">
        <w:rPr>
          <w:rFonts w:ascii="Garamond" w:eastAsia="MS Mincho" w:hAnsi="Garamond" w:cs="Times New Roman"/>
          <w:szCs w:val="24"/>
        </w:rPr>
        <w:t xml:space="preserve"> </w:t>
      </w:r>
      <w:r w:rsidR="001A3BD2" w:rsidRPr="00B457F5">
        <w:rPr>
          <w:rFonts w:ascii="Garamond" w:eastAsia="MS Mincho" w:hAnsi="Garamond" w:cs="Times New Roman"/>
          <w:szCs w:val="24"/>
        </w:rPr>
        <w:t>m</w:t>
      </w:r>
      <w:r w:rsidRPr="00B457F5">
        <w:rPr>
          <w:rFonts w:ascii="Garamond" w:eastAsia="MS Mincho" w:hAnsi="Garamond" w:cs="Times New Roman"/>
          <w:szCs w:val="24"/>
        </w:rPr>
        <w:t xml:space="preserve">inistritë e gjashtë shteteve të rajonit u </w:t>
      </w:r>
      <w:r w:rsidR="00BA4029" w:rsidRPr="00B457F5">
        <w:rPr>
          <w:rFonts w:ascii="Garamond" w:eastAsia="MS Mincho" w:hAnsi="Garamond" w:cs="Times New Roman"/>
          <w:szCs w:val="24"/>
        </w:rPr>
        <w:t>zotuan</w:t>
      </w:r>
      <w:r w:rsidRPr="00B457F5">
        <w:rPr>
          <w:rFonts w:ascii="Garamond" w:eastAsia="MS Mincho" w:hAnsi="Garamond" w:cs="Times New Roman"/>
          <w:szCs w:val="24"/>
        </w:rPr>
        <w:t xml:space="preserve"> të </w:t>
      </w:r>
      <w:r w:rsidR="00A313AE" w:rsidRPr="00B457F5">
        <w:rPr>
          <w:rFonts w:ascii="Garamond" w:eastAsia="MS Mincho" w:hAnsi="Garamond" w:cs="Times New Roman"/>
          <w:szCs w:val="24"/>
        </w:rPr>
        <w:t>“</w:t>
      </w:r>
      <w:r w:rsidRPr="00B457F5">
        <w:rPr>
          <w:rFonts w:ascii="Garamond" w:eastAsia="MS Mincho" w:hAnsi="Garamond" w:cs="Times New Roman"/>
          <w:szCs w:val="24"/>
        </w:rPr>
        <w:t>angazhohen për të forcuar më tej bashkëpunimin për të trajtuar kontraband</w:t>
      </w:r>
      <w:r w:rsidR="00FA211D" w:rsidRPr="00B457F5">
        <w:rPr>
          <w:rFonts w:ascii="Garamond" w:eastAsia="MS Mincho" w:hAnsi="Garamond" w:cs="Times New Roman"/>
          <w:szCs w:val="24"/>
        </w:rPr>
        <w:t>i</w:t>
      </w:r>
      <w:r w:rsidR="00446E28" w:rsidRPr="00B457F5">
        <w:rPr>
          <w:rFonts w:ascii="Garamond" w:eastAsia="MS Mincho" w:hAnsi="Garamond" w:cs="Times New Roman"/>
          <w:szCs w:val="24"/>
        </w:rPr>
        <w:t>min</w:t>
      </w:r>
      <w:r w:rsidRPr="00B457F5">
        <w:rPr>
          <w:rFonts w:ascii="Garamond" w:eastAsia="MS Mincho" w:hAnsi="Garamond" w:cs="Times New Roman"/>
          <w:szCs w:val="24"/>
        </w:rPr>
        <w:t xml:space="preserve"> e migrantëve dhe trafikimin e qenieve njerëzore</w:t>
      </w:r>
      <w:r w:rsidR="00A313AE" w:rsidRPr="00B457F5">
        <w:rPr>
          <w:rFonts w:ascii="Garamond" w:eastAsia="MS Mincho" w:hAnsi="Garamond" w:cs="Times New Roman"/>
          <w:szCs w:val="24"/>
        </w:rPr>
        <w:t>”</w:t>
      </w:r>
      <w:r w:rsidRPr="00B457F5">
        <w:rPr>
          <w:rFonts w:ascii="Garamond" w:eastAsia="MS Mincho" w:hAnsi="Garamond" w:cs="Times New Roman"/>
          <w:szCs w:val="24"/>
        </w:rPr>
        <w:t xml:space="preserve">, </w:t>
      </w:r>
      <w:r w:rsidR="00A313AE" w:rsidRPr="00B457F5">
        <w:rPr>
          <w:rFonts w:ascii="Garamond" w:eastAsia="MS Mincho" w:hAnsi="Garamond" w:cs="Times New Roman"/>
          <w:szCs w:val="24"/>
        </w:rPr>
        <w:t>“</w:t>
      </w:r>
      <w:r w:rsidRPr="00B457F5">
        <w:rPr>
          <w:rFonts w:ascii="Garamond" w:eastAsia="MS Mincho" w:hAnsi="Garamond" w:cs="Times New Roman"/>
          <w:szCs w:val="24"/>
        </w:rPr>
        <w:t>të rrisin aksesin në rrugët ligjore për migrantët në situatë të zgjatur tranziti</w:t>
      </w:r>
      <w:r w:rsidR="00A313AE" w:rsidRPr="00B457F5">
        <w:rPr>
          <w:rFonts w:ascii="Garamond" w:eastAsia="MS Mincho" w:hAnsi="Garamond" w:cs="Times New Roman"/>
          <w:szCs w:val="24"/>
        </w:rPr>
        <w:t>”</w:t>
      </w:r>
      <w:r w:rsidRPr="00B457F5">
        <w:rPr>
          <w:rFonts w:ascii="Garamond" w:eastAsia="MS Mincho" w:hAnsi="Garamond" w:cs="Times New Roman"/>
          <w:szCs w:val="24"/>
        </w:rPr>
        <w:t xml:space="preserve">, si dhe </w:t>
      </w:r>
      <w:r w:rsidR="00A313AE" w:rsidRPr="00B457F5">
        <w:rPr>
          <w:rFonts w:ascii="Garamond" w:eastAsia="MS Mincho" w:hAnsi="Garamond" w:cs="Times New Roman"/>
          <w:szCs w:val="24"/>
        </w:rPr>
        <w:t>“</w:t>
      </w:r>
      <w:r w:rsidRPr="00B457F5">
        <w:rPr>
          <w:rFonts w:ascii="Garamond" w:eastAsia="MS Mincho" w:hAnsi="Garamond" w:cs="Times New Roman"/>
          <w:szCs w:val="24"/>
        </w:rPr>
        <w:t>të punojnë drejt një qasje</w:t>
      </w:r>
      <w:r w:rsidR="00446E28" w:rsidRPr="00B457F5">
        <w:rPr>
          <w:rFonts w:ascii="Garamond" w:eastAsia="MS Mincho" w:hAnsi="Garamond" w:cs="Times New Roman"/>
          <w:szCs w:val="24"/>
        </w:rPr>
        <w:t>je</w:t>
      </w:r>
      <w:r w:rsidRPr="00B457F5">
        <w:rPr>
          <w:rFonts w:ascii="Garamond" w:eastAsia="MS Mincho" w:hAnsi="Garamond" w:cs="Times New Roman"/>
          <w:szCs w:val="24"/>
        </w:rPr>
        <w:t xml:space="preserve"> gjithëpërfshirëse të menaxhimit të kthim</w:t>
      </w:r>
      <w:r w:rsidR="00BA4029" w:rsidRPr="00B457F5">
        <w:rPr>
          <w:rFonts w:ascii="Garamond" w:eastAsia="MS Mincho" w:hAnsi="Garamond" w:cs="Times New Roman"/>
          <w:szCs w:val="24"/>
        </w:rPr>
        <w:t>eve</w:t>
      </w:r>
      <w:r w:rsidR="00A313AE" w:rsidRPr="00B457F5">
        <w:rPr>
          <w:rFonts w:ascii="Garamond" w:eastAsia="MS Mincho" w:hAnsi="Garamond" w:cs="Times New Roman"/>
          <w:szCs w:val="24"/>
        </w:rPr>
        <w:t>”</w:t>
      </w:r>
      <w:r w:rsidR="00A619CA" w:rsidRPr="00B457F5">
        <w:rPr>
          <w:rFonts w:ascii="Garamond" w:eastAsia="MS Mincho" w:hAnsi="Garamond" w:cs="Times New Roman"/>
          <w:szCs w:val="24"/>
        </w:rPr>
        <w:t>.</w:t>
      </w:r>
      <w:r w:rsidR="00A619CA" w:rsidRPr="00B457F5">
        <w:rPr>
          <w:rFonts w:ascii="Garamond" w:eastAsia="MS Mincho" w:hAnsi="Garamond" w:cs="Times New Roman"/>
          <w:szCs w:val="24"/>
          <w:vertAlign w:val="superscript"/>
        </w:rPr>
        <w:footnoteReference w:id="58"/>
      </w:r>
      <w:r w:rsidR="0006016F" w:rsidRPr="00B457F5">
        <w:rPr>
          <w:rFonts w:ascii="Garamond" w:eastAsia="MS Mincho" w:hAnsi="Garamond" w:cs="Times New Roman"/>
          <w:szCs w:val="24"/>
        </w:rPr>
        <w:t xml:space="preserve"> </w:t>
      </w:r>
      <w:r w:rsidR="007A2651" w:rsidRPr="00B457F5">
        <w:rPr>
          <w:rFonts w:ascii="Garamond" w:eastAsia="MS Mincho" w:hAnsi="Garamond" w:cs="Times New Roman"/>
          <w:szCs w:val="24"/>
        </w:rPr>
        <w:t xml:space="preserve">Ndër veprimet specifike të theksuara në Deklaratën e Shkupit, disa mund të </w:t>
      </w:r>
      <w:r w:rsidR="00446E28" w:rsidRPr="00B457F5">
        <w:rPr>
          <w:rFonts w:ascii="Garamond" w:eastAsia="MS Mincho" w:hAnsi="Garamond" w:cs="Times New Roman"/>
          <w:szCs w:val="24"/>
        </w:rPr>
        <w:t>konsiderohen</w:t>
      </w:r>
      <w:r w:rsidR="007A2651" w:rsidRPr="00B457F5">
        <w:rPr>
          <w:rFonts w:ascii="Garamond" w:eastAsia="MS Mincho" w:hAnsi="Garamond" w:cs="Times New Roman"/>
          <w:szCs w:val="24"/>
        </w:rPr>
        <w:t xml:space="preserve"> si jetike në kontekstin e strategjisë së re të migracionit të Shqipërisë. Ministrat u zotuan të </w:t>
      </w:r>
      <w:r w:rsidR="00A313AE" w:rsidRPr="00B457F5">
        <w:rPr>
          <w:rFonts w:ascii="Garamond" w:eastAsia="MS Mincho" w:hAnsi="Garamond" w:cs="Times New Roman"/>
          <w:szCs w:val="24"/>
        </w:rPr>
        <w:t>“</w:t>
      </w:r>
      <w:r w:rsidR="007A2651" w:rsidRPr="00B457F5">
        <w:rPr>
          <w:rFonts w:ascii="Garamond" w:eastAsia="MS Mincho" w:hAnsi="Garamond" w:cs="Times New Roman"/>
          <w:szCs w:val="24"/>
        </w:rPr>
        <w:t>përmirësojnë praktikat e kthimit, ripranimit dhe riintegrimit nëpërmjet sistemeve dhe procedurave të bazuara në të drejta</w:t>
      </w:r>
      <w:r w:rsidR="00A313AE" w:rsidRPr="00B457F5">
        <w:rPr>
          <w:rFonts w:ascii="Garamond" w:eastAsia="MS Mincho" w:hAnsi="Garamond" w:cs="Times New Roman"/>
          <w:szCs w:val="24"/>
        </w:rPr>
        <w:t>”</w:t>
      </w:r>
      <w:r w:rsidR="007A2651" w:rsidRPr="00B457F5">
        <w:rPr>
          <w:rFonts w:ascii="Garamond" w:eastAsia="MS Mincho" w:hAnsi="Garamond" w:cs="Times New Roman"/>
          <w:szCs w:val="24"/>
        </w:rPr>
        <w:t xml:space="preserve">, </w:t>
      </w:r>
      <w:r w:rsidR="00A313AE" w:rsidRPr="00B457F5">
        <w:rPr>
          <w:rFonts w:ascii="Garamond" w:eastAsia="MS Mincho" w:hAnsi="Garamond" w:cs="Times New Roman"/>
          <w:szCs w:val="24"/>
        </w:rPr>
        <w:t>“</w:t>
      </w:r>
      <w:r w:rsidR="007A2651" w:rsidRPr="00B457F5">
        <w:rPr>
          <w:rFonts w:ascii="Garamond" w:eastAsia="MS Mincho" w:hAnsi="Garamond" w:cs="Times New Roman"/>
          <w:szCs w:val="24"/>
        </w:rPr>
        <w:t xml:space="preserve">të nxisin përfshirjen sociale dhe </w:t>
      </w:r>
      <w:r w:rsidR="00C55C73" w:rsidRPr="00B457F5">
        <w:rPr>
          <w:rFonts w:ascii="Garamond" w:eastAsia="MS Mincho" w:hAnsi="Garamond" w:cs="Times New Roman"/>
          <w:szCs w:val="24"/>
        </w:rPr>
        <w:t>integrimin individual,</w:t>
      </w:r>
      <w:r w:rsidR="007A2651" w:rsidRPr="00B457F5">
        <w:rPr>
          <w:rFonts w:ascii="Garamond" w:eastAsia="MS Mincho" w:hAnsi="Garamond" w:cs="Times New Roman"/>
          <w:szCs w:val="24"/>
        </w:rPr>
        <w:t xml:space="preserve"> për të mbrojtur grupet më </w:t>
      </w:r>
      <w:r w:rsidR="00F1624C" w:rsidRPr="00B457F5">
        <w:rPr>
          <w:rFonts w:ascii="Garamond" w:eastAsia="MS Mincho" w:hAnsi="Garamond" w:cs="Times New Roman"/>
          <w:szCs w:val="24"/>
        </w:rPr>
        <w:t>të cenueshme</w:t>
      </w:r>
      <w:r w:rsidR="00A313AE" w:rsidRPr="00B457F5">
        <w:rPr>
          <w:rFonts w:ascii="Garamond" w:eastAsia="MS Mincho" w:hAnsi="Garamond" w:cs="Times New Roman"/>
          <w:szCs w:val="24"/>
        </w:rPr>
        <w:t>”</w:t>
      </w:r>
      <w:r w:rsidR="007A2651" w:rsidRPr="00B457F5">
        <w:rPr>
          <w:rFonts w:ascii="Garamond" w:eastAsia="MS Mincho" w:hAnsi="Garamond" w:cs="Times New Roman"/>
          <w:szCs w:val="24"/>
        </w:rPr>
        <w:t xml:space="preserve"> dhe </w:t>
      </w:r>
      <w:r w:rsidR="00A313AE" w:rsidRPr="00B457F5">
        <w:rPr>
          <w:rFonts w:ascii="Garamond" w:eastAsia="MS Mincho" w:hAnsi="Garamond" w:cs="Times New Roman"/>
          <w:szCs w:val="24"/>
        </w:rPr>
        <w:t>“</w:t>
      </w:r>
      <w:r w:rsidR="007A2651" w:rsidRPr="00B457F5">
        <w:rPr>
          <w:rFonts w:ascii="Garamond" w:eastAsia="MS Mincho" w:hAnsi="Garamond" w:cs="Times New Roman"/>
          <w:szCs w:val="24"/>
        </w:rPr>
        <w:t xml:space="preserve">të promovojnë rrugët për të </w:t>
      </w:r>
      <w:r w:rsidR="00B42A15" w:rsidRPr="00B457F5">
        <w:rPr>
          <w:rFonts w:ascii="Garamond" w:eastAsia="MS Mincho" w:hAnsi="Garamond" w:cs="Times New Roman"/>
          <w:szCs w:val="24"/>
        </w:rPr>
        <w:t>p</w:t>
      </w:r>
      <w:r w:rsidR="00B0743F" w:rsidRPr="00B457F5">
        <w:rPr>
          <w:rFonts w:ascii="Garamond" w:eastAsia="MS Mincho" w:hAnsi="Garamond" w:cs="Times New Roman"/>
          <w:szCs w:val="24"/>
        </w:rPr>
        <w:t>ë</w:t>
      </w:r>
      <w:r w:rsidR="00B42A15" w:rsidRPr="00B457F5">
        <w:rPr>
          <w:rFonts w:ascii="Garamond" w:eastAsia="MS Mincho" w:hAnsi="Garamond" w:cs="Times New Roman"/>
          <w:szCs w:val="24"/>
        </w:rPr>
        <w:t>rdorur</w:t>
      </w:r>
      <w:r w:rsidR="007A2651" w:rsidRPr="00B457F5">
        <w:rPr>
          <w:rFonts w:ascii="Garamond" w:eastAsia="MS Mincho" w:hAnsi="Garamond" w:cs="Times New Roman"/>
          <w:szCs w:val="24"/>
        </w:rPr>
        <w:t xml:space="preserve"> </w:t>
      </w:r>
      <w:r w:rsidR="00F1624C" w:rsidRPr="00B457F5">
        <w:rPr>
          <w:rFonts w:ascii="Garamond" w:eastAsia="MS Mincho" w:hAnsi="Garamond" w:cs="Times New Roman"/>
          <w:szCs w:val="24"/>
        </w:rPr>
        <w:t>përfitimet që sjell</w:t>
      </w:r>
      <w:r w:rsidR="007A2651" w:rsidRPr="00B457F5">
        <w:rPr>
          <w:rFonts w:ascii="Garamond" w:eastAsia="MS Mincho" w:hAnsi="Garamond" w:cs="Times New Roman"/>
          <w:szCs w:val="24"/>
        </w:rPr>
        <w:t xml:space="preserve"> migracioni për zhvillim</w:t>
      </w:r>
      <w:r w:rsidR="00B42A15" w:rsidRPr="00B457F5">
        <w:rPr>
          <w:rFonts w:ascii="Garamond" w:eastAsia="MS Mincho" w:hAnsi="Garamond" w:cs="Times New Roman"/>
          <w:szCs w:val="24"/>
        </w:rPr>
        <w:t>in</w:t>
      </w:r>
      <w:r w:rsidR="007A2651" w:rsidRPr="00B457F5">
        <w:rPr>
          <w:rFonts w:ascii="Garamond" w:eastAsia="MS Mincho" w:hAnsi="Garamond" w:cs="Times New Roman"/>
          <w:szCs w:val="24"/>
        </w:rPr>
        <w:t xml:space="preserve"> </w:t>
      </w:r>
      <w:r w:rsidR="00B42A15" w:rsidRPr="00B457F5">
        <w:rPr>
          <w:rFonts w:ascii="Garamond" w:eastAsia="MS Mincho" w:hAnsi="Garamond" w:cs="Times New Roman"/>
          <w:szCs w:val="24"/>
        </w:rPr>
        <w:t>e</w:t>
      </w:r>
      <w:r w:rsidR="007A2651" w:rsidRPr="00B457F5">
        <w:rPr>
          <w:rFonts w:ascii="Garamond" w:eastAsia="MS Mincho" w:hAnsi="Garamond" w:cs="Times New Roman"/>
          <w:szCs w:val="24"/>
        </w:rPr>
        <w:t xml:space="preserve"> nënrajonit</w:t>
      </w:r>
      <w:r w:rsidR="00A313AE" w:rsidRPr="00B457F5">
        <w:rPr>
          <w:rFonts w:ascii="Garamond" w:eastAsia="MS Mincho" w:hAnsi="Garamond" w:cs="Times New Roman"/>
          <w:szCs w:val="24"/>
        </w:rPr>
        <w:t>”</w:t>
      </w:r>
      <w:r w:rsidR="00A619CA" w:rsidRPr="00B457F5">
        <w:rPr>
          <w:rFonts w:ascii="Garamond" w:eastAsia="MS Mincho" w:hAnsi="Garamond" w:cs="Times New Roman"/>
          <w:szCs w:val="24"/>
        </w:rPr>
        <w:t>.</w:t>
      </w:r>
      <w:r w:rsidR="00A619CA" w:rsidRPr="00B457F5">
        <w:rPr>
          <w:rFonts w:ascii="Garamond" w:eastAsia="MS Mincho" w:hAnsi="Garamond" w:cs="Times New Roman"/>
          <w:szCs w:val="24"/>
          <w:vertAlign w:val="superscript"/>
        </w:rPr>
        <w:footnoteReference w:id="59"/>
      </w:r>
      <w:r w:rsidR="00A619CA" w:rsidRPr="00B457F5">
        <w:rPr>
          <w:rFonts w:ascii="Garamond" w:eastAsia="MS Mincho" w:hAnsi="Garamond" w:cs="Times New Roman"/>
          <w:szCs w:val="24"/>
        </w:rPr>
        <w:t xml:space="preserve"> </w:t>
      </w:r>
    </w:p>
    <w:p w14:paraId="657379FB" w14:textId="0139C47A" w:rsidR="00A619CA" w:rsidRPr="00B457F5" w:rsidRDefault="00197A4C"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Angazhimet e Shkupit u pasuan nga një Plan Veprimi më specifik për Qeverisjen e Qëndrueshme të Migracionit në Ballkanin Perëndimor 2023</w:t>
      </w:r>
      <w:r w:rsidR="004D6364" w:rsidRPr="00B457F5">
        <w:rPr>
          <w:rStyle w:val="contentpasted1"/>
          <w:rFonts w:ascii="Garamond" w:hAnsi="Garamond" w:cs="Times New Roman"/>
          <w:color w:val="000000"/>
        </w:rPr>
        <w:t>–</w:t>
      </w:r>
      <w:r w:rsidRPr="00B457F5">
        <w:rPr>
          <w:rFonts w:ascii="Garamond" w:eastAsia="MS Mincho" w:hAnsi="Garamond" w:cs="Times New Roman"/>
          <w:szCs w:val="24"/>
        </w:rPr>
        <w:t xml:space="preserve">2025, i </w:t>
      </w:r>
      <w:r w:rsidR="00DC3924" w:rsidRPr="00B457F5">
        <w:rPr>
          <w:rFonts w:ascii="Garamond" w:eastAsia="MS Mincho" w:hAnsi="Garamond" w:cs="Times New Roman"/>
          <w:szCs w:val="24"/>
        </w:rPr>
        <w:t>miratuar</w:t>
      </w:r>
      <w:r w:rsidRPr="00B457F5">
        <w:rPr>
          <w:rFonts w:ascii="Garamond" w:eastAsia="MS Mincho" w:hAnsi="Garamond" w:cs="Times New Roman"/>
          <w:szCs w:val="24"/>
        </w:rPr>
        <w:t xml:space="preserve"> gjatë </w:t>
      </w:r>
      <w:r w:rsidRPr="00B457F5">
        <w:rPr>
          <w:rFonts w:ascii="Garamond" w:eastAsia="MS Mincho" w:hAnsi="Garamond" w:cs="Times New Roman"/>
          <w:bCs/>
          <w:iCs/>
          <w:szCs w:val="24"/>
        </w:rPr>
        <w:t xml:space="preserve">Dialogut të </w:t>
      </w:r>
      <w:r w:rsidR="001A3BD2" w:rsidRPr="00B457F5">
        <w:rPr>
          <w:rFonts w:ascii="Garamond" w:eastAsia="MS Mincho" w:hAnsi="Garamond" w:cs="Times New Roman"/>
          <w:bCs/>
          <w:iCs/>
          <w:szCs w:val="24"/>
        </w:rPr>
        <w:t xml:space="preserve">Tretë </w:t>
      </w:r>
      <w:r w:rsidRPr="00B457F5">
        <w:rPr>
          <w:rFonts w:ascii="Garamond" w:eastAsia="MS Mincho" w:hAnsi="Garamond" w:cs="Times New Roman"/>
          <w:bCs/>
          <w:iCs/>
          <w:szCs w:val="24"/>
        </w:rPr>
        <w:t>të Migracionit në Sarajevë</w:t>
      </w:r>
      <w:r w:rsidR="001A3BD2" w:rsidRPr="00B457F5">
        <w:rPr>
          <w:rFonts w:ascii="Garamond" w:eastAsia="MS Mincho" w:hAnsi="Garamond" w:cs="Times New Roman"/>
          <w:bCs/>
          <w:iCs/>
          <w:szCs w:val="24"/>
        </w:rPr>
        <w:t>,</w:t>
      </w:r>
      <w:r w:rsidRPr="00B457F5">
        <w:rPr>
          <w:rFonts w:ascii="Garamond" w:eastAsia="MS Mincho" w:hAnsi="Garamond" w:cs="Times New Roman"/>
          <w:bCs/>
          <w:iCs/>
          <w:szCs w:val="24"/>
        </w:rPr>
        <w:t xml:space="preserve"> </w:t>
      </w:r>
      <w:r w:rsidRPr="00B457F5">
        <w:rPr>
          <w:rFonts w:ascii="Garamond" w:eastAsia="MS Mincho" w:hAnsi="Garamond" w:cs="Times New Roman"/>
          <w:szCs w:val="24"/>
        </w:rPr>
        <w:t xml:space="preserve">në qershor 2023. Plani i Veprimit përfshin 21 veprime specifike, të cilat i sjellin zotimet </w:t>
      </w:r>
      <w:r w:rsidRPr="00B457F5">
        <w:rPr>
          <w:rFonts w:ascii="Garamond" w:eastAsia="MS Mincho" w:hAnsi="Garamond" w:cs="Times New Roman"/>
          <w:szCs w:val="24"/>
        </w:rPr>
        <w:lastRenderedPageBreak/>
        <w:t>në përputhje me objektivat e GCM</w:t>
      </w:r>
      <w:r w:rsidR="001A3BD2" w:rsidRPr="00B457F5">
        <w:rPr>
          <w:rFonts w:ascii="Garamond" w:eastAsia="MS Mincho" w:hAnsi="Garamond" w:cs="Times New Roman"/>
          <w:szCs w:val="24"/>
        </w:rPr>
        <w:t>-së</w:t>
      </w:r>
      <w:r w:rsidRPr="00B457F5">
        <w:rPr>
          <w:rFonts w:ascii="Garamond" w:eastAsia="MS Mincho" w:hAnsi="Garamond" w:cs="Times New Roman"/>
          <w:szCs w:val="24"/>
        </w:rPr>
        <w:t xml:space="preserve"> dhe plotësojnë prioritetet e anëtarësimit në BE, të shprehura në strategji dhe plane veprimi të ndryshme në Ballkanin Perëndimor. </w:t>
      </w:r>
      <w:r w:rsidR="00DC3924" w:rsidRPr="00B457F5">
        <w:rPr>
          <w:rFonts w:ascii="Garamond" w:eastAsia="MS Mincho" w:hAnsi="Garamond" w:cs="Times New Roman"/>
          <w:szCs w:val="24"/>
        </w:rPr>
        <w:t>Më konkretisht</w:t>
      </w:r>
      <w:r w:rsidR="006D62BA" w:rsidRPr="00B457F5">
        <w:rPr>
          <w:rFonts w:ascii="Garamond" w:eastAsia="MS Mincho" w:hAnsi="Garamond" w:cs="Times New Roman"/>
          <w:szCs w:val="24"/>
        </w:rPr>
        <w:t xml:space="preserve">, </w:t>
      </w:r>
      <w:r w:rsidR="00164C66" w:rsidRPr="00B457F5">
        <w:rPr>
          <w:rFonts w:ascii="Garamond" w:eastAsia="MS Mincho" w:hAnsi="Garamond" w:cs="Times New Roman"/>
          <w:szCs w:val="24"/>
        </w:rPr>
        <w:t>v</w:t>
      </w:r>
      <w:r w:rsidR="006D62BA" w:rsidRPr="00B457F5">
        <w:rPr>
          <w:rFonts w:ascii="Garamond" w:eastAsia="MS Mincho" w:hAnsi="Garamond" w:cs="Times New Roman"/>
          <w:szCs w:val="24"/>
        </w:rPr>
        <w:t xml:space="preserve">eprimet 1 dhe 2 </w:t>
      </w:r>
      <w:r w:rsidR="00DC3924" w:rsidRPr="00B457F5">
        <w:rPr>
          <w:rFonts w:ascii="Garamond" w:eastAsia="MS Mincho" w:hAnsi="Garamond" w:cs="Times New Roman"/>
          <w:szCs w:val="24"/>
        </w:rPr>
        <w:t>përqendrohen te</w:t>
      </w:r>
      <w:r w:rsidR="006D62BA" w:rsidRPr="00B457F5">
        <w:rPr>
          <w:rFonts w:ascii="Garamond" w:eastAsia="MS Mincho" w:hAnsi="Garamond" w:cs="Times New Roman"/>
          <w:szCs w:val="24"/>
        </w:rPr>
        <w:t xml:space="preserve"> përdorimi</w:t>
      </w:r>
      <w:r w:rsidR="00DC3924" w:rsidRPr="00B457F5">
        <w:rPr>
          <w:rFonts w:ascii="Garamond" w:eastAsia="MS Mincho" w:hAnsi="Garamond" w:cs="Times New Roman"/>
          <w:szCs w:val="24"/>
        </w:rPr>
        <w:t xml:space="preserve"> i</w:t>
      </w:r>
      <w:r w:rsidR="006D62BA" w:rsidRPr="00B457F5">
        <w:rPr>
          <w:rFonts w:ascii="Garamond" w:eastAsia="MS Mincho" w:hAnsi="Garamond" w:cs="Times New Roman"/>
          <w:szCs w:val="24"/>
        </w:rPr>
        <w:t xml:space="preserve"> të dhënave dhe mjeteve di</w:t>
      </w:r>
      <w:r w:rsidR="00DC3924" w:rsidRPr="00B457F5">
        <w:rPr>
          <w:rFonts w:ascii="Garamond" w:eastAsia="MS Mincho" w:hAnsi="Garamond" w:cs="Times New Roman"/>
          <w:szCs w:val="24"/>
        </w:rPr>
        <w:t>gj</w:t>
      </w:r>
      <w:r w:rsidR="006D62BA" w:rsidRPr="00B457F5">
        <w:rPr>
          <w:rFonts w:ascii="Garamond" w:eastAsia="MS Mincho" w:hAnsi="Garamond" w:cs="Times New Roman"/>
          <w:szCs w:val="24"/>
        </w:rPr>
        <w:t xml:space="preserve">itale për analizën e rrezikut, shqyrtimin dhe zbulimin e kontrabandës së migrantëve dhe trafikimit të qenieve njerëzore. Veprimi 3 thekson përdorimin e </w:t>
      </w:r>
      <w:r w:rsidR="00A313AE" w:rsidRPr="00B457F5">
        <w:rPr>
          <w:rFonts w:ascii="Garamond" w:eastAsia="MS Mincho" w:hAnsi="Garamond" w:cs="Times New Roman"/>
          <w:szCs w:val="24"/>
        </w:rPr>
        <w:t>“</w:t>
      </w:r>
      <w:r w:rsidR="006D62BA" w:rsidRPr="00B457F5">
        <w:rPr>
          <w:rFonts w:ascii="Garamond" w:eastAsia="MS Mincho" w:hAnsi="Garamond" w:cs="Times New Roman"/>
          <w:szCs w:val="24"/>
        </w:rPr>
        <w:t>qasjeve të bazuara në të drejta, të përqendruara te viktima dhe të ndjeshme gjin</w:t>
      </w:r>
      <w:r w:rsidR="00BB4DC0" w:rsidRPr="00B457F5">
        <w:rPr>
          <w:rFonts w:ascii="Garamond" w:eastAsia="MS Mincho" w:hAnsi="Garamond" w:cs="Times New Roman"/>
          <w:szCs w:val="24"/>
        </w:rPr>
        <w:t>ore</w:t>
      </w:r>
      <w:r w:rsidR="00A313AE" w:rsidRPr="00B457F5">
        <w:rPr>
          <w:rFonts w:ascii="Garamond" w:eastAsia="MS Mincho" w:hAnsi="Garamond" w:cs="Times New Roman"/>
          <w:szCs w:val="24"/>
        </w:rPr>
        <w:t>”</w:t>
      </w:r>
      <w:r w:rsidR="006D62BA" w:rsidRPr="00B457F5">
        <w:rPr>
          <w:rFonts w:ascii="Garamond" w:eastAsia="MS Mincho" w:hAnsi="Garamond" w:cs="Times New Roman"/>
          <w:szCs w:val="24"/>
        </w:rPr>
        <w:t xml:space="preserve"> për zbulimin dhe hetimin. Përdorimi i të dhënave aktuale dhe gjithëpërfshirëse është përkrahur gjithashtu për përcaktimin e </w:t>
      </w:r>
      <w:r w:rsidR="00A313AE" w:rsidRPr="00B457F5">
        <w:rPr>
          <w:rFonts w:ascii="Garamond" w:eastAsia="MS Mincho" w:hAnsi="Garamond" w:cs="Times New Roman"/>
          <w:szCs w:val="24"/>
        </w:rPr>
        <w:t>“</w:t>
      </w:r>
      <w:r w:rsidR="006D62BA" w:rsidRPr="00B457F5">
        <w:rPr>
          <w:rFonts w:ascii="Garamond" w:eastAsia="MS Mincho" w:hAnsi="Garamond" w:cs="Times New Roman"/>
          <w:szCs w:val="24"/>
        </w:rPr>
        <w:t xml:space="preserve">masave për tërheqjen dhe mbajtjen e </w:t>
      </w:r>
      <w:r w:rsidR="00BB4DC0" w:rsidRPr="00B457F5">
        <w:rPr>
          <w:rFonts w:ascii="Garamond" w:eastAsia="MS Mincho" w:hAnsi="Garamond" w:cs="Times New Roman"/>
          <w:szCs w:val="24"/>
        </w:rPr>
        <w:t>punonjësve</w:t>
      </w:r>
      <w:r w:rsidR="00A313AE" w:rsidRPr="00B457F5">
        <w:rPr>
          <w:rFonts w:ascii="Garamond" w:eastAsia="MS Mincho" w:hAnsi="Garamond" w:cs="Times New Roman"/>
          <w:szCs w:val="24"/>
        </w:rPr>
        <w:t>”</w:t>
      </w:r>
      <w:r w:rsidR="006D62BA" w:rsidRPr="00B457F5">
        <w:rPr>
          <w:rFonts w:ascii="Garamond" w:eastAsia="MS Mincho" w:hAnsi="Garamond" w:cs="Times New Roman"/>
          <w:szCs w:val="24"/>
        </w:rPr>
        <w:t xml:space="preserve"> (</w:t>
      </w:r>
      <w:r w:rsidR="001A3BD2" w:rsidRPr="00B457F5">
        <w:rPr>
          <w:rFonts w:ascii="Garamond" w:eastAsia="MS Mincho" w:hAnsi="Garamond" w:cs="Times New Roman"/>
          <w:szCs w:val="24"/>
        </w:rPr>
        <w:t>v</w:t>
      </w:r>
      <w:r w:rsidR="006D62BA" w:rsidRPr="00B457F5">
        <w:rPr>
          <w:rFonts w:ascii="Garamond" w:eastAsia="MS Mincho" w:hAnsi="Garamond" w:cs="Times New Roman"/>
          <w:szCs w:val="24"/>
        </w:rPr>
        <w:t>eprimi 7). Plani i Veprimit u ka bërë gjithashtu thirrje shteteve të Ballkanit Perëndimor që të lehtësojnë rekrutimin dhe punësimin e emigrantëve</w:t>
      </w:r>
      <w:r w:rsidR="001A3BD2" w:rsidRPr="00B457F5">
        <w:rPr>
          <w:rFonts w:ascii="Garamond" w:eastAsia="MS Mincho" w:hAnsi="Garamond" w:cs="Times New Roman"/>
          <w:szCs w:val="24"/>
        </w:rPr>
        <w:t>,</w:t>
      </w:r>
      <w:r w:rsidR="006D62BA" w:rsidRPr="00B457F5">
        <w:rPr>
          <w:rFonts w:ascii="Garamond" w:eastAsia="MS Mincho" w:hAnsi="Garamond" w:cs="Times New Roman"/>
          <w:szCs w:val="24"/>
        </w:rPr>
        <w:t xml:space="preserve"> në mënyrë që të harmonizojnë legjislacionin kombëtar me </w:t>
      </w:r>
      <w:r w:rsidR="006D62BA" w:rsidRPr="00B457F5">
        <w:rPr>
          <w:rFonts w:ascii="Garamond" w:eastAsia="MS Mincho" w:hAnsi="Garamond" w:cs="Times New Roman"/>
          <w:i/>
          <w:iCs/>
          <w:szCs w:val="24"/>
        </w:rPr>
        <w:t>acquis</w:t>
      </w:r>
      <w:r w:rsidR="005966A4" w:rsidRPr="00B457F5">
        <w:rPr>
          <w:rFonts w:ascii="Garamond" w:eastAsia="MS Mincho" w:hAnsi="Garamond" w:cs="Times New Roman"/>
          <w:szCs w:val="24"/>
        </w:rPr>
        <w:t>-in</w:t>
      </w:r>
      <w:r w:rsidR="006D62BA" w:rsidRPr="00B457F5">
        <w:rPr>
          <w:rFonts w:ascii="Garamond" w:eastAsia="MS Mincho" w:hAnsi="Garamond" w:cs="Times New Roman"/>
          <w:szCs w:val="24"/>
        </w:rPr>
        <w:t xml:space="preserve"> </w:t>
      </w:r>
      <w:r w:rsidR="005966A4" w:rsidRPr="00B457F5">
        <w:rPr>
          <w:rFonts w:ascii="Garamond" w:eastAsia="MS Mincho" w:hAnsi="Garamond" w:cs="Times New Roman"/>
          <w:szCs w:val="24"/>
        </w:rPr>
        <w:t>e</w:t>
      </w:r>
      <w:r w:rsidR="006D62BA" w:rsidRPr="00B457F5">
        <w:rPr>
          <w:rFonts w:ascii="Garamond" w:eastAsia="MS Mincho" w:hAnsi="Garamond" w:cs="Times New Roman"/>
          <w:szCs w:val="24"/>
        </w:rPr>
        <w:t xml:space="preserve"> BE-së për migracionin e rregullt (</w:t>
      </w:r>
      <w:r w:rsidR="001A3BD2" w:rsidRPr="00B457F5">
        <w:rPr>
          <w:rFonts w:ascii="Garamond" w:eastAsia="MS Mincho" w:hAnsi="Garamond" w:cs="Times New Roman"/>
          <w:szCs w:val="24"/>
        </w:rPr>
        <w:t>v</w:t>
      </w:r>
      <w:r w:rsidR="006D62BA" w:rsidRPr="00B457F5">
        <w:rPr>
          <w:rFonts w:ascii="Garamond" w:eastAsia="MS Mincho" w:hAnsi="Garamond" w:cs="Times New Roman"/>
          <w:szCs w:val="24"/>
        </w:rPr>
        <w:t xml:space="preserve">eprimi 8). </w:t>
      </w:r>
      <w:r w:rsidR="001C1574" w:rsidRPr="00B457F5">
        <w:rPr>
          <w:rFonts w:ascii="Garamond" w:eastAsia="MS Mincho" w:hAnsi="Garamond" w:cs="Times New Roman"/>
          <w:szCs w:val="24"/>
        </w:rPr>
        <w:t xml:space="preserve">Është përkrahur një përdorim më i gjerë i shtigjeve të rregullta për kategoritë </w:t>
      </w:r>
      <w:r w:rsidR="005966A4" w:rsidRPr="00B457F5">
        <w:rPr>
          <w:rFonts w:ascii="Garamond" w:eastAsia="MS Mincho" w:hAnsi="Garamond" w:cs="Times New Roman"/>
          <w:szCs w:val="24"/>
        </w:rPr>
        <w:t>e cenueshme</w:t>
      </w:r>
      <w:r w:rsidR="001C1574" w:rsidRPr="00B457F5">
        <w:rPr>
          <w:rFonts w:ascii="Garamond" w:eastAsia="MS Mincho" w:hAnsi="Garamond" w:cs="Times New Roman"/>
          <w:szCs w:val="24"/>
        </w:rPr>
        <w:t>, duke përfshirë fëmijët e pashoqëruar dhe të ndarë (</w:t>
      </w:r>
      <w:r w:rsidR="001A3BD2" w:rsidRPr="00B457F5">
        <w:rPr>
          <w:rFonts w:ascii="Garamond" w:eastAsia="MS Mincho" w:hAnsi="Garamond" w:cs="Times New Roman"/>
          <w:szCs w:val="24"/>
        </w:rPr>
        <w:t>v</w:t>
      </w:r>
      <w:r w:rsidR="001C1574" w:rsidRPr="00B457F5">
        <w:rPr>
          <w:rFonts w:ascii="Garamond" w:eastAsia="MS Mincho" w:hAnsi="Garamond" w:cs="Times New Roman"/>
          <w:szCs w:val="24"/>
        </w:rPr>
        <w:t>eprimet 12 dhe 13). Një numër i konsiderueshëm veprimesh kanë të bëjnë me aftësinë e shteteve të Ballkanit Perëndimor për të menaxhuar kthimin, ripranimin dhe riintegrimin</w:t>
      </w:r>
      <w:r w:rsidR="00D81B98" w:rsidRPr="00B457F5">
        <w:rPr>
          <w:rFonts w:ascii="Garamond" w:eastAsia="MS Mincho" w:hAnsi="Garamond" w:cs="Times New Roman"/>
          <w:szCs w:val="24"/>
        </w:rPr>
        <w:t>. Disa shembuj janë:</w:t>
      </w:r>
      <w:r w:rsidR="001C1574" w:rsidRPr="00B457F5">
        <w:rPr>
          <w:rFonts w:ascii="Garamond" w:eastAsia="MS Mincho" w:hAnsi="Garamond" w:cs="Times New Roman"/>
          <w:szCs w:val="24"/>
        </w:rPr>
        <w:t xml:space="preserve"> ndërtimi i kornizave efektive administrative (</w:t>
      </w:r>
      <w:r w:rsidR="001A3BD2" w:rsidRPr="00B457F5">
        <w:rPr>
          <w:rFonts w:ascii="Garamond" w:eastAsia="MS Mincho" w:hAnsi="Garamond" w:cs="Times New Roman"/>
          <w:szCs w:val="24"/>
        </w:rPr>
        <w:t>a</w:t>
      </w:r>
      <w:r w:rsidR="001C1574" w:rsidRPr="00B457F5">
        <w:rPr>
          <w:rFonts w:ascii="Garamond" w:eastAsia="MS Mincho" w:hAnsi="Garamond" w:cs="Times New Roman"/>
          <w:szCs w:val="24"/>
        </w:rPr>
        <w:t>ksioni 15), përdorimi i zgjidhjeve di</w:t>
      </w:r>
      <w:r w:rsidR="004D6364" w:rsidRPr="00B457F5">
        <w:rPr>
          <w:rFonts w:ascii="Garamond" w:eastAsia="MS Mincho" w:hAnsi="Garamond" w:cs="Times New Roman"/>
          <w:szCs w:val="24"/>
        </w:rPr>
        <w:t>gj</w:t>
      </w:r>
      <w:r w:rsidR="001C1574" w:rsidRPr="00B457F5">
        <w:rPr>
          <w:rFonts w:ascii="Garamond" w:eastAsia="MS Mincho" w:hAnsi="Garamond" w:cs="Times New Roman"/>
          <w:szCs w:val="24"/>
        </w:rPr>
        <w:t>itale (</w:t>
      </w:r>
      <w:r w:rsidR="001A3BD2" w:rsidRPr="00B457F5">
        <w:rPr>
          <w:rFonts w:ascii="Garamond" w:eastAsia="MS Mincho" w:hAnsi="Garamond" w:cs="Times New Roman"/>
          <w:szCs w:val="24"/>
        </w:rPr>
        <w:t>a</w:t>
      </w:r>
      <w:r w:rsidR="001C1574" w:rsidRPr="00B457F5">
        <w:rPr>
          <w:rFonts w:ascii="Garamond" w:eastAsia="MS Mincho" w:hAnsi="Garamond" w:cs="Times New Roman"/>
          <w:szCs w:val="24"/>
        </w:rPr>
        <w:t>ksioni 17), bashkëpunimi me vendet e origjinës dhe tranzitit (</w:t>
      </w:r>
      <w:r w:rsidR="001A3BD2" w:rsidRPr="00B457F5">
        <w:rPr>
          <w:rFonts w:ascii="Garamond" w:eastAsia="MS Mincho" w:hAnsi="Garamond" w:cs="Times New Roman"/>
          <w:szCs w:val="24"/>
        </w:rPr>
        <w:t>v</w:t>
      </w:r>
      <w:r w:rsidR="001C1574" w:rsidRPr="00B457F5">
        <w:rPr>
          <w:rFonts w:ascii="Garamond" w:eastAsia="MS Mincho" w:hAnsi="Garamond" w:cs="Times New Roman"/>
          <w:szCs w:val="24"/>
        </w:rPr>
        <w:t>eprimi 19</w:t>
      </w:r>
      <w:r w:rsidR="00A619CA" w:rsidRPr="00B457F5">
        <w:rPr>
          <w:rFonts w:ascii="Garamond" w:eastAsia="MS Mincho" w:hAnsi="Garamond" w:cs="Times New Roman"/>
          <w:szCs w:val="24"/>
        </w:rPr>
        <w:t>).</w:t>
      </w:r>
      <w:r w:rsidR="00A619CA" w:rsidRPr="00B457F5">
        <w:rPr>
          <w:rFonts w:ascii="Garamond" w:eastAsia="MS Mincho" w:hAnsi="Garamond" w:cs="Times New Roman"/>
          <w:szCs w:val="24"/>
          <w:vertAlign w:val="superscript"/>
        </w:rPr>
        <w:footnoteReference w:id="60"/>
      </w:r>
    </w:p>
    <w:p w14:paraId="2CA3CA78" w14:textId="64CF0D06" w:rsidR="00883086" w:rsidRPr="00B457F5" w:rsidRDefault="005E3229" w:rsidP="002E693B">
      <w:pPr>
        <w:pStyle w:val="Heading1"/>
        <w:spacing w:before="0" w:after="0"/>
        <w:ind w:left="0" w:firstLine="284"/>
        <w:rPr>
          <w:rFonts w:ascii="Garamond" w:hAnsi="Garamond" w:cs="Times New Roman"/>
          <w:color w:val="auto"/>
          <w:sz w:val="24"/>
          <w:szCs w:val="24"/>
          <w:lang w:eastAsia="fr-RE"/>
        </w:rPr>
      </w:pPr>
      <w:bookmarkStart w:id="37" w:name="_Toc148097437"/>
      <w:bookmarkStart w:id="38" w:name="_Toc155620725"/>
      <w:r w:rsidRPr="00B457F5">
        <w:rPr>
          <w:rFonts w:ascii="Garamond" w:hAnsi="Garamond" w:cs="Times New Roman"/>
          <w:color w:val="auto"/>
          <w:sz w:val="24"/>
          <w:szCs w:val="24"/>
          <w:lang w:eastAsia="fr-RE"/>
        </w:rPr>
        <w:t>Mësimet</w:t>
      </w:r>
      <w:bookmarkEnd w:id="37"/>
      <w:r w:rsidRPr="00B457F5">
        <w:rPr>
          <w:rFonts w:ascii="Garamond" w:hAnsi="Garamond" w:cs="Times New Roman"/>
          <w:color w:val="auto"/>
          <w:sz w:val="24"/>
          <w:szCs w:val="24"/>
          <w:lang w:eastAsia="fr-RE"/>
        </w:rPr>
        <w:t xml:space="preserve"> e </w:t>
      </w:r>
      <w:r w:rsidR="001A3BD2" w:rsidRPr="00B457F5">
        <w:rPr>
          <w:rFonts w:ascii="Garamond" w:hAnsi="Garamond" w:cs="Times New Roman"/>
          <w:color w:val="auto"/>
          <w:sz w:val="24"/>
          <w:szCs w:val="24"/>
          <w:lang w:eastAsia="fr-RE"/>
        </w:rPr>
        <w:t>n</w:t>
      </w:r>
      <w:r w:rsidRPr="00B457F5">
        <w:rPr>
          <w:rFonts w:ascii="Garamond" w:hAnsi="Garamond" w:cs="Times New Roman"/>
          <w:color w:val="auto"/>
          <w:sz w:val="24"/>
          <w:szCs w:val="24"/>
          <w:lang w:eastAsia="fr-RE"/>
        </w:rPr>
        <w:t>xjerra</w:t>
      </w:r>
      <w:bookmarkEnd w:id="38"/>
    </w:p>
    <w:p w14:paraId="3120306A" w14:textId="2D02A2EE" w:rsidR="00795368" w:rsidRPr="00B457F5" w:rsidRDefault="00795368"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Struktura dhe fokusi i </w:t>
      </w:r>
      <w:r w:rsidR="001A3BD2" w:rsidRPr="00B457F5">
        <w:rPr>
          <w:rFonts w:ascii="Garamond" w:eastAsia="MS Mincho" w:hAnsi="Garamond" w:cs="Times New Roman"/>
          <w:szCs w:val="24"/>
        </w:rPr>
        <w:t>s</w:t>
      </w:r>
      <w:r w:rsidRPr="00B457F5">
        <w:rPr>
          <w:rFonts w:ascii="Garamond" w:eastAsia="MS Mincho" w:hAnsi="Garamond" w:cs="Times New Roman"/>
          <w:szCs w:val="24"/>
        </w:rPr>
        <w:t xml:space="preserve">trategjisë së re pasqyrojnë vetëvlerësimin e palëve të </w:t>
      </w:r>
      <w:r w:rsidR="00805E30" w:rsidRPr="00B457F5">
        <w:rPr>
          <w:rFonts w:ascii="Garamond" w:eastAsia="MS Mincho" w:hAnsi="Garamond" w:cs="Times New Roman"/>
          <w:szCs w:val="24"/>
        </w:rPr>
        <w:t>interesit në vend</w:t>
      </w:r>
      <w:r w:rsidRPr="00B457F5">
        <w:rPr>
          <w:rFonts w:ascii="Garamond" w:eastAsia="MS Mincho" w:hAnsi="Garamond" w:cs="Times New Roman"/>
          <w:szCs w:val="24"/>
        </w:rPr>
        <w:t xml:space="preserve"> për nevoj</w:t>
      </w:r>
      <w:r w:rsidR="00B23F15" w:rsidRPr="00B457F5">
        <w:rPr>
          <w:rFonts w:ascii="Garamond" w:eastAsia="MS Mincho" w:hAnsi="Garamond" w:cs="Times New Roman"/>
          <w:szCs w:val="24"/>
        </w:rPr>
        <w:t>ën</w:t>
      </w:r>
      <w:r w:rsidRPr="00B457F5">
        <w:rPr>
          <w:rFonts w:ascii="Garamond" w:eastAsia="MS Mincho" w:hAnsi="Garamond" w:cs="Times New Roman"/>
          <w:szCs w:val="24"/>
        </w:rPr>
        <w:t xml:space="preserve"> e vazhdueshme për progres në drejtim të qeverisjes, tendencat në ndryshim të migracionit dhe lidhjet me kornizat e tjera strategjike.</w:t>
      </w:r>
    </w:p>
    <w:p w14:paraId="1DFB009F" w14:textId="4335E7A8" w:rsidR="00A619CA" w:rsidRPr="00B457F5" w:rsidRDefault="00795368" w:rsidP="002E693B">
      <w:pPr>
        <w:spacing w:before="0" w:after="0"/>
        <w:ind w:firstLine="284"/>
        <w:rPr>
          <w:rFonts w:ascii="Garamond" w:eastAsia="MS Mincho" w:hAnsi="Garamond" w:cs="Times New Roman"/>
          <w:b/>
          <w:iCs/>
          <w:szCs w:val="24"/>
        </w:rPr>
      </w:pPr>
      <w:r w:rsidRPr="00B457F5">
        <w:rPr>
          <w:rFonts w:ascii="Garamond" w:eastAsia="MS Mincho" w:hAnsi="Garamond" w:cs="Times New Roman"/>
          <w:b/>
          <w:bCs/>
          <w:iCs/>
          <w:szCs w:val="24"/>
        </w:rPr>
        <w:t xml:space="preserve">Qeverisja </w:t>
      </w:r>
      <w:r w:rsidR="001A3BD2" w:rsidRPr="00B457F5">
        <w:rPr>
          <w:rFonts w:ascii="Garamond" w:eastAsia="MS Mincho" w:hAnsi="Garamond" w:cs="Times New Roman"/>
          <w:b/>
          <w:bCs/>
          <w:iCs/>
          <w:szCs w:val="24"/>
        </w:rPr>
        <w:t>strategjike e m</w:t>
      </w:r>
      <w:r w:rsidRPr="00B457F5">
        <w:rPr>
          <w:rFonts w:ascii="Garamond" w:eastAsia="MS Mincho" w:hAnsi="Garamond" w:cs="Times New Roman"/>
          <w:b/>
          <w:bCs/>
          <w:iCs/>
          <w:szCs w:val="24"/>
        </w:rPr>
        <w:t>igracionit</w:t>
      </w:r>
    </w:p>
    <w:p w14:paraId="6FA69146" w14:textId="0604F94B" w:rsidR="00B000B2" w:rsidRPr="00B457F5" w:rsidRDefault="00B000B2"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Objektivi i politikës për </w:t>
      </w:r>
      <w:r w:rsidRPr="00B457F5">
        <w:rPr>
          <w:rFonts w:ascii="Garamond" w:eastAsia="MS Mincho" w:hAnsi="Garamond" w:cs="Times New Roman"/>
          <w:i/>
          <w:iCs/>
          <w:szCs w:val="24"/>
        </w:rPr>
        <w:t>garantimin e qeverisjes strategjike</w:t>
      </w:r>
      <w:r w:rsidRPr="00B457F5">
        <w:rPr>
          <w:rFonts w:ascii="Garamond" w:eastAsia="MS Mincho" w:hAnsi="Garamond" w:cs="Times New Roman"/>
          <w:szCs w:val="24"/>
        </w:rPr>
        <w:t xml:space="preserve"> të migracionit në Shqipëri ka qenë në thelb të SKM</w:t>
      </w:r>
      <w:r w:rsidR="00B23F15" w:rsidRPr="00B457F5">
        <w:rPr>
          <w:rFonts w:ascii="Garamond" w:eastAsia="MS Mincho" w:hAnsi="Garamond" w:cs="Times New Roman"/>
          <w:szCs w:val="24"/>
        </w:rPr>
        <w:t>-së</w:t>
      </w:r>
      <w:r w:rsidRPr="00B457F5">
        <w:rPr>
          <w:rFonts w:ascii="Garamond" w:eastAsia="MS Mincho" w:hAnsi="Garamond" w:cs="Times New Roman"/>
          <w:szCs w:val="24"/>
        </w:rPr>
        <w:t xml:space="preserve"> dhe PV</w:t>
      </w:r>
      <w:r w:rsidR="00B23F15" w:rsidRPr="00B457F5">
        <w:rPr>
          <w:rFonts w:ascii="Garamond" w:eastAsia="MS Mincho" w:hAnsi="Garamond" w:cs="Times New Roman"/>
          <w:szCs w:val="24"/>
        </w:rPr>
        <w:t>-së</w:t>
      </w:r>
      <w:r w:rsidRPr="00B457F5">
        <w:rPr>
          <w:rFonts w:ascii="Garamond" w:eastAsia="MS Mincho" w:hAnsi="Garamond" w:cs="Times New Roman"/>
          <w:szCs w:val="24"/>
        </w:rPr>
        <w:t xml:space="preserve"> 2019</w:t>
      </w:r>
      <w:r w:rsidR="004D6364" w:rsidRPr="00B457F5">
        <w:rPr>
          <w:rStyle w:val="contentpasted1"/>
          <w:rFonts w:ascii="Garamond" w:hAnsi="Garamond" w:cs="Times New Roman"/>
          <w:color w:val="000000"/>
        </w:rPr>
        <w:t>–</w:t>
      </w:r>
      <w:r w:rsidRPr="00B457F5">
        <w:rPr>
          <w:rFonts w:ascii="Garamond" w:eastAsia="MS Mincho" w:hAnsi="Garamond" w:cs="Times New Roman"/>
          <w:szCs w:val="24"/>
        </w:rPr>
        <w:t>2022</w:t>
      </w:r>
      <w:r w:rsidR="001A3BD2" w:rsidRPr="00B457F5">
        <w:rPr>
          <w:rFonts w:ascii="Garamond" w:eastAsia="MS Mincho" w:hAnsi="Garamond" w:cs="Times New Roman"/>
          <w:szCs w:val="24"/>
        </w:rPr>
        <w:t>,</w:t>
      </w:r>
      <w:r w:rsidRPr="00B457F5">
        <w:rPr>
          <w:rFonts w:ascii="Garamond" w:eastAsia="MS Mincho" w:hAnsi="Garamond" w:cs="Times New Roman"/>
          <w:szCs w:val="24"/>
        </w:rPr>
        <w:t xml:space="preserve"> </w:t>
      </w:r>
      <w:r w:rsidR="00B23F15" w:rsidRPr="00B457F5">
        <w:rPr>
          <w:rFonts w:ascii="Garamond" w:eastAsia="MS Mincho" w:hAnsi="Garamond" w:cs="Times New Roman"/>
          <w:szCs w:val="24"/>
        </w:rPr>
        <w:t xml:space="preserve">duke </w:t>
      </w:r>
      <w:r w:rsidR="004D6364" w:rsidRPr="00B457F5">
        <w:rPr>
          <w:rFonts w:ascii="Garamond" w:eastAsia="MS Mincho" w:hAnsi="Garamond" w:cs="Times New Roman"/>
          <w:szCs w:val="24"/>
        </w:rPr>
        <w:t>shërbyer</w:t>
      </w:r>
      <w:r w:rsidR="00B23F15" w:rsidRPr="00B457F5">
        <w:rPr>
          <w:rFonts w:ascii="Garamond" w:eastAsia="MS Mincho" w:hAnsi="Garamond" w:cs="Times New Roman"/>
          <w:szCs w:val="24"/>
        </w:rPr>
        <w:t xml:space="preserve"> </w:t>
      </w:r>
      <w:r w:rsidRPr="00B457F5">
        <w:rPr>
          <w:rFonts w:ascii="Garamond" w:eastAsia="MS Mincho" w:hAnsi="Garamond" w:cs="Times New Roman"/>
          <w:szCs w:val="24"/>
        </w:rPr>
        <w:t xml:space="preserve">si një bazë mbi të cilën mund të bëhet përparim në shtyllat e tjera tematike. Rëndësia thelbësore e përafrimit të kuadrit ligjor me atë të BE-së dhe me kornizat e tjera ndërkombëtare, si dhe e përmirësimit të koordinimit të aktiviteteve të qeverisjes së migracionit, është ripërsëritur pasi progresi drejt këtij objektivi është </w:t>
      </w:r>
      <w:r w:rsidR="002C78E5" w:rsidRPr="00B457F5">
        <w:rPr>
          <w:rFonts w:ascii="Garamond" w:eastAsia="MS Mincho" w:hAnsi="Garamond" w:cs="Times New Roman"/>
          <w:szCs w:val="24"/>
        </w:rPr>
        <w:t>objekt</w:t>
      </w:r>
      <w:r w:rsidRPr="00B457F5">
        <w:rPr>
          <w:rFonts w:ascii="Garamond" w:eastAsia="MS Mincho" w:hAnsi="Garamond" w:cs="Times New Roman"/>
          <w:szCs w:val="24"/>
        </w:rPr>
        <w:t xml:space="preserve"> monitorimi të vazhdueshëm p</w:t>
      </w:r>
      <w:r w:rsidR="00B0743F" w:rsidRPr="00B457F5">
        <w:rPr>
          <w:rFonts w:ascii="Garamond" w:eastAsia="MS Mincho" w:hAnsi="Garamond" w:cs="Times New Roman"/>
          <w:szCs w:val="24"/>
        </w:rPr>
        <w:t>ë</w:t>
      </w:r>
      <w:r w:rsidRPr="00B457F5">
        <w:rPr>
          <w:rFonts w:ascii="Garamond" w:eastAsia="MS Mincho" w:hAnsi="Garamond" w:cs="Times New Roman"/>
          <w:szCs w:val="24"/>
        </w:rPr>
        <w:t>r anëtarësimin e Shqip</w:t>
      </w:r>
      <w:r w:rsidR="00B0743F" w:rsidRPr="00B457F5">
        <w:rPr>
          <w:rFonts w:ascii="Garamond" w:eastAsia="MS Mincho" w:hAnsi="Garamond" w:cs="Times New Roman"/>
          <w:szCs w:val="24"/>
        </w:rPr>
        <w:t>ë</w:t>
      </w:r>
      <w:r w:rsidRPr="00B457F5">
        <w:rPr>
          <w:rFonts w:ascii="Garamond" w:eastAsia="MS Mincho" w:hAnsi="Garamond" w:cs="Times New Roman"/>
          <w:szCs w:val="24"/>
        </w:rPr>
        <w:t>ris</w:t>
      </w:r>
      <w:r w:rsidR="00B0743F" w:rsidRPr="00B457F5">
        <w:rPr>
          <w:rFonts w:ascii="Garamond" w:eastAsia="MS Mincho" w:hAnsi="Garamond" w:cs="Times New Roman"/>
          <w:szCs w:val="24"/>
        </w:rPr>
        <w:t>ë</w:t>
      </w:r>
      <w:r w:rsidRPr="00B457F5">
        <w:rPr>
          <w:rFonts w:ascii="Garamond" w:eastAsia="MS Mincho" w:hAnsi="Garamond" w:cs="Times New Roman"/>
          <w:szCs w:val="24"/>
        </w:rPr>
        <w:t xml:space="preserve"> në BE.</w:t>
      </w:r>
    </w:p>
    <w:p w14:paraId="07273BBE" w14:textId="348497E9" w:rsidR="00A619CA" w:rsidRPr="00B457F5" w:rsidRDefault="000D09EB"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Vlen të përmendet se palët e </w:t>
      </w:r>
      <w:r w:rsidR="00A11790" w:rsidRPr="00B457F5">
        <w:rPr>
          <w:rFonts w:ascii="Garamond" w:eastAsia="MS Mincho" w:hAnsi="Garamond" w:cs="Times New Roman"/>
          <w:szCs w:val="24"/>
        </w:rPr>
        <w:t xml:space="preserve">interesit </w:t>
      </w:r>
      <w:r w:rsidRPr="00B457F5">
        <w:rPr>
          <w:rFonts w:ascii="Garamond" w:eastAsia="MS Mincho" w:hAnsi="Garamond" w:cs="Times New Roman"/>
          <w:szCs w:val="24"/>
        </w:rPr>
        <w:t>kanë pranuar nevojën për të intensifikuar përpjekjet për realizimin efektiv të objektivave specifik</w:t>
      </w:r>
      <w:r w:rsidR="001A3BD2" w:rsidRPr="00B457F5">
        <w:rPr>
          <w:rFonts w:ascii="Garamond" w:eastAsia="MS Mincho" w:hAnsi="Garamond" w:cs="Times New Roman"/>
          <w:szCs w:val="24"/>
        </w:rPr>
        <w:t>ë</w:t>
      </w:r>
      <w:r w:rsidRPr="00B457F5">
        <w:rPr>
          <w:rFonts w:ascii="Garamond" w:eastAsia="MS Mincho" w:hAnsi="Garamond" w:cs="Times New Roman"/>
          <w:szCs w:val="24"/>
        </w:rPr>
        <w:t xml:space="preserve"> të caktuar për të kontribuar në një qeverisje strategjike efektive. </w:t>
      </w:r>
      <w:r w:rsidR="00A11790" w:rsidRPr="00B457F5">
        <w:rPr>
          <w:rFonts w:ascii="Garamond" w:eastAsia="MS Mincho" w:hAnsi="Garamond" w:cs="Times New Roman"/>
          <w:szCs w:val="24"/>
        </w:rPr>
        <w:t>Për rrjedhojë</w:t>
      </w:r>
      <w:r w:rsidRPr="00B457F5">
        <w:rPr>
          <w:rFonts w:ascii="Garamond" w:eastAsia="MS Mincho" w:hAnsi="Garamond" w:cs="Times New Roman"/>
          <w:szCs w:val="24"/>
        </w:rPr>
        <w:t>, mbledhja dhe përpunimi i të dhënave kanë qenë të lidhura me zhvillimin e politikave efektive dhe</w:t>
      </w:r>
      <w:r w:rsidR="00A11790" w:rsidRPr="00B457F5">
        <w:rPr>
          <w:rFonts w:ascii="Garamond" w:eastAsia="MS Mincho" w:hAnsi="Garamond" w:cs="Times New Roman"/>
          <w:szCs w:val="24"/>
        </w:rPr>
        <w:t>,</w:t>
      </w:r>
      <w:r w:rsidRPr="00B457F5">
        <w:rPr>
          <w:rFonts w:ascii="Garamond" w:eastAsia="MS Mincho" w:hAnsi="Garamond" w:cs="Times New Roman"/>
          <w:szCs w:val="24"/>
        </w:rPr>
        <w:t xml:space="preserve"> si të tilla, standardet specifike për të dhënat janë përcaktuar në </w:t>
      </w:r>
      <w:r w:rsidR="001A3BD2" w:rsidRPr="00B457F5">
        <w:rPr>
          <w:rFonts w:ascii="Garamond" w:eastAsia="MS Mincho" w:hAnsi="Garamond" w:cs="Times New Roman"/>
          <w:szCs w:val="24"/>
        </w:rPr>
        <w:t>s</w:t>
      </w:r>
      <w:r w:rsidRPr="00B457F5">
        <w:rPr>
          <w:rFonts w:ascii="Garamond" w:eastAsia="MS Mincho" w:hAnsi="Garamond" w:cs="Times New Roman"/>
          <w:szCs w:val="24"/>
        </w:rPr>
        <w:t xml:space="preserve">trategjinë e re. </w:t>
      </w:r>
      <w:r w:rsidR="009B2D09" w:rsidRPr="00B457F5">
        <w:rPr>
          <w:rFonts w:ascii="Garamond" w:eastAsia="MS Mincho" w:hAnsi="Garamond" w:cs="Times New Roman"/>
          <w:szCs w:val="24"/>
        </w:rPr>
        <w:t xml:space="preserve">Gjithashtu, duke pasur parasysh rëndësinë thelbësore të çështjes për përmbushjen nga Shqipëria të kërkesave të BE-së dhe </w:t>
      </w:r>
      <w:r w:rsidR="001A3BD2" w:rsidRPr="00B457F5">
        <w:rPr>
          <w:rFonts w:ascii="Garamond" w:eastAsia="MS Mincho" w:hAnsi="Garamond" w:cs="Times New Roman"/>
          <w:szCs w:val="24"/>
        </w:rPr>
        <w:t>o</w:t>
      </w:r>
      <w:r w:rsidR="009B2D09" w:rsidRPr="00B457F5">
        <w:rPr>
          <w:rFonts w:ascii="Garamond" w:eastAsia="MS Mincho" w:hAnsi="Garamond" w:cs="Times New Roman"/>
          <w:szCs w:val="24"/>
        </w:rPr>
        <w:t xml:space="preserve">bjektivit 21 të GCM-së, si dhe uljen e shkallës së migrimit të parregullt në </w:t>
      </w:r>
      <w:r w:rsidR="005D714F" w:rsidRPr="00B457F5">
        <w:rPr>
          <w:rFonts w:ascii="Garamond" w:eastAsia="MS Mincho" w:hAnsi="Garamond" w:cs="Times New Roman"/>
          <w:szCs w:val="24"/>
        </w:rPr>
        <w:t xml:space="preserve">kuadrin </w:t>
      </w:r>
      <w:r w:rsidR="009B2D09" w:rsidRPr="00B457F5">
        <w:rPr>
          <w:rFonts w:ascii="Garamond" w:eastAsia="MS Mincho" w:hAnsi="Garamond" w:cs="Times New Roman"/>
          <w:szCs w:val="24"/>
        </w:rPr>
        <w:t>afatgjatë, është theksuar si masë prioritare bashkëpunimi për të lehtësuar kthimin dhe ripranimin e sigurt e dinjitoz</w:t>
      </w:r>
      <w:r w:rsidR="001A3BD2" w:rsidRPr="00B457F5">
        <w:rPr>
          <w:rFonts w:ascii="Garamond" w:eastAsia="MS Mincho" w:hAnsi="Garamond" w:cs="Times New Roman"/>
          <w:szCs w:val="24"/>
        </w:rPr>
        <w:t>,</w:t>
      </w:r>
      <w:r w:rsidR="009B2D09" w:rsidRPr="00B457F5">
        <w:rPr>
          <w:rFonts w:ascii="Garamond" w:eastAsia="MS Mincho" w:hAnsi="Garamond" w:cs="Times New Roman"/>
          <w:szCs w:val="24"/>
        </w:rPr>
        <w:t xml:space="preserve"> si dhe riintegrimin e qëndrueshëm, duke i dhënë përmbajtje objektivit të forcimit të bashkëpunimit ndërkombëtar</w:t>
      </w:r>
      <w:r w:rsidR="004A5131" w:rsidRPr="00B457F5">
        <w:rPr>
          <w:rFonts w:ascii="Garamond" w:eastAsia="MS Mincho" w:hAnsi="Garamond" w:cs="Times New Roman"/>
          <w:szCs w:val="24"/>
        </w:rPr>
        <w:t>.</w:t>
      </w:r>
    </w:p>
    <w:p w14:paraId="7C4FDE64" w14:textId="1340424E" w:rsidR="00B35E4B" w:rsidRPr="00B457F5" w:rsidRDefault="009B2D09"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Q</w:t>
      </w:r>
      <w:r w:rsidR="00B0743F" w:rsidRPr="00B457F5">
        <w:rPr>
          <w:rFonts w:ascii="Garamond" w:eastAsia="MS Mincho" w:hAnsi="Garamond" w:cs="Times New Roman"/>
          <w:szCs w:val="24"/>
        </w:rPr>
        <w:t>ë</w:t>
      </w:r>
      <w:r w:rsidRPr="00B457F5">
        <w:rPr>
          <w:rFonts w:ascii="Garamond" w:eastAsia="MS Mincho" w:hAnsi="Garamond" w:cs="Times New Roman"/>
          <w:szCs w:val="24"/>
        </w:rPr>
        <w:t>llimi i pa</w:t>
      </w:r>
      <w:r w:rsidR="001D7347" w:rsidRPr="00B457F5">
        <w:rPr>
          <w:rFonts w:ascii="Garamond" w:eastAsia="MS Mincho" w:hAnsi="Garamond" w:cs="Times New Roman"/>
          <w:szCs w:val="24"/>
        </w:rPr>
        <w:t>r</w:t>
      </w:r>
      <w:r w:rsidR="00B0743F" w:rsidRPr="00B457F5">
        <w:rPr>
          <w:rFonts w:ascii="Garamond" w:eastAsia="MS Mincho" w:hAnsi="Garamond" w:cs="Times New Roman"/>
          <w:szCs w:val="24"/>
        </w:rPr>
        <w:t>ë</w:t>
      </w:r>
      <w:r w:rsidRPr="00B457F5">
        <w:rPr>
          <w:rFonts w:ascii="Garamond" w:eastAsia="MS Mincho" w:hAnsi="Garamond" w:cs="Times New Roman"/>
          <w:szCs w:val="24"/>
        </w:rPr>
        <w:t xml:space="preserve"> politik</w:t>
      </w:r>
      <w:r w:rsidR="00A619CA" w:rsidRPr="00B457F5">
        <w:rPr>
          <w:rFonts w:ascii="Garamond" w:eastAsia="MS Mincho" w:hAnsi="Garamond" w:cs="Times New Roman"/>
          <w:szCs w:val="24"/>
          <w:vertAlign w:val="superscript"/>
        </w:rPr>
        <w:footnoteReference w:id="61"/>
      </w:r>
      <w:r w:rsidR="005D714F" w:rsidRPr="00B457F5">
        <w:rPr>
          <w:rFonts w:ascii="Garamond" w:eastAsia="MS Mincho" w:hAnsi="Garamond" w:cs="Times New Roman"/>
          <w:szCs w:val="24"/>
        </w:rPr>
        <w:t xml:space="preserve"> </w:t>
      </w:r>
      <w:r w:rsidRPr="00B457F5">
        <w:rPr>
          <w:rFonts w:ascii="Garamond" w:eastAsia="MS Mincho" w:hAnsi="Garamond" w:cs="Times New Roman"/>
          <w:szCs w:val="24"/>
        </w:rPr>
        <w:t>i strategjis</w:t>
      </w:r>
      <w:r w:rsidR="00B0743F" w:rsidRPr="00B457F5">
        <w:rPr>
          <w:rFonts w:ascii="Garamond" w:eastAsia="MS Mincho" w:hAnsi="Garamond" w:cs="Times New Roman"/>
          <w:szCs w:val="24"/>
        </w:rPr>
        <w:t>ë</w:t>
      </w:r>
      <w:r w:rsidRPr="00B457F5">
        <w:rPr>
          <w:rFonts w:ascii="Garamond" w:eastAsia="MS Mincho" w:hAnsi="Garamond" w:cs="Times New Roman"/>
          <w:szCs w:val="24"/>
        </w:rPr>
        <w:t xml:space="preserve"> s</w:t>
      </w:r>
      <w:r w:rsidR="00B0743F" w:rsidRPr="00B457F5">
        <w:rPr>
          <w:rFonts w:ascii="Garamond" w:eastAsia="MS Mincho" w:hAnsi="Garamond" w:cs="Times New Roman"/>
          <w:szCs w:val="24"/>
        </w:rPr>
        <w:t>ë</w:t>
      </w:r>
      <w:r w:rsidRPr="00B457F5">
        <w:rPr>
          <w:rFonts w:ascii="Garamond" w:eastAsia="MS Mincho" w:hAnsi="Garamond" w:cs="Times New Roman"/>
          <w:szCs w:val="24"/>
        </w:rPr>
        <w:t xml:space="preserve"> </w:t>
      </w:r>
      <w:r w:rsidR="00BD0EC5" w:rsidRPr="00B457F5">
        <w:rPr>
          <w:rFonts w:ascii="Garamond" w:eastAsia="MS Mincho" w:hAnsi="Garamond" w:cs="Times New Roman"/>
          <w:szCs w:val="24"/>
        </w:rPr>
        <w:t>mëparshme</w:t>
      </w:r>
      <w:r w:rsidR="00A619CA" w:rsidRPr="00B457F5">
        <w:rPr>
          <w:rFonts w:ascii="Garamond" w:eastAsia="MS Mincho" w:hAnsi="Garamond" w:cs="Times New Roman"/>
          <w:szCs w:val="24"/>
        </w:rPr>
        <w:t xml:space="preserve">, </w:t>
      </w:r>
      <w:r w:rsidR="002048BE" w:rsidRPr="00B457F5">
        <w:rPr>
          <w:rFonts w:ascii="Garamond" w:eastAsia="MS Mincho" w:hAnsi="Garamond" w:cs="Times New Roman"/>
          <w:szCs w:val="24"/>
        </w:rPr>
        <w:t xml:space="preserve">i cili </w:t>
      </w:r>
      <w:r w:rsidR="005D714F" w:rsidRPr="00B457F5">
        <w:rPr>
          <w:rFonts w:ascii="Garamond" w:eastAsia="MS Mincho" w:hAnsi="Garamond" w:cs="Times New Roman"/>
          <w:szCs w:val="24"/>
        </w:rPr>
        <w:t>përqendrohej te</w:t>
      </w:r>
      <w:r w:rsidR="002048BE" w:rsidRPr="00B457F5">
        <w:rPr>
          <w:rFonts w:ascii="Garamond" w:eastAsia="MS Mincho" w:hAnsi="Garamond" w:cs="Times New Roman"/>
          <w:szCs w:val="24"/>
        </w:rPr>
        <w:t xml:space="preserve"> përafrimi ligjor, rritj</w:t>
      </w:r>
      <w:r w:rsidR="005D714F" w:rsidRPr="00B457F5">
        <w:rPr>
          <w:rFonts w:ascii="Garamond" w:eastAsia="MS Mincho" w:hAnsi="Garamond" w:cs="Times New Roman"/>
          <w:szCs w:val="24"/>
        </w:rPr>
        <w:t>a</w:t>
      </w:r>
      <w:r w:rsidR="002048BE" w:rsidRPr="00B457F5">
        <w:rPr>
          <w:rFonts w:ascii="Garamond" w:eastAsia="MS Mincho" w:hAnsi="Garamond" w:cs="Times New Roman"/>
          <w:szCs w:val="24"/>
        </w:rPr>
        <w:t xml:space="preserve"> e kapaciteteve institucionale, përmirësimi</w:t>
      </w:r>
      <w:r w:rsidR="005D714F" w:rsidRPr="00B457F5">
        <w:rPr>
          <w:rFonts w:ascii="Garamond" w:eastAsia="MS Mincho" w:hAnsi="Garamond" w:cs="Times New Roman"/>
          <w:szCs w:val="24"/>
        </w:rPr>
        <w:t xml:space="preserve"> i</w:t>
      </w:r>
      <w:r w:rsidR="002048BE" w:rsidRPr="00B457F5">
        <w:rPr>
          <w:rFonts w:ascii="Garamond" w:eastAsia="MS Mincho" w:hAnsi="Garamond" w:cs="Times New Roman"/>
          <w:szCs w:val="24"/>
        </w:rPr>
        <w:t xml:space="preserve"> koordinimit ndërinstitucional dhe përdorimi efektiv </w:t>
      </w:r>
      <w:r w:rsidR="005D714F" w:rsidRPr="00B457F5">
        <w:rPr>
          <w:rFonts w:ascii="Garamond" w:eastAsia="MS Mincho" w:hAnsi="Garamond" w:cs="Times New Roman"/>
          <w:szCs w:val="24"/>
        </w:rPr>
        <w:t>i</w:t>
      </w:r>
      <w:r w:rsidR="002048BE" w:rsidRPr="00B457F5">
        <w:rPr>
          <w:rFonts w:ascii="Garamond" w:eastAsia="MS Mincho" w:hAnsi="Garamond" w:cs="Times New Roman"/>
          <w:szCs w:val="24"/>
        </w:rPr>
        <w:t xml:space="preserve"> partneriteteve, është raportuar si</w:t>
      </w:r>
      <w:r w:rsidR="00DC6DF6" w:rsidRPr="00B457F5">
        <w:rPr>
          <w:rFonts w:ascii="Garamond" w:eastAsia="MS Mincho" w:hAnsi="Garamond" w:cs="Times New Roman"/>
          <w:szCs w:val="24"/>
        </w:rPr>
        <w:t xml:space="preserve"> p</w:t>
      </w:r>
      <w:r w:rsidR="00B0743F" w:rsidRPr="00B457F5">
        <w:rPr>
          <w:rFonts w:ascii="Garamond" w:eastAsia="MS Mincho" w:hAnsi="Garamond" w:cs="Times New Roman"/>
          <w:szCs w:val="24"/>
        </w:rPr>
        <w:t>ë</w:t>
      </w:r>
      <w:r w:rsidR="00DC6DF6" w:rsidRPr="00B457F5">
        <w:rPr>
          <w:rFonts w:ascii="Garamond" w:eastAsia="MS Mincho" w:hAnsi="Garamond" w:cs="Times New Roman"/>
          <w:szCs w:val="24"/>
        </w:rPr>
        <w:t>rgjith</w:t>
      </w:r>
      <w:r w:rsidR="00B0743F" w:rsidRPr="00B457F5">
        <w:rPr>
          <w:rFonts w:ascii="Garamond" w:eastAsia="MS Mincho" w:hAnsi="Garamond" w:cs="Times New Roman"/>
          <w:szCs w:val="24"/>
        </w:rPr>
        <w:t>ë</w:t>
      </w:r>
      <w:r w:rsidR="00DC6DF6" w:rsidRPr="00B457F5">
        <w:rPr>
          <w:rFonts w:ascii="Garamond" w:eastAsia="MS Mincho" w:hAnsi="Garamond" w:cs="Times New Roman"/>
          <w:szCs w:val="24"/>
        </w:rPr>
        <w:t>sisht</w:t>
      </w:r>
      <w:r w:rsidR="002048BE" w:rsidRPr="00B457F5">
        <w:rPr>
          <w:rFonts w:ascii="Garamond" w:eastAsia="MS Mincho" w:hAnsi="Garamond" w:cs="Times New Roman"/>
          <w:szCs w:val="24"/>
        </w:rPr>
        <w:t xml:space="preserve"> </w:t>
      </w:r>
      <w:r w:rsidR="00DC6DF6" w:rsidRPr="00B457F5">
        <w:rPr>
          <w:rFonts w:ascii="Garamond" w:eastAsia="MS Mincho" w:hAnsi="Garamond" w:cs="Times New Roman"/>
          <w:szCs w:val="24"/>
        </w:rPr>
        <w:t xml:space="preserve">i </w:t>
      </w:r>
      <w:r w:rsidR="002048BE" w:rsidRPr="00B457F5">
        <w:rPr>
          <w:rFonts w:ascii="Garamond" w:eastAsia="MS Mincho" w:hAnsi="Garamond" w:cs="Times New Roman"/>
          <w:szCs w:val="24"/>
        </w:rPr>
        <w:t xml:space="preserve">zbatuar me sukses (të 22 masat e parashikuara u konfirmuan se ishin përfunduar). Në të njëjtën kohë, </w:t>
      </w:r>
      <w:r w:rsidR="005D714F" w:rsidRPr="00B457F5">
        <w:rPr>
          <w:rFonts w:ascii="Garamond" w:eastAsia="MS Mincho" w:hAnsi="Garamond" w:cs="Times New Roman"/>
          <w:szCs w:val="24"/>
        </w:rPr>
        <w:t>ai është në përputhje</w:t>
      </w:r>
      <w:r w:rsidR="007F6B13" w:rsidRPr="00B457F5">
        <w:rPr>
          <w:rFonts w:ascii="Garamond" w:eastAsia="MS Mincho" w:hAnsi="Garamond" w:cs="Times New Roman"/>
          <w:szCs w:val="24"/>
        </w:rPr>
        <w:t xml:space="preserve"> me</w:t>
      </w:r>
      <w:r w:rsidR="002048BE" w:rsidRPr="00B457F5">
        <w:rPr>
          <w:rFonts w:ascii="Garamond" w:eastAsia="MS Mincho" w:hAnsi="Garamond" w:cs="Times New Roman"/>
          <w:szCs w:val="24"/>
        </w:rPr>
        <w:t xml:space="preserve"> ndryshimi</w:t>
      </w:r>
      <w:r w:rsidR="007F6B13" w:rsidRPr="00B457F5">
        <w:rPr>
          <w:rFonts w:ascii="Garamond" w:eastAsia="MS Mincho" w:hAnsi="Garamond" w:cs="Times New Roman"/>
          <w:szCs w:val="24"/>
        </w:rPr>
        <w:t>n</w:t>
      </w:r>
      <w:r w:rsidR="002048BE" w:rsidRPr="00B457F5">
        <w:rPr>
          <w:rFonts w:ascii="Garamond" w:eastAsia="MS Mincho" w:hAnsi="Garamond" w:cs="Times New Roman"/>
          <w:szCs w:val="24"/>
        </w:rPr>
        <w:t xml:space="preserve"> </w:t>
      </w:r>
      <w:r w:rsidR="007F6B13" w:rsidRPr="00B457F5">
        <w:rPr>
          <w:rFonts w:ascii="Garamond" w:eastAsia="MS Mincho" w:hAnsi="Garamond" w:cs="Times New Roman"/>
          <w:szCs w:val="24"/>
        </w:rPr>
        <w:t>e</w:t>
      </w:r>
      <w:r w:rsidR="002048BE" w:rsidRPr="00B457F5">
        <w:rPr>
          <w:rFonts w:ascii="Garamond" w:eastAsia="MS Mincho" w:hAnsi="Garamond" w:cs="Times New Roman"/>
          <w:szCs w:val="24"/>
        </w:rPr>
        <w:t xml:space="preserve"> </w:t>
      </w:r>
      <w:r w:rsidR="002048BE" w:rsidRPr="00B457F5">
        <w:rPr>
          <w:rFonts w:ascii="Garamond" w:eastAsia="MS Mincho" w:hAnsi="Garamond" w:cs="Times New Roman"/>
          <w:i/>
          <w:iCs/>
          <w:szCs w:val="24"/>
        </w:rPr>
        <w:t>acquis</w:t>
      </w:r>
      <w:r w:rsidR="002048BE" w:rsidRPr="00B457F5">
        <w:rPr>
          <w:rFonts w:ascii="Garamond" w:eastAsia="MS Mincho" w:hAnsi="Garamond" w:cs="Times New Roman"/>
          <w:szCs w:val="24"/>
        </w:rPr>
        <w:t xml:space="preserve"> </w:t>
      </w:r>
      <w:r w:rsidR="001A3BD2" w:rsidRPr="00B457F5">
        <w:rPr>
          <w:rFonts w:ascii="Garamond" w:eastAsia="MS Mincho" w:hAnsi="Garamond" w:cs="Times New Roman"/>
          <w:szCs w:val="24"/>
        </w:rPr>
        <w:t>t</w:t>
      </w:r>
      <w:r w:rsidR="002048BE" w:rsidRPr="00B457F5">
        <w:rPr>
          <w:rFonts w:ascii="Garamond" w:eastAsia="MS Mincho" w:hAnsi="Garamond" w:cs="Times New Roman"/>
          <w:szCs w:val="24"/>
        </w:rPr>
        <w:t>ë BE-së, si dhe për shkak të miratimit dhe zhvillimit të vazhdueshëm të kornizave të tjera strategjike (më së shumti, GCM).</w:t>
      </w:r>
      <w:r w:rsidR="007F6B13" w:rsidRPr="00B457F5">
        <w:rPr>
          <w:rFonts w:ascii="Garamond" w:eastAsia="MS Mincho" w:hAnsi="Garamond" w:cs="Times New Roman"/>
          <w:szCs w:val="24"/>
        </w:rPr>
        <w:t xml:space="preserve"> </w:t>
      </w:r>
      <w:r w:rsidR="00931490" w:rsidRPr="00B457F5">
        <w:rPr>
          <w:rFonts w:ascii="Garamond" w:eastAsia="MS Mincho" w:hAnsi="Garamond" w:cs="Times New Roman"/>
          <w:szCs w:val="24"/>
        </w:rPr>
        <w:t>Raportimi zbuloi disa çështje që duhen kapërcyer në mënyrë që të arrihet qëllimi i politikës. SKM</w:t>
      </w:r>
      <w:r w:rsidR="001A3BD2" w:rsidRPr="00B457F5">
        <w:rPr>
          <w:rFonts w:ascii="Garamond" w:eastAsia="MS Mincho" w:hAnsi="Garamond" w:cs="Times New Roman"/>
          <w:szCs w:val="24"/>
        </w:rPr>
        <w:t>-ja</w:t>
      </w:r>
      <w:r w:rsidR="00931490" w:rsidRPr="00B457F5">
        <w:rPr>
          <w:rFonts w:ascii="Garamond" w:eastAsia="MS Mincho" w:hAnsi="Garamond" w:cs="Times New Roman"/>
          <w:szCs w:val="24"/>
        </w:rPr>
        <w:t xml:space="preserve"> dhe PV</w:t>
      </w:r>
      <w:r w:rsidR="001A3BD2" w:rsidRPr="00B457F5">
        <w:rPr>
          <w:rFonts w:ascii="Garamond" w:eastAsia="MS Mincho" w:hAnsi="Garamond" w:cs="Times New Roman"/>
          <w:szCs w:val="24"/>
        </w:rPr>
        <w:t>-ja</w:t>
      </w:r>
      <w:r w:rsidR="00931490" w:rsidRPr="00B457F5">
        <w:rPr>
          <w:rFonts w:ascii="Garamond" w:eastAsia="MS Mincho" w:hAnsi="Garamond" w:cs="Times New Roman"/>
          <w:szCs w:val="24"/>
        </w:rPr>
        <w:t xml:space="preserve"> 2019</w:t>
      </w:r>
      <w:r w:rsidR="00BD0EC5" w:rsidRPr="00B457F5">
        <w:rPr>
          <w:rStyle w:val="contentpasted1"/>
          <w:rFonts w:ascii="Garamond" w:hAnsi="Garamond" w:cs="Times New Roman"/>
          <w:color w:val="000000"/>
        </w:rPr>
        <w:t>–</w:t>
      </w:r>
      <w:r w:rsidR="00931490" w:rsidRPr="00B457F5">
        <w:rPr>
          <w:rFonts w:ascii="Garamond" w:eastAsia="MS Mincho" w:hAnsi="Garamond" w:cs="Times New Roman"/>
          <w:szCs w:val="24"/>
        </w:rPr>
        <w:t xml:space="preserve">2022 vendosën mbi disa nga përgjegjësitë kryesore të aktorëve kryesorë të </w:t>
      </w:r>
      <w:r w:rsidR="00931490" w:rsidRPr="00B457F5">
        <w:rPr>
          <w:rFonts w:ascii="Garamond" w:eastAsia="MS Mincho" w:hAnsi="Garamond" w:cs="Times New Roman"/>
          <w:i/>
          <w:iCs/>
          <w:szCs w:val="24"/>
        </w:rPr>
        <w:t>institucioneve drejtuese</w:t>
      </w:r>
      <w:r w:rsidR="00931490" w:rsidRPr="00B457F5">
        <w:rPr>
          <w:rFonts w:ascii="Garamond" w:eastAsia="MS Mincho" w:hAnsi="Garamond" w:cs="Times New Roman"/>
          <w:szCs w:val="24"/>
        </w:rPr>
        <w:t xml:space="preserve">, duke shkuar përtej atyre të zbatimit të masave të caktuara, si dhe duke kërkuar gjithashtu mbledhjen e të dhënave dhe koordinimin e aktiviteteve të institucioneve të tjera. </w:t>
      </w:r>
      <w:r w:rsidR="00B35E4B" w:rsidRPr="00B457F5">
        <w:rPr>
          <w:rFonts w:ascii="Garamond" w:eastAsia="MS Mincho" w:hAnsi="Garamond" w:cs="Times New Roman"/>
          <w:szCs w:val="24"/>
        </w:rPr>
        <w:t>Kjo rezultoi të ishte një sfidë për të paktën dy arsye: munges</w:t>
      </w:r>
      <w:r w:rsidR="00CF3CB4" w:rsidRPr="00B457F5">
        <w:rPr>
          <w:rFonts w:ascii="Garamond" w:eastAsia="MS Mincho" w:hAnsi="Garamond" w:cs="Times New Roman"/>
          <w:szCs w:val="24"/>
        </w:rPr>
        <w:t>ën</w:t>
      </w:r>
      <w:r w:rsidR="00B35E4B" w:rsidRPr="00B457F5">
        <w:rPr>
          <w:rFonts w:ascii="Garamond" w:eastAsia="MS Mincho" w:hAnsi="Garamond" w:cs="Times New Roman"/>
          <w:szCs w:val="24"/>
        </w:rPr>
        <w:t xml:space="preserve"> ose formati</w:t>
      </w:r>
      <w:r w:rsidR="00CF3CB4" w:rsidRPr="00B457F5">
        <w:rPr>
          <w:rFonts w:ascii="Garamond" w:eastAsia="MS Mincho" w:hAnsi="Garamond" w:cs="Times New Roman"/>
          <w:szCs w:val="24"/>
        </w:rPr>
        <w:t>n e</w:t>
      </w:r>
      <w:r w:rsidR="00B35E4B" w:rsidRPr="00B457F5">
        <w:rPr>
          <w:rFonts w:ascii="Garamond" w:eastAsia="MS Mincho" w:hAnsi="Garamond" w:cs="Times New Roman"/>
          <w:szCs w:val="24"/>
        </w:rPr>
        <w:t xml:space="preserve"> papajtueshëm </w:t>
      </w:r>
      <w:r w:rsidR="00CF3CB4" w:rsidRPr="00B457F5">
        <w:rPr>
          <w:rFonts w:ascii="Garamond" w:eastAsia="MS Mincho" w:hAnsi="Garamond" w:cs="Times New Roman"/>
          <w:szCs w:val="24"/>
        </w:rPr>
        <w:t>të</w:t>
      </w:r>
      <w:r w:rsidR="00B35E4B" w:rsidRPr="00B457F5">
        <w:rPr>
          <w:rFonts w:ascii="Garamond" w:eastAsia="MS Mincho" w:hAnsi="Garamond" w:cs="Times New Roman"/>
          <w:szCs w:val="24"/>
        </w:rPr>
        <w:t xml:space="preserve"> të dhënave dhe munges</w:t>
      </w:r>
      <w:r w:rsidR="00CF3CB4" w:rsidRPr="00B457F5">
        <w:rPr>
          <w:rFonts w:ascii="Garamond" w:eastAsia="MS Mincho" w:hAnsi="Garamond" w:cs="Times New Roman"/>
          <w:szCs w:val="24"/>
        </w:rPr>
        <w:t>ën</w:t>
      </w:r>
      <w:r w:rsidR="00B35E4B" w:rsidRPr="00B457F5">
        <w:rPr>
          <w:rFonts w:ascii="Garamond" w:eastAsia="MS Mincho" w:hAnsi="Garamond" w:cs="Times New Roman"/>
          <w:szCs w:val="24"/>
        </w:rPr>
        <w:t xml:space="preserve"> e procedurave/udhëzimeve të detajuara për koordinim. Problemet me të dhënat janë </w:t>
      </w:r>
      <w:r w:rsidR="00CF3CB4" w:rsidRPr="00B457F5">
        <w:rPr>
          <w:rFonts w:ascii="Garamond" w:eastAsia="MS Mincho" w:hAnsi="Garamond" w:cs="Times New Roman"/>
          <w:szCs w:val="24"/>
        </w:rPr>
        <w:t xml:space="preserve">pranuar </w:t>
      </w:r>
      <w:r w:rsidR="00B35E4B" w:rsidRPr="00B457F5">
        <w:rPr>
          <w:rFonts w:ascii="Garamond" w:eastAsia="MS Mincho" w:hAnsi="Garamond" w:cs="Times New Roman"/>
          <w:szCs w:val="24"/>
        </w:rPr>
        <w:t>dhe</w:t>
      </w:r>
      <w:r w:rsidR="00CF3CB4" w:rsidRPr="00B457F5">
        <w:rPr>
          <w:rFonts w:ascii="Garamond" w:eastAsia="MS Mincho" w:hAnsi="Garamond" w:cs="Times New Roman"/>
          <w:szCs w:val="24"/>
        </w:rPr>
        <w:t xml:space="preserve"> kësaj çështjeje</w:t>
      </w:r>
      <w:r w:rsidR="00B35E4B" w:rsidRPr="00B457F5">
        <w:rPr>
          <w:rFonts w:ascii="Garamond" w:eastAsia="MS Mincho" w:hAnsi="Garamond" w:cs="Times New Roman"/>
          <w:szCs w:val="24"/>
        </w:rPr>
        <w:t xml:space="preserve"> i është dhënë prioritet i lartë në SKM-në e re. Nga ana tjetër, ndërkohë që Komiteti Teknik i Migracionit (KTM) ofroi mundësi për bashkëpunimin e </w:t>
      </w:r>
      <w:r w:rsidR="00B35E4B" w:rsidRPr="00B457F5">
        <w:rPr>
          <w:rFonts w:ascii="Garamond" w:eastAsia="MS Mincho" w:hAnsi="Garamond" w:cs="Times New Roman"/>
          <w:szCs w:val="24"/>
        </w:rPr>
        <w:lastRenderedPageBreak/>
        <w:t>institucioneve drejtuese dhe mbështetëse, do të duhet të përpunohen formate të bashkëpunimit të përditshëm për masat specifike.</w:t>
      </w:r>
    </w:p>
    <w:p w14:paraId="033132B9" w14:textId="093F201C" w:rsidR="00690EED" w:rsidRPr="00B457F5" w:rsidRDefault="00010696"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Në përputhje me qasjen </w:t>
      </w:r>
      <w:r w:rsidR="00A313AE" w:rsidRPr="00B457F5">
        <w:rPr>
          <w:rFonts w:ascii="Garamond" w:eastAsia="MS Mincho" w:hAnsi="Garamond" w:cs="Times New Roman"/>
          <w:szCs w:val="24"/>
        </w:rPr>
        <w:t>“</w:t>
      </w:r>
      <w:r w:rsidRPr="00B457F5">
        <w:rPr>
          <w:rFonts w:ascii="Garamond" w:eastAsia="MS Mincho" w:hAnsi="Garamond" w:cs="Times New Roman"/>
          <w:szCs w:val="24"/>
        </w:rPr>
        <w:t>e gjithë qeveria</w:t>
      </w:r>
      <w:r w:rsidR="00A313AE" w:rsidRPr="00B457F5">
        <w:rPr>
          <w:rFonts w:ascii="Garamond" w:eastAsia="MS Mincho" w:hAnsi="Garamond" w:cs="Times New Roman"/>
          <w:szCs w:val="24"/>
        </w:rPr>
        <w:t>”</w:t>
      </w:r>
      <w:r w:rsidRPr="00B457F5">
        <w:rPr>
          <w:rFonts w:ascii="Garamond" w:eastAsia="MS Mincho" w:hAnsi="Garamond" w:cs="Times New Roman"/>
          <w:szCs w:val="24"/>
        </w:rPr>
        <w:t xml:space="preserve"> dhe </w:t>
      </w:r>
      <w:r w:rsidR="00A313AE" w:rsidRPr="00B457F5">
        <w:rPr>
          <w:rFonts w:ascii="Garamond" w:eastAsia="MS Mincho" w:hAnsi="Garamond" w:cs="Times New Roman"/>
          <w:szCs w:val="24"/>
        </w:rPr>
        <w:t>“</w:t>
      </w:r>
      <w:r w:rsidRPr="00B457F5">
        <w:rPr>
          <w:rFonts w:ascii="Garamond" w:eastAsia="MS Mincho" w:hAnsi="Garamond" w:cs="Times New Roman"/>
          <w:szCs w:val="24"/>
        </w:rPr>
        <w:t>e gjithë shoqëria</w:t>
      </w:r>
      <w:r w:rsidR="00A313AE" w:rsidRPr="00B457F5">
        <w:rPr>
          <w:rFonts w:ascii="Garamond" w:eastAsia="MS Mincho" w:hAnsi="Garamond" w:cs="Times New Roman"/>
          <w:szCs w:val="24"/>
        </w:rPr>
        <w:t>”</w:t>
      </w:r>
      <w:r w:rsidRPr="00B457F5">
        <w:rPr>
          <w:rFonts w:ascii="Garamond" w:eastAsia="MS Mincho" w:hAnsi="Garamond" w:cs="Times New Roman"/>
          <w:szCs w:val="24"/>
        </w:rPr>
        <w:t xml:space="preserve">, institucionet shqiptare kanë </w:t>
      </w:r>
      <w:r w:rsidR="00764078" w:rsidRPr="00B457F5">
        <w:rPr>
          <w:rFonts w:ascii="Garamond" w:eastAsia="MS Mincho" w:hAnsi="Garamond" w:cs="Times New Roman"/>
          <w:szCs w:val="24"/>
        </w:rPr>
        <w:t xml:space="preserve">konstatuar </w:t>
      </w:r>
      <w:r w:rsidRPr="00B457F5">
        <w:rPr>
          <w:rFonts w:ascii="Garamond" w:eastAsia="MS Mincho" w:hAnsi="Garamond" w:cs="Times New Roman"/>
          <w:szCs w:val="24"/>
        </w:rPr>
        <w:t>gjithashtu nevojën për të përfshirë në një masë më të madhe</w:t>
      </w:r>
      <w:r w:rsidR="001A3BD2" w:rsidRPr="00B457F5">
        <w:rPr>
          <w:rFonts w:ascii="Garamond" w:eastAsia="MS Mincho" w:hAnsi="Garamond" w:cs="Times New Roman"/>
          <w:szCs w:val="24"/>
        </w:rPr>
        <w:t>,</w:t>
      </w:r>
      <w:r w:rsidRPr="00B457F5">
        <w:rPr>
          <w:rFonts w:ascii="Garamond" w:eastAsia="MS Mincho" w:hAnsi="Garamond" w:cs="Times New Roman"/>
          <w:szCs w:val="24"/>
        </w:rPr>
        <w:t xml:space="preserve"> në ndjekjen e objektivave të </w:t>
      </w:r>
      <w:r w:rsidR="001A3BD2" w:rsidRPr="00B457F5">
        <w:rPr>
          <w:rFonts w:ascii="Garamond" w:eastAsia="MS Mincho" w:hAnsi="Garamond" w:cs="Times New Roman"/>
          <w:szCs w:val="24"/>
        </w:rPr>
        <w:t>s</w:t>
      </w:r>
      <w:r w:rsidRPr="00B457F5">
        <w:rPr>
          <w:rFonts w:ascii="Garamond" w:eastAsia="MS Mincho" w:hAnsi="Garamond" w:cs="Times New Roman"/>
          <w:szCs w:val="24"/>
        </w:rPr>
        <w:t>trategjisë</w:t>
      </w:r>
      <w:r w:rsidR="001A3BD2" w:rsidRPr="00B457F5">
        <w:rPr>
          <w:rFonts w:ascii="Garamond" w:eastAsia="MS Mincho" w:hAnsi="Garamond" w:cs="Times New Roman"/>
          <w:szCs w:val="24"/>
        </w:rPr>
        <w:t>,</w:t>
      </w:r>
      <w:r w:rsidRPr="00B457F5">
        <w:rPr>
          <w:rFonts w:ascii="Garamond" w:eastAsia="MS Mincho" w:hAnsi="Garamond" w:cs="Times New Roman"/>
          <w:szCs w:val="24"/>
        </w:rPr>
        <w:t xml:space="preserve"> autoritetet vendore. Si vlerësimi i kapaciteteve institucionale të palëve të </w:t>
      </w:r>
      <w:r w:rsidR="00764078" w:rsidRPr="00B457F5">
        <w:rPr>
          <w:rFonts w:ascii="Garamond" w:eastAsia="MS Mincho" w:hAnsi="Garamond" w:cs="Times New Roman"/>
          <w:szCs w:val="24"/>
        </w:rPr>
        <w:t xml:space="preserve">interesit </w:t>
      </w:r>
      <w:r w:rsidRPr="00B457F5">
        <w:rPr>
          <w:rFonts w:ascii="Garamond" w:eastAsia="MS Mincho" w:hAnsi="Garamond" w:cs="Times New Roman"/>
          <w:szCs w:val="24"/>
        </w:rPr>
        <w:t>të SKM-së, i kryer në vitet 2020</w:t>
      </w:r>
      <w:r w:rsidR="00BD0EC5" w:rsidRPr="00B457F5">
        <w:rPr>
          <w:rStyle w:val="contentpasted1"/>
          <w:rFonts w:ascii="Garamond" w:hAnsi="Garamond" w:cs="Times New Roman"/>
          <w:color w:val="000000"/>
        </w:rPr>
        <w:t>–</w:t>
      </w:r>
      <w:r w:rsidRPr="00B457F5">
        <w:rPr>
          <w:rFonts w:ascii="Garamond" w:eastAsia="MS Mincho" w:hAnsi="Garamond" w:cs="Times New Roman"/>
          <w:szCs w:val="24"/>
        </w:rPr>
        <w:t>2021</w:t>
      </w:r>
      <w:r w:rsidR="001A3BD2" w:rsidRPr="00B457F5">
        <w:rPr>
          <w:rFonts w:ascii="Garamond" w:eastAsia="MS Mincho" w:hAnsi="Garamond" w:cs="Times New Roman"/>
          <w:szCs w:val="24"/>
        </w:rPr>
        <w:t>,</w:t>
      </w:r>
      <w:r w:rsidRPr="00B457F5">
        <w:rPr>
          <w:rFonts w:ascii="Garamond" w:eastAsia="MS Mincho" w:hAnsi="Garamond" w:cs="Times New Roman"/>
          <w:szCs w:val="24"/>
        </w:rPr>
        <w:t xml:space="preserve"> me asistencën e IOM-it, ashtu edhe raportet periodike të BE-së vënë në dukje kapacitetet e kufizuara për sa i përket personelit, kompetencave dhe në disa vende edhe infrastrukturës për të ofruar shërbime për migrantët</w:t>
      </w:r>
      <w:r w:rsidR="001E01F6" w:rsidRPr="00B457F5">
        <w:rPr>
          <w:rFonts w:ascii="Garamond" w:eastAsia="MS Mincho" w:hAnsi="Garamond" w:cs="Times New Roman"/>
          <w:szCs w:val="24"/>
        </w:rPr>
        <w:t>,</w:t>
      </w:r>
      <w:r w:rsidRPr="00B457F5">
        <w:rPr>
          <w:rFonts w:ascii="Garamond" w:eastAsia="MS Mincho" w:hAnsi="Garamond" w:cs="Times New Roman"/>
          <w:szCs w:val="24"/>
        </w:rPr>
        <w:t xml:space="preserve"> për ofrimin e informacionit të përditësuar mbi migrimin ose </w:t>
      </w:r>
      <w:r w:rsidR="00690EED" w:rsidRPr="00B457F5">
        <w:rPr>
          <w:rFonts w:ascii="Garamond" w:eastAsia="MS Mincho" w:hAnsi="Garamond" w:cs="Times New Roman"/>
          <w:szCs w:val="24"/>
        </w:rPr>
        <w:t>mb</w:t>
      </w:r>
      <w:r w:rsidR="00B0743F" w:rsidRPr="00B457F5">
        <w:rPr>
          <w:rFonts w:ascii="Garamond" w:eastAsia="MS Mincho" w:hAnsi="Garamond" w:cs="Times New Roman"/>
          <w:szCs w:val="24"/>
        </w:rPr>
        <w:t>ë</w:t>
      </w:r>
      <w:r w:rsidR="00690EED" w:rsidRPr="00B457F5">
        <w:rPr>
          <w:rFonts w:ascii="Garamond" w:eastAsia="MS Mincho" w:hAnsi="Garamond" w:cs="Times New Roman"/>
          <w:szCs w:val="24"/>
        </w:rPr>
        <w:t>shtetjen p</w:t>
      </w:r>
      <w:r w:rsidR="00B0743F" w:rsidRPr="00B457F5">
        <w:rPr>
          <w:rFonts w:ascii="Garamond" w:eastAsia="MS Mincho" w:hAnsi="Garamond" w:cs="Times New Roman"/>
          <w:szCs w:val="24"/>
        </w:rPr>
        <w:t>ë</w:t>
      </w:r>
      <w:r w:rsidR="00690EED" w:rsidRPr="00B457F5">
        <w:rPr>
          <w:rFonts w:ascii="Garamond" w:eastAsia="MS Mincho" w:hAnsi="Garamond" w:cs="Times New Roman"/>
          <w:szCs w:val="24"/>
        </w:rPr>
        <w:t>r riintegrim</w:t>
      </w:r>
      <w:r w:rsidRPr="00B457F5">
        <w:rPr>
          <w:rFonts w:ascii="Garamond" w:eastAsia="MS Mincho" w:hAnsi="Garamond" w:cs="Times New Roman"/>
          <w:szCs w:val="24"/>
        </w:rPr>
        <w:t xml:space="preserve">. </w:t>
      </w:r>
      <w:r w:rsidR="00690EED" w:rsidRPr="00B457F5">
        <w:rPr>
          <w:rFonts w:ascii="Garamond" w:eastAsia="MS Mincho" w:hAnsi="Garamond" w:cs="Times New Roman"/>
          <w:szCs w:val="24"/>
        </w:rPr>
        <w:t xml:space="preserve">Një aspekt kryesor i përmirësimit të qeverisjes institucionale do të jetë përfshirja e autoriteteve vendore në procesin e përcaktimit, realizimit dhe raportimit të objektivave të </w:t>
      </w:r>
      <w:r w:rsidR="001A3BD2" w:rsidRPr="00B457F5">
        <w:rPr>
          <w:rFonts w:ascii="Garamond" w:eastAsia="MS Mincho" w:hAnsi="Garamond" w:cs="Times New Roman"/>
          <w:szCs w:val="24"/>
        </w:rPr>
        <w:t>s</w:t>
      </w:r>
      <w:r w:rsidR="00690EED" w:rsidRPr="00B457F5">
        <w:rPr>
          <w:rFonts w:ascii="Garamond" w:eastAsia="MS Mincho" w:hAnsi="Garamond" w:cs="Times New Roman"/>
          <w:szCs w:val="24"/>
        </w:rPr>
        <w:t>trategjisë</w:t>
      </w:r>
      <w:r w:rsidR="001A3BD2" w:rsidRPr="00B457F5">
        <w:rPr>
          <w:rFonts w:ascii="Garamond" w:eastAsia="MS Mincho" w:hAnsi="Garamond" w:cs="Times New Roman"/>
          <w:szCs w:val="24"/>
        </w:rPr>
        <w:t>,</w:t>
      </w:r>
      <w:r w:rsidR="00690EED" w:rsidRPr="00B457F5">
        <w:rPr>
          <w:rFonts w:ascii="Garamond" w:eastAsia="MS Mincho" w:hAnsi="Garamond" w:cs="Times New Roman"/>
          <w:szCs w:val="24"/>
        </w:rPr>
        <w:t xml:space="preserve"> si dhe angazhimi në shkëmbimin e të dhënave dhe bashkëpunimin operacional me organet shtetërore të nivelit qendror. </w:t>
      </w:r>
    </w:p>
    <w:p w14:paraId="7C074247" w14:textId="47DEC090" w:rsidR="00A619CA" w:rsidRPr="00B457F5" w:rsidRDefault="00690EED" w:rsidP="002E693B">
      <w:pPr>
        <w:spacing w:before="0" w:after="0"/>
        <w:ind w:firstLine="284"/>
        <w:rPr>
          <w:rFonts w:ascii="Garamond" w:eastAsia="MS Mincho" w:hAnsi="Garamond" w:cs="Times New Roman"/>
          <w:b/>
          <w:bCs/>
          <w:iCs/>
          <w:szCs w:val="24"/>
        </w:rPr>
      </w:pPr>
      <w:r w:rsidRPr="00B457F5">
        <w:rPr>
          <w:rFonts w:ascii="Garamond" w:eastAsia="MS Mincho" w:hAnsi="Garamond" w:cs="Times New Roman"/>
          <w:b/>
          <w:bCs/>
          <w:iCs/>
          <w:szCs w:val="24"/>
        </w:rPr>
        <w:t>Migracioni p</w:t>
      </w:r>
      <w:r w:rsidR="00B0743F" w:rsidRPr="00B457F5">
        <w:rPr>
          <w:rFonts w:ascii="Garamond" w:eastAsia="MS Mincho" w:hAnsi="Garamond" w:cs="Times New Roman"/>
          <w:b/>
          <w:bCs/>
          <w:iCs/>
          <w:szCs w:val="24"/>
        </w:rPr>
        <w:t>ë</w:t>
      </w:r>
      <w:r w:rsidRPr="00B457F5">
        <w:rPr>
          <w:rFonts w:ascii="Garamond" w:eastAsia="MS Mincho" w:hAnsi="Garamond" w:cs="Times New Roman"/>
          <w:b/>
          <w:bCs/>
          <w:iCs/>
          <w:szCs w:val="24"/>
        </w:rPr>
        <w:t>r q</w:t>
      </w:r>
      <w:r w:rsidR="00B0743F" w:rsidRPr="00B457F5">
        <w:rPr>
          <w:rFonts w:ascii="Garamond" w:eastAsia="MS Mincho" w:hAnsi="Garamond" w:cs="Times New Roman"/>
          <w:b/>
          <w:bCs/>
          <w:iCs/>
          <w:szCs w:val="24"/>
        </w:rPr>
        <w:t>ë</w:t>
      </w:r>
      <w:r w:rsidRPr="00B457F5">
        <w:rPr>
          <w:rFonts w:ascii="Garamond" w:eastAsia="MS Mincho" w:hAnsi="Garamond" w:cs="Times New Roman"/>
          <w:b/>
          <w:bCs/>
          <w:iCs/>
          <w:szCs w:val="24"/>
        </w:rPr>
        <w:t>llime pun</w:t>
      </w:r>
      <w:r w:rsidR="00B0743F" w:rsidRPr="00B457F5">
        <w:rPr>
          <w:rFonts w:ascii="Garamond" w:eastAsia="MS Mincho" w:hAnsi="Garamond" w:cs="Times New Roman"/>
          <w:b/>
          <w:bCs/>
          <w:iCs/>
          <w:szCs w:val="24"/>
        </w:rPr>
        <w:t>ë</w:t>
      </w:r>
      <w:r w:rsidRPr="00B457F5">
        <w:rPr>
          <w:rFonts w:ascii="Garamond" w:eastAsia="MS Mincho" w:hAnsi="Garamond" w:cs="Times New Roman"/>
          <w:b/>
          <w:bCs/>
          <w:iCs/>
          <w:szCs w:val="24"/>
        </w:rPr>
        <w:t xml:space="preserve">simi </w:t>
      </w:r>
      <w:r w:rsidR="00847761" w:rsidRPr="00B457F5">
        <w:rPr>
          <w:rFonts w:ascii="Garamond" w:eastAsia="MS Mincho" w:hAnsi="Garamond" w:cs="Times New Roman"/>
          <w:b/>
          <w:bCs/>
          <w:iCs/>
          <w:szCs w:val="24"/>
        </w:rPr>
        <w:t>si instrument p</w:t>
      </w:r>
      <w:r w:rsidR="00B0743F" w:rsidRPr="00B457F5">
        <w:rPr>
          <w:rFonts w:ascii="Garamond" w:eastAsia="MS Mincho" w:hAnsi="Garamond" w:cs="Times New Roman"/>
          <w:b/>
          <w:bCs/>
          <w:iCs/>
          <w:szCs w:val="24"/>
        </w:rPr>
        <w:t>ë</w:t>
      </w:r>
      <w:r w:rsidR="00847761" w:rsidRPr="00B457F5">
        <w:rPr>
          <w:rFonts w:ascii="Garamond" w:eastAsia="MS Mincho" w:hAnsi="Garamond" w:cs="Times New Roman"/>
          <w:b/>
          <w:bCs/>
          <w:iCs/>
          <w:szCs w:val="24"/>
        </w:rPr>
        <w:t>r zhvillim</w:t>
      </w:r>
    </w:p>
    <w:p w14:paraId="269794EB" w14:textId="04B75D7F" w:rsidR="007A4350" w:rsidRPr="00B457F5" w:rsidRDefault="0073134F"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Një ndryshim i rëndësishëm mund të vërehet në zgjedhjen e qëllimit të dytë të politikës, i cili </w:t>
      </w:r>
      <w:r w:rsidR="00B0743F" w:rsidRPr="00B457F5">
        <w:rPr>
          <w:rFonts w:ascii="Garamond" w:eastAsia="MS Mincho" w:hAnsi="Garamond" w:cs="Times New Roman"/>
          <w:szCs w:val="24"/>
        </w:rPr>
        <w:t>ë</w:t>
      </w:r>
      <w:r w:rsidRPr="00B457F5">
        <w:rPr>
          <w:rFonts w:ascii="Garamond" w:eastAsia="MS Mincho" w:hAnsi="Garamond" w:cs="Times New Roman"/>
          <w:szCs w:val="24"/>
        </w:rPr>
        <w:t>sht</w:t>
      </w:r>
      <w:r w:rsidR="00B0743F" w:rsidRPr="00B457F5">
        <w:rPr>
          <w:rFonts w:ascii="Garamond" w:eastAsia="MS Mincho" w:hAnsi="Garamond" w:cs="Times New Roman"/>
          <w:szCs w:val="24"/>
        </w:rPr>
        <w:t>ë</w:t>
      </w:r>
      <w:r w:rsidRPr="00B457F5">
        <w:rPr>
          <w:rFonts w:ascii="Garamond" w:eastAsia="MS Mincho" w:hAnsi="Garamond" w:cs="Times New Roman"/>
          <w:szCs w:val="24"/>
        </w:rPr>
        <w:t xml:space="preserve"> nj</w:t>
      </w:r>
      <w:r w:rsidR="00B0743F" w:rsidRPr="00B457F5">
        <w:rPr>
          <w:rFonts w:ascii="Garamond" w:eastAsia="MS Mincho" w:hAnsi="Garamond" w:cs="Times New Roman"/>
          <w:szCs w:val="24"/>
        </w:rPr>
        <w:t>ë</w:t>
      </w:r>
      <w:r w:rsidRPr="00B457F5">
        <w:rPr>
          <w:rFonts w:ascii="Garamond" w:eastAsia="MS Mincho" w:hAnsi="Garamond" w:cs="Times New Roman"/>
          <w:szCs w:val="24"/>
        </w:rPr>
        <w:t xml:space="preserve"> vazhdim</w:t>
      </w:r>
      <w:r w:rsidR="00B0743F" w:rsidRPr="00B457F5">
        <w:rPr>
          <w:rFonts w:ascii="Garamond" w:eastAsia="MS Mincho" w:hAnsi="Garamond" w:cs="Times New Roman"/>
          <w:szCs w:val="24"/>
        </w:rPr>
        <w:t>ë</w:t>
      </w:r>
      <w:r w:rsidRPr="00B457F5">
        <w:rPr>
          <w:rFonts w:ascii="Garamond" w:eastAsia="MS Mincho" w:hAnsi="Garamond" w:cs="Times New Roman"/>
          <w:szCs w:val="24"/>
        </w:rPr>
        <w:t>si e përpjekjeve t</w:t>
      </w:r>
      <w:r w:rsidR="00B0743F" w:rsidRPr="00B457F5">
        <w:rPr>
          <w:rFonts w:ascii="Garamond" w:eastAsia="MS Mincho" w:hAnsi="Garamond" w:cs="Times New Roman"/>
          <w:szCs w:val="24"/>
        </w:rPr>
        <w:t>ë</w:t>
      </w:r>
      <w:r w:rsidRPr="00B457F5">
        <w:rPr>
          <w:rFonts w:ascii="Garamond" w:eastAsia="MS Mincho" w:hAnsi="Garamond" w:cs="Times New Roman"/>
          <w:szCs w:val="24"/>
        </w:rPr>
        <w:t xml:space="preserve"> Shqipërisë për riintegrimin e shtetasve shqiptarë nën SKM dhe PV 2019</w:t>
      </w:r>
      <w:r w:rsidR="00BD0EC5" w:rsidRPr="00B457F5">
        <w:rPr>
          <w:rStyle w:val="contentpasted1"/>
          <w:rFonts w:ascii="Garamond" w:hAnsi="Garamond" w:cs="Times New Roman"/>
          <w:color w:val="000000"/>
        </w:rPr>
        <w:t>–</w:t>
      </w:r>
      <w:r w:rsidRPr="00B457F5">
        <w:rPr>
          <w:rFonts w:ascii="Garamond" w:eastAsia="MS Mincho" w:hAnsi="Garamond" w:cs="Times New Roman"/>
          <w:szCs w:val="24"/>
        </w:rPr>
        <w:t>2022</w:t>
      </w:r>
      <w:r w:rsidR="00B439A8" w:rsidRPr="00B457F5">
        <w:rPr>
          <w:rFonts w:ascii="Garamond" w:eastAsia="MS Mincho" w:hAnsi="Garamond" w:cs="Times New Roman"/>
          <w:szCs w:val="24"/>
        </w:rPr>
        <w:t>,</w:t>
      </w:r>
      <w:r w:rsidRPr="00B457F5">
        <w:rPr>
          <w:rFonts w:ascii="Garamond" w:eastAsia="MS Mincho" w:hAnsi="Garamond" w:cs="Times New Roman"/>
          <w:szCs w:val="24"/>
        </w:rPr>
        <w:t xml:space="preserve"> </w:t>
      </w:r>
      <w:r w:rsidR="001A3BD2" w:rsidRPr="00B457F5">
        <w:rPr>
          <w:rFonts w:ascii="Garamond" w:eastAsia="MS Mincho" w:hAnsi="Garamond" w:cs="Times New Roman"/>
          <w:szCs w:val="24"/>
        </w:rPr>
        <w:t>s</w:t>
      </w:r>
      <w:r w:rsidRPr="00B457F5">
        <w:rPr>
          <w:rFonts w:ascii="Garamond" w:eastAsia="MS Mincho" w:hAnsi="Garamond" w:cs="Times New Roman"/>
          <w:szCs w:val="24"/>
        </w:rPr>
        <w:t>htylla C</w:t>
      </w:r>
      <w:r w:rsidR="003D4665" w:rsidRPr="00B457F5">
        <w:rPr>
          <w:rFonts w:ascii="Garamond" w:eastAsia="MS Mincho" w:hAnsi="Garamond" w:cs="Times New Roman"/>
          <w:szCs w:val="24"/>
        </w:rPr>
        <w:t>.</w:t>
      </w:r>
      <w:r w:rsidR="00A619CA" w:rsidRPr="00B457F5">
        <w:rPr>
          <w:rFonts w:ascii="Garamond" w:eastAsia="MS Mincho" w:hAnsi="Garamond" w:cs="Times New Roman"/>
          <w:szCs w:val="24"/>
          <w:vertAlign w:val="superscript"/>
        </w:rPr>
        <w:footnoteReference w:id="62"/>
      </w:r>
      <w:r w:rsidR="00A619CA" w:rsidRPr="00B457F5">
        <w:rPr>
          <w:rFonts w:ascii="Garamond" w:eastAsia="MS Mincho" w:hAnsi="Garamond" w:cs="Times New Roman"/>
          <w:szCs w:val="24"/>
        </w:rPr>
        <w:t xml:space="preserve"> </w:t>
      </w:r>
      <w:r w:rsidRPr="00B457F5">
        <w:rPr>
          <w:rFonts w:ascii="Garamond" w:eastAsia="MS Mincho" w:hAnsi="Garamond" w:cs="Times New Roman"/>
          <w:szCs w:val="24"/>
        </w:rPr>
        <w:t xml:space="preserve">Ndërsa strategjia e mëparshme deklaronte si objektiv riintegrimin e migrantëve të kthyer, ajo </w:t>
      </w:r>
      <w:r w:rsidR="00B439A8" w:rsidRPr="00B457F5">
        <w:rPr>
          <w:rFonts w:ascii="Garamond" w:eastAsia="MS Mincho" w:hAnsi="Garamond" w:cs="Times New Roman"/>
          <w:szCs w:val="24"/>
        </w:rPr>
        <w:t>përqendrohej te</w:t>
      </w:r>
      <w:r w:rsidRPr="00B457F5">
        <w:rPr>
          <w:rFonts w:ascii="Garamond" w:eastAsia="MS Mincho" w:hAnsi="Garamond" w:cs="Times New Roman"/>
          <w:szCs w:val="24"/>
        </w:rPr>
        <w:t xml:space="preserve"> mënyrat se si migrantët shqiptarë dhe anëtarët e diasporës mund të angazhoheshin në disa forma të migrimit sezonal dhe qarkullues, dhe synonte të tërheqë migrantë me aftësi në kërkesë në tregun shqiptar të punës</w:t>
      </w:r>
      <w:r w:rsidR="003D4665" w:rsidRPr="00B457F5">
        <w:rPr>
          <w:rFonts w:ascii="Garamond" w:eastAsia="MS Mincho" w:hAnsi="Garamond" w:cs="Times New Roman"/>
          <w:szCs w:val="24"/>
        </w:rPr>
        <w:t>,</w:t>
      </w:r>
      <w:r w:rsidRPr="00B457F5">
        <w:rPr>
          <w:rFonts w:ascii="Garamond" w:eastAsia="MS Mincho" w:hAnsi="Garamond" w:cs="Times New Roman"/>
          <w:szCs w:val="24"/>
        </w:rPr>
        <w:t xml:space="preserve"> </w:t>
      </w:r>
      <w:r w:rsidR="003D4665" w:rsidRPr="00B457F5">
        <w:rPr>
          <w:rFonts w:ascii="Garamond" w:eastAsia="MS Mincho" w:hAnsi="Garamond" w:cs="Times New Roman"/>
          <w:szCs w:val="24"/>
        </w:rPr>
        <w:t>strategjia e re bashkon forma të ndryshme mbështetjeje nën një objektiv afatgjatë</w:t>
      </w:r>
      <w:r w:rsidR="001A3BD2" w:rsidRPr="00B457F5">
        <w:rPr>
          <w:rFonts w:ascii="Garamond" w:eastAsia="MS Mincho" w:hAnsi="Garamond" w:cs="Times New Roman"/>
          <w:szCs w:val="24"/>
        </w:rPr>
        <w:t>,</w:t>
      </w:r>
      <w:r w:rsidR="003D4665" w:rsidRPr="00B457F5">
        <w:rPr>
          <w:rFonts w:ascii="Garamond" w:eastAsia="MS Mincho" w:hAnsi="Garamond" w:cs="Times New Roman"/>
          <w:szCs w:val="24"/>
        </w:rPr>
        <w:t xml:space="preserve"> deri në vitin 2030</w:t>
      </w:r>
      <w:r w:rsidR="001A3BD2" w:rsidRPr="00B457F5">
        <w:rPr>
          <w:rFonts w:ascii="Garamond" w:eastAsia="MS Mincho" w:hAnsi="Garamond" w:cs="Times New Roman"/>
          <w:szCs w:val="24"/>
        </w:rPr>
        <w:t>,</w:t>
      </w:r>
      <w:r w:rsidR="003D4665" w:rsidRPr="00B457F5">
        <w:rPr>
          <w:rFonts w:ascii="Garamond" w:eastAsia="MS Mincho" w:hAnsi="Garamond" w:cs="Times New Roman"/>
          <w:szCs w:val="24"/>
        </w:rPr>
        <w:t xml:space="preserve"> të integrimit të qëndrueshëm të shtetasve shqiptarë të kthyer nga emigracioni.</w:t>
      </w:r>
      <w:r w:rsidR="00A619CA" w:rsidRPr="00B457F5">
        <w:rPr>
          <w:rFonts w:ascii="Garamond" w:eastAsia="MS Mincho" w:hAnsi="Garamond" w:cs="Times New Roman"/>
          <w:szCs w:val="24"/>
        </w:rPr>
        <w:t xml:space="preserve"> </w:t>
      </w:r>
      <w:r w:rsidR="001D6E29" w:rsidRPr="00B457F5">
        <w:rPr>
          <w:rFonts w:ascii="Garamond" w:eastAsia="MS Mincho" w:hAnsi="Garamond" w:cs="Times New Roman"/>
          <w:szCs w:val="24"/>
        </w:rPr>
        <w:t>Në veçanti, migrantët shqiptarë duhet të mbulohen me programe të dedikuara gjithëpërfshirëse riintegrimi, të zbatuara nën filozofin</w:t>
      </w:r>
      <w:r w:rsidR="00B0743F" w:rsidRPr="00B457F5">
        <w:rPr>
          <w:rFonts w:ascii="Garamond" w:eastAsia="MS Mincho" w:hAnsi="Garamond" w:cs="Times New Roman"/>
          <w:szCs w:val="24"/>
        </w:rPr>
        <w:t>ë</w:t>
      </w:r>
      <w:r w:rsidR="001D6E29" w:rsidRPr="00B457F5">
        <w:rPr>
          <w:rFonts w:ascii="Garamond" w:eastAsia="MS Mincho" w:hAnsi="Garamond" w:cs="Times New Roman"/>
          <w:szCs w:val="24"/>
        </w:rPr>
        <w:t xml:space="preserve"> </w:t>
      </w:r>
      <w:r w:rsidR="00A313AE" w:rsidRPr="00B457F5">
        <w:rPr>
          <w:rFonts w:ascii="Garamond" w:eastAsia="MS Mincho" w:hAnsi="Garamond" w:cs="Times New Roman"/>
          <w:szCs w:val="24"/>
        </w:rPr>
        <w:t>“</w:t>
      </w:r>
      <w:r w:rsidR="001D6E29" w:rsidRPr="00B457F5">
        <w:rPr>
          <w:rFonts w:ascii="Garamond" w:eastAsia="MS Mincho" w:hAnsi="Garamond" w:cs="Times New Roman"/>
          <w:szCs w:val="24"/>
        </w:rPr>
        <w:t>e gjithë qeveria</w:t>
      </w:r>
      <w:r w:rsidR="00A313AE" w:rsidRPr="00B457F5">
        <w:rPr>
          <w:rFonts w:ascii="Garamond" w:eastAsia="MS Mincho" w:hAnsi="Garamond" w:cs="Times New Roman"/>
          <w:szCs w:val="24"/>
        </w:rPr>
        <w:t>”</w:t>
      </w:r>
      <w:r w:rsidR="001D6E29" w:rsidRPr="00B457F5">
        <w:rPr>
          <w:rFonts w:ascii="Garamond" w:eastAsia="MS Mincho" w:hAnsi="Garamond" w:cs="Times New Roman"/>
          <w:szCs w:val="24"/>
        </w:rPr>
        <w:t xml:space="preserve"> nëpërmjet një mekanizmi të ri ndërinstitucional që lehtëson kthimin dhe riintegrimin. Ky theks i veçantë mbi një paketë mbështetëse gjithëpërfshirëse duket i justifikuar jo vetëm në dritën e përafrimit me </w:t>
      </w:r>
      <w:r w:rsidR="001A3BD2" w:rsidRPr="00B457F5">
        <w:rPr>
          <w:rFonts w:ascii="Garamond" w:eastAsia="MS Mincho" w:hAnsi="Garamond" w:cs="Times New Roman"/>
          <w:szCs w:val="24"/>
        </w:rPr>
        <w:t>o</w:t>
      </w:r>
      <w:r w:rsidR="001D6E29" w:rsidRPr="00B457F5">
        <w:rPr>
          <w:rFonts w:ascii="Garamond" w:eastAsia="MS Mincho" w:hAnsi="Garamond" w:cs="Times New Roman"/>
          <w:szCs w:val="24"/>
        </w:rPr>
        <w:t>bjektivin #21 të GCM</w:t>
      </w:r>
      <w:r w:rsidR="00FE62B3" w:rsidRPr="00B457F5">
        <w:rPr>
          <w:rFonts w:ascii="Garamond" w:eastAsia="MS Mincho" w:hAnsi="Garamond" w:cs="Times New Roman"/>
          <w:szCs w:val="24"/>
        </w:rPr>
        <w:t>-së</w:t>
      </w:r>
      <w:r w:rsidR="001D6E29" w:rsidRPr="00B457F5">
        <w:rPr>
          <w:rFonts w:ascii="Garamond" w:eastAsia="MS Mincho" w:hAnsi="Garamond" w:cs="Times New Roman"/>
          <w:szCs w:val="24"/>
        </w:rPr>
        <w:t>, por edhe në kontekstin e humbjeve të vazhdueshme demografike dhe të fuqisë punëtore për shkak të emigrimit.</w:t>
      </w:r>
      <w:r w:rsidR="00A619CA" w:rsidRPr="00B457F5">
        <w:rPr>
          <w:rFonts w:ascii="Garamond" w:eastAsia="MS Mincho" w:hAnsi="Garamond" w:cs="Times New Roman"/>
          <w:szCs w:val="24"/>
        </w:rPr>
        <w:t xml:space="preserve"> </w:t>
      </w:r>
      <w:r w:rsidR="007A4350" w:rsidRPr="00B457F5">
        <w:rPr>
          <w:rFonts w:ascii="Garamond" w:eastAsia="MS Mincho" w:hAnsi="Garamond" w:cs="Times New Roman"/>
          <w:szCs w:val="24"/>
        </w:rPr>
        <w:t xml:space="preserve">Duhet të theksohet se </w:t>
      </w:r>
      <w:r w:rsidR="001A3BD2" w:rsidRPr="00B457F5">
        <w:rPr>
          <w:rFonts w:ascii="Garamond" w:eastAsia="MS Mincho" w:hAnsi="Garamond" w:cs="Times New Roman"/>
          <w:szCs w:val="24"/>
        </w:rPr>
        <w:t xml:space="preserve">strategjia </w:t>
      </w:r>
      <w:r w:rsidR="007A4350" w:rsidRPr="00B457F5">
        <w:rPr>
          <w:rFonts w:ascii="Garamond" w:eastAsia="MS Mincho" w:hAnsi="Garamond" w:cs="Times New Roman"/>
          <w:szCs w:val="24"/>
        </w:rPr>
        <w:t>e re synon të përfshijë autoritetet vendore në zbatimin e programeve të riintegrimit, të cilat mund të ofrojnë stimuj për migrantët</w:t>
      </w:r>
      <w:r w:rsidR="001A3BD2" w:rsidRPr="00B457F5">
        <w:rPr>
          <w:rFonts w:ascii="Garamond" w:eastAsia="MS Mincho" w:hAnsi="Garamond" w:cs="Times New Roman"/>
          <w:szCs w:val="24"/>
        </w:rPr>
        <w:t>,</w:t>
      </w:r>
      <w:r w:rsidR="007A4350" w:rsidRPr="00B457F5">
        <w:rPr>
          <w:rFonts w:ascii="Garamond" w:eastAsia="MS Mincho" w:hAnsi="Garamond" w:cs="Times New Roman"/>
          <w:szCs w:val="24"/>
        </w:rPr>
        <w:t xml:space="preserve"> për</w:t>
      </w:r>
      <w:r w:rsidR="00A313AE" w:rsidRPr="00B457F5">
        <w:rPr>
          <w:rFonts w:ascii="Garamond" w:eastAsia="MS Mincho" w:hAnsi="Garamond" w:cs="Times New Roman"/>
          <w:szCs w:val="24"/>
        </w:rPr>
        <w:t xml:space="preserve"> t’u </w:t>
      </w:r>
      <w:r w:rsidR="007A4350" w:rsidRPr="00B457F5">
        <w:rPr>
          <w:rFonts w:ascii="Garamond" w:eastAsia="MS Mincho" w:hAnsi="Garamond" w:cs="Times New Roman"/>
          <w:szCs w:val="24"/>
        </w:rPr>
        <w:t>kthyer në rajonet e origjinës ose për të zgjedhur rajonet, të cilat janë më të prekura nga mungesa e aftësive dhe aseteve që mund të sjellin migrantët.</w:t>
      </w:r>
    </w:p>
    <w:p w14:paraId="640B6BCA" w14:textId="22D7A330" w:rsidR="008842DE" w:rsidRPr="00B457F5" w:rsidRDefault="002311C3"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Periudha e zbatimit të strategjisë</w:t>
      </w:r>
      <w:r w:rsidR="001A3BD2" w:rsidRPr="00B457F5">
        <w:rPr>
          <w:rFonts w:ascii="Garamond" w:eastAsia="MS Mincho" w:hAnsi="Garamond" w:cs="Times New Roman"/>
          <w:szCs w:val="24"/>
        </w:rPr>
        <w:t>,</w:t>
      </w:r>
      <w:r w:rsidRPr="00B457F5">
        <w:rPr>
          <w:rFonts w:ascii="Garamond" w:eastAsia="MS Mincho" w:hAnsi="Garamond" w:cs="Times New Roman"/>
          <w:szCs w:val="24"/>
        </w:rPr>
        <w:t xml:space="preserve"> 2019</w:t>
      </w:r>
      <w:r w:rsidR="00BD0EC5" w:rsidRPr="00B457F5">
        <w:rPr>
          <w:rStyle w:val="contentpasted1"/>
          <w:rFonts w:ascii="Garamond" w:hAnsi="Garamond" w:cs="Times New Roman"/>
          <w:color w:val="000000"/>
        </w:rPr>
        <w:t>–</w:t>
      </w:r>
      <w:r w:rsidRPr="00B457F5">
        <w:rPr>
          <w:rFonts w:ascii="Garamond" w:eastAsia="MS Mincho" w:hAnsi="Garamond" w:cs="Times New Roman"/>
          <w:szCs w:val="24"/>
        </w:rPr>
        <w:t>2022</w:t>
      </w:r>
      <w:r w:rsidR="001A3BD2" w:rsidRPr="00B457F5">
        <w:rPr>
          <w:rFonts w:ascii="Garamond" w:eastAsia="MS Mincho" w:hAnsi="Garamond" w:cs="Times New Roman"/>
          <w:szCs w:val="24"/>
        </w:rPr>
        <w:t>,</w:t>
      </w:r>
      <w:r w:rsidRPr="00B457F5">
        <w:rPr>
          <w:rFonts w:ascii="Garamond" w:eastAsia="MS Mincho" w:hAnsi="Garamond" w:cs="Times New Roman"/>
          <w:szCs w:val="24"/>
        </w:rPr>
        <w:t xml:space="preserve"> përkoi me procesin e uljes së vëllimit të migrimit të parregullt të shtetasve shqiptarë drejt BE-së dhe zbatimi</w:t>
      </w:r>
      <w:r w:rsidR="00F321FA" w:rsidRPr="00B457F5">
        <w:rPr>
          <w:rFonts w:ascii="Garamond" w:eastAsia="MS Mincho" w:hAnsi="Garamond" w:cs="Times New Roman"/>
          <w:szCs w:val="24"/>
        </w:rPr>
        <w:t>n e</w:t>
      </w:r>
      <w:r w:rsidR="0006016F" w:rsidRPr="00B457F5">
        <w:rPr>
          <w:rFonts w:ascii="Garamond" w:eastAsia="MS Mincho" w:hAnsi="Garamond" w:cs="Times New Roman"/>
          <w:szCs w:val="24"/>
        </w:rPr>
        <w:t xml:space="preserve"> </w:t>
      </w:r>
      <w:r w:rsidRPr="00B457F5">
        <w:rPr>
          <w:rFonts w:ascii="Garamond" w:eastAsia="MS Mincho" w:hAnsi="Garamond" w:cs="Times New Roman"/>
          <w:szCs w:val="24"/>
        </w:rPr>
        <w:t xml:space="preserve">suksesshëm të lëvizjes pa viza. Strategjia e re njeh këtë aspekt thelbësor të intensifikimit të kontakteve ndërmjet njerëzve dhe zgjeron gamën e masave parandaluese, të parashikuara në </w:t>
      </w:r>
      <w:r w:rsidR="001A3BD2" w:rsidRPr="00B457F5">
        <w:rPr>
          <w:rFonts w:ascii="Garamond" w:eastAsia="MS Mincho" w:hAnsi="Garamond" w:cs="Times New Roman"/>
          <w:szCs w:val="24"/>
        </w:rPr>
        <w:t>s</w:t>
      </w:r>
      <w:r w:rsidRPr="00B457F5">
        <w:rPr>
          <w:rFonts w:ascii="Garamond" w:eastAsia="MS Mincho" w:hAnsi="Garamond" w:cs="Times New Roman"/>
          <w:szCs w:val="24"/>
        </w:rPr>
        <w:t xml:space="preserve">htyllën B të dokumentit të mëparshëm (sigurimi i informacionit mbi rreziqet e migrimit të parregullt, </w:t>
      </w:r>
      <w:r w:rsidR="004B38CC" w:rsidRPr="00B457F5">
        <w:rPr>
          <w:rFonts w:ascii="Garamond" w:eastAsia="MS Mincho" w:hAnsi="Garamond" w:cs="Times New Roman"/>
          <w:szCs w:val="24"/>
        </w:rPr>
        <w:t>shqyrtimi analitik</w:t>
      </w:r>
      <w:r w:rsidR="001A3BD2" w:rsidRPr="00B457F5">
        <w:rPr>
          <w:rFonts w:ascii="Garamond" w:eastAsia="MS Mincho" w:hAnsi="Garamond" w:cs="Times New Roman"/>
          <w:szCs w:val="24"/>
        </w:rPr>
        <w:t>,</w:t>
      </w:r>
      <w:r w:rsidRPr="00B457F5">
        <w:rPr>
          <w:rFonts w:ascii="Garamond" w:eastAsia="MS Mincho" w:hAnsi="Garamond" w:cs="Times New Roman"/>
          <w:szCs w:val="24"/>
        </w:rPr>
        <w:t xml:space="preserve"> si dhe </w:t>
      </w:r>
      <w:r w:rsidR="008A5928" w:rsidRPr="00B457F5">
        <w:rPr>
          <w:rFonts w:ascii="Garamond" w:eastAsia="MS Mincho" w:hAnsi="Garamond" w:cs="Times New Roman"/>
          <w:szCs w:val="24"/>
        </w:rPr>
        <w:t xml:space="preserve">zvogëlimi i </w:t>
      </w:r>
      <w:r w:rsidRPr="00B457F5">
        <w:rPr>
          <w:rFonts w:ascii="Garamond" w:eastAsia="MS Mincho" w:hAnsi="Garamond" w:cs="Times New Roman"/>
          <w:szCs w:val="24"/>
        </w:rPr>
        <w:t>kohës së pritjes në kufi</w:t>
      </w:r>
      <w:r w:rsidR="008842DE" w:rsidRPr="00B457F5">
        <w:rPr>
          <w:rFonts w:ascii="Garamond" w:eastAsia="MS Mincho" w:hAnsi="Garamond" w:cs="Times New Roman"/>
          <w:szCs w:val="24"/>
        </w:rPr>
        <w:t xml:space="preserve">). </w:t>
      </w:r>
      <w:r w:rsidR="004E7A4A" w:rsidRPr="00B457F5">
        <w:rPr>
          <w:rFonts w:ascii="Garamond" w:eastAsia="MS Mincho" w:hAnsi="Garamond" w:cs="Times New Roman"/>
          <w:szCs w:val="24"/>
        </w:rPr>
        <w:t>Shtetasve shqiptarë u ofrohet n</w:t>
      </w:r>
      <w:r w:rsidR="008842DE" w:rsidRPr="00B457F5">
        <w:rPr>
          <w:rFonts w:ascii="Garamond" w:eastAsia="MS Mincho" w:hAnsi="Garamond" w:cs="Times New Roman"/>
          <w:szCs w:val="24"/>
        </w:rPr>
        <w:t>jë grup i qëndrueshëm stimujsh për të shfrytëzuar mundësitë e migrimit të rregullt</w:t>
      </w:r>
      <w:r w:rsidR="001A3BD2" w:rsidRPr="00B457F5">
        <w:rPr>
          <w:rFonts w:ascii="Garamond" w:eastAsia="MS Mincho" w:hAnsi="Garamond" w:cs="Times New Roman"/>
          <w:szCs w:val="24"/>
        </w:rPr>
        <w:t>,</w:t>
      </w:r>
      <w:r w:rsidR="008842DE" w:rsidRPr="00B457F5">
        <w:rPr>
          <w:rFonts w:ascii="Garamond" w:eastAsia="MS Mincho" w:hAnsi="Garamond" w:cs="Times New Roman"/>
          <w:szCs w:val="24"/>
        </w:rPr>
        <w:t xml:space="preserve"> jo vetëm </w:t>
      </w:r>
      <w:r w:rsidR="004E7A4A" w:rsidRPr="00B457F5">
        <w:rPr>
          <w:rFonts w:ascii="Garamond" w:eastAsia="MS Mincho" w:hAnsi="Garamond" w:cs="Times New Roman"/>
          <w:szCs w:val="24"/>
        </w:rPr>
        <w:t>sa i takon</w:t>
      </w:r>
      <w:r w:rsidR="008842DE" w:rsidRPr="00B457F5">
        <w:rPr>
          <w:rFonts w:ascii="Garamond" w:eastAsia="MS Mincho" w:hAnsi="Garamond" w:cs="Times New Roman"/>
          <w:szCs w:val="24"/>
        </w:rPr>
        <w:t xml:space="preserve"> lëvizjes afatshkurtër, por edhe mbrojtjes së të drejtave dhe maksimizimit të avantazheve ekonomike, arsimore dhe sociale të lëvizjes së rregullt.</w:t>
      </w:r>
    </w:p>
    <w:p w14:paraId="4E940006" w14:textId="3C34C8D5" w:rsidR="00B21D17" w:rsidRPr="00B457F5" w:rsidRDefault="00A313AE"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w:t>
      </w:r>
      <w:r w:rsidR="00B21D17" w:rsidRPr="00B457F5">
        <w:rPr>
          <w:rFonts w:ascii="Garamond" w:eastAsia="MS Mincho" w:hAnsi="Garamond" w:cs="Times New Roman"/>
          <w:szCs w:val="24"/>
        </w:rPr>
        <w:t xml:space="preserve">Është sidomos e mirëpritur që nxitja e migracionit të rregullt </w:t>
      </w:r>
      <w:r w:rsidR="00CE1F9B" w:rsidRPr="00B457F5">
        <w:rPr>
          <w:rFonts w:ascii="Garamond" w:eastAsia="MS Mincho" w:hAnsi="Garamond" w:cs="Times New Roman"/>
          <w:szCs w:val="24"/>
        </w:rPr>
        <w:t xml:space="preserve">të </w:t>
      </w:r>
      <w:r w:rsidR="00B21D17" w:rsidRPr="00B457F5">
        <w:rPr>
          <w:rFonts w:ascii="Garamond" w:eastAsia="MS Mincho" w:hAnsi="Garamond" w:cs="Times New Roman"/>
          <w:szCs w:val="24"/>
        </w:rPr>
        <w:t xml:space="preserve">vendoset në kuadrin e kontributit në zhvillimin e Shqipërisë, si dhe </w:t>
      </w:r>
      <w:r w:rsidR="00621A17" w:rsidRPr="00B457F5">
        <w:rPr>
          <w:rFonts w:ascii="Garamond" w:eastAsia="MS Mincho" w:hAnsi="Garamond" w:cs="Times New Roman"/>
          <w:szCs w:val="24"/>
        </w:rPr>
        <w:t xml:space="preserve">të </w:t>
      </w:r>
      <w:r w:rsidR="00B21D17" w:rsidRPr="00B457F5">
        <w:rPr>
          <w:rFonts w:ascii="Garamond" w:eastAsia="MS Mincho" w:hAnsi="Garamond" w:cs="Times New Roman"/>
          <w:szCs w:val="24"/>
        </w:rPr>
        <w:t>mbrojtje</w:t>
      </w:r>
      <w:r w:rsidR="00621A17" w:rsidRPr="00B457F5">
        <w:rPr>
          <w:rFonts w:ascii="Garamond" w:eastAsia="MS Mincho" w:hAnsi="Garamond" w:cs="Times New Roman"/>
          <w:szCs w:val="24"/>
        </w:rPr>
        <w:t>s</w:t>
      </w:r>
      <w:r w:rsidR="00B21D17" w:rsidRPr="00B457F5">
        <w:rPr>
          <w:rFonts w:ascii="Garamond" w:eastAsia="MS Mincho" w:hAnsi="Garamond" w:cs="Times New Roman"/>
          <w:szCs w:val="24"/>
        </w:rPr>
        <w:t xml:space="preserve"> </w:t>
      </w:r>
      <w:r w:rsidR="00621A17" w:rsidRPr="00B457F5">
        <w:rPr>
          <w:rFonts w:ascii="Garamond" w:eastAsia="MS Mincho" w:hAnsi="Garamond" w:cs="Times New Roman"/>
          <w:szCs w:val="24"/>
        </w:rPr>
        <w:t>së</w:t>
      </w:r>
      <w:r w:rsidR="00B21D17" w:rsidRPr="00B457F5">
        <w:rPr>
          <w:rFonts w:ascii="Garamond" w:eastAsia="MS Mincho" w:hAnsi="Garamond" w:cs="Times New Roman"/>
          <w:szCs w:val="24"/>
        </w:rPr>
        <w:t xml:space="preserve"> të drejtave të migrantëve. Strategjia e re, jo vetëm që kërkon përafrim më të madh me GCM</w:t>
      </w:r>
      <w:r w:rsidR="00621A17" w:rsidRPr="00B457F5">
        <w:rPr>
          <w:rFonts w:ascii="Garamond" w:eastAsia="MS Mincho" w:hAnsi="Garamond" w:cs="Times New Roman"/>
          <w:szCs w:val="24"/>
        </w:rPr>
        <w:t>-në</w:t>
      </w:r>
      <w:r w:rsidR="00B21D17" w:rsidRPr="00B457F5">
        <w:rPr>
          <w:rFonts w:ascii="Garamond" w:eastAsia="MS Mincho" w:hAnsi="Garamond" w:cs="Times New Roman"/>
          <w:szCs w:val="24"/>
        </w:rPr>
        <w:t xml:space="preserve"> (duke ofruar lidhje me objektivat #3, 14, 18 dhe 22), por gjithashtu prezanton nevojën për angazhimin e autoriteteve vendore, shërbimeve konsullore, shërbimeve të punësimit, aktorëve privatë dhe diasporës në një kontakt me emigrantët.</w:t>
      </w:r>
      <w:r w:rsidRPr="00B457F5">
        <w:rPr>
          <w:rFonts w:ascii="Garamond" w:eastAsia="MS Mincho" w:hAnsi="Garamond" w:cs="Times New Roman"/>
          <w:szCs w:val="24"/>
        </w:rPr>
        <w:t>”</w:t>
      </w:r>
      <w:r w:rsidR="00B21D17" w:rsidRPr="00B457F5">
        <w:rPr>
          <w:rFonts w:ascii="Garamond" w:eastAsia="MS Mincho" w:hAnsi="Garamond" w:cs="Times New Roman"/>
          <w:szCs w:val="24"/>
        </w:rPr>
        <w:t xml:space="preserve"> Prandaj, qasja e segmentuar, e cila izolon çështjet e kontrollit nga motivet për riatdhesim dhe mbrojtjen e të drejtave të migrantëve</w:t>
      </w:r>
      <w:r w:rsidR="00154A65" w:rsidRPr="00B457F5">
        <w:rPr>
          <w:rFonts w:ascii="Garamond" w:eastAsia="MS Mincho" w:hAnsi="Garamond" w:cs="Times New Roman"/>
          <w:szCs w:val="24"/>
        </w:rPr>
        <w:t xml:space="preserve">, </w:t>
      </w:r>
      <w:r w:rsidR="00B21D17" w:rsidRPr="00B457F5">
        <w:rPr>
          <w:rFonts w:ascii="Garamond" w:eastAsia="MS Mincho" w:hAnsi="Garamond" w:cs="Times New Roman"/>
          <w:szCs w:val="24"/>
        </w:rPr>
        <w:t>zëvendësohet nga një strategji gjithëpërfshirëse. Kjo strategji synon të parandalojë migrimin e pa</w:t>
      </w:r>
      <w:r w:rsidR="00EE1FCE" w:rsidRPr="00B457F5">
        <w:rPr>
          <w:rFonts w:ascii="Garamond" w:eastAsia="MS Mincho" w:hAnsi="Garamond" w:cs="Times New Roman"/>
          <w:szCs w:val="24"/>
        </w:rPr>
        <w:t>rregullt</w:t>
      </w:r>
      <w:r w:rsidR="001A3BD2" w:rsidRPr="00B457F5">
        <w:rPr>
          <w:rFonts w:ascii="Garamond" w:eastAsia="MS Mincho" w:hAnsi="Garamond" w:cs="Times New Roman"/>
          <w:szCs w:val="24"/>
        </w:rPr>
        <w:t>,</w:t>
      </w:r>
      <w:r w:rsidR="00B21D17" w:rsidRPr="00B457F5">
        <w:rPr>
          <w:rFonts w:ascii="Garamond" w:eastAsia="MS Mincho" w:hAnsi="Garamond" w:cs="Times New Roman"/>
          <w:szCs w:val="24"/>
        </w:rPr>
        <w:t xml:space="preserve"> duke </w:t>
      </w:r>
      <w:r w:rsidR="00621A17" w:rsidRPr="00B457F5">
        <w:rPr>
          <w:rFonts w:ascii="Garamond" w:eastAsia="MS Mincho" w:hAnsi="Garamond" w:cs="Times New Roman"/>
          <w:szCs w:val="24"/>
        </w:rPr>
        <w:t xml:space="preserve">trajtuar </w:t>
      </w:r>
      <w:r w:rsidR="00B21D17" w:rsidRPr="00B457F5">
        <w:rPr>
          <w:rFonts w:ascii="Garamond" w:eastAsia="MS Mincho" w:hAnsi="Garamond" w:cs="Times New Roman"/>
          <w:szCs w:val="24"/>
        </w:rPr>
        <w:t xml:space="preserve">një spektër më të gjerë migrantësh, duke përfshirë ata që mendojnë të largohen, </w:t>
      </w:r>
      <w:r w:rsidR="00621A17" w:rsidRPr="00B457F5">
        <w:rPr>
          <w:rFonts w:ascii="Garamond" w:eastAsia="MS Mincho" w:hAnsi="Garamond" w:cs="Times New Roman"/>
          <w:szCs w:val="24"/>
        </w:rPr>
        <w:t xml:space="preserve">ata </w:t>
      </w:r>
      <w:r w:rsidR="001A3BD2" w:rsidRPr="00B457F5">
        <w:rPr>
          <w:rFonts w:ascii="Garamond" w:eastAsia="MS Mincho" w:hAnsi="Garamond" w:cs="Times New Roman"/>
          <w:szCs w:val="24"/>
        </w:rPr>
        <w:t xml:space="preserve">që </w:t>
      </w:r>
      <w:r w:rsidR="00B21D17" w:rsidRPr="00B457F5">
        <w:rPr>
          <w:rFonts w:ascii="Garamond" w:eastAsia="MS Mincho" w:hAnsi="Garamond" w:cs="Times New Roman"/>
          <w:szCs w:val="24"/>
        </w:rPr>
        <w:t xml:space="preserve">planifikojnë kthimin e tyre dhe </w:t>
      </w:r>
      <w:r w:rsidR="00621A17" w:rsidRPr="00B457F5">
        <w:rPr>
          <w:rFonts w:ascii="Garamond" w:eastAsia="MS Mincho" w:hAnsi="Garamond" w:cs="Times New Roman"/>
          <w:szCs w:val="24"/>
        </w:rPr>
        <w:t xml:space="preserve">ata </w:t>
      </w:r>
      <w:r w:rsidR="00B21D17" w:rsidRPr="00B457F5">
        <w:rPr>
          <w:rFonts w:ascii="Garamond" w:eastAsia="MS Mincho" w:hAnsi="Garamond" w:cs="Times New Roman"/>
          <w:szCs w:val="24"/>
        </w:rPr>
        <w:t>që kërkojnë mbrojtje ndërsa janë jashtë vendit.</w:t>
      </w:r>
    </w:p>
    <w:p w14:paraId="21569DB9" w14:textId="604ACC15" w:rsidR="00A619CA" w:rsidRPr="00B457F5" w:rsidRDefault="00154A65" w:rsidP="002E693B">
      <w:pPr>
        <w:spacing w:before="0" w:after="0"/>
        <w:ind w:firstLine="284"/>
        <w:rPr>
          <w:rFonts w:ascii="Garamond" w:eastAsia="MS Mincho" w:hAnsi="Garamond" w:cs="Times New Roman"/>
          <w:b/>
          <w:bCs/>
          <w:iCs/>
          <w:szCs w:val="24"/>
        </w:rPr>
      </w:pPr>
      <w:r w:rsidRPr="00B457F5">
        <w:rPr>
          <w:rFonts w:ascii="Garamond" w:eastAsia="MS Mincho" w:hAnsi="Garamond" w:cs="Times New Roman"/>
          <w:b/>
          <w:bCs/>
          <w:iCs/>
          <w:szCs w:val="24"/>
        </w:rPr>
        <w:t>Mbrojtja e t</w:t>
      </w:r>
      <w:r w:rsidR="00B0743F" w:rsidRPr="00B457F5">
        <w:rPr>
          <w:rFonts w:ascii="Garamond" w:eastAsia="MS Mincho" w:hAnsi="Garamond" w:cs="Times New Roman"/>
          <w:b/>
          <w:bCs/>
          <w:iCs/>
          <w:szCs w:val="24"/>
        </w:rPr>
        <w:t>ë</w:t>
      </w:r>
      <w:r w:rsidRPr="00B457F5">
        <w:rPr>
          <w:rFonts w:ascii="Garamond" w:eastAsia="MS Mincho" w:hAnsi="Garamond" w:cs="Times New Roman"/>
          <w:b/>
          <w:bCs/>
          <w:iCs/>
          <w:szCs w:val="24"/>
        </w:rPr>
        <w:t xml:space="preserve"> </w:t>
      </w:r>
      <w:r w:rsidR="00BD0EC5" w:rsidRPr="00B457F5">
        <w:rPr>
          <w:rFonts w:ascii="Garamond" w:eastAsia="MS Mincho" w:hAnsi="Garamond" w:cs="Times New Roman"/>
          <w:b/>
          <w:bCs/>
          <w:iCs/>
          <w:szCs w:val="24"/>
        </w:rPr>
        <w:t>drejtave të migrantëve</w:t>
      </w:r>
    </w:p>
    <w:p w14:paraId="3965F6FF" w14:textId="0757F860" w:rsidR="00883086" w:rsidRPr="00B457F5" w:rsidRDefault="0008309B"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lastRenderedPageBreak/>
        <w:t xml:space="preserve">Strategjia e </w:t>
      </w:r>
      <w:r w:rsidR="0009676E" w:rsidRPr="00B457F5">
        <w:rPr>
          <w:rFonts w:ascii="Garamond" w:eastAsia="MS Mincho" w:hAnsi="Garamond" w:cs="Times New Roman"/>
          <w:szCs w:val="24"/>
        </w:rPr>
        <w:t>r</w:t>
      </w:r>
      <w:r w:rsidRPr="00B457F5">
        <w:rPr>
          <w:rFonts w:ascii="Garamond" w:eastAsia="MS Mincho" w:hAnsi="Garamond" w:cs="Times New Roman"/>
          <w:szCs w:val="24"/>
        </w:rPr>
        <w:t>e riafirmon rëndësinë e të drejtave në qeverisjen e migracionit</w:t>
      </w:r>
      <w:r w:rsidR="0009676E" w:rsidRPr="00B457F5">
        <w:rPr>
          <w:rFonts w:ascii="Garamond" w:eastAsia="MS Mincho" w:hAnsi="Garamond" w:cs="Times New Roman"/>
          <w:szCs w:val="24"/>
        </w:rPr>
        <w:t>,</w:t>
      </w:r>
      <w:r w:rsidRPr="00B457F5">
        <w:rPr>
          <w:rFonts w:ascii="Garamond" w:eastAsia="MS Mincho" w:hAnsi="Garamond" w:cs="Times New Roman"/>
          <w:szCs w:val="24"/>
        </w:rPr>
        <w:t xml:space="preserve"> duke </w:t>
      </w:r>
      <w:r w:rsidR="00E40E21" w:rsidRPr="00B457F5">
        <w:rPr>
          <w:rFonts w:ascii="Garamond" w:eastAsia="MS Mincho" w:hAnsi="Garamond" w:cs="Times New Roman"/>
          <w:szCs w:val="24"/>
        </w:rPr>
        <w:t>i</w:t>
      </w:r>
      <w:r w:rsidRPr="00B457F5">
        <w:rPr>
          <w:rFonts w:ascii="Garamond" w:eastAsia="MS Mincho" w:hAnsi="Garamond" w:cs="Times New Roman"/>
          <w:szCs w:val="24"/>
        </w:rPr>
        <w:t xml:space="preserve"> kushtuar qëllimi</w:t>
      </w:r>
      <w:r w:rsidR="00E40E21" w:rsidRPr="00B457F5">
        <w:rPr>
          <w:rFonts w:ascii="Garamond" w:eastAsia="MS Mincho" w:hAnsi="Garamond" w:cs="Times New Roman"/>
          <w:szCs w:val="24"/>
        </w:rPr>
        <w:t>n e</w:t>
      </w:r>
      <w:r w:rsidRPr="00B457F5">
        <w:rPr>
          <w:rFonts w:ascii="Garamond" w:eastAsia="MS Mincho" w:hAnsi="Garamond" w:cs="Times New Roman"/>
          <w:szCs w:val="24"/>
        </w:rPr>
        <w:t xml:space="preserve"> tretë </w:t>
      </w:r>
      <w:r w:rsidR="00E40E21" w:rsidRPr="00B457F5">
        <w:rPr>
          <w:rFonts w:ascii="Garamond" w:eastAsia="MS Mincho" w:hAnsi="Garamond" w:cs="Times New Roman"/>
          <w:szCs w:val="24"/>
        </w:rPr>
        <w:t>politik</w:t>
      </w:r>
      <w:r w:rsidRPr="00B457F5">
        <w:rPr>
          <w:rFonts w:ascii="Garamond" w:eastAsia="MS Mincho" w:hAnsi="Garamond" w:cs="Times New Roman"/>
          <w:szCs w:val="24"/>
        </w:rPr>
        <w:t xml:space="preserve"> promovimit të të drejtave të emigrantëve. Duke ndjek</w:t>
      </w:r>
      <w:r w:rsidR="00E40E21" w:rsidRPr="00B457F5">
        <w:rPr>
          <w:rFonts w:ascii="Garamond" w:eastAsia="MS Mincho" w:hAnsi="Garamond" w:cs="Times New Roman"/>
          <w:szCs w:val="24"/>
        </w:rPr>
        <w:t>ur k</w:t>
      </w:r>
      <w:r w:rsidR="00B0743F" w:rsidRPr="00B457F5">
        <w:rPr>
          <w:rFonts w:ascii="Garamond" w:eastAsia="MS Mincho" w:hAnsi="Garamond" w:cs="Times New Roman"/>
          <w:szCs w:val="24"/>
        </w:rPr>
        <w:t>ë</w:t>
      </w:r>
      <w:r w:rsidR="00E40E21" w:rsidRPr="00B457F5">
        <w:rPr>
          <w:rFonts w:ascii="Garamond" w:eastAsia="MS Mincho" w:hAnsi="Garamond" w:cs="Times New Roman"/>
          <w:szCs w:val="24"/>
        </w:rPr>
        <w:t>shtu</w:t>
      </w:r>
      <w:r w:rsidRPr="00B457F5">
        <w:rPr>
          <w:rFonts w:ascii="Garamond" w:eastAsia="MS Mincho" w:hAnsi="Garamond" w:cs="Times New Roman"/>
          <w:szCs w:val="24"/>
        </w:rPr>
        <w:t xml:space="preserve"> drejtimin e vendosur nga </w:t>
      </w:r>
      <w:r w:rsidR="0009676E" w:rsidRPr="00B457F5">
        <w:rPr>
          <w:rFonts w:ascii="Garamond" w:eastAsia="MS Mincho" w:hAnsi="Garamond" w:cs="Times New Roman"/>
          <w:szCs w:val="24"/>
        </w:rPr>
        <w:t>s</w:t>
      </w:r>
      <w:r w:rsidRPr="00B457F5">
        <w:rPr>
          <w:rFonts w:ascii="Garamond" w:eastAsia="MS Mincho" w:hAnsi="Garamond" w:cs="Times New Roman"/>
          <w:szCs w:val="24"/>
        </w:rPr>
        <w:t xml:space="preserve">htylla </w:t>
      </w:r>
      <w:r w:rsidR="00A619CA" w:rsidRPr="00B457F5">
        <w:rPr>
          <w:rFonts w:ascii="Garamond" w:eastAsia="MS Mincho" w:hAnsi="Garamond" w:cs="Times New Roman"/>
          <w:szCs w:val="24"/>
        </w:rPr>
        <w:t>D</w:t>
      </w:r>
      <w:r w:rsidR="00A619CA" w:rsidRPr="00B457F5">
        <w:rPr>
          <w:rFonts w:ascii="Garamond" w:eastAsia="MS Mincho" w:hAnsi="Garamond" w:cs="Times New Roman"/>
          <w:szCs w:val="24"/>
          <w:vertAlign w:val="superscript"/>
        </w:rPr>
        <w:footnoteReference w:id="63"/>
      </w:r>
      <w:r w:rsidR="00A619CA" w:rsidRPr="00B457F5">
        <w:rPr>
          <w:rFonts w:ascii="Garamond" w:eastAsia="MS Mincho" w:hAnsi="Garamond" w:cs="Times New Roman"/>
          <w:szCs w:val="24"/>
        </w:rPr>
        <w:t xml:space="preserve"> </w:t>
      </w:r>
      <w:r w:rsidR="00867EF4" w:rsidRPr="00B457F5">
        <w:rPr>
          <w:rFonts w:ascii="Garamond" w:eastAsia="MS Mincho" w:hAnsi="Garamond" w:cs="Times New Roman"/>
          <w:szCs w:val="24"/>
        </w:rPr>
        <w:t>e</w:t>
      </w:r>
      <w:r w:rsidR="00E40E21" w:rsidRPr="00B457F5">
        <w:rPr>
          <w:rFonts w:ascii="Garamond" w:eastAsia="MS Mincho" w:hAnsi="Garamond" w:cs="Times New Roman"/>
          <w:szCs w:val="24"/>
        </w:rPr>
        <w:t xml:space="preserve"> dokumentit të mëparshëm, i cili synonte ngritjen e një kuadri gjithëpërfshirës jodiskriminues, duke </w:t>
      </w:r>
      <w:r w:rsidR="00C03587" w:rsidRPr="00B457F5">
        <w:rPr>
          <w:rFonts w:ascii="Garamond" w:eastAsia="MS Mincho" w:hAnsi="Garamond" w:cs="Times New Roman"/>
          <w:szCs w:val="24"/>
        </w:rPr>
        <w:t xml:space="preserve">trajtuar </w:t>
      </w:r>
      <w:r w:rsidR="00E40E21" w:rsidRPr="00B457F5">
        <w:rPr>
          <w:rFonts w:ascii="Garamond" w:eastAsia="MS Mincho" w:hAnsi="Garamond" w:cs="Times New Roman"/>
          <w:szCs w:val="24"/>
        </w:rPr>
        <w:t xml:space="preserve">nevojat specifike të migrantëve nëpërmjet asistencës së </w:t>
      </w:r>
      <w:r w:rsidR="001E13C5" w:rsidRPr="00B457F5">
        <w:rPr>
          <w:rFonts w:ascii="Garamond" w:eastAsia="MS Mincho" w:hAnsi="Garamond" w:cs="Times New Roman"/>
          <w:szCs w:val="24"/>
        </w:rPr>
        <w:t>dedikuar</w:t>
      </w:r>
      <w:r w:rsidR="00E40E21" w:rsidRPr="00B457F5">
        <w:rPr>
          <w:rFonts w:ascii="Garamond" w:eastAsia="MS Mincho" w:hAnsi="Garamond" w:cs="Times New Roman"/>
          <w:szCs w:val="24"/>
        </w:rPr>
        <w:t xml:space="preserve"> dhe ofrimi</w:t>
      </w:r>
      <w:r w:rsidR="00867EF4" w:rsidRPr="00B457F5">
        <w:rPr>
          <w:rFonts w:ascii="Garamond" w:eastAsia="MS Mincho" w:hAnsi="Garamond" w:cs="Times New Roman"/>
          <w:szCs w:val="24"/>
        </w:rPr>
        <w:t>t të</w:t>
      </w:r>
      <w:r w:rsidR="00E40E21" w:rsidRPr="00B457F5">
        <w:rPr>
          <w:rFonts w:ascii="Garamond" w:eastAsia="MS Mincho" w:hAnsi="Garamond" w:cs="Times New Roman"/>
          <w:szCs w:val="24"/>
        </w:rPr>
        <w:t xml:space="preserve"> zgjidhjeve ligjore të qëndrueshme</w:t>
      </w:r>
      <w:r w:rsidR="00A35125" w:rsidRPr="00B457F5">
        <w:rPr>
          <w:rFonts w:ascii="Garamond" w:eastAsia="MS Mincho" w:hAnsi="Garamond" w:cs="Times New Roman"/>
          <w:szCs w:val="24"/>
        </w:rPr>
        <w:t xml:space="preserve">. Megjithatë, mbrojtja e të drejtave është e lidhur ngushtë me ofrimin e shërbimeve në </w:t>
      </w:r>
      <w:r w:rsidR="00F80843" w:rsidRPr="00B457F5">
        <w:rPr>
          <w:rFonts w:ascii="Garamond" w:eastAsia="MS Mincho" w:hAnsi="Garamond" w:cs="Times New Roman"/>
          <w:szCs w:val="24"/>
        </w:rPr>
        <w:t xml:space="preserve">strategjinë </w:t>
      </w:r>
      <w:r w:rsidR="00A35125" w:rsidRPr="00B457F5">
        <w:rPr>
          <w:rFonts w:ascii="Garamond" w:eastAsia="MS Mincho" w:hAnsi="Garamond" w:cs="Times New Roman"/>
          <w:szCs w:val="24"/>
        </w:rPr>
        <w:t xml:space="preserve">e re, duke e përafruar atë me </w:t>
      </w:r>
      <w:r w:rsidR="00F80843" w:rsidRPr="00B457F5">
        <w:rPr>
          <w:rFonts w:ascii="Garamond" w:eastAsia="MS Mincho" w:hAnsi="Garamond" w:cs="Times New Roman"/>
          <w:szCs w:val="24"/>
        </w:rPr>
        <w:t>o</w:t>
      </w:r>
      <w:r w:rsidR="00A35125" w:rsidRPr="00B457F5">
        <w:rPr>
          <w:rFonts w:ascii="Garamond" w:eastAsia="MS Mincho" w:hAnsi="Garamond" w:cs="Times New Roman"/>
          <w:szCs w:val="24"/>
        </w:rPr>
        <w:t>bjektivin #15 të GCM</w:t>
      </w:r>
      <w:r w:rsidR="003C171F" w:rsidRPr="00B457F5">
        <w:rPr>
          <w:rFonts w:ascii="Garamond" w:eastAsia="MS Mincho" w:hAnsi="Garamond" w:cs="Times New Roman"/>
          <w:szCs w:val="24"/>
        </w:rPr>
        <w:t>-së</w:t>
      </w:r>
      <w:r w:rsidR="00A35125" w:rsidRPr="00B457F5">
        <w:rPr>
          <w:rFonts w:ascii="Garamond" w:eastAsia="MS Mincho" w:hAnsi="Garamond" w:cs="Times New Roman"/>
          <w:szCs w:val="24"/>
        </w:rPr>
        <w:t xml:space="preserve">. Një pikë shumë e rëndësishme e vazhdimësisë është angazhimi për të miratuar dhe zbatuar programe të dedikuara për integrimin e migrantëve. Kjo pasohet nga një objektiv specifik, sipas të cilit, në përputhje me </w:t>
      </w:r>
      <w:r w:rsidR="00F80843" w:rsidRPr="00B457F5">
        <w:rPr>
          <w:rFonts w:ascii="Garamond" w:eastAsia="MS Mincho" w:hAnsi="Garamond" w:cs="Times New Roman"/>
          <w:szCs w:val="24"/>
        </w:rPr>
        <w:t>o</w:t>
      </w:r>
      <w:r w:rsidR="00A35125" w:rsidRPr="00B457F5">
        <w:rPr>
          <w:rFonts w:ascii="Garamond" w:eastAsia="MS Mincho" w:hAnsi="Garamond" w:cs="Times New Roman"/>
          <w:szCs w:val="24"/>
        </w:rPr>
        <w:t>bjektivin #7 të GCM</w:t>
      </w:r>
      <w:r w:rsidR="00F80843" w:rsidRPr="00B457F5">
        <w:rPr>
          <w:rFonts w:ascii="Garamond" w:eastAsia="MS Mincho" w:hAnsi="Garamond" w:cs="Times New Roman"/>
          <w:szCs w:val="24"/>
        </w:rPr>
        <w:t>-së</w:t>
      </w:r>
      <w:r w:rsidR="00A35125" w:rsidRPr="00B457F5">
        <w:rPr>
          <w:rFonts w:ascii="Garamond" w:eastAsia="MS Mincho" w:hAnsi="Garamond" w:cs="Times New Roman"/>
          <w:szCs w:val="24"/>
        </w:rPr>
        <w:t xml:space="preserve">, ofrimi i ndihmës do të përshtatet për të përmbushur nevojat e migrantëve si një kategori </w:t>
      </w:r>
      <w:r w:rsidR="003C171F" w:rsidRPr="00B457F5">
        <w:rPr>
          <w:rFonts w:ascii="Garamond" w:eastAsia="MS Mincho" w:hAnsi="Garamond" w:cs="Times New Roman"/>
          <w:szCs w:val="24"/>
        </w:rPr>
        <w:t>e cenueshme</w:t>
      </w:r>
      <w:r w:rsidR="00A35125" w:rsidRPr="00B457F5">
        <w:rPr>
          <w:rFonts w:ascii="Garamond" w:eastAsia="MS Mincho" w:hAnsi="Garamond" w:cs="Times New Roman"/>
          <w:szCs w:val="24"/>
        </w:rPr>
        <w:t xml:space="preserve">. Përfshirja e migrantëve si kategori për ofrimin e shërbimeve bazë, identifikimi i </w:t>
      </w:r>
      <w:r w:rsidR="003C171F" w:rsidRPr="00B457F5">
        <w:rPr>
          <w:rFonts w:ascii="Garamond" w:eastAsia="MS Mincho" w:hAnsi="Garamond" w:cs="Times New Roman"/>
          <w:szCs w:val="24"/>
        </w:rPr>
        <w:t xml:space="preserve">cenueshmërive </w:t>
      </w:r>
      <w:r w:rsidR="00A35125" w:rsidRPr="00B457F5">
        <w:rPr>
          <w:rFonts w:ascii="Garamond" w:eastAsia="MS Mincho" w:hAnsi="Garamond" w:cs="Times New Roman"/>
          <w:szCs w:val="24"/>
        </w:rPr>
        <w:t xml:space="preserve">të tyre dhe përshtatja e nevojave të grupeve specifike të migrantëve (në pikëpamje të moshës ose gjinisë së tyre) përfaqëson një hap të madh drejt ndërtimit të themeleve të një politike kombëtare të integrimit të migrantëve. </w:t>
      </w:r>
      <w:r w:rsidR="00530DC3" w:rsidRPr="00B457F5">
        <w:rPr>
          <w:rFonts w:ascii="Garamond" w:eastAsia="MS Mincho" w:hAnsi="Garamond" w:cs="Times New Roman"/>
          <w:szCs w:val="24"/>
        </w:rPr>
        <w:t xml:space="preserve">Vështirësitë që hasin aktorë të ndryshëm (në veçanti, autoritetet </w:t>
      </w:r>
      <w:r w:rsidR="00DA205E" w:rsidRPr="00B457F5">
        <w:rPr>
          <w:rFonts w:ascii="Garamond" w:eastAsia="MS Mincho" w:hAnsi="Garamond" w:cs="Times New Roman"/>
          <w:szCs w:val="24"/>
        </w:rPr>
        <w:t>vendore</w:t>
      </w:r>
      <w:r w:rsidR="00530DC3" w:rsidRPr="00B457F5">
        <w:rPr>
          <w:rFonts w:ascii="Garamond" w:eastAsia="MS Mincho" w:hAnsi="Garamond" w:cs="Times New Roman"/>
          <w:szCs w:val="24"/>
        </w:rPr>
        <w:t xml:space="preserve">) </w:t>
      </w:r>
      <w:r w:rsidR="00E40778" w:rsidRPr="00B457F5">
        <w:rPr>
          <w:rFonts w:ascii="Garamond" w:eastAsia="MS Mincho" w:hAnsi="Garamond" w:cs="Times New Roman"/>
          <w:szCs w:val="24"/>
        </w:rPr>
        <w:t xml:space="preserve">për </w:t>
      </w:r>
      <w:r w:rsidR="00530DC3" w:rsidRPr="00B457F5">
        <w:rPr>
          <w:rFonts w:ascii="Garamond" w:eastAsia="MS Mincho" w:hAnsi="Garamond" w:cs="Times New Roman"/>
          <w:szCs w:val="24"/>
        </w:rPr>
        <w:t xml:space="preserve">mbledhjen dhe shkëmbimin e të dhënave, </w:t>
      </w:r>
      <w:r w:rsidR="00E40778" w:rsidRPr="00B457F5">
        <w:rPr>
          <w:rFonts w:ascii="Garamond" w:eastAsia="MS Mincho" w:hAnsi="Garamond" w:cs="Times New Roman"/>
          <w:szCs w:val="24"/>
        </w:rPr>
        <w:t>caktimin e personelit</w:t>
      </w:r>
      <w:r w:rsidR="00530DC3" w:rsidRPr="00B457F5">
        <w:rPr>
          <w:rFonts w:ascii="Garamond" w:eastAsia="MS Mincho" w:hAnsi="Garamond" w:cs="Times New Roman"/>
          <w:szCs w:val="24"/>
        </w:rPr>
        <w:t xml:space="preserve"> të mjaftueshëm, investim</w:t>
      </w:r>
      <w:r w:rsidR="00E40778" w:rsidRPr="00B457F5">
        <w:rPr>
          <w:rFonts w:ascii="Garamond" w:eastAsia="MS Mincho" w:hAnsi="Garamond" w:cs="Times New Roman"/>
          <w:szCs w:val="24"/>
        </w:rPr>
        <w:t>et</w:t>
      </w:r>
      <w:r w:rsidR="00530DC3" w:rsidRPr="00B457F5">
        <w:rPr>
          <w:rFonts w:ascii="Garamond" w:eastAsia="MS Mincho" w:hAnsi="Garamond" w:cs="Times New Roman"/>
          <w:szCs w:val="24"/>
        </w:rPr>
        <w:t xml:space="preserve"> në infrastrukturë, të gjitha duhet të merren parasysh gjatë planifikimit të udhërrëfyesit. Mbështetja nëpërmjet trajnimeve, vizitave studimore, shkëmbimit të eksperiencave midis rajoneve, si dhe investimi në pajisje dhe infrastrukturën e nevojshme do të jenë thelbësore për përmbushjen e këtij angazhimi ambicioz të Shqipërisë, veçanërisht</w:t>
      </w:r>
      <w:r w:rsidR="00F80843" w:rsidRPr="00B457F5">
        <w:rPr>
          <w:rFonts w:ascii="Garamond" w:eastAsia="MS Mincho" w:hAnsi="Garamond" w:cs="Times New Roman"/>
          <w:szCs w:val="24"/>
        </w:rPr>
        <w:t>,</w:t>
      </w:r>
      <w:r w:rsidR="00530DC3" w:rsidRPr="00B457F5">
        <w:rPr>
          <w:rFonts w:ascii="Garamond" w:eastAsia="MS Mincho" w:hAnsi="Garamond" w:cs="Times New Roman"/>
          <w:szCs w:val="24"/>
        </w:rPr>
        <w:t xml:space="preserve"> duke pasur parasysh mundësinë e rritjes së shkallës së imigracionit ndërsa vendi i afrohet anëtarësimit në BE. </w:t>
      </w:r>
      <w:r w:rsidR="002D7900" w:rsidRPr="00B457F5">
        <w:rPr>
          <w:rFonts w:ascii="Garamond" w:eastAsia="MS Mincho" w:hAnsi="Garamond" w:cs="Times New Roman"/>
          <w:szCs w:val="24"/>
        </w:rPr>
        <w:t xml:space="preserve">Është e rëndësishme që </w:t>
      </w:r>
      <w:r w:rsidR="002A5B24" w:rsidRPr="00B457F5">
        <w:rPr>
          <w:rFonts w:ascii="Garamond" w:eastAsia="MS Mincho" w:hAnsi="Garamond" w:cs="Times New Roman"/>
          <w:szCs w:val="24"/>
        </w:rPr>
        <w:t>s</w:t>
      </w:r>
      <w:r w:rsidR="002D7900" w:rsidRPr="00B457F5">
        <w:rPr>
          <w:rFonts w:ascii="Garamond" w:eastAsia="MS Mincho" w:hAnsi="Garamond" w:cs="Times New Roman"/>
          <w:szCs w:val="24"/>
        </w:rPr>
        <w:t xml:space="preserve">trategjia e re të mbështetet në </w:t>
      </w:r>
      <w:r w:rsidR="00F80843" w:rsidRPr="00B457F5">
        <w:rPr>
          <w:rFonts w:ascii="Garamond" w:eastAsia="MS Mincho" w:hAnsi="Garamond" w:cs="Times New Roman"/>
          <w:szCs w:val="24"/>
        </w:rPr>
        <w:t>s</w:t>
      </w:r>
      <w:r w:rsidR="002D7900" w:rsidRPr="00B457F5">
        <w:rPr>
          <w:rFonts w:ascii="Garamond" w:eastAsia="MS Mincho" w:hAnsi="Garamond" w:cs="Times New Roman"/>
          <w:szCs w:val="24"/>
        </w:rPr>
        <w:t>htyllën D edhe në lidhje me zgjidhjet e qëndrueshme për emigrantët, duke i angazhuar institucionet shqiptare në krijimin e kushteve të qarta për marrjen e qëndrimit dhe shtetësisë afatgjatë, duke i kushtuar vëmendje qëndrueshmërisë së statusit dhe parandalimi</w:t>
      </w:r>
      <w:r w:rsidR="002A5B24" w:rsidRPr="00B457F5">
        <w:rPr>
          <w:rFonts w:ascii="Garamond" w:eastAsia="MS Mincho" w:hAnsi="Garamond" w:cs="Times New Roman"/>
          <w:szCs w:val="24"/>
        </w:rPr>
        <w:t>t të</w:t>
      </w:r>
      <w:r w:rsidR="002D7900" w:rsidRPr="00B457F5">
        <w:rPr>
          <w:rFonts w:ascii="Garamond" w:eastAsia="MS Mincho" w:hAnsi="Garamond" w:cs="Times New Roman"/>
          <w:szCs w:val="24"/>
        </w:rPr>
        <w:t xml:space="preserve"> pashtetësisë. Karakteri afatgjatë i mandateve të </w:t>
      </w:r>
      <w:r w:rsidR="00F80843" w:rsidRPr="00B457F5">
        <w:rPr>
          <w:rFonts w:ascii="Garamond" w:eastAsia="MS Mincho" w:hAnsi="Garamond" w:cs="Times New Roman"/>
          <w:szCs w:val="24"/>
        </w:rPr>
        <w:t>s</w:t>
      </w:r>
      <w:r w:rsidR="002D7900" w:rsidRPr="00B457F5">
        <w:rPr>
          <w:rFonts w:ascii="Garamond" w:eastAsia="MS Mincho" w:hAnsi="Garamond" w:cs="Times New Roman"/>
          <w:szCs w:val="24"/>
        </w:rPr>
        <w:t>trategjisë ka mbështetur gjithashtu përpjekjet për rritjen e pjesëmarrjes së migrantëve në komunitetin lokal, gjë që është jetike jo vetëm nga këndvështrimi i barazisë së të drejtave dhe përfshirjes, por edhe për krijimin e kushteve për kontributin e plotë të migrantëve në zhvillimin lokal.</w:t>
      </w:r>
    </w:p>
    <w:p w14:paraId="0E9E30BA" w14:textId="57D0D43F" w:rsidR="004E25B5" w:rsidRPr="00B457F5" w:rsidRDefault="001C6A66" w:rsidP="002E693B">
      <w:pPr>
        <w:pStyle w:val="Heading1"/>
        <w:spacing w:before="0" w:after="0"/>
        <w:ind w:left="0" w:firstLine="284"/>
        <w:rPr>
          <w:rFonts w:ascii="Garamond" w:hAnsi="Garamond" w:cs="Times New Roman"/>
          <w:color w:val="auto"/>
          <w:sz w:val="24"/>
          <w:szCs w:val="24"/>
        </w:rPr>
      </w:pPr>
      <w:bookmarkStart w:id="39" w:name="_Toc155620726"/>
      <w:r w:rsidRPr="00B457F5">
        <w:rPr>
          <w:rFonts w:ascii="Garamond" w:hAnsi="Garamond" w:cs="Times New Roman"/>
          <w:color w:val="auto"/>
          <w:sz w:val="24"/>
          <w:szCs w:val="24"/>
        </w:rPr>
        <w:t>Forcimi i sistemit të</w:t>
      </w:r>
      <w:r w:rsidR="004E25B5" w:rsidRPr="00B457F5">
        <w:rPr>
          <w:rFonts w:ascii="Garamond" w:hAnsi="Garamond" w:cs="Times New Roman"/>
          <w:color w:val="auto"/>
          <w:sz w:val="24"/>
          <w:szCs w:val="24"/>
        </w:rPr>
        <w:t xml:space="preserve"> </w:t>
      </w:r>
      <w:r w:rsidR="00BD0EC5" w:rsidRPr="00B457F5">
        <w:rPr>
          <w:rFonts w:ascii="Garamond" w:hAnsi="Garamond" w:cs="Times New Roman"/>
          <w:color w:val="auto"/>
          <w:sz w:val="24"/>
          <w:szCs w:val="24"/>
        </w:rPr>
        <w:t>a</w:t>
      </w:r>
      <w:r w:rsidR="004E25B5" w:rsidRPr="00B457F5">
        <w:rPr>
          <w:rFonts w:ascii="Garamond" w:hAnsi="Garamond" w:cs="Times New Roman"/>
          <w:color w:val="auto"/>
          <w:sz w:val="24"/>
          <w:szCs w:val="24"/>
        </w:rPr>
        <w:t>zilit</w:t>
      </w:r>
      <w:bookmarkEnd w:id="39"/>
      <w:r w:rsidR="004E25B5" w:rsidRPr="00B457F5">
        <w:rPr>
          <w:rFonts w:ascii="Garamond" w:hAnsi="Garamond" w:cs="Times New Roman"/>
          <w:color w:val="auto"/>
          <w:sz w:val="24"/>
          <w:szCs w:val="24"/>
        </w:rPr>
        <w:t xml:space="preserve"> </w:t>
      </w:r>
    </w:p>
    <w:p w14:paraId="629223EF" w14:textId="3639D18F" w:rsidR="00ED4CBA" w:rsidRPr="00B457F5" w:rsidRDefault="004E25B5"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Strategjia aktuale, n</w:t>
      </w:r>
      <w:r w:rsidR="00DD7F5B" w:rsidRPr="00B457F5">
        <w:rPr>
          <w:rFonts w:ascii="Garamond" w:eastAsia="MS Mincho" w:hAnsi="Garamond" w:cs="Times New Roman"/>
          <w:szCs w:val="24"/>
        </w:rPr>
        <w:t>ë</w:t>
      </w:r>
      <w:r w:rsidRPr="00B457F5">
        <w:rPr>
          <w:rFonts w:ascii="Garamond" w:eastAsia="MS Mincho" w:hAnsi="Garamond" w:cs="Times New Roman"/>
          <w:szCs w:val="24"/>
        </w:rPr>
        <w:t xml:space="preserve"> p</w:t>
      </w:r>
      <w:r w:rsidR="00DD7F5B" w:rsidRPr="00B457F5">
        <w:rPr>
          <w:rFonts w:ascii="Garamond" w:eastAsia="MS Mincho" w:hAnsi="Garamond" w:cs="Times New Roman"/>
          <w:szCs w:val="24"/>
        </w:rPr>
        <w:t>ë</w:t>
      </w:r>
      <w:r w:rsidRPr="00B457F5">
        <w:rPr>
          <w:rFonts w:ascii="Garamond" w:eastAsia="MS Mincho" w:hAnsi="Garamond" w:cs="Times New Roman"/>
          <w:szCs w:val="24"/>
        </w:rPr>
        <w:t>rputhje me shtyllën e dytë të Planit të Veprimit të Bashkimit Evropia</w:t>
      </w:r>
      <w:r w:rsidR="00ED4CBA" w:rsidRPr="00B457F5">
        <w:rPr>
          <w:rFonts w:ascii="Garamond" w:eastAsia="MS Mincho" w:hAnsi="Garamond" w:cs="Times New Roman"/>
          <w:szCs w:val="24"/>
        </w:rPr>
        <w:t xml:space="preserve">n </w:t>
      </w:r>
      <w:r w:rsidRPr="00B457F5">
        <w:rPr>
          <w:rFonts w:ascii="Garamond" w:eastAsia="MS Mincho" w:hAnsi="Garamond" w:cs="Times New Roman"/>
          <w:szCs w:val="24"/>
        </w:rPr>
        <w:t xml:space="preserve">për Ballkanin Perëndimor, </w:t>
      </w:r>
      <w:r w:rsidR="00A313AE" w:rsidRPr="00B457F5">
        <w:rPr>
          <w:rFonts w:ascii="Garamond" w:eastAsia="MS Mincho" w:hAnsi="Garamond" w:cs="Times New Roman"/>
          <w:szCs w:val="24"/>
        </w:rPr>
        <w:t>“</w:t>
      </w:r>
      <w:r w:rsidRPr="00B457F5">
        <w:rPr>
          <w:rFonts w:ascii="Garamond" w:eastAsia="MS Mincho" w:hAnsi="Garamond" w:cs="Times New Roman"/>
          <w:szCs w:val="24"/>
        </w:rPr>
        <w:t xml:space="preserve">Sigurimi i procedurës së shpejtë të azilit dhe mbështetja e </w:t>
      </w:r>
      <w:r w:rsidR="00ED4CBA" w:rsidRPr="00B457F5">
        <w:rPr>
          <w:rFonts w:ascii="Garamond" w:eastAsia="MS Mincho" w:hAnsi="Garamond" w:cs="Times New Roman"/>
          <w:szCs w:val="24"/>
        </w:rPr>
        <w:t>kapacitetit pritës</w:t>
      </w:r>
      <w:r w:rsidR="00A313AE" w:rsidRPr="00B457F5">
        <w:rPr>
          <w:rFonts w:ascii="Garamond" w:eastAsia="MS Mincho" w:hAnsi="Garamond" w:cs="Times New Roman"/>
          <w:szCs w:val="24"/>
        </w:rPr>
        <w:t>”</w:t>
      </w:r>
      <w:r w:rsidR="00F80843" w:rsidRPr="00B457F5">
        <w:rPr>
          <w:rFonts w:ascii="Garamond" w:eastAsia="MS Mincho" w:hAnsi="Garamond" w:cs="Times New Roman"/>
          <w:szCs w:val="24"/>
        </w:rPr>
        <w:t>,</w:t>
      </w:r>
      <w:r w:rsidR="00ED4CBA" w:rsidRPr="00B457F5">
        <w:rPr>
          <w:rFonts w:ascii="Garamond" w:eastAsia="MS Mincho" w:hAnsi="Garamond" w:cs="Times New Roman"/>
          <w:szCs w:val="24"/>
        </w:rPr>
        <w:t xml:space="preserve"> dhe me P</w:t>
      </w:r>
      <w:r w:rsidRPr="00B457F5">
        <w:rPr>
          <w:rFonts w:ascii="Garamond" w:eastAsia="MS Mincho" w:hAnsi="Garamond" w:cs="Times New Roman"/>
          <w:szCs w:val="24"/>
        </w:rPr>
        <w:t>aktin Global p</w:t>
      </w:r>
      <w:r w:rsidR="00DD7F5B" w:rsidRPr="00B457F5">
        <w:rPr>
          <w:rFonts w:ascii="Garamond" w:eastAsia="MS Mincho" w:hAnsi="Garamond" w:cs="Times New Roman"/>
          <w:szCs w:val="24"/>
        </w:rPr>
        <w:t>ë</w:t>
      </w:r>
      <w:r w:rsidR="00ED4CBA" w:rsidRPr="00B457F5">
        <w:rPr>
          <w:rFonts w:ascii="Garamond" w:eastAsia="MS Mincho" w:hAnsi="Garamond" w:cs="Times New Roman"/>
          <w:szCs w:val="24"/>
        </w:rPr>
        <w:t>r Refugjatët, synon forcimin e</w:t>
      </w:r>
      <w:r w:rsidRPr="00B457F5">
        <w:rPr>
          <w:rFonts w:ascii="Garamond" w:eastAsia="MS Mincho" w:hAnsi="Garamond" w:cs="Times New Roman"/>
          <w:szCs w:val="24"/>
        </w:rPr>
        <w:t xml:space="preserve"> sistemit të mbrojtjes ndërkombëtare, garantimin e të drejtave të azilkërkuesve dhe refugjatëve, si dhe ofrimin e zgjidhjeve të qëndrueshme. </w:t>
      </w:r>
    </w:p>
    <w:p w14:paraId="65C00B36" w14:textId="632932B0" w:rsidR="004E25B5" w:rsidRPr="00B457F5" w:rsidRDefault="004E25B5"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Përmirësimi i efikasitetit, aksesit dhe apelimit në procedurën e azilit, ku përfshihet përafrimi i kuadrit ligjor kombëtar për azilin me atë t</w:t>
      </w:r>
      <w:r w:rsidR="006C3FC0" w:rsidRPr="00B457F5">
        <w:rPr>
          <w:rFonts w:ascii="Garamond" w:eastAsia="MS Mincho" w:hAnsi="Garamond" w:cs="Times New Roman"/>
          <w:szCs w:val="24"/>
        </w:rPr>
        <w:t xml:space="preserve">ë Bashkimit Evropian dhe </w:t>
      </w:r>
      <w:r w:rsidRPr="00B457F5">
        <w:rPr>
          <w:rFonts w:ascii="Garamond" w:eastAsia="MS Mincho" w:hAnsi="Garamond" w:cs="Times New Roman"/>
          <w:szCs w:val="24"/>
        </w:rPr>
        <w:t>ndërkombëtar, synon të rrisë konsistencën dhe efikasitetin në trajtimin e kërkesave për azil. Rritja e kapaciteteve të stafit përgjegjës për procedurat e azilit</w:t>
      </w:r>
      <w:r w:rsidR="00F80843" w:rsidRPr="00B457F5">
        <w:rPr>
          <w:rFonts w:ascii="Garamond" w:eastAsia="MS Mincho" w:hAnsi="Garamond" w:cs="Times New Roman"/>
          <w:szCs w:val="24"/>
        </w:rPr>
        <w:t>,</w:t>
      </w:r>
      <w:r w:rsidRPr="00B457F5">
        <w:rPr>
          <w:rFonts w:ascii="Garamond" w:eastAsia="MS Mincho" w:hAnsi="Garamond" w:cs="Times New Roman"/>
          <w:szCs w:val="24"/>
        </w:rPr>
        <w:t xml:space="preserve"> p</w:t>
      </w:r>
      <w:r w:rsidR="00DD7F5B" w:rsidRPr="00B457F5">
        <w:rPr>
          <w:rFonts w:ascii="Garamond" w:eastAsia="MS Mincho" w:hAnsi="Garamond" w:cs="Times New Roman"/>
          <w:szCs w:val="24"/>
        </w:rPr>
        <w:t>ë</w:t>
      </w:r>
      <w:r w:rsidRPr="00B457F5">
        <w:rPr>
          <w:rFonts w:ascii="Garamond" w:eastAsia="MS Mincho" w:hAnsi="Garamond" w:cs="Times New Roman"/>
          <w:szCs w:val="24"/>
        </w:rPr>
        <w:t>r t</w:t>
      </w:r>
      <w:r w:rsidR="00DD7F5B" w:rsidRPr="00B457F5">
        <w:rPr>
          <w:rFonts w:ascii="Garamond" w:eastAsia="MS Mincho" w:hAnsi="Garamond" w:cs="Times New Roman"/>
          <w:szCs w:val="24"/>
        </w:rPr>
        <w:t>ë</w:t>
      </w:r>
      <w:r w:rsidRPr="00B457F5">
        <w:rPr>
          <w:rFonts w:ascii="Garamond" w:eastAsia="MS Mincho" w:hAnsi="Garamond" w:cs="Times New Roman"/>
          <w:szCs w:val="24"/>
        </w:rPr>
        <w:t xml:space="preserve"> ndihmuar në sigurimin e një trajtimi cilësor dhe të drejtë për të gjithë individët në </w:t>
      </w:r>
      <w:r w:rsidR="00BD0EC5" w:rsidRPr="00B457F5">
        <w:rPr>
          <w:rFonts w:ascii="Garamond" w:eastAsia="MS Mincho" w:hAnsi="Garamond" w:cs="Times New Roman"/>
          <w:szCs w:val="24"/>
        </w:rPr>
        <w:t>proces</w:t>
      </w:r>
      <w:r w:rsidRPr="00B457F5">
        <w:rPr>
          <w:rFonts w:ascii="Garamond" w:eastAsia="MS Mincho" w:hAnsi="Garamond" w:cs="Times New Roman"/>
          <w:szCs w:val="24"/>
        </w:rPr>
        <w:t xml:space="preserve"> </w:t>
      </w:r>
      <w:r w:rsidR="00DD7F5B" w:rsidRPr="00B457F5">
        <w:rPr>
          <w:rFonts w:ascii="Garamond" w:eastAsia="MS Mincho" w:hAnsi="Garamond" w:cs="Times New Roman"/>
          <w:szCs w:val="24"/>
        </w:rPr>
        <w:t>ë</w:t>
      </w:r>
      <w:r w:rsidRPr="00B457F5">
        <w:rPr>
          <w:rFonts w:ascii="Garamond" w:eastAsia="MS Mincho" w:hAnsi="Garamond" w:cs="Times New Roman"/>
          <w:szCs w:val="24"/>
        </w:rPr>
        <w:t>sht</w:t>
      </w:r>
      <w:r w:rsidR="00DD7F5B" w:rsidRPr="00B457F5">
        <w:rPr>
          <w:rFonts w:ascii="Garamond" w:eastAsia="MS Mincho" w:hAnsi="Garamond" w:cs="Times New Roman"/>
          <w:szCs w:val="24"/>
        </w:rPr>
        <w:t>ë</w:t>
      </w:r>
      <w:r w:rsidRPr="00B457F5">
        <w:rPr>
          <w:rFonts w:ascii="Garamond" w:eastAsia="MS Mincho" w:hAnsi="Garamond" w:cs="Times New Roman"/>
          <w:szCs w:val="24"/>
        </w:rPr>
        <w:t xml:space="preserve"> po</w:t>
      </w:r>
      <w:r w:rsidR="004A5131" w:rsidRPr="00B457F5">
        <w:rPr>
          <w:rFonts w:ascii="Garamond" w:eastAsia="MS Mincho" w:hAnsi="Garamond" w:cs="Times New Roman"/>
          <w:szCs w:val="24"/>
        </w:rPr>
        <w:t xml:space="preserve"> </w:t>
      </w:r>
      <w:r w:rsidRPr="00B457F5">
        <w:rPr>
          <w:rFonts w:ascii="Garamond" w:eastAsia="MS Mincho" w:hAnsi="Garamond" w:cs="Times New Roman"/>
          <w:szCs w:val="24"/>
        </w:rPr>
        <w:t>ashtu e nj</w:t>
      </w:r>
      <w:r w:rsidR="00DD7F5B" w:rsidRPr="00B457F5">
        <w:rPr>
          <w:rFonts w:ascii="Garamond" w:eastAsia="MS Mincho" w:hAnsi="Garamond" w:cs="Times New Roman"/>
          <w:szCs w:val="24"/>
        </w:rPr>
        <w:t>ë</w:t>
      </w:r>
      <w:r w:rsidRPr="00B457F5">
        <w:rPr>
          <w:rFonts w:ascii="Garamond" w:eastAsia="MS Mincho" w:hAnsi="Garamond" w:cs="Times New Roman"/>
          <w:szCs w:val="24"/>
        </w:rPr>
        <w:t xml:space="preserve"> r</w:t>
      </w:r>
      <w:r w:rsidR="00DD7F5B" w:rsidRPr="00B457F5">
        <w:rPr>
          <w:rFonts w:ascii="Garamond" w:eastAsia="MS Mincho" w:hAnsi="Garamond" w:cs="Times New Roman"/>
          <w:szCs w:val="24"/>
        </w:rPr>
        <w:t>ë</w:t>
      </w:r>
      <w:r w:rsidRPr="00B457F5">
        <w:rPr>
          <w:rFonts w:ascii="Garamond" w:eastAsia="MS Mincho" w:hAnsi="Garamond" w:cs="Times New Roman"/>
          <w:szCs w:val="24"/>
        </w:rPr>
        <w:t>nd</w:t>
      </w:r>
      <w:r w:rsidR="00DD7F5B" w:rsidRPr="00B457F5">
        <w:rPr>
          <w:rFonts w:ascii="Garamond" w:eastAsia="MS Mincho" w:hAnsi="Garamond" w:cs="Times New Roman"/>
          <w:szCs w:val="24"/>
        </w:rPr>
        <w:t>ë</w:t>
      </w:r>
      <w:r w:rsidRPr="00B457F5">
        <w:rPr>
          <w:rFonts w:ascii="Garamond" w:eastAsia="MS Mincho" w:hAnsi="Garamond" w:cs="Times New Roman"/>
          <w:szCs w:val="24"/>
        </w:rPr>
        <w:t>sie t</w:t>
      </w:r>
      <w:r w:rsidR="00DD7F5B" w:rsidRPr="00B457F5">
        <w:rPr>
          <w:rFonts w:ascii="Garamond" w:eastAsia="MS Mincho" w:hAnsi="Garamond" w:cs="Times New Roman"/>
          <w:szCs w:val="24"/>
        </w:rPr>
        <w:t>ë</w:t>
      </w:r>
      <w:r w:rsidR="004A5131" w:rsidRPr="00B457F5">
        <w:rPr>
          <w:rFonts w:ascii="Garamond" w:eastAsia="MS Mincho" w:hAnsi="Garamond" w:cs="Times New Roman"/>
          <w:szCs w:val="24"/>
        </w:rPr>
        <w:t xml:space="preserve"> veç</w:t>
      </w:r>
      <w:r w:rsidRPr="00B457F5">
        <w:rPr>
          <w:rFonts w:ascii="Garamond" w:eastAsia="MS Mincho" w:hAnsi="Garamond" w:cs="Times New Roman"/>
          <w:szCs w:val="24"/>
        </w:rPr>
        <w:t>ant</w:t>
      </w:r>
      <w:r w:rsidR="00DD7F5B" w:rsidRPr="00B457F5">
        <w:rPr>
          <w:rFonts w:ascii="Garamond" w:eastAsia="MS Mincho" w:hAnsi="Garamond" w:cs="Times New Roman"/>
          <w:szCs w:val="24"/>
        </w:rPr>
        <w:t>ë</w:t>
      </w:r>
      <w:r w:rsidRPr="00B457F5">
        <w:rPr>
          <w:rFonts w:ascii="Garamond" w:eastAsia="MS Mincho" w:hAnsi="Garamond" w:cs="Times New Roman"/>
          <w:szCs w:val="24"/>
        </w:rPr>
        <w:t>.</w:t>
      </w:r>
    </w:p>
    <w:p w14:paraId="137B06F0" w14:textId="5A4365E9" w:rsidR="004E25B5" w:rsidRPr="00B457F5" w:rsidRDefault="004E25B5"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Arritja e standardeve nd</w:t>
      </w:r>
      <w:r w:rsidR="00DD7F5B" w:rsidRPr="00B457F5">
        <w:rPr>
          <w:rFonts w:ascii="Garamond" w:eastAsia="MS Mincho" w:hAnsi="Garamond" w:cs="Times New Roman"/>
          <w:szCs w:val="24"/>
        </w:rPr>
        <w:t>ë</w:t>
      </w:r>
      <w:r w:rsidRPr="00B457F5">
        <w:rPr>
          <w:rFonts w:ascii="Garamond" w:eastAsia="MS Mincho" w:hAnsi="Garamond" w:cs="Times New Roman"/>
          <w:szCs w:val="24"/>
        </w:rPr>
        <w:t>rkomb</w:t>
      </w:r>
      <w:r w:rsidR="00DD7F5B" w:rsidRPr="00B457F5">
        <w:rPr>
          <w:rFonts w:ascii="Garamond" w:eastAsia="MS Mincho" w:hAnsi="Garamond" w:cs="Times New Roman"/>
          <w:szCs w:val="24"/>
        </w:rPr>
        <w:t>ë</w:t>
      </w:r>
      <w:r w:rsidRPr="00B457F5">
        <w:rPr>
          <w:rFonts w:ascii="Garamond" w:eastAsia="MS Mincho" w:hAnsi="Garamond" w:cs="Times New Roman"/>
          <w:szCs w:val="24"/>
        </w:rPr>
        <w:t>tare</w:t>
      </w:r>
      <w:r w:rsidR="00FA55F2" w:rsidRPr="00B457F5">
        <w:rPr>
          <w:rFonts w:ascii="Garamond" w:eastAsia="MS Mincho" w:hAnsi="Garamond" w:cs="Times New Roman"/>
          <w:szCs w:val="24"/>
        </w:rPr>
        <w:t xml:space="preserve"> dhe evropiane,</w:t>
      </w:r>
      <w:r w:rsidRPr="00B457F5">
        <w:rPr>
          <w:rFonts w:ascii="Garamond" w:eastAsia="MS Mincho" w:hAnsi="Garamond" w:cs="Times New Roman"/>
          <w:szCs w:val="24"/>
        </w:rPr>
        <w:t xml:space="preserve"> sa i takon identifikimit, mbrojtjes dhe pritj</w:t>
      </w:r>
      <w:r w:rsidR="00C614D6" w:rsidRPr="00B457F5">
        <w:rPr>
          <w:rFonts w:ascii="Garamond" w:eastAsia="MS Mincho" w:hAnsi="Garamond" w:cs="Times New Roman"/>
          <w:szCs w:val="24"/>
        </w:rPr>
        <w:t>es për personat me nevoja të veç</w:t>
      </w:r>
      <w:r w:rsidRPr="00B457F5">
        <w:rPr>
          <w:rFonts w:ascii="Garamond" w:eastAsia="MS Mincho" w:hAnsi="Garamond" w:cs="Times New Roman"/>
          <w:szCs w:val="24"/>
        </w:rPr>
        <w:t>anta, përfshihet po</w:t>
      </w:r>
      <w:r w:rsidR="00C614D6" w:rsidRPr="00B457F5">
        <w:rPr>
          <w:rFonts w:ascii="Garamond" w:eastAsia="MS Mincho" w:hAnsi="Garamond" w:cs="Times New Roman"/>
          <w:szCs w:val="24"/>
        </w:rPr>
        <w:t xml:space="preserve"> </w:t>
      </w:r>
      <w:r w:rsidRPr="00B457F5">
        <w:rPr>
          <w:rFonts w:ascii="Garamond" w:eastAsia="MS Mincho" w:hAnsi="Garamond" w:cs="Times New Roman"/>
          <w:szCs w:val="24"/>
        </w:rPr>
        <w:t>ashtu n</w:t>
      </w:r>
      <w:r w:rsidR="00DD7F5B" w:rsidRPr="00B457F5">
        <w:rPr>
          <w:rFonts w:ascii="Garamond" w:eastAsia="MS Mincho" w:hAnsi="Garamond" w:cs="Times New Roman"/>
          <w:szCs w:val="24"/>
        </w:rPr>
        <w:t>ë</w:t>
      </w:r>
      <w:r w:rsidRPr="00B457F5">
        <w:rPr>
          <w:rFonts w:ascii="Garamond" w:eastAsia="MS Mincho" w:hAnsi="Garamond" w:cs="Times New Roman"/>
          <w:szCs w:val="24"/>
        </w:rPr>
        <w:t xml:space="preserve"> strategji. Gjithashtu, infrastruktura dhe burimet njerëzore në </w:t>
      </w:r>
      <w:r w:rsidR="00BD0EC5" w:rsidRPr="00B457F5">
        <w:rPr>
          <w:rFonts w:ascii="Garamond" w:eastAsia="MS Mincho" w:hAnsi="Garamond" w:cs="Times New Roman"/>
          <w:szCs w:val="24"/>
        </w:rPr>
        <w:t>qendrat</w:t>
      </w:r>
      <w:r w:rsidRPr="00B457F5">
        <w:rPr>
          <w:rFonts w:ascii="Garamond" w:eastAsia="MS Mincho" w:hAnsi="Garamond" w:cs="Times New Roman"/>
          <w:szCs w:val="24"/>
        </w:rPr>
        <w:t xml:space="preserve"> pritëse dhe tranzitore janë të rëndësishme për të siguruar plotësimin e nevojave të grupeve vulnerabël, duke përf</w:t>
      </w:r>
      <w:r w:rsidR="00CE0E37" w:rsidRPr="00B457F5">
        <w:rPr>
          <w:rFonts w:ascii="Garamond" w:eastAsia="MS Mincho" w:hAnsi="Garamond" w:cs="Times New Roman"/>
          <w:szCs w:val="24"/>
        </w:rPr>
        <w:t>shirë mbrojtjen e veçantë për fë</w:t>
      </w:r>
      <w:r w:rsidRPr="00B457F5">
        <w:rPr>
          <w:rFonts w:ascii="Garamond" w:eastAsia="MS Mincho" w:hAnsi="Garamond" w:cs="Times New Roman"/>
          <w:szCs w:val="24"/>
        </w:rPr>
        <w:t>mijët e huaj të pashoqëruar.</w:t>
      </w:r>
    </w:p>
    <w:p w14:paraId="0C9D4A4A" w14:textId="3429D636" w:rsidR="00E51C27" w:rsidRPr="00B457F5" w:rsidRDefault="006E0AC4"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Integrimi social</w:t>
      </w:r>
      <w:r w:rsidR="00EF5D32">
        <w:rPr>
          <w:rFonts w:ascii="Garamond" w:eastAsia="MS Mincho" w:hAnsi="Garamond" w:cs="Times New Roman"/>
          <w:szCs w:val="24"/>
        </w:rPr>
        <w:t>-</w:t>
      </w:r>
      <w:r w:rsidRPr="00B457F5">
        <w:rPr>
          <w:rFonts w:ascii="Garamond" w:eastAsia="MS Mincho" w:hAnsi="Garamond" w:cs="Times New Roman"/>
          <w:szCs w:val="24"/>
        </w:rPr>
        <w:t xml:space="preserve">ekonomik i refugjatëve dhe azilkërkuesve do të </w:t>
      </w:r>
      <w:r w:rsidR="004E25B5" w:rsidRPr="00B457F5">
        <w:rPr>
          <w:rFonts w:ascii="Garamond" w:eastAsia="MS Mincho" w:hAnsi="Garamond" w:cs="Times New Roman"/>
          <w:szCs w:val="24"/>
        </w:rPr>
        <w:t>synohet përmes programesh të dedikuara. Ofrimi i zgjidhjeve të qëndrueshme për personat me mbrojtje ndërkombëtare përfshin një përkushtim për të siguruar mundësi të qëndrueshme dhe të vazhdueshme për ata që kanë nevojë për mbrojtje ndërkombëtare.</w:t>
      </w:r>
    </w:p>
    <w:p w14:paraId="4FB0D0EF" w14:textId="2F4A7A90" w:rsidR="004E25B5" w:rsidRPr="00B457F5" w:rsidRDefault="00BD0EC5" w:rsidP="002E693B">
      <w:pPr>
        <w:pStyle w:val="Heading1"/>
        <w:spacing w:before="0" w:after="0"/>
        <w:ind w:left="0" w:firstLine="284"/>
        <w:rPr>
          <w:rFonts w:ascii="Garamond" w:hAnsi="Garamond" w:cs="Times New Roman"/>
          <w:color w:val="auto"/>
          <w:sz w:val="24"/>
          <w:szCs w:val="24"/>
        </w:rPr>
      </w:pPr>
      <w:bookmarkStart w:id="40" w:name="_Toc155620727"/>
      <w:r w:rsidRPr="00B457F5">
        <w:rPr>
          <w:rFonts w:ascii="Garamond" w:hAnsi="Garamond" w:cs="Times New Roman"/>
          <w:color w:val="auto"/>
          <w:sz w:val="24"/>
          <w:szCs w:val="24"/>
        </w:rPr>
        <w:t>Perspektiva</w:t>
      </w:r>
      <w:r w:rsidR="004E25B5" w:rsidRPr="00B457F5">
        <w:rPr>
          <w:rFonts w:ascii="Garamond" w:hAnsi="Garamond" w:cs="Times New Roman"/>
          <w:color w:val="auto"/>
          <w:sz w:val="24"/>
          <w:szCs w:val="24"/>
        </w:rPr>
        <w:t xml:space="preserve"> </w:t>
      </w:r>
      <w:r w:rsidRPr="00B457F5">
        <w:rPr>
          <w:rFonts w:ascii="Garamond" w:hAnsi="Garamond" w:cs="Times New Roman"/>
          <w:color w:val="auto"/>
          <w:sz w:val="24"/>
          <w:szCs w:val="24"/>
        </w:rPr>
        <w:t>g</w:t>
      </w:r>
      <w:r w:rsidR="004E25B5" w:rsidRPr="00B457F5">
        <w:rPr>
          <w:rFonts w:ascii="Garamond" w:hAnsi="Garamond" w:cs="Times New Roman"/>
          <w:color w:val="auto"/>
          <w:sz w:val="24"/>
          <w:szCs w:val="24"/>
        </w:rPr>
        <w:t>jinore</w:t>
      </w:r>
      <w:bookmarkEnd w:id="40"/>
    </w:p>
    <w:p w14:paraId="4D4C52CA" w14:textId="3E8A7EAD" w:rsidR="004E25B5" w:rsidRPr="00B457F5" w:rsidRDefault="004E25B5"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Strategjia ka në fokus të veçantë perspektivën gjinore, duke theksuar nevojën për të përfshirë të dhëna të disagreguara sipas gjinisë. Në këtë kontekst, është synuar krijimi i një profili të plotë të migracionit në vend, duke identifikuar pikat kyçe që lidhen me angazhimin për mbështetjen e riintegrimin dhe fuqizimin e grave migrante.</w:t>
      </w:r>
    </w:p>
    <w:p w14:paraId="0410F3CA" w14:textId="5DDE1F47" w:rsidR="004E25B5" w:rsidRPr="00B457F5" w:rsidRDefault="004E25B5"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lastRenderedPageBreak/>
        <w:t>Në kuadër të arritjes së Objektivave të Zhvillimit të Qëndrueshëm (SDG</w:t>
      </w:r>
      <w:r w:rsidR="00F80843" w:rsidRPr="00B457F5">
        <w:rPr>
          <w:rFonts w:ascii="Garamond" w:eastAsia="MS Mincho" w:hAnsi="Garamond" w:cs="Times New Roman"/>
          <w:szCs w:val="24"/>
        </w:rPr>
        <w:t>-</w:t>
      </w:r>
      <w:r w:rsidRPr="00B457F5">
        <w:rPr>
          <w:rFonts w:ascii="Garamond" w:eastAsia="MS Mincho" w:hAnsi="Garamond" w:cs="Times New Roman"/>
          <w:szCs w:val="24"/>
        </w:rPr>
        <w:t>s) të A</w:t>
      </w:r>
      <w:r w:rsidR="00BD0EC5" w:rsidRPr="00B457F5">
        <w:rPr>
          <w:rFonts w:ascii="Garamond" w:eastAsia="MS Mincho" w:hAnsi="Garamond" w:cs="Times New Roman"/>
          <w:szCs w:val="24"/>
        </w:rPr>
        <w:t>gj</w:t>
      </w:r>
      <w:r w:rsidRPr="00B457F5">
        <w:rPr>
          <w:rFonts w:ascii="Garamond" w:eastAsia="MS Mincho" w:hAnsi="Garamond" w:cs="Times New Roman"/>
          <w:szCs w:val="24"/>
        </w:rPr>
        <w:t>endës 2030</w:t>
      </w:r>
      <w:r w:rsidR="00F80843" w:rsidRPr="00B457F5">
        <w:rPr>
          <w:rFonts w:ascii="Garamond" w:eastAsia="MS Mincho" w:hAnsi="Garamond" w:cs="Times New Roman"/>
          <w:szCs w:val="24"/>
        </w:rPr>
        <w:t>,</w:t>
      </w:r>
      <w:r w:rsidR="0006016F" w:rsidRPr="00B457F5">
        <w:rPr>
          <w:rFonts w:ascii="Garamond" w:eastAsia="MS Mincho" w:hAnsi="Garamond" w:cs="Times New Roman"/>
          <w:szCs w:val="24"/>
        </w:rPr>
        <w:t xml:space="preserve"> </w:t>
      </w:r>
      <w:r w:rsidRPr="00B457F5">
        <w:rPr>
          <w:rFonts w:ascii="Garamond" w:eastAsia="MS Mincho" w:hAnsi="Garamond" w:cs="Times New Roman"/>
          <w:szCs w:val="24"/>
        </w:rPr>
        <w:t>strategjia përcakton masa/ndërhyrje për të promovuar barazinë gjinore në fushën e migracionit, specif</w:t>
      </w:r>
      <w:r w:rsidR="00F80843" w:rsidRPr="00B457F5">
        <w:rPr>
          <w:rFonts w:ascii="Garamond" w:eastAsia="MS Mincho" w:hAnsi="Garamond" w:cs="Times New Roman"/>
          <w:szCs w:val="24"/>
        </w:rPr>
        <w:t>i</w:t>
      </w:r>
      <w:r w:rsidRPr="00B457F5">
        <w:rPr>
          <w:rFonts w:ascii="Garamond" w:eastAsia="MS Mincho" w:hAnsi="Garamond" w:cs="Times New Roman"/>
          <w:szCs w:val="24"/>
        </w:rPr>
        <w:t>kisht: për garantimin që politikat qeveritare në fushën e migracionit të jenë të përgjegjshme ndaj gjinisë dhe avancimin e barazisë</w:t>
      </w:r>
      <w:r w:rsidR="00C614D6" w:rsidRPr="00B457F5">
        <w:rPr>
          <w:rFonts w:ascii="Garamond" w:eastAsia="MS Mincho" w:hAnsi="Garamond" w:cs="Times New Roman"/>
          <w:szCs w:val="24"/>
        </w:rPr>
        <w:t xml:space="preserve"> gjinore dhe fuqizimit të grave</w:t>
      </w:r>
      <w:r w:rsidRPr="00B457F5">
        <w:rPr>
          <w:rFonts w:ascii="Garamond" w:eastAsia="MS Mincho" w:hAnsi="Garamond" w:cs="Times New Roman"/>
          <w:szCs w:val="24"/>
        </w:rPr>
        <w:t>; parashikimin e masave dhe ndërhyrjeve që promovojnë punën e denjë dhe rritjen ekonomike si për burrat</w:t>
      </w:r>
      <w:r w:rsidR="00C614D6" w:rsidRPr="00B457F5">
        <w:rPr>
          <w:rFonts w:ascii="Garamond" w:eastAsia="MS Mincho" w:hAnsi="Garamond" w:cs="Times New Roman"/>
          <w:szCs w:val="24"/>
        </w:rPr>
        <w:t xml:space="preserve"> ashtu edhe për gratë migrante</w:t>
      </w:r>
      <w:r w:rsidRPr="00B457F5">
        <w:rPr>
          <w:rFonts w:ascii="Garamond" w:eastAsia="MS Mincho" w:hAnsi="Garamond" w:cs="Times New Roman"/>
          <w:szCs w:val="24"/>
        </w:rPr>
        <w:t xml:space="preserve"> dhe parashikimin e masave për reduktimin e paba</w:t>
      </w:r>
      <w:r w:rsidR="00E51C27" w:rsidRPr="00B457F5">
        <w:rPr>
          <w:rFonts w:ascii="Garamond" w:eastAsia="MS Mincho" w:hAnsi="Garamond" w:cs="Times New Roman"/>
          <w:szCs w:val="24"/>
        </w:rPr>
        <w:t>razive</w:t>
      </w:r>
      <w:r w:rsidRPr="00B457F5">
        <w:rPr>
          <w:rFonts w:ascii="Garamond" w:eastAsia="MS Mincho" w:hAnsi="Garamond" w:cs="Times New Roman"/>
          <w:szCs w:val="24"/>
        </w:rPr>
        <w:t>.</w:t>
      </w:r>
    </w:p>
    <w:p w14:paraId="19654F26" w14:textId="0E688FC9" w:rsidR="004E25B5" w:rsidRPr="00B457F5" w:rsidRDefault="004E25B5"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Në kuadër të ndërlidhjes me </w:t>
      </w:r>
      <w:r w:rsidR="00F80843" w:rsidRPr="00B457F5">
        <w:rPr>
          <w:rFonts w:ascii="Garamond" w:eastAsia="MS Mincho" w:hAnsi="Garamond" w:cs="Times New Roman"/>
          <w:szCs w:val="24"/>
        </w:rPr>
        <w:t>s</w:t>
      </w:r>
      <w:r w:rsidRPr="00B457F5">
        <w:rPr>
          <w:rFonts w:ascii="Garamond" w:eastAsia="MS Mincho" w:hAnsi="Garamond" w:cs="Times New Roman"/>
          <w:szCs w:val="24"/>
        </w:rPr>
        <w:t>trategjitë e tjera në nivel kombëtar, SKM</w:t>
      </w:r>
      <w:r w:rsidR="00F80843" w:rsidRPr="00B457F5">
        <w:rPr>
          <w:rFonts w:ascii="Garamond" w:eastAsia="MS Mincho" w:hAnsi="Garamond" w:cs="Times New Roman"/>
          <w:szCs w:val="24"/>
        </w:rPr>
        <w:t>-ja</w:t>
      </w:r>
      <w:r w:rsidRPr="00B457F5">
        <w:rPr>
          <w:rFonts w:ascii="Garamond" w:eastAsia="MS Mincho" w:hAnsi="Garamond" w:cs="Times New Roman"/>
          <w:szCs w:val="24"/>
        </w:rPr>
        <w:t xml:space="preserve"> referon Strategjinë Kombëtare</w:t>
      </w:r>
      <w:r w:rsidR="00C614D6" w:rsidRPr="00B457F5">
        <w:rPr>
          <w:rFonts w:ascii="Garamond" w:eastAsia="MS Mincho" w:hAnsi="Garamond" w:cs="Times New Roman"/>
          <w:szCs w:val="24"/>
        </w:rPr>
        <w:t xml:space="preserve"> për Barazinë Gjinore 2021</w:t>
      </w:r>
      <w:r w:rsidR="00BD0EC5" w:rsidRPr="00B457F5">
        <w:rPr>
          <w:rStyle w:val="contentpasted1"/>
          <w:rFonts w:ascii="Garamond" w:hAnsi="Garamond" w:cs="Times New Roman"/>
          <w:color w:val="000000"/>
        </w:rPr>
        <w:t>–</w:t>
      </w:r>
      <w:r w:rsidR="00C614D6" w:rsidRPr="00B457F5">
        <w:rPr>
          <w:rFonts w:ascii="Garamond" w:eastAsia="MS Mincho" w:hAnsi="Garamond" w:cs="Times New Roman"/>
          <w:szCs w:val="24"/>
        </w:rPr>
        <w:t>2030</w:t>
      </w:r>
      <w:r w:rsidRPr="00B457F5">
        <w:rPr>
          <w:rFonts w:ascii="Garamond" w:eastAsia="MS Mincho" w:hAnsi="Garamond" w:cs="Times New Roman"/>
          <w:szCs w:val="24"/>
        </w:rPr>
        <w:t>,</w:t>
      </w:r>
      <w:r w:rsidR="0006016F" w:rsidRPr="00B457F5">
        <w:rPr>
          <w:rFonts w:ascii="Garamond" w:eastAsia="MS Mincho" w:hAnsi="Garamond" w:cs="Times New Roman"/>
          <w:szCs w:val="24"/>
        </w:rPr>
        <w:t xml:space="preserve"> </w:t>
      </w:r>
      <w:r w:rsidRPr="00B457F5">
        <w:rPr>
          <w:rFonts w:ascii="Garamond" w:eastAsia="MS Mincho" w:hAnsi="Garamond" w:cs="Times New Roman"/>
          <w:szCs w:val="24"/>
        </w:rPr>
        <w:t xml:space="preserve">specifikisht parashikohen ndërhyrje për: përmbushjen e të drejtave ekonomike dhe sociale për gratë migrante; rritjen e aksesit të grave migrante në shërbime dhe produkte financiare, informimin e grave migrante për të drejtat pronësore; reduktimin e barrierave që i mbajnë gratë, të rejat dhe vajzat larg tregut të punës, si dhe rritjen e aksesit të grave, të rejave dhe vajzave nga të gjitha grupet (migrantë dhe azilkërkues etj.), për punë të denjë edhe në </w:t>
      </w:r>
      <w:r w:rsidR="00F80843" w:rsidRPr="00B457F5">
        <w:rPr>
          <w:rFonts w:ascii="Garamond" w:eastAsia="MS Mincho" w:hAnsi="Garamond" w:cs="Times New Roman"/>
          <w:szCs w:val="24"/>
        </w:rPr>
        <w:t>s</w:t>
      </w:r>
      <w:r w:rsidRPr="00B457F5">
        <w:rPr>
          <w:rFonts w:ascii="Garamond" w:eastAsia="MS Mincho" w:hAnsi="Garamond" w:cs="Times New Roman"/>
          <w:szCs w:val="24"/>
        </w:rPr>
        <w:t>ektorët e punësimit jotradicional (në veçanti në shkencë, teknologji, inxhinieri, matematikë</w:t>
      </w:r>
      <w:r w:rsidR="00F80843" w:rsidRPr="00B457F5">
        <w:rPr>
          <w:rFonts w:ascii="Garamond" w:eastAsia="MS Mincho" w:hAnsi="Garamond" w:cs="Times New Roman"/>
          <w:szCs w:val="24"/>
        </w:rPr>
        <w:t>)</w:t>
      </w:r>
      <w:r w:rsidRPr="00B457F5">
        <w:rPr>
          <w:rFonts w:ascii="Garamond" w:eastAsia="MS Mincho" w:hAnsi="Garamond" w:cs="Times New Roman"/>
          <w:szCs w:val="24"/>
        </w:rPr>
        <w:t xml:space="preserve"> dhe përmirësimin e shërbimeve të specializuara mbështetëse për të mbije</w:t>
      </w:r>
      <w:r w:rsidR="00C614D6" w:rsidRPr="00B457F5">
        <w:rPr>
          <w:rFonts w:ascii="Garamond" w:eastAsia="MS Mincho" w:hAnsi="Garamond" w:cs="Times New Roman"/>
          <w:szCs w:val="24"/>
        </w:rPr>
        <w:t>tuarat e dhunës me bazë gjinore</w:t>
      </w:r>
      <w:r w:rsidRPr="00B457F5">
        <w:rPr>
          <w:rFonts w:ascii="Garamond" w:eastAsia="MS Mincho" w:hAnsi="Garamond" w:cs="Times New Roman"/>
          <w:szCs w:val="24"/>
        </w:rPr>
        <w:t>, trafikimit dhe shfrytëzimit seksual, nga të gjitha grupet e grave (përfshirë gratë migrante).</w:t>
      </w:r>
    </w:p>
    <w:p w14:paraId="5E9A1236" w14:textId="67F8A239" w:rsidR="004E25B5" w:rsidRPr="00B457F5" w:rsidRDefault="004E25B5"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Referuar detyrimeve ndërkombëtare, strategjia po</w:t>
      </w:r>
      <w:r w:rsidR="00C614D6" w:rsidRPr="00B457F5">
        <w:rPr>
          <w:rFonts w:ascii="Garamond" w:eastAsia="MS Mincho" w:hAnsi="Garamond" w:cs="Times New Roman"/>
          <w:szCs w:val="24"/>
        </w:rPr>
        <w:t xml:space="preserve"> </w:t>
      </w:r>
      <w:r w:rsidRPr="00B457F5">
        <w:rPr>
          <w:rFonts w:ascii="Garamond" w:eastAsia="MS Mincho" w:hAnsi="Garamond" w:cs="Times New Roman"/>
          <w:szCs w:val="24"/>
        </w:rPr>
        <w:t>ashtu adreson vërejtjet përmbyllëse të Komitetit CEDA</w:t>
      </w:r>
      <w:r w:rsidR="00C614D6" w:rsidRPr="00B457F5">
        <w:rPr>
          <w:rFonts w:ascii="Garamond" w:eastAsia="MS Mincho" w:hAnsi="Garamond" w:cs="Times New Roman"/>
          <w:szCs w:val="24"/>
        </w:rPr>
        <w:t>W</w:t>
      </w:r>
      <w:r w:rsidR="008E7984" w:rsidRPr="00B457F5">
        <w:rPr>
          <w:rFonts w:ascii="Garamond" w:eastAsia="MS Mincho" w:hAnsi="Garamond" w:cs="Times New Roman"/>
          <w:szCs w:val="24"/>
        </w:rPr>
        <w:t>,</w:t>
      </w:r>
      <w:r w:rsidR="00C614D6" w:rsidRPr="00B457F5">
        <w:rPr>
          <w:rFonts w:ascii="Garamond" w:eastAsia="MS Mincho" w:hAnsi="Garamond" w:cs="Times New Roman"/>
          <w:szCs w:val="24"/>
        </w:rPr>
        <w:t xml:space="preserve"> </w:t>
      </w:r>
      <w:r w:rsidRPr="00B457F5">
        <w:rPr>
          <w:rFonts w:ascii="Garamond" w:eastAsia="MS Mincho" w:hAnsi="Garamond" w:cs="Times New Roman"/>
          <w:szCs w:val="24"/>
        </w:rPr>
        <w:t>mbi zbatimin e Kon</w:t>
      </w:r>
      <w:r w:rsidR="00CD42FC" w:rsidRPr="00B457F5">
        <w:rPr>
          <w:rFonts w:ascii="Garamond" w:eastAsia="MS Mincho" w:hAnsi="Garamond" w:cs="Times New Roman"/>
          <w:szCs w:val="24"/>
        </w:rPr>
        <w:t>ventës së Kombeve të Bashkuara m</w:t>
      </w:r>
      <w:r w:rsidRPr="00B457F5">
        <w:rPr>
          <w:rFonts w:ascii="Garamond" w:eastAsia="MS Mincho" w:hAnsi="Garamond" w:cs="Times New Roman"/>
          <w:szCs w:val="24"/>
        </w:rPr>
        <w:t xml:space="preserve">bi </w:t>
      </w:r>
      <w:r w:rsidR="00BD0EC5" w:rsidRPr="00B457F5">
        <w:rPr>
          <w:rFonts w:ascii="Garamond" w:eastAsia="MS Mincho" w:hAnsi="Garamond" w:cs="Times New Roman"/>
          <w:szCs w:val="24"/>
        </w:rPr>
        <w:t>eliminimin</w:t>
      </w:r>
      <w:r w:rsidRPr="00B457F5">
        <w:rPr>
          <w:rFonts w:ascii="Garamond" w:eastAsia="MS Mincho" w:hAnsi="Garamond" w:cs="Times New Roman"/>
          <w:szCs w:val="24"/>
        </w:rPr>
        <w:t xml:space="preserve"> e të gjitha formave </w:t>
      </w:r>
      <w:r w:rsidR="00164C66" w:rsidRPr="00B457F5">
        <w:rPr>
          <w:rFonts w:ascii="Garamond" w:hAnsi="Garamond" w:cs="Times New Roman"/>
          <w:bCs/>
          <w:color w:val="0D0D0D" w:themeColor="text1" w:themeTint="F2"/>
          <w:szCs w:val="24"/>
        </w:rPr>
        <w:t>të</w:t>
      </w:r>
      <w:r w:rsidRPr="00B457F5">
        <w:rPr>
          <w:rFonts w:ascii="Garamond" w:eastAsia="MS Mincho" w:hAnsi="Garamond" w:cs="Times New Roman"/>
          <w:szCs w:val="24"/>
        </w:rPr>
        <w:t xml:space="preserve"> </w:t>
      </w:r>
      <w:r w:rsidR="008E7984" w:rsidRPr="00B457F5">
        <w:rPr>
          <w:rFonts w:ascii="Garamond" w:eastAsia="MS Mincho" w:hAnsi="Garamond" w:cs="Times New Roman"/>
          <w:szCs w:val="24"/>
        </w:rPr>
        <w:t>d</w:t>
      </w:r>
      <w:r w:rsidRPr="00B457F5">
        <w:rPr>
          <w:rFonts w:ascii="Garamond" w:eastAsia="MS Mincho" w:hAnsi="Garamond" w:cs="Times New Roman"/>
          <w:szCs w:val="24"/>
        </w:rPr>
        <w:t>iskriminimit ndaj grave (2023) dhe Raportin e Grupit të Ekspertëve për masa ndaj dhunës me bazë gjinore d</w:t>
      </w:r>
      <w:r w:rsidR="00C614D6" w:rsidRPr="00B457F5">
        <w:rPr>
          <w:rFonts w:ascii="Garamond" w:eastAsia="MS Mincho" w:hAnsi="Garamond" w:cs="Times New Roman"/>
          <w:szCs w:val="24"/>
        </w:rPr>
        <w:t>he dhunës ndaj grave (GREVIO)</w:t>
      </w:r>
      <w:r w:rsidR="008E7984" w:rsidRPr="00B457F5">
        <w:rPr>
          <w:rFonts w:ascii="Garamond" w:eastAsia="MS Mincho" w:hAnsi="Garamond" w:cs="Times New Roman"/>
          <w:szCs w:val="24"/>
        </w:rPr>
        <w:t>,</w:t>
      </w:r>
      <w:r w:rsidR="00C614D6" w:rsidRPr="00B457F5">
        <w:rPr>
          <w:rFonts w:ascii="Garamond" w:eastAsia="MS Mincho" w:hAnsi="Garamond" w:cs="Times New Roman"/>
          <w:szCs w:val="24"/>
        </w:rPr>
        <w:t xml:space="preserve"> </w:t>
      </w:r>
      <w:r w:rsidRPr="00B457F5">
        <w:rPr>
          <w:rFonts w:ascii="Garamond" w:eastAsia="MS Mincho" w:hAnsi="Garamond" w:cs="Times New Roman"/>
          <w:szCs w:val="24"/>
        </w:rPr>
        <w:t>mbi zbatimin nga shteti shqiptar të Konventës së Kës</w:t>
      </w:r>
      <w:r w:rsidR="00C614D6" w:rsidRPr="00B457F5">
        <w:rPr>
          <w:rFonts w:ascii="Garamond" w:eastAsia="MS Mincho" w:hAnsi="Garamond" w:cs="Times New Roman"/>
          <w:szCs w:val="24"/>
        </w:rPr>
        <w:t xml:space="preserve">hillit të Evropës, </w:t>
      </w:r>
      <w:r w:rsidR="00CD42FC" w:rsidRPr="00B457F5">
        <w:rPr>
          <w:rFonts w:ascii="Garamond" w:eastAsia="MS Mincho" w:hAnsi="Garamond" w:cs="Times New Roman"/>
          <w:szCs w:val="24"/>
        </w:rPr>
        <w:t>m</w:t>
      </w:r>
      <w:r w:rsidRPr="00B457F5">
        <w:rPr>
          <w:rFonts w:ascii="Garamond" w:eastAsia="MS Mincho" w:hAnsi="Garamond" w:cs="Times New Roman"/>
          <w:szCs w:val="24"/>
        </w:rPr>
        <w:t>bi luftimin dhe parandalimin e dhunës ndaj grave dhe dhunës në familje.</w:t>
      </w:r>
    </w:p>
    <w:p w14:paraId="57B97E4D" w14:textId="4F932B1B" w:rsidR="004E25B5" w:rsidRPr="00B457F5" w:rsidRDefault="004E25B5"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Lidhur me institucionet përgjegjëse pë</w:t>
      </w:r>
      <w:r w:rsidR="00E25E80" w:rsidRPr="00B457F5">
        <w:rPr>
          <w:rFonts w:ascii="Garamond" w:eastAsia="MS Mincho" w:hAnsi="Garamond" w:cs="Times New Roman"/>
          <w:szCs w:val="24"/>
        </w:rPr>
        <w:t>r zbatimin e strategjisë, MSHMS</w:t>
      </w:r>
      <w:r w:rsidR="008E7984" w:rsidRPr="00B457F5">
        <w:rPr>
          <w:rFonts w:ascii="Garamond" w:eastAsia="MS Mincho" w:hAnsi="Garamond" w:cs="Times New Roman"/>
          <w:szCs w:val="24"/>
        </w:rPr>
        <w:t>-ja</w:t>
      </w:r>
      <w:r w:rsidR="00E25E80" w:rsidRPr="00B457F5">
        <w:rPr>
          <w:rFonts w:ascii="Garamond" w:eastAsia="MS Mincho" w:hAnsi="Garamond" w:cs="Times New Roman"/>
          <w:szCs w:val="24"/>
        </w:rPr>
        <w:t xml:space="preserve"> </w:t>
      </w:r>
      <w:r w:rsidRPr="00B457F5">
        <w:rPr>
          <w:rFonts w:ascii="Garamond" w:eastAsia="MS Mincho" w:hAnsi="Garamond" w:cs="Times New Roman"/>
          <w:szCs w:val="24"/>
        </w:rPr>
        <w:t>parashikohet të jetë</w:t>
      </w:r>
      <w:r w:rsidR="0006016F" w:rsidRPr="00B457F5">
        <w:rPr>
          <w:rFonts w:ascii="Garamond" w:eastAsia="MS Mincho" w:hAnsi="Garamond" w:cs="Times New Roman"/>
          <w:szCs w:val="24"/>
        </w:rPr>
        <w:t xml:space="preserve"> </w:t>
      </w:r>
      <w:r w:rsidRPr="00B457F5">
        <w:rPr>
          <w:rFonts w:ascii="Garamond" w:eastAsia="MS Mincho" w:hAnsi="Garamond" w:cs="Times New Roman"/>
          <w:szCs w:val="24"/>
        </w:rPr>
        <w:t>institucioni kryesor përgjegjës për hartimin, monitorimin dhe vlerësimin e politikave të barazisë gjinore dhe mb</w:t>
      </w:r>
      <w:r w:rsidR="00C614D6" w:rsidRPr="00B457F5">
        <w:rPr>
          <w:rFonts w:ascii="Garamond" w:eastAsia="MS Mincho" w:hAnsi="Garamond" w:cs="Times New Roman"/>
          <w:szCs w:val="24"/>
        </w:rPr>
        <w:t xml:space="preserve">rojtjen e të drejtave të grave </w:t>
      </w:r>
      <w:r w:rsidRPr="00B457F5">
        <w:rPr>
          <w:rFonts w:ascii="Garamond" w:eastAsia="MS Mincho" w:hAnsi="Garamond" w:cs="Times New Roman"/>
          <w:szCs w:val="24"/>
        </w:rPr>
        <w:t>në fushën e barazisë gjinore.</w:t>
      </w:r>
    </w:p>
    <w:p w14:paraId="133C460C" w14:textId="31B2EF9C" w:rsidR="00C90706" w:rsidRPr="00B457F5" w:rsidRDefault="004E25B5" w:rsidP="002E693B">
      <w:pPr>
        <w:pStyle w:val="BodyText1"/>
        <w:spacing w:before="0" w:after="0"/>
        <w:ind w:firstLine="284"/>
        <w:rPr>
          <w:rStyle w:val="BodytextChar0"/>
          <w:rFonts w:ascii="Garamond" w:hAnsi="Garamond"/>
          <w:sz w:val="24"/>
          <w:szCs w:val="24"/>
          <w:lang w:val="sq-AL"/>
        </w:rPr>
      </w:pPr>
      <w:bookmarkStart w:id="41" w:name="_Toc155620226"/>
      <w:r w:rsidRPr="00B457F5">
        <w:rPr>
          <w:rStyle w:val="BodytextChar0"/>
          <w:rFonts w:ascii="Garamond" w:hAnsi="Garamond"/>
          <w:color w:val="0D0D0D" w:themeColor="text1" w:themeTint="F2"/>
          <w:sz w:val="24"/>
          <w:szCs w:val="24"/>
          <w:lang w:val="sq-AL"/>
        </w:rPr>
        <w:t>Në lidhje me analizën e bilancit migrator në vend, parashikohet përdorimi i të dhënave të disagreguara sipas gjinisë</w:t>
      </w:r>
      <w:r w:rsidR="008E7984" w:rsidRPr="00B457F5">
        <w:rPr>
          <w:rStyle w:val="BodytextChar0"/>
          <w:rFonts w:ascii="Garamond" w:hAnsi="Garamond"/>
          <w:color w:val="0D0D0D" w:themeColor="text1" w:themeTint="F2"/>
          <w:sz w:val="24"/>
          <w:szCs w:val="24"/>
          <w:lang w:val="sq-AL"/>
        </w:rPr>
        <w:t>,</w:t>
      </w:r>
      <w:r w:rsidRPr="00B457F5">
        <w:rPr>
          <w:rStyle w:val="BodytextChar0"/>
          <w:rFonts w:ascii="Garamond" w:hAnsi="Garamond"/>
          <w:color w:val="0D0D0D" w:themeColor="text1" w:themeTint="F2"/>
          <w:sz w:val="24"/>
          <w:szCs w:val="24"/>
          <w:lang w:val="sq-AL"/>
        </w:rPr>
        <w:t xml:space="preserve"> nga raporti i INSTAT</w:t>
      </w:r>
      <w:r w:rsidR="008E7984" w:rsidRPr="00B457F5">
        <w:rPr>
          <w:rStyle w:val="BodytextChar0"/>
          <w:rFonts w:ascii="Garamond" w:hAnsi="Garamond"/>
          <w:color w:val="0D0D0D" w:themeColor="text1" w:themeTint="F2"/>
          <w:sz w:val="24"/>
          <w:szCs w:val="24"/>
          <w:lang w:val="sq-AL"/>
        </w:rPr>
        <w:t>-it</w:t>
      </w:r>
      <w:r w:rsidR="00C90706" w:rsidRPr="00B457F5">
        <w:rPr>
          <w:rStyle w:val="BodytextChar0"/>
          <w:rFonts w:ascii="Garamond" w:hAnsi="Garamond"/>
          <w:color w:val="0D0D0D" w:themeColor="text1" w:themeTint="F2"/>
          <w:sz w:val="24"/>
          <w:szCs w:val="24"/>
          <w:lang w:val="sq-AL"/>
        </w:rPr>
        <w:t xml:space="preserve"> </w:t>
      </w:r>
      <w:r w:rsidRPr="00B457F5">
        <w:rPr>
          <w:rStyle w:val="BodytextChar0"/>
          <w:rFonts w:ascii="Garamond" w:hAnsi="Garamond"/>
          <w:color w:val="0D0D0D" w:themeColor="text1" w:themeTint="F2"/>
          <w:sz w:val="24"/>
          <w:szCs w:val="24"/>
          <w:lang w:val="sq-AL"/>
        </w:rPr>
        <w:t>për përcaktimin e impaktit të migracionit në popullsi. Gjithashtu, SKM</w:t>
      </w:r>
      <w:r w:rsidR="008E7984" w:rsidRPr="00B457F5">
        <w:rPr>
          <w:rStyle w:val="BodytextChar0"/>
          <w:rFonts w:ascii="Garamond" w:hAnsi="Garamond"/>
          <w:color w:val="0D0D0D" w:themeColor="text1" w:themeTint="F2"/>
          <w:sz w:val="24"/>
          <w:szCs w:val="24"/>
          <w:lang w:val="sq-AL"/>
        </w:rPr>
        <w:t>-ja</w:t>
      </w:r>
      <w:r w:rsidRPr="00B457F5">
        <w:rPr>
          <w:rStyle w:val="BodytextChar0"/>
          <w:rFonts w:ascii="Garamond" w:hAnsi="Garamond"/>
          <w:color w:val="0D0D0D" w:themeColor="text1" w:themeTint="F2"/>
          <w:sz w:val="24"/>
          <w:szCs w:val="24"/>
          <w:lang w:val="sq-AL"/>
        </w:rPr>
        <w:t xml:space="preserve"> parashikon ndërhyrje specifike për rritjen e kapaciteteve institucionale për mbledhjen e të dhënave të disagreguara dhe shtimin e një treguesi të </w:t>
      </w:r>
      <w:r w:rsidRPr="00B457F5">
        <w:rPr>
          <w:rStyle w:val="BodytextChar0"/>
          <w:rFonts w:ascii="Garamond" w:hAnsi="Garamond"/>
          <w:sz w:val="24"/>
          <w:szCs w:val="24"/>
          <w:lang w:val="sq-AL"/>
        </w:rPr>
        <w:t>veçantë për përfshirjen e perspektivës gjinore në politikat e migracionit.</w:t>
      </w:r>
      <w:bookmarkStart w:id="42" w:name="_bookmark3"/>
      <w:bookmarkStart w:id="43" w:name="_bookmark4"/>
      <w:bookmarkEnd w:id="41"/>
      <w:bookmarkEnd w:id="42"/>
      <w:bookmarkEnd w:id="43"/>
    </w:p>
    <w:p w14:paraId="59BF7834" w14:textId="6A0D171B" w:rsidR="00614578" w:rsidRPr="00B457F5" w:rsidRDefault="009512D8" w:rsidP="002E693B">
      <w:pPr>
        <w:pStyle w:val="Heading1"/>
        <w:spacing w:before="0" w:after="0"/>
        <w:ind w:left="0" w:firstLine="284"/>
        <w:rPr>
          <w:rFonts w:ascii="Garamond" w:hAnsi="Garamond" w:cs="Times New Roman"/>
          <w:b w:val="0"/>
          <w:color w:val="auto"/>
          <w:sz w:val="24"/>
          <w:szCs w:val="24"/>
        </w:rPr>
      </w:pPr>
      <w:bookmarkStart w:id="44" w:name="_Toc155620728"/>
      <w:r w:rsidRPr="00B457F5">
        <w:rPr>
          <w:rFonts w:ascii="Garamond" w:hAnsi="Garamond" w:cs="Times New Roman"/>
          <w:b w:val="0"/>
          <w:color w:val="auto"/>
          <w:sz w:val="24"/>
          <w:szCs w:val="24"/>
        </w:rPr>
        <w:t>VIZIONI I STRATEGJISË</w:t>
      </w:r>
      <w:bookmarkEnd w:id="44"/>
    </w:p>
    <w:p w14:paraId="456C94FB" w14:textId="221CA630" w:rsidR="00614578" w:rsidRPr="00B457F5" w:rsidRDefault="009512D8" w:rsidP="002E693B">
      <w:pPr>
        <w:pStyle w:val="Heading1"/>
        <w:spacing w:before="0" w:after="0"/>
        <w:ind w:left="0" w:firstLine="284"/>
        <w:rPr>
          <w:rFonts w:ascii="Garamond" w:hAnsi="Garamond" w:cs="Times New Roman"/>
          <w:b w:val="0"/>
          <w:color w:val="auto"/>
          <w:sz w:val="24"/>
          <w:szCs w:val="24"/>
        </w:rPr>
      </w:pPr>
      <w:bookmarkStart w:id="45" w:name="_Toc155620729"/>
      <w:r w:rsidRPr="00B457F5">
        <w:rPr>
          <w:rFonts w:ascii="Garamond" w:hAnsi="Garamond" w:cs="Times New Roman"/>
          <w:b w:val="0"/>
          <w:color w:val="auto"/>
          <w:sz w:val="24"/>
          <w:szCs w:val="24"/>
        </w:rPr>
        <w:t>VIZIONI</w:t>
      </w:r>
      <w:bookmarkEnd w:id="45"/>
      <w:r w:rsidR="00F6645C" w:rsidRPr="00B457F5">
        <w:rPr>
          <w:rFonts w:ascii="Garamond" w:hAnsi="Garamond" w:cs="Times New Roman"/>
          <w:b w:val="0"/>
          <w:color w:val="auto"/>
          <w:sz w:val="24"/>
          <w:szCs w:val="24"/>
        </w:rPr>
        <w:t xml:space="preserve"> </w:t>
      </w:r>
    </w:p>
    <w:p w14:paraId="7740B0D2" w14:textId="3AA628B0" w:rsidR="00E1244E" w:rsidRPr="00B457F5" w:rsidRDefault="00E1244E" w:rsidP="002E693B">
      <w:pPr>
        <w:spacing w:before="0" w:after="0"/>
        <w:ind w:firstLine="284"/>
        <w:rPr>
          <w:rFonts w:ascii="Garamond" w:hAnsi="Garamond" w:cs="Times New Roman"/>
          <w:szCs w:val="24"/>
        </w:rPr>
      </w:pPr>
      <w:r w:rsidRPr="00B457F5">
        <w:rPr>
          <w:rFonts w:ascii="Garamond" w:hAnsi="Garamond" w:cs="Times New Roman"/>
          <w:szCs w:val="24"/>
        </w:rPr>
        <w:t>Qeveria e Shqipërisë ka përcaktuar në SKZHIE vizionin, objektivin strategjik dhe synimet politike mbi të cilat do të bazohen politikat e migracionit deri në vitin 2030, duke synuar zhvillimin e qëndrueshëm ekonomik, social dhe politik të vendit.</w:t>
      </w:r>
    </w:p>
    <w:p w14:paraId="5429335B" w14:textId="4BAA4D8E" w:rsidR="00F94DDD" w:rsidRPr="00B457F5" w:rsidRDefault="00764FBB" w:rsidP="002E693B">
      <w:pPr>
        <w:spacing w:before="0" w:after="0"/>
        <w:ind w:firstLine="284"/>
        <w:rPr>
          <w:rFonts w:ascii="Garamond" w:hAnsi="Garamond" w:cs="Times New Roman"/>
          <w:szCs w:val="24"/>
        </w:rPr>
      </w:pPr>
      <w:r w:rsidRPr="00B457F5">
        <w:rPr>
          <w:rFonts w:ascii="Garamond" w:hAnsi="Garamond" w:cs="Times New Roman"/>
          <w:b/>
          <w:szCs w:val="24"/>
        </w:rPr>
        <w:t>Vizioni për migracionin është që:</w:t>
      </w:r>
      <w:r w:rsidRPr="00B457F5">
        <w:rPr>
          <w:rFonts w:ascii="Garamond" w:hAnsi="Garamond" w:cs="Times New Roman"/>
          <w:szCs w:val="24"/>
        </w:rPr>
        <w:t xml:space="preserve"> </w:t>
      </w:r>
      <w:r w:rsidR="00A313AE" w:rsidRPr="00B457F5">
        <w:rPr>
          <w:rFonts w:ascii="Garamond" w:hAnsi="Garamond" w:cs="Times New Roman"/>
          <w:szCs w:val="24"/>
        </w:rPr>
        <w:t>“</w:t>
      </w:r>
      <w:r w:rsidRPr="00B457F5">
        <w:rPr>
          <w:rFonts w:ascii="Garamond" w:hAnsi="Garamond" w:cs="Times New Roman"/>
          <w:szCs w:val="24"/>
        </w:rPr>
        <w:t xml:space="preserve">Deri në vitin 2030, në frymën e proceseve globale të migracionit dhe integrimit të Shqipërisë në BE, të </w:t>
      </w:r>
      <w:r w:rsidR="00E908E0" w:rsidRPr="00B457F5">
        <w:rPr>
          <w:rFonts w:ascii="Garamond" w:hAnsi="Garamond" w:cs="Times New Roman"/>
          <w:szCs w:val="24"/>
        </w:rPr>
        <w:t>ofrohet</w:t>
      </w:r>
      <w:r w:rsidRPr="00B457F5">
        <w:rPr>
          <w:rFonts w:ascii="Garamond" w:hAnsi="Garamond" w:cs="Times New Roman"/>
          <w:szCs w:val="24"/>
        </w:rPr>
        <w:t xml:space="preserve"> një përgjigje gjithëpërfshirëse ndaj sfidave dhe mundësive të migracionit, në kuadrin e Shqipërisë</w:t>
      </w:r>
      <w:r w:rsidR="00A313AE" w:rsidRPr="00B457F5">
        <w:rPr>
          <w:rFonts w:ascii="Garamond" w:hAnsi="Garamond" w:cs="Times New Roman"/>
          <w:szCs w:val="24"/>
        </w:rPr>
        <w:t>”</w:t>
      </w:r>
      <w:r w:rsidRPr="00B457F5">
        <w:rPr>
          <w:rFonts w:ascii="Garamond" w:hAnsi="Garamond" w:cs="Times New Roman"/>
          <w:szCs w:val="24"/>
        </w:rPr>
        <w:t>.</w:t>
      </w:r>
    </w:p>
    <w:p w14:paraId="51393CA8" w14:textId="29ED89A8" w:rsidR="00061B3F" w:rsidRPr="00B457F5" w:rsidRDefault="00061B3F" w:rsidP="002E693B">
      <w:pPr>
        <w:spacing w:before="0" w:after="0"/>
        <w:ind w:firstLine="284"/>
        <w:rPr>
          <w:rFonts w:ascii="Garamond" w:hAnsi="Garamond" w:cs="Times New Roman"/>
          <w:b/>
          <w:szCs w:val="24"/>
        </w:rPr>
      </w:pPr>
      <w:r w:rsidRPr="00B457F5">
        <w:rPr>
          <w:rFonts w:ascii="Garamond" w:hAnsi="Garamond" w:cs="Times New Roman"/>
          <w:b/>
          <w:szCs w:val="24"/>
        </w:rPr>
        <w:t>Qëllimet e politikës (ndikimi dhe treguesit e rezultateve)</w:t>
      </w:r>
    </w:p>
    <w:p w14:paraId="47070226" w14:textId="2E815C6C" w:rsidR="00061B3F" w:rsidRPr="00B457F5" w:rsidRDefault="00061B3F" w:rsidP="002E693B">
      <w:pPr>
        <w:spacing w:before="0" w:after="0"/>
        <w:ind w:firstLine="284"/>
        <w:rPr>
          <w:rFonts w:ascii="Garamond" w:hAnsi="Garamond" w:cs="Times New Roman"/>
          <w:b/>
          <w:szCs w:val="24"/>
        </w:rPr>
      </w:pPr>
      <w:r w:rsidRPr="00B457F5">
        <w:rPr>
          <w:rFonts w:ascii="Garamond" w:hAnsi="Garamond" w:cs="Times New Roman"/>
          <w:b/>
          <w:szCs w:val="24"/>
        </w:rPr>
        <w:t>Objektivi kryesor strategjik është:</w:t>
      </w:r>
    </w:p>
    <w:p w14:paraId="4ECAD184" w14:textId="04EE0F89" w:rsidR="00DE74D7" w:rsidRPr="00B457F5" w:rsidRDefault="00A313AE" w:rsidP="002E693B">
      <w:pPr>
        <w:spacing w:before="0" w:after="0"/>
        <w:ind w:firstLine="284"/>
        <w:rPr>
          <w:rFonts w:ascii="Garamond" w:hAnsi="Garamond" w:cs="Times New Roman"/>
          <w:szCs w:val="24"/>
        </w:rPr>
      </w:pPr>
      <w:r w:rsidRPr="00B457F5">
        <w:rPr>
          <w:rFonts w:ascii="Garamond" w:hAnsi="Garamond" w:cs="Times New Roman"/>
          <w:szCs w:val="24"/>
        </w:rPr>
        <w:t>“</w:t>
      </w:r>
      <w:r w:rsidR="00DE74D7" w:rsidRPr="00B457F5">
        <w:rPr>
          <w:rFonts w:ascii="Garamond" w:hAnsi="Garamond" w:cs="Times New Roman"/>
          <w:szCs w:val="24"/>
        </w:rPr>
        <w:t xml:space="preserve">Qeverisja </w:t>
      </w:r>
      <w:r w:rsidR="00FF3B37" w:rsidRPr="00B457F5">
        <w:rPr>
          <w:rFonts w:ascii="Garamond" w:hAnsi="Garamond" w:cs="Times New Roman"/>
          <w:szCs w:val="24"/>
        </w:rPr>
        <w:t xml:space="preserve">e </w:t>
      </w:r>
      <w:r w:rsidR="00DE74D7" w:rsidRPr="00B457F5">
        <w:rPr>
          <w:rFonts w:ascii="Garamond" w:hAnsi="Garamond" w:cs="Times New Roman"/>
          <w:szCs w:val="24"/>
        </w:rPr>
        <w:t>efek</w:t>
      </w:r>
      <w:r w:rsidR="005C6D59" w:rsidRPr="00B457F5">
        <w:rPr>
          <w:rFonts w:ascii="Garamond" w:hAnsi="Garamond" w:cs="Times New Roman"/>
          <w:szCs w:val="24"/>
        </w:rPr>
        <w:t xml:space="preserve">tshme </w:t>
      </w:r>
      <w:r w:rsidR="00DE74D7" w:rsidRPr="00B457F5">
        <w:rPr>
          <w:rFonts w:ascii="Garamond" w:hAnsi="Garamond" w:cs="Times New Roman"/>
          <w:szCs w:val="24"/>
        </w:rPr>
        <w:t xml:space="preserve">e migracionit në Shqipëri, nëpërmjet </w:t>
      </w:r>
      <w:r w:rsidR="005C6D59" w:rsidRPr="00B457F5">
        <w:rPr>
          <w:rFonts w:ascii="Garamond" w:hAnsi="Garamond" w:cs="Times New Roman"/>
          <w:szCs w:val="24"/>
        </w:rPr>
        <w:t>adresimit</w:t>
      </w:r>
      <w:r w:rsidR="00C03587" w:rsidRPr="00B457F5">
        <w:rPr>
          <w:rFonts w:ascii="Garamond" w:hAnsi="Garamond" w:cs="Times New Roman"/>
          <w:szCs w:val="24"/>
        </w:rPr>
        <w:t xml:space="preserve"> </w:t>
      </w:r>
      <w:r w:rsidR="00DE74D7" w:rsidRPr="00B457F5">
        <w:rPr>
          <w:rFonts w:ascii="Garamond" w:hAnsi="Garamond" w:cs="Times New Roman"/>
          <w:szCs w:val="24"/>
        </w:rPr>
        <w:t>dhe menaxhimit të problem</w:t>
      </w:r>
      <w:r w:rsidR="005C6D59" w:rsidRPr="00B457F5">
        <w:rPr>
          <w:rFonts w:ascii="Garamond" w:hAnsi="Garamond" w:cs="Times New Roman"/>
          <w:szCs w:val="24"/>
        </w:rPr>
        <w:t xml:space="preserve">atikave </w:t>
      </w:r>
      <w:r w:rsidR="00DE74D7" w:rsidRPr="00B457F5">
        <w:rPr>
          <w:rFonts w:ascii="Garamond" w:hAnsi="Garamond" w:cs="Times New Roman"/>
          <w:szCs w:val="24"/>
        </w:rPr>
        <w:t xml:space="preserve">dhe sfidave që </w:t>
      </w:r>
      <w:r w:rsidR="005C6D59" w:rsidRPr="00B457F5">
        <w:rPr>
          <w:rFonts w:ascii="Garamond" w:hAnsi="Garamond" w:cs="Times New Roman"/>
          <w:szCs w:val="24"/>
        </w:rPr>
        <w:t>lindin</w:t>
      </w:r>
      <w:r w:rsidR="00DE74D7" w:rsidRPr="00B457F5">
        <w:rPr>
          <w:rFonts w:ascii="Garamond" w:hAnsi="Garamond" w:cs="Times New Roman"/>
          <w:szCs w:val="24"/>
        </w:rPr>
        <w:t xml:space="preserve"> nga lëvizjet migra</w:t>
      </w:r>
      <w:r w:rsidR="005C6D59" w:rsidRPr="00B457F5">
        <w:rPr>
          <w:rFonts w:ascii="Garamond" w:hAnsi="Garamond" w:cs="Times New Roman"/>
          <w:szCs w:val="24"/>
        </w:rPr>
        <w:t>tore</w:t>
      </w:r>
      <w:r w:rsidR="00DE74D7" w:rsidRPr="00B457F5">
        <w:rPr>
          <w:rFonts w:ascii="Garamond" w:hAnsi="Garamond" w:cs="Times New Roman"/>
          <w:szCs w:val="24"/>
        </w:rPr>
        <w:t xml:space="preserve">, </w:t>
      </w:r>
      <w:r w:rsidR="005C6D59" w:rsidRPr="00B457F5">
        <w:rPr>
          <w:rFonts w:ascii="Garamond" w:hAnsi="Garamond" w:cs="Times New Roman"/>
          <w:szCs w:val="24"/>
        </w:rPr>
        <w:t xml:space="preserve">duke </w:t>
      </w:r>
      <w:r w:rsidR="00DE74D7" w:rsidRPr="00B457F5">
        <w:rPr>
          <w:rFonts w:ascii="Garamond" w:hAnsi="Garamond" w:cs="Times New Roman"/>
          <w:szCs w:val="24"/>
        </w:rPr>
        <w:t>syn</w:t>
      </w:r>
      <w:r w:rsidR="005C6D59" w:rsidRPr="00B457F5">
        <w:rPr>
          <w:rFonts w:ascii="Garamond" w:hAnsi="Garamond" w:cs="Times New Roman"/>
          <w:szCs w:val="24"/>
        </w:rPr>
        <w:t>uar</w:t>
      </w:r>
      <w:r w:rsidR="00DE74D7" w:rsidRPr="00B457F5">
        <w:rPr>
          <w:rFonts w:ascii="Garamond" w:hAnsi="Garamond" w:cs="Times New Roman"/>
          <w:szCs w:val="24"/>
        </w:rPr>
        <w:t xml:space="preserve"> rritjen e ndikimit të migracionit </w:t>
      </w:r>
      <w:r w:rsidR="005C6D59" w:rsidRPr="00B457F5">
        <w:rPr>
          <w:rFonts w:ascii="Garamond" w:hAnsi="Garamond" w:cs="Times New Roman"/>
          <w:szCs w:val="24"/>
        </w:rPr>
        <w:t>te</w:t>
      </w:r>
      <w:r w:rsidR="00DE74D7" w:rsidRPr="00B457F5">
        <w:rPr>
          <w:rFonts w:ascii="Garamond" w:hAnsi="Garamond" w:cs="Times New Roman"/>
          <w:szCs w:val="24"/>
        </w:rPr>
        <w:t xml:space="preserve"> zhvillimi</w:t>
      </w:r>
      <w:r w:rsidR="005C6D59" w:rsidRPr="00B457F5">
        <w:rPr>
          <w:rFonts w:ascii="Garamond" w:hAnsi="Garamond" w:cs="Times New Roman"/>
          <w:szCs w:val="24"/>
        </w:rPr>
        <w:t>, n</w:t>
      </w:r>
      <w:r w:rsidR="00CD03AB" w:rsidRPr="00B457F5">
        <w:rPr>
          <w:rFonts w:ascii="Garamond" w:hAnsi="Garamond" w:cs="Times New Roman"/>
          <w:szCs w:val="24"/>
        </w:rPr>
        <w:t>ë</w:t>
      </w:r>
      <w:r w:rsidR="005C6D59" w:rsidRPr="00B457F5">
        <w:rPr>
          <w:rFonts w:ascii="Garamond" w:hAnsi="Garamond" w:cs="Times New Roman"/>
          <w:szCs w:val="24"/>
        </w:rPr>
        <w:t xml:space="preserve"> t</w:t>
      </w:r>
      <w:r w:rsidR="00CD03AB" w:rsidRPr="00B457F5">
        <w:rPr>
          <w:rFonts w:ascii="Garamond" w:hAnsi="Garamond" w:cs="Times New Roman"/>
          <w:szCs w:val="24"/>
        </w:rPr>
        <w:t>ë</w:t>
      </w:r>
      <w:r w:rsidR="005C6D59" w:rsidRPr="00B457F5">
        <w:rPr>
          <w:rFonts w:ascii="Garamond" w:hAnsi="Garamond" w:cs="Times New Roman"/>
          <w:szCs w:val="24"/>
        </w:rPr>
        <w:t xml:space="preserve"> mir</w:t>
      </w:r>
      <w:r w:rsidR="00CD03AB" w:rsidRPr="00B457F5">
        <w:rPr>
          <w:rFonts w:ascii="Garamond" w:hAnsi="Garamond" w:cs="Times New Roman"/>
          <w:szCs w:val="24"/>
        </w:rPr>
        <w:t>ë</w:t>
      </w:r>
      <w:r w:rsidR="00DE74D7" w:rsidRPr="00B457F5">
        <w:rPr>
          <w:rFonts w:ascii="Garamond" w:hAnsi="Garamond" w:cs="Times New Roman"/>
          <w:szCs w:val="24"/>
        </w:rPr>
        <w:t xml:space="preserve"> të migrantëve dhe shoqërisë shqiptare</w:t>
      </w:r>
      <w:r w:rsidRPr="00B457F5">
        <w:rPr>
          <w:rFonts w:ascii="Garamond" w:hAnsi="Garamond" w:cs="Times New Roman"/>
          <w:szCs w:val="24"/>
        </w:rPr>
        <w:t>”</w:t>
      </w:r>
      <w:r w:rsidR="00DE74D7" w:rsidRPr="00B457F5">
        <w:rPr>
          <w:rFonts w:ascii="Garamond" w:hAnsi="Garamond" w:cs="Times New Roman"/>
          <w:szCs w:val="24"/>
        </w:rPr>
        <w:t>.</w:t>
      </w:r>
    </w:p>
    <w:p w14:paraId="38AD13D5" w14:textId="3BD6B5AA" w:rsidR="00DE74D7" w:rsidRPr="00B457F5" w:rsidRDefault="00DE74D7" w:rsidP="002E693B">
      <w:pPr>
        <w:spacing w:before="0" w:after="0"/>
        <w:ind w:firstLine="284"/>
        <w:rPr>
          <w:rFonts w:ascii="Garamond" w:hAnsi="Garamond" w:cs="Times New Roman"/>
          <w:szCs w:val="24"/>
        </w:rPr>
      </w:pPr>
      <w:r w:rsidRPr="00B457F5">
        <w:rPr>
          <w:rFonts w:ascii="Garamond" w:hAnsi="Garamond" w:cs="Times New Roman"/>
          <w:szCs w:val="24"/>
        </w:rPr>
        <w:t>Qeveria shqiptare ka vendosur të arrijë objektivin kryesor strategjik</w:t>
      </w:r>
      <w:r w:rsidR="00FF3B37" w:rsidRPr="00B457F5">
        <w:rPr>
          <w:rFonts w:ascii="Garamond" w:hAnsi="Garamond" w:cs="Times New Roman"/>
          <w:szCs w:val="24"/>
        </w:rPr>
        <w:t>,</w:t>
      </w:r>
      <w:r w:rsidRPr="00B457F5">
        <w:rPr>
          <w:rFonts w:ascii="Garamond" w:hAnsi="Garamond" w:cs="Times New Roman"/>
          <w:szCs w:val="24"/>
        </w:rPr>
        <w:t xml:space="preserve"> duke u </w:t>
      </w:r>
      <w:r w:rsidR="006D123A" w:rsidRPr="00B457F5">
        <w:rPr>
          <w:rFonts w:ascii="Garamond" w:hAnsi="Garamond" w:cs="Times New Roman"/>
          <w:szCs w:val="24"/>
        </w:rPr>
        <w:t xml:space="preserve">përqendruar </w:t>
      </w:r>
      <w:r w:rsidRPr="00B457F5">
        <w:rPr>
          <w:rFonts w:ascii="Garamond" w:hAnsi="Garamond" w:cs="Times New Roman"/>
          <w:szCs w:val="24"/>
        </w:rPr>
        <w:t xml:space="preserve">në </w:t>
      </w:r>
      <w:r w:rsidR="00C90706" w:rsidRPr="00B457F5">
        <w:rPr>
          <w:rFonts w:ascii="Garamond" w:hAnsi="Garamond" w:cs="Times New Roman"/>
          <w:szCs w:val="24"/>
        </w:rPr>
        <w:t>kat</w:t>
      </w:r>
      <w:r w:rsidR="00DD7F5B" w:rsidRPr="00B457F5">
        <w:rPr>
          <w:rFonts w:ascii="Garamond" w:hAnsi="Garamond" w:cs="Times New Roman"/>
          <w:szCs w:val="24"/>
        </w:rPr>
        <w:t>ë</w:t>
      </w:r>
      <w:r w:rsidR="00C90706" w:rsidRPr="00B457F5">
        <w:rPr>
          <w:rFonts w:ascii="Garamond" w:hAnsi="Garamond" w:cs="Times New Roman"/>
          <w:szCs w:val="24"/>
        </w:rPr>
        <w:t>r</w:t>
      </w:r>
      <w:r w:rsidRPr="00B457F5">
        <w:rPr>
          <w:rFonts w:ascii="Garamond" w:hAnsi="Garamond" w:cs="Times New Roman"/>
          <w:szCs w:val="24"/>
        </w:rPr>
        <w:t xml:space="preserve"> q</w:t>
      </w:r>
      <w:r w:rsidR="00B0743F" w:rsidRPr="00B457F5">
        <w:rPr>
          <w:rFonts w:ascii="Garamond" w:hAnsi="Garamond" w:cs="Times New Roman"/>
          <w:szCs w:val="24"/>
        </w:rPr>
        <w:t>ë</w:t>
      </w:r>
      <w:r w:rsidRPr="00B457F5">
        <w:rPr>
          <w:rFonts w:ascii="Garamond" w:hAnsi="Garamond" w:cs="Times New Roman"/>
          <w:szCs w:val="24"/>
        </w:rPr>
        <w:t>llimet kryesore politike, si më poshtë:</w:t>
      </w:r>
    </w:p>
    <w:p w14:paraId="2BD15DAE" w14:textId="76D24245" w:rsidR="00151C91" w:rsidRPr="00B457F5" w:rsidRDefault="00783BF2" w:rsidP="002E693B">
      <w:pPr>
        <w:autoSpaceDE w:val="0"/>
        <w:autoSpaceDN w:val="0"/>
        <w:adjustRightInd w:val="0"/>
        <w:spacing w:before="0" w:after="0"/>
        <w:ind w:firstLine="284"/>
        <w:rPr>
          <w:rFonts w:ascii="Garamond" w:eastAsiaTheme="minorHAnsi" w:hAnsi="Garamond" w:cs="Times New Roman"/>
          <w:szCs w:val="24"/>
        </w:rPr>
      </w:pPr>
      <w:r w:rsidRPr="00B457F5">
        <w:rPr>
          <w:rFonts w:ascii="Garamond" w:eastAsiaTheme="minorHAnsi" w:hAnsi="Garamond" w:cs="Wingdings"/>
          <w:szCs w:val="24"/>
        </w:rPr>
        <w:t xml:space="preserve">- </w:t>
      </w:r>
      <w:r w:rsidR="00151C91" w:rsidRPr="00B457F5">
        <w:rPr>
          <w:rFonts w:ascii="Garamond" w:eastAsiaTheme="minorHAnsi" w:hAnsi="Garamond" w:cs="Times New Roman"/>
          <w:szCs w:val="24"/>
        </w:rPr>
        <w:t>Garantimi i qeverisjes strategjike të migracionit në Shqipëri</w:t>
      </w:r>
      <w:r w:rsidR="00BD0EC5" w:rsidRPr="00B457F5">
        <w:rPr>
          <w:rFonts w:ascii="Garamond" w:eastAsiaTheme="minorHAnsi" w:hAnsi="Garamond" w:cs="Times New Roman"/>
          <w:szCs w:val="24"/>
        </w:rPr>
        <w:t>;</w:t>
      </w:r>
    </w:p>
    <w:p w14:paraId="1A03AE43" w14:textId="3143D284" w:rsidR="00151C91" w:rsidRPr="00B457F5" w:rsidRDefault="00783BF2" w:rsidP="002E693B">
      <w:pPr>
        <w:autoSpaceDE w:val="0"/>
        <w:autoSpaceDN w:val="0"/>
        <w:adjustRightInd w:val="0"/>
        <w:spacing w:before="0" w:after="0"/>
        <w:ind w:firstLine="284"/>
        <w:rPr>
          <w:rFonts w:ascii="Garamond" w:eastAsiaTheme="minorHAnsi" w:hAnsi="Garamond" w:cs="Times New Roman"/>
          <w:szCs w:val="24"/>
        </w:rPr>
      </w:pPr>
      <w:r w:rsidRPr="00B457F5">
        <w:rPr>
          <w:rFonts w:ascii="Garamond" w:eastAsiaTheme="minorHAnsi" w:hAnsi="Garamond" w:cs="Wingdings"/>
          <w:szCs w:val="24"/>
        </w:rPr>
        <w:t xml:space="preserve">- </w:t>
      </w:r>
      <w:r w:rsidR="00151C91" w:rsidRPr="00B457F5">
        <w:rPr>
          <w:rFonts w:ascii="Garamond" w:eastAsiaTheme="minorHAnsi" w:hAnsi="Garamond" w:cs="Times New Roman"/>
          <w:szCs w:val="24"/>
        </w:rPr>
        <w:t>Zhvillimi i politikave të efektshme për migracionin për motive punësimi</w:t>
      </w:r>
      <w:r w:rsidR="00FF3B37" w:rsidRPr="00B457F5">
        <w:rPr>
          <w:rFonts w:ascii="Garamond" w:eastAsiaTheme="minorHAnsi" w:hAnsi="Garamond" w:cs="Times New Roman"/>
          <w:szCs w:val="24"/>
        </w:rPr>
        <w:t>,</w:t>
      </w:r>
      <w:r w:rsidR="00151C91" w:rsidRPr="00B457F5">
        <w:rPr>
          <w:rFonts w:ascii="Garamond" w:eastAsiaTheme="minorHAnsi" w:hAnsi="Garamond" w:cs="Times New Roman"/>
          <w:szCs w:val="24"/>
        </w:rPr>
        <w:t xml:space="preserve"> duke rritur ndikimin pozitiv të migracionit te zhvillimi socio-ekonomik kombëtar/lokal</w:t>
      </w:r>
      <w:r w:rsidR="00BD0EC5" w:rsidRPr="00B457F5">
        <w:rPr>
          <w:rFonts w:ascii="Garamond" w:eastAsiaTheme="minorHAnsi" w:hAnsi="Garamond" w:cs="Times New Roman"/>
          <w:szCs w:val="24"/>
        </w:rPr>
        <w:t>;</w:t>
      </w:r>
    </w:p>
    <w:p w14:paraId="1A40EFD9" w14:textId="22A3FD39" w:rsidR="00151C91" w:rsidRPr="00B457F5" w:rsidRDefault="00783BF2" w:rsidP="002E693B">
      <w:pPr>
        <w:autoSpaceDE w:val="0"/>
        <w:autoSpaceDN w:val="0"/>
        <w:adjustRightInd w:val="0"/>
        <w:spacing w:before="0" w:after="0"/>
        <w:ind w:firstLine="284"/>
        <w:rPr>
          <w:rFonts w:ascii="Garamond" w:eastAsiaTheme="minorHAnsi" w:hAnsi="Garamond" w:cs="Times New Roman"/>
          <w:szCs w:val="24"/>
        </w:rPr>
      </w:pPr>
      <w:r w:rsidRPr="00B457F5">
        <w:rPr>
          <w:rFonts w:ascii="Garamond" w:eastAsiaTheme="minorHAnsi" w:hAnsi="Garamond" w:cs="Wingdings"/>
          <w:szCs w:val="24"/>
        </w:rPr>
        <w:t xml:space="preserve">- </w:t>
      </w:r>
      <w:r w:rsidR="00151C91" w:rsidRPr="00B457F5">
        <w:rPr>
          <w:rFonts w:ascii="Garamond" w:eastAsiaTheme="minorHAnsi" w:hAnsi="Garamond" w:cs="Times New Roman"/>
          <w:szCs w:val="24"/>
        </w:rPr>
        <w:t>Promovimi i migracionit të rregullt, mbrojtja e të drejtave të migrantëve dhe integrimi i tyre në shoqërinë shqiptare</w:t>
      </w:r>
      <w:r w:rsidR="00BD0EC5" w:rsidRPr="00B457F5">
        <w:rPr>
          <w:rFonts w:ascii="Garamond" w:eastAsiaTheme="minorHAnsi" w:hAnsi="Garamond" w:cs="Times New Roman"/>
          <w:szCs w:val="24"/>
        </w:rPr>
        <w:t>;</w:t>
      </w:r>
    </w:p>
    <w:p w14:paraId="483E1174" w14:textId="08363978" w:rsidR="00151C91" w:rsidRPr="00B457F5" w:rsidRDefault="00783BF2" w:rsidP="002E693B">
      <w:pPr>
        <w:autoSpaceDE w:val="0"/>
        <w:autoSpaceDN w:val="0"/>
        <w:adjustRightInd w:val="0"/>
        <w:spacing w:before="0" w:after="0"/>
        <w:ind w:firstLine="284"/>
        <w:rPr>
          <w:rFonts w:ascii="Garamond" w:eastAsiaTheme="minorHAnsi" w:hAnsi="Garamond" w:cs="Times New Roman"/>
          <w:szCs w:val="24"/>
        </w:rPr>
      </w:pPr>
      <w:r w:rsidRPr="00B457F5">
        <w:rPr>
          <w:rFonts w:ascii="Garamond" w:eastAsiaTheme="minorHAnsi" w:hAnsi="Garamond" w:cs="Wingdings"/>
          <w:szCs w:val="24"/>
        </w:rPr>
        <w:t xml:space="preserve">- </w:t>
      </w:r>
      <w:r w:rsidR="00151C91" w:rsidRPr="00B457F5">
        <w:rPr>
          <w:rFonts w:ascii="Garamond" w:eastAsiaTheme="minorHAnsi" w:hAnsi="Garamond" w:cs="Times New Roman"/>
          <w:szCs w:val="24"/>
        </w:rPr>
        <w:t>Forcimi i sistemit të mbrojtjes ndërkombëtare, garantimi i të drejtave të azilkërkuesve dhe refugjatëve dhe ofrimi i zgjidhjeve të qëndrueshme</w:t>
      </w:r>
      <w:r w:rsidR="00BD0EC5" w:rsidRPr="00B457F5">
        <w:rPr>
          <w:rFonts w:ascii="Garamond" w:eastAsiaTheme="minorHAnsi" w:hAnsi="Garamond" w:cs="Times New Roman"/>
          <w:szCs w:val="24"/>
        </w:rPr>
        <w:t>.</w:t>
      </w:r>
    </w:p>
    <w:p w14:paraId="74904628" w14:textId="11EFDEE8" w:rsidR="003F42F9" w:rsidRPr="00B457F5" w:rsidRDefault="00C90706" w:rsidP="002E693B">
      <w:pPr>
        <w:pStyle w:val="Heading1"/>
        <w:spacing w:before="0" w:after="0"/>
        <w:ind w:left="0" w:firstLine="284"/>
        <w:rPr>
          <w:rFonts w:ascii="Garamond" w:hAnsi="Garamond" w:cs="Times New Roman"/>
          <w:color w:val="auto"/>
          <w:sz w:val="24"/>
          <w:szCs w:val="24"/>
        </w:rPr>
      </w:pPr>
      <w:bookmarkStart w:id="46" w:name="_Toc155620229"/>
      <w:bookmarkStart w:id="47" w:name="_Toc155620730"/>
      <w:r w:rsidRPr="00B457F5">
        <w:rPr>
          <w:rFonts w:ascii="Garamond" w:hAnsi="Garamond" w:cs="Times New Roman"/>
          <w:color w:val="auto"/>
          <w:sz w:val="24"/>
          <w:szCs w:val="24"/>
        </w:rPr>
        <w:t xml:space="preserve">Treguesit e </w:t>
      </w:r>
      <w:r w:rsidR="00BD0EC5" w:rsidRPr="00B457F5">
        <w:rPr>
          <w:rFonts w:ascii="Garamond" w:hAnsi="Garamond" w:cs="Times New Roman"/>
          <w:color w:val="auto"/>
          <w:sz w:val="24"/>
          <w:szCs w:val="24"/>
        </w:rPr>
        <w:t>ndikim</w:t>
      </w:r>
      <w:r w:rsidR="00FF3B37" w:rsidRPr="00B457F5">
        <w:rPr>
          <w:rFonts w:ascii="Garamond" w:hAnsi="Garamond" w:cs="Times New Roman"/>
          <w:color w:val="auto"/>
          <w:sz w:val="24"/>
          <w:szCs w:val="24"/>
        </w:rPr>
        <w:t>i</w:t>
      </w:r>
      <w:r w:rsidR="00BD0EC5" w:rsidRPr="00B457F5">
        <w:rPr>
          <w:rFonts w:ascii="Garamond" w:hAnsi="Garamond" w:cs="Times New Roman"/>
          <w:color w:val="auto"/>
          <w:sz w:val="24"/>
          <w:szCs w:val="24"/>
        </w:rPr>
        <w:t>t dhe treguesit e rezultateve</w:t>
      </w:r>
      <w:bookmarkEnd w:id="46"/>
      <w:bookmarkEnd w:id="47"/>
    </w:p>
    <w:p w14:paraId="232F41F8" w14:textId="3BE4E50B" w:rsidR="00CD03AB" w:rsidRPr="00B457F5" w:rsidRDefault="00886118" w:rsidP="002E693B">
      <w:pPr>
        <w:spacing w:before="0" w:after="0"/>
        <w:ind w:firstLine="284"/>
        <w:rPr>
          <w:rFonts w:ascii="Garamond" w:hAnsi="Garamond" w:cs="Times New Roman"/>
          <w:b/>
          <w:bCs/>
          <w:szCs w:val="24"/>
        </w:rPr>
      </w:pPr>
      <w:r w:rsidRPr="00B457F5">
        <w:rPr>
          <w:rFonts w:ascii="Garamond" w:hAnsi="Garamond" w:cs="Times New Roman"/>
          <w:b/>
          <w:bCs/>
          <w:szCs w:val="24"/>
        </w:rPr>
        <w:lastRenderedPageBreak/>
        <w:t>Niveli i</w:t>
      </w:r>
      <w:r w:rsidR="00F16D5E" w:rsidRPr="00B457F5">
        <w:rPr>
          <w:rFonts w:ascii="Garamond" w:hAnsi="Garamond" w:cs="Times New Roman"/>
          <w:b/>
          <w:bCs/>
          <w:szCs w:val="24"/>
        </w:rPr>
        <w:t xml:space="preserve"> përfshirjes së institucioneve publike, organizatave ndërkombëtare dhe organizatave të shoqërisë ci</w:t>
      </w:r>
      <w:r w:rsidR="00C20ACC" w:rsidRPr="00B457F5">
        <w:rPr>
          <w:rFonts w:ascii="Garamond" w:hAnsi="Garamond" w:cs="Times New Roman"/>
          <w:b/>
          <w:bCs/>
          <w:szCs w:val="24"/>
        </w:rPr>
        <w:t>vile në çështjet e migracionit</w:t>
      </w:r>
    </w:p>
    <w:p w14:paraId="5C29B90C" w14:textId="25EC831E" w:rsidR="00F16D5E" w:rsidRPr="00B457F5" w:rsidRDefault="00F16D5E" w:rsidP="002E693B">
      <w:pPr>
        <w:spacing w:before="0" w:after="0"/>
        <w:ind w:firstLine="284"/>
        <w:rPr>
          <w:rFonts w:ascii="Garamond" w:hAnsi="Garamond" w:cs="Times New Roman"/>
          <w:szCs w:val="24"/>
        </w:rPr>
      </w:pPr>
      <w:r w:rsidRPr="00B457F5">
        <w:rPr>
          <w:rFonts w:ascii="Garamond" w:hAnsi="Garamond" w:cs="Times New Roman"/>
          <w:szCs w:val="24"/>
        </w:rPr>
        <w:t xml:space="preserve">Migracioni është një fenomen shumëdimensional dhe kompleks i cili nuk mund të trajtohet nga një sektor i vetëm apo institucion. Për të zhvilluar dhe zbatuar politika dhe praktika efektive të migracionit, nevojitet një </w:t>
      </w:r>
      <w:r w:rsidR="00A313AE" w:rsidRPr="00B457F5">
        <w:rPr>
          <w:rFonts w:ascii="Garamond" w:hAnsi="Garamond" w:cs="Times New Roman"/>
          <w:szCs w:val="24"/>
        </w:rPr>
        <w:t>“</w:t>
      </w:r>
      <w:r w:rsidRPr="00B457F5">
        <w:rPr>
          <w:rFonts w:ascii="Garamond" w:hAnsi="Garamond" w:cs="Times New Roman"/>
          <w:szCs w:val="24"/>
        </w:rPr>
        <w:t>qasje e gjithë qeverisë</w:t>
      </w:r>
      <w:r w:rsidR="00A313AE" w:rsidRPr="00B457F5">
        <w:rPr>
          <w:rFonts w:ascii="Garamond" w:hAnsi="Garamond" w:cs="Times New Roman"/>
          <w:szCs w:val="24"/>
        </w:rPr>
        <w:t>”</w:t>
      </w:r>
      <w:r w:rsidRPr="00B457F5">
        <w:rPr>
          <w:rFonts w:ascii="Garamond" w:hAnsi="Garamond" w:cs="Times New Roman"/>
          <w:szCs w:val="24"/>
        </w:rPr>
        <w:t xml:space="preserve"> [</w:t>
      </w:r>
      <w:r w:rsidR="00C20ACC" w:rsidRPr="00B457F5">
        <w:rPr>
          <w:rFonts w:ascii="Garamond" w:hAnsi="Garamond" w:cs="Times New Roman"/>
          <w:i/>
          <w:iCs/>
          <w:szCs w:val="24"/>
        </w:rPr>
        <w:t>w</w:t>
      </w:r>
      <w:r w:rsidRPr="00B457F5">
        <w:rPr>
          <w:rFonts w:ascii="Garamond" w:hAnsi="Garamond" w:cs="Times New Roman"/>
          <w:i/>
          <w:iCs/>
          <w:szCs w:val="24"/>
        </w:rPr>
        <w:t>hole society approach</w:t>
      </w:r>
      <w:r w:rsidRPr="00B457F5">
        <w:rPr>
          <w:rFonts w:ascii="Garamond" w:hAnsi="Garamond" w:cs="Times New Roman"/>
          <w:szCs w:val="24"/>
        </w:rPr>
        <w:t>] e cila siguron</w:t>
      </w:r>
      <w:r w:rsidR="0006016F" w:rsidRPr="00B457F5">
        <w:rPr>
          <w:rFonts w:ascii="Garamond" w:hAnsi="Garamond" w:cs="Times New Roman"/>
          <w:szCs w:val="24"/>
        </w:rPr>
        <w:t xml:space="preserve"> </w:t>
      </w:r>
      <w:r w:rsidRPr="00B457F5">
        <w:rPr>
          <w:rFonts w:ascii="Garamond" w:hAnsi="Garamond" w:cs="Times New Roman"/>
          <w:szCs w:val="24"/>
        </w:rPr>
        <w:t>koherencë horizontale dhe vertikale të politikave në të gjithë sektorët dhe nivelet e qeverisjes. Strategjia Kombëtare për Migracionin dhe Plani i Veprimit 2024</w:t>
      </w:r>
      <w:r w:rsidR="0009653B" w:rsidRPr="00B457F5">
        <w:rPr>
          <w:rStyle w:val="contentpasted1"/>
          <w:rFonts w:ascii="Garamond" w:hAnsi="Garamond" w:cs="Times New Roman"/>
          <w:color w:val="000000"/>
        </w:rPr>
        <w:t>–</w:t>
      </w:r>
      <w:r w:rsidRPr="00B457F5">
        <w:rPr>
          <w:rFonts w:ascii="Garamond" w:hAnsi="Garamond" w:cs="Times New Roman"/>
          <w:szCs w:val="24"/>
        </w:rPr>
        <w:t>2030 janë përgatitur në bashkëpunim të ngushtë dhe me kontributin aktiv të</w:t>
      </w:r>
      <w:r w:rsidR="0006016F" w:rsidRPr="00B457F5">
        <w:rPr>
          <w:rFonts w:ascii="Garamond" w:hAnsi="Garamond" w:cs="Times New Roman"/>
          <w:szCs w:val="24"/>
        </w:rPr>
        <w:t xml:space="preserve"> </w:t>
      </w:r>
      <w:r w:rsidRPr="00B457F5">
        <w:rPr>
          <w:rFonts w:ascii="Garamond" w:hAnsi="Garamond" w:cs="Times New Roman"/>
          <w:szCs w:val="24"/>
        </w:rPr>
        <w:t>ministrive të linjës të përfshira në zbatimin e politikave në fushën e migracionit, përfshirë këtu institucionet e varësisë, institucionet pavarura</w:t>
      </w:r>
      <w:r w:rsidR="00730291" w:rsidRPr="00B457F5">
        <w:rPr>
          <w:rFonts w:ascii="Garamond" w:hAnsi="Garamond" w:cs="Times New Roman"/>
          <w:szCs w:val="24"/>
        </w:rPr>
        <w:t>,</w:t>
      </w:r>
      <w:r w:rsidRPr="00B457F5">
        <w:rPr>
          <w:rFonts w:ascii="Garamond" w:hAnsi="Garamond" w:cs="Times New Roman"/>
          <w:szCs w:val="24"/>
        </w:rPr>
        <w:t xml:space="preserve"> si</w:t>
      </w:r>
      <w:r w:rsidR="00730291" w:rsidRPr="00B457F5">
        <w:rPr>
          <w:rFonts w:ascii="Garamond" w:hAnsi="Garamond" w:cs="Times New Roman"/>
          <w:szCs w:val="24"/>
        </w:rPr>
        <w:t>:</w:t>
      </w:r>
      <w:r w:rsidRPr="00B457F5">
        <w:rPr>
          <w:rFonts w:ascii="Garamond" w:hAnsi="Garamond" w:cs="Times New Roman"/>
          <w:szCs w:val="24"/>
        </w:rPr>
        <w:t xml:space="preserve"> Avokati i Popullit, Komisioneri për Mbrojtjen nga Diskriminimi, INSTAT</w:t>
      </w:r>
      <w:r w:rsidR="00730291" w:rsidRPr="00B457F5">
        <w:rPr>
          <w:rFonts w:ascii="Garamond" w:hAnsi="Garamond" w:cs="Times New Roman"/>
          <w:szCs w:val="24"/>
        </w:rPr>
        <w:t>-i</w:t>
      </w:r>
      <w:r w:rsidRPr="00B457F5">
        <w:rPr>
          <w:rFonts w:ascii="Garamond" w:hAnsi="Garamond" w:cs="Times New Roman"/>
          <w:szCs w:val="24"/>
        </w:rPr>
        <w:t>, etj. Njëkohësisht, gjatë procesit të hartimit të strategjisë, janë mbajtur një sërë takimesh konsultimi me shoqërinë civile</w:t>
      </w:r>
      <w:r w:rsidR="00730291" w:rsidRPr="00B457F5">
        <w:rPr>
          <w:rFonts w:ascii="Garamond" w:hAnsi="Garamond" w:cs="Times New Roman"/>
          <w:szCs w:val="24"/>
        </w:rPr>
        <w:t>,</w:t>
      </w:r>
      <w:r w:rsidRPr="00B457F5">
        <w:rPr>
          <w:rFonts w:ascii="Garamond" w:hAnsi="Garamond" w:cs="Times New Roman"/>
          <w:szCs w:val="24"/>
        </w:rPr>
        <w:t xml:space="preserve"> si dhe përfaqësues të institucioneve ndërkombëtare në Shqipëri, kontributi i të cilëve vlerësohet</w:t>
      </w:r>
      <w:r w:rsidR="0006016F" w:rsidRPr="00B457F5">
        <w:rPr>
          <w:rFonts w:ascii="Garamond" w:hAnsi="Garamond" w:cs="Times New Roman"/>
          <w:szCs w:val="24"/>
        </w:rPr>
        <w:t xml:space="preserve"> </w:t>
      </w:r>
      <w:r w:rsidRPr="00B457F5">
        <w:rPr>
          <w:rFonts w:ascii="Garamond" w:hAnsi="Garamond" w:cs="Times New Roman"/>
          <w:szCs w:val="24"/>
        </w:rPr>
        <w:t>edhe</w:t>
      </w:r>
      <w:r w:rsidR="0006016F" w:rsidRPr="00B457F5">
        <w:rPr>
          <w:rFonts w:ascii="Garamond" w:hAnsi="Garamond" w:cs="Times New Roman"/>
          <w:szCs w:val="24"/>
        </w:rPr>
        <w:t xml:space="preserve"> </w:t>
      </w:r>
      <w:r w:rsidRPr="00B457F5">
        <w:rPr>
          <w:rFonts w:ascii="Garamond" w:hAnsi="Garamond" w:cs="Times New Roman"/>
          <w:szCs w:val="24"/>
        </w:rPr>
        <w:t>në procesin e përcaktimit</w:t>
      </w:r>
      <w:r w:rsidR="0006016F" w:rsidRPr="00B457F5">
        <w:rPr>
          <w:rFonts w:ascii="Garamond" w:hAnsi="Garamond" w:cs="Times New Roman"/>
          <w:szCs w:val="24"/>
        </w:rPr>
        <w:t xml:space="preserve"> </w:t>
      </w:r>
      <w:r w:rsidRPr="00B457F5">
        <w:rPr>
          <w:rFonts w:ascii="Garamond" w:hAnsi="Garamond" w:cs="Times New Roman"/>
          <w:szCs w:val="24"/>
        </w:rPr>
        <w:t>dhe zbatimit të masave të caktuara. Aktorë të tjerë të rëndësishëm që kanë një rol kryesor në migrimin për motive punësimi, janë agjencitë private të punësimit dhe agjencitë e punësimit të përkohshëm, v</w:t>
      </w:r>
      <w:r w:rsidR="00C20ACC" w:rsidRPr="00B457F5">
        <w:rPr>
          <w:rFonts w:ascii="Garamond" w:hAnsi="Garamond" w:cs="Times New Roman"/>
          <w:szCs w:val="24"/>
        </w:rPr>
        <w:t xml:space="preserve">eprimtaria e të cilave do të </w:t>
      </w:r>
      <w:r w:rsidR="0009653B" w:rsidRPr="00B457F5">
        <w:rPr>
          <w:rFonts w:ascii="Garamond" w:hAnsi="Garamond" w:cs="Times New Roman"/>
          <w:szCs w:val="24"/>
        </w:rPr>
        <w:t>licencohet</w:t>
      </w:r>
      <w:r w:rsidRPr="00B457F5">
        <w:rPr>
          <w:rFonts w:ascii="Garamond" w:hAnsi="Garamond" w:cs="Times New Roman"/>
          <w:szCs w:val="24"/>
        </w:rPr>
        <w:t xml:space="preserve"> dhe monitorohet.</w:t>
      </w:r>
    </w:p>
    <w:p w14:paraId="067E14F8" w14:textId="0DC99178" w:rsidR="00E51C27" w:rsidRPr="00B457F5" w:rsidRDefault="00F16D5E" w:rsidP="002E693B">
      <w:pPr>
        <w:spacing w:before="0" w:after="0"/>
        <w:ind w:firstLine="284"/>
        <w:rPr>
          <w:rFonts w:ascii="Garamond" w:hAnsi="Garamond" w:cs="Times New Roman"/>
          <w:szCs w:val="24"/>
        </w:rPr>
      </w:pPr>
      <w:r w:rsidRPr="00B457F5">
        <w:rPr>
          <w:rFonts w:ascii="Garamond" w:hAnsi="Garamond" w:cs="Times New Roman"/>
          <w:szCs w:val="24"/>
        </w:rPr>
        <w:t xml:space="preserve">Përtej </w:t>
      </w:r>
      <w:r w:rsidR="00417415" w:rsidRPr="00B457F5">
        <w:rPr>
          <w:rFonts w:ascii="Garamond" w:hAnsi="Garamond" w:cs="Times New Roman"/>
          <w:szCs w:val="24"/>
        </w:rPr>
        <w:t>nivelit të</w:t>
      </w:r>
      <w:r w:rsidRPr="00B457F5">
        <w:rPr>
          <w:rFonts w:ascii="Garamond" w:hAnsi="Garamond" w:cs="Times New Roman"/>
          <w:szCs w:val="24"/>
        </w:rPr>
        <w:t xml:space="preserve"> gjithëpërfshirjes, faktor kyç </w:t>
      </w:r>
      <w:r w:rsidR="001C7A65" w:rsidRPr="00B457F5">
        <w:rPr>
          <w:rFonts w:ascii="Garamond" w:hAnsi="Garamond" w:cs="Times New Roman"/>
          <w:szCs w:val="24"/>
        </w:rPr>
        <w:t>për</w:t>
      </w:r>
      <w:r w:rsidRPr="00B457F5">
        <w:rPr>
          <w:rFonts w:ascii="Garamond" w:hAnsi="Garamond" w:cs="Times New Roman"/>
          <w:szCs w:val="24"/>
        </w:rPr>
        <w:t xml:space="preserve"> rritjen e pronësinë institucionale mbi qeverisjen e migracionit është koordinimi ndërinstitucional dhe</w:t>
      </w:r>
      <w:r w:rsidR="0006016F" w:rsidRPr="00B457F5">
        <w:rPr>
          <w:rFonts w:ascii="Garamond" w:hAnsi="Garamond" w:cs="Times New Roman"/>
          <w:szCs w:val="24"/>
        </w:rPr>
        <w:t xml:space="preserve"> </w:t>
      </w:r>
      <w:r w:rsidRPr="00B457F5">
        <w:rPr>
          <w:rFonts w:ascii="Garamond" w:hAnsi="Garamond" w:cs="Times New Roman"/>
          <w:szCs w:val="24"/>
        </w:rPr>
        <w:t xml:space="preserve">përcaktimi i qartë i roleve dhe i përgjegjësive të institucioneve për qeverisjen e migracionit. Ndonëse ekzistojnë mekanizma për koordinimin ndërinstitucional për qeverisjen e migracionit, </w:t>
      </w:r>
      <w:r w:rsidR="001C7A65" w:rsidRPr="00B457F5">
        <w:rPr>
          <w:rFonts w:ascii="Garamond" w:hAnsi="Garamond" w:cs="Times New Roman"/>
          <w:szCs w:val="24"/>
        </w:rPr>
        <w:t>ende</w:t>
      </w:r>
      <w:r w:rsidR="0009653B" w:rsidRPr="00B457F5">
        <w:rPr>
          <w:rFonts w:ascii="Garamond" w:hAnsi="Garamond" w:cs="Times New Roman"/>
          <w:szCs w:val="24"/>
        </w:rPr>
        <w:t xml:space="preserve"> </w:t>
      </w:r>
      <w:r w:rsidRPr="00B457F5">
        <w:rPr>
          <w:rFonts w:ascii="Garamond" w:hAnsi="Garamond" w:cs="Times New Roman"/>
          <w:szCs w:val="24"/>
        </w:rPr>
        <w:t>mungon një mekanizëm efikas dhe funksional për të koordinuar qasjen ndërinstitucionale në mënyrë sistematike dhe të strukturuar. Objektivi strategjik 1 i SKM</w:t>
      </w:r>
      <w:r w:rsidR="001C7A65" w:rsidRPr="00B457F5">
        <w:rPr>
          <w:rFonts w:ascii="Garamond" w:hAnsi="Garamond" w:cs="Times New Roman"/>
          <w:szCs w:val="24"/>
        </w:rPr>
        <w:t>-së</w:t>
      </w:r>
      <w:r w:rsidRPr="00B457F5">
        <w:rPr>
          <w:rFonts w:ascii="Garamond" w:hAnsi="Garamond" w:cs="Times New Roman"/>
          <w:szCs w:val="24"/>
        </w:rPr>
        <w:t xml:space="preserve"> parashikon masa</w:t>
      </w:r>
      <w:r w:rsidR="0006016F" w:rsidRPr="00B457F5">
        <w:rPr>
          <w:rFonts w:ascii="Garamond" w:hAnsi="Garamond" w:cs="Times New Roman"/>
          <w:szCs w:val="24"/>
        </w:rPr>
        <w:t xml:space="preserve"> </w:t>
      </w:r>
      <w:r w:rsidRPr="00B457F5">
        <w:rPr>
          <w:rFonts w:ascii="Garamond" w:hAnsi="Garamond" w:cs="Times New Roman"/>
          <w:szCs w:val="24"/>
        </w:rPr>
        <w:t>për përmirësimin e mekanizmave të koordinimit për qeverisjen e migracionit. Ky koordinim do të arrihet përmes funksionimit të mekanizmit të dyfishtë të monitorimit, të përbërë nga Komiteti Teknik për Migracionin dhe Grupi Drejtues për Migracionin. Forcimi i koordinimit dhe bashkëpunimit ndërinstitucional me të gjithë aktorët e institucionet bashkëzbatuese të strategjisë</w:t>
      </w:r>
      <w:r w:rsidR="00730291" w:rsidRPr="00B457F5">
        <w:rPr>
          <w:rFonts w:ascii="Garamond" w:hAnsi="Garamond" w:cs="Times New Roman"/>
          <w:szCs w:val="24"/>
        </w:rPr>
        <w:t>,</w:t>
      </w:r>
      <w:r w:rsidRPr="00B457F5">
        <w:rPr>
          <w:rFonts w:ascii="Garamond" w:hAnsi="Garamond" w:cs="Times New Roman"/>
          <w:szCs w:val="24"/>
        </w:rPr>
        <w:t xml:space="preserve"> do të realizohet përmes nënshkrimit të disa marrëveshjeve partneriteti me aktorë joqeveritarë në fushën e migracionit</w:t>
      </w:r>
      <w:r w:rsidR="00730291" w:rsidRPr="00B457F5">
        <w:rPr>
          <w:rFonts w:ascii="Garamond" w:hAnsi="Garamond" w:cs="Times New Roman"/>
          <w:szCs w:val="24"/>
        </w:rPr>
        <w:t>,</w:t>
      </w:r>
      <w:r w:rsidRPr="00B457F5">
        <w:rPr>
          <w:rFonts w:ascii="Garamond" w:hAnsi="Garamond" w:cs="Times New Roman"/>
          <w:szCs w:val="24"/>
        </w:rPr>
        <w:t xml:space="preserve"> për të përmirësuar zbatimin e politikave të migracionit.</w:t>
      </w:r>
    </w:p>
    <w:p w14:paraId="50F41C13" w14:textId="289C10E2" w:rsidR="00F16D5E" w:rsidRPr="00B457F5" w:rsidRDefault="00F16D5E" w:rsidP="002E693B">
      <w:pPr>
        <w:spacing w:before="0" w:after="0"/>
        <w:ind w:firstLine="284"/>
        <w:rPr>
          <w:rFonts w:ascii="Garamond" w:hAnsi="Garamond" w:cs="Times New Roman"/>
          <w:szCs w:val="24"/>
        </w:rPr>
      </w:pPr>
      <w:r w:rsidRPr="00B457F5">
        <w:rPr>
          <w:rFonts w:ascii="Garamond" w:hAnsi="Garamond" w:cs="Times New Roman"/>
          <w:szCs w:val="24"/>
        </w:rPr>
        <w:t>Njëkohësisht, ndjekja e proceseve rajonale dhe ndërkombëtare</w:t>
      </w:r>
      <w:r w:rsidR="00730291" w:rsidRPr="00B457F5">
        <w:rPr>
          <w:rFonts w:ascii="Garamond" w:hAnsi="Garamond" w:cs="Times New Roman"/>
          <w:szCs w:val="24"/>
        </w:rPr>
        <w:t>,</w:t>
      </w:r>
      <w:r w:rsidRPr="00B457F5">
        <w:rPr>
          <w:rFonts w:ascii="Garamond" w:hAnsi="Garamond" w:cs="Times New Roman"/>
          <w:szCs w:val="24"/>
        </w:rPr>
        <w:t xml:space="preserve"> si dhe krijimi i partneriteteve të reja për migracionin e punës </w:t>
      </w:r>
      <w:r w:rsidR="00CA04A3" w:rsidRPr="00B457F5">
        <w:rPr>
          <w:rFonts w:ascii="Garamond" w:hAnsi="Garamond" w:cs="Times New Roman"/>
          <w:szCs w:val="24"/>
        </w:rPr>
        <w:t>pasqyrojnë</w:t>
      </w:r>
      <w:r w:rsidR="0006016F" w:rsidRPr="00B457F5">
        <w:rPr>
          <w:rFonts w:ascii="Garamond" w:hAnsi="Garamond" w:cs="Times New Roman"/>
          <w:szCs w:val="24"/>
        </w:rPr>
        <w:t xml:space="preserve"> </w:t>
      </w:r>
      <w:r w:rsidRPr="00B457F5">
        <w:rPr>
          <w:rFonts w:ascii="Garamond" w:hAnsi="Garamond" w:cs="Times New Roman"/>
          <w:szCs w:val="24"/>
        </w:rPr>
        <w:t>përpjekjet për një partneritet horizontal mes</w:t>
      </w:r>
      <w:r w:rsidR="0006016F" w:rsidRPr="00B457F5">
        <w:rPr>
          <w:rFonts w:ascii="Garamond" w:hAnsi="Garamond" w:cs="Times New Roman"/>
          <w:szCs w:val="24"/>
        </w:rPr>
        <w:t xml:space="preserve"> </w:t>
      </w:r>
      <w:r w:rsidR="00730291" w:rsidRPr="00B457F5">
        <w:rPr>
          <w:rFonts w:ascii="Garamond" w:hAnsi="Garamond" w:cs="Times New Roman"/>
          <w:szCs w:val="24"/>
        </w:rPr>
        <w:t xml:space="preserve">të </w:t>
      </w:r>
      <w:r w:rsidRPr="00B457F5">
        <w:rPr>
          <w:rFonts w:ascii="Garamond" w:hAnsi="Garamond" w:cs="Times New Roman"/>
          <w:szCs w:val="24"/>
        </w:rPr>
        <w:t>gjitha institucioneve në</w:t>
      </w:r>
      <w:r w:rsidR="0006016F" w:rsidRPr="00B457F5">
        <w:rPr>
          <w:rFonts w:ascii="Garamond" w:hAnsi="Garamond" w:cs="Times New Roman"/>
          <w:szCs w:val="24"/>
        </w:rPr>
        <w:t xml:space="preserve"> </w:t>
      </w:r>
      <w:r w:rsidRPr="00B457F5">
        <w:rPr>
          <w:rFonts w:ascii="Garamond" w:hAnsi="Garamond" w:cs="Times New Roman"/>
          <w:szCs w:val="24"/>
        </w:rPr>
        <w:t>kuadër të mirëmenaxhimit të migracionit.</w:t>
      </w:r>
    </w:p>
    <w:p w14:paraId="34504FAD" w14:textId="1EF2B431" w:rsidR="00F16D5E" w:rsidRPr="00B457F5" w:rsidRDefault="00F16D5E" w:rsidP="002E693B">
      <w:pPr>
        <w:spacing w:before="0" w:after="0"/>
        <w:ind w:firstLine="284"/>
        <w:rPr>
          <w:rFonts w:ascii="Garamond" w:hAnsi="Garamond" w:cs="Times New Roman"/>
          <w:b/>
          <w:szCs w:val="24"/>
        </w:rPr>
      </w:pPr>
      <w:r w:rsidRPr="00B457F5">
        <w:rPr>
          <w:rFonts w:ascii="Garamond" w:hAnsi="Garamond" w:cs="Times New Roman"/>
          <w:b/>
          <w:szCs w:val="24"/>
        </w:rPr>
        <w:t xml:space="preserve">Ndikimi i migracionit në </w:t>
      </w:r>
      <w:r w:rsidR="008C698C" w:rsidRPr="00B457F5">
        <w:rPr>
          <w:rFonts w:ascii="Garamond" w:hAnsi="Garamond" w:cs="Times New Roman"/>
          <w:b/>
          <w:szCs w:val="24"/>
        </w:rPr>
        <w:t>PBB</w:t>
      </w:r>
    </w:p>
    <w:p w14:paraId="080D738C" w14:textId="46643845" w:rsidR="00F16D5E" w:rsidRPr="00B457F5" w:rsidRDefault="00F16D5E" w:rsidP="002E693B">
      <w:pPr>
        <w:spacing w:before="0" w:after="0"/>
        <w:ind w:firstLine="284"/>
        <w:rPr>
          <w:rFonts w:ascii="Garamond" w:hAnsi="Garamond" w:cs="Times New Roman"/>
          <w:szCs w:val="24"/>
        </w:rPr>
      </w:pPr>
      <w:r w:rsidRPr="00B457F5">
        <w:rPr>
          <w:rFonts w:ascii="Garamond" w:hAnsi="Garamond" w:cs="Times New Roman"/>
          <w:szCs w:val="24"/>
        </w:rPr>
        <w:t>Ndikimi i lëvizjeve migratore të popullsisë shqiptare në zhvillimin soci</w:t>
      </w:r>
      <w:r w:rsidR="0038618F" w:rsidRPr="00B457F5">
        <w:rPr>
          <w:rFonts w:ascii="Garamond" w:hAnsi="Garamond" w:cs="Times New Roman"/>
          <w:szCs w:val="24"/>
        </w:rPr>
        <w:t>al</w:t>
      </w:r>
      <w:r w:rsidRPr="00B457F5">
        <w:rPr>
          <w:rFonts w:ascii="Garamond" w:hAnsi="Garamond" w:cs="Times New Roman"/>
          <w:szCs w:val="24"/>
        </w:rPr>
        <w:t>-ekonomik të vendit ka qenë domethënës. Strategjia parashikon zhvillimin e politikave të efektshme për migracionin për motive punësimi</w:t>
      </w:r>
      <w:r w:rsidR="00730291" w:rsidRPr="00B457F5">
        <w:rPr>
          <w:rFonts w:ascii="Garamond" w:hAnsi="Garamond" w:cs="Times New Roman"/>
          <w:szCs w:val="24"/>
        </w:rPr>
        <w:t>,</w:t>
      </w:r>
      <w:r w:rsidRPr="00B457F5">
        <w:rPr>
          <w:rFonts w:ascii="Garamond" w:hAnsi="Garamond" w:cs="Times New Roman"/>
          <w:szCs w:val="24"/>
        </w:rPr>
        <w:t xml:space="preserve"> me qëllim rritjen e ndikimit pozitiv të migracionit në </w:t>
      </w:r>
      <w:r w:rsidR="00BB5614" w:rsidRPr="00B457F5">
        <w:rPr>
          <w:rFonts w:ascii="Garamond" w:hAnsi="Garamond" w:cs="Times New Roman"/>
          <w:szCs w:val="24"/>
        </w:rPr>
        <w:t>PBB</w:t>
      </w:r>
      <w:r w:rsidRPr="00B457F5">
        <w:rPr>
          <w:rFonts w:ascii="Garamond" w:hAnsi="Garamond" w:cs="Times New Roman"/>
          <w:szCs w:val="24"/>
        </w:rPr>
        <w:t xml:space="preserve"> dhe zhvillimin</w:t>
      </w:r>
      <w:r w:rsidR="0006016F" w:rsidRPr="00B457F5">
        <w:rPr>
          <w:rFonts w:ascii="Garamond" w:hAnsi="Garamond" w:cs="Times New Roman"/>
          <w:szCs w:val="24"/>
        </w:rPr>
        <w:t xml:space="preserve"> </w:t>
      </w:r>
      <w:r w:rsidRPr="00B457F5">
        <w:rPr>
          <w:rFonts w:ascii="Garamond" w:hAnsi="Garamond" w:cs="Times New Roman"/>
          <w:szCs w:val="24"/>
        </w:rPr>
        <w:t>e qëndrueshëm.</w:t>
      </w:r>
      <w:r w:rsidRPr="00B457F5">
        <w:rPr>
          <w:rFonts w:ascii="Garamond" w:hAnsi="Garamond" w:cs="Times New Roman"/>
          <w:b/>
          <w:szCs w:val="24"/>
        </w:rPr>
        <w:t xml:space="preserve"> </w:t>
      </w:r>
      <w:r w:rsidRPr="00B457F5">
        <w:rPr>
          <w:rFonts w:ascii="Garamond" w:hAnsi="Garamond" w:cs="Times New Roman"/>
          <w:szCs w:val="24"/>
        </w:rPr>
        <w:t xml:space="preserve">Dërgesat </w:t>
      </w:r>
      <w:r w:rsidR="00A313AE" w:rsidRPr="00B457F5">
        <w:rPr>
          <w:rFonts w:ascii="Garamond" w:hAnsi="Garamond" w:cs="Times New Roman"/>
          <w:szCs w:val="24"/>
        </w:rPr>
        <w:t>“</w:t>
      </w:r>
      <w:r w:rsidR="00BB5614" w:rsidRPr="00B457F5">
        <w:rPr>
          <w:rFonts w:ascii="Garamond" w:hAnsi="Garamond" w:cs="Times New Roman"/>
          <w:szCs w:val="24"/>
        </w:rPr>
        <w:t>e</w:t>
      </w:r>
      <w:r w:rsidRPr="00B457F5">
        <w:rPr>
          <w:rFonts w:ascii="Garamond" w:hAnsi="Garamond" w:cs="Times New Roman"/>
          <w:szCs w:val="24"/>
        </w:rPr>
        <w:t xml:space="preserve"> para</w:t>
      </w:r>
      <w:r w:rsidR="00BB5614" w:rsidRPr="00B457F5">
        <w:rPr>
          <w:rFonts w:ascii="Garamond" w:hAnsi="Garamond" w:cs="Times New Roman"/>
          <w:szCs w:val="24"/>
        </w:rPr>
        <w:t>ve</w:t>
      </w:r>
      <w:r w:rsidR="00A313AE" w:rsidRPr="00B457F5">
        <w:rPr>
          <w:rFonts w:ascii="Garamond" w:hAnsi="Garamond" w:cs="Times New Roman"/>
          <w:szCs w:val="24"/>
        </w:rPr>
        <w:t>”</w:t>
      </w:r>
      <w:r w:rsidRPr="00B457F5">
        <w:rPr>
          <w:rFonts w:ascii="Garamond" w:hAnsi="Garamond" w:cs="Times New Roman"/>
          <w:szCs w:val="24"/>
        </w:rPr>
        <w:t xml:space="preserve"> të emigrantëve, të njohura ndryshe si remitanca, kanë ndihmuar </w:t>
      </w:r>
      <w:r w:rsidR="00BB5614" w:rsidRPr="00B457F5">
        <w:rPr>
          <w:rFonts w:ascii="Garamond" w:hAnsi="Garamond" w:cs="Times New Roman"/>
          <w:szCs w:val="24"/>
        </w:rPr>
        <w:t xml:space="preserve">për </w:t>
      </w:r>
      <w:r w:rsidRPr="00B457F5">
        <w:rPr>
          <w:rFonts w:ascii="Garamond" w:hAnsi="Garamond" w:cs="Times New Roman"/>
          <w:szCs w:val="24"/>
        </w:rPr>
        <w:t>zbutjen e nivelit të varfërisë dhe ende vazhdojnë të japin një kontribut të rëndësishëm në ekonominë e vendit. Strategjia ka parashikuar masa për promovimi</w:t>
      </w:r>
      <w:r w:rsidR="00730291" w:rsidRPr="00B457F5">
        <w:rPr>
          <w:rFonts w:ascii="Garamond" w:hAnsi="Garamond" w:cs="Times New Roman"/>
          <w:szCs w:val="24"/>
        </w:rPr>
        <w:t>n</w:t>
      </w:r>
      <w:r w:rsidRPr="00B457F5">
        <w:rPr>
          <w:rFonts w:ascii="Garamond" w:hAnsi="Garamond" w:cs="Times New Roman"/>
          <w:szCs w:val="24"/>
        </w:rPr>
        <w:t xml:space="preserve"> </w:t>
      </w:r>
      <w:r w:rsidR="00730291" w:rsidRPr="00B457F5">
        <w:rPr>
          <w:rFonts w:ascii="Garamond" w:hAnsi="Garamond" w:cs="Times New Roman"/>
          <w:szCs w:val="24"/>
        </w:rPr>
        <w:t>e</w:t>
      </w:r>
      <w:r w:rsidRPr="00B457F5">
        <w:rPr>
          <w:rFonts w:ascii="Garamond" w:hAnsi="Garamond" w:cs="Times New Roman"/>
          <w:szCs w:val="24"/>
        </w:rPr>
        <w:t xml:space="preserve"> transferimit më të shpejtë, më të sigurt dhe më të lirë të remitancave</w:t>
      </w:r>
      <w:r w:rsidR="00425A9A" w:rsidRPr="00B457F5">
        <w:rPr>
          <w:rFonts w:ascii="Garamond" w:hAnsi="Garamond" w:cs="Times New Roman"/>
          <w:szCs w:val="24"/>
        </w:rPr>
        <w:t>,</w:t>
      </w:r>
      <w:r w:rsidRPr="00B457F5">
        <w:rPr>
          <w:rFonts w:ascii="Garamond" w:hAnsi="Garamond" w:cs="Times New Roman"/>
          <w:szCs w:val="24"/>
        </w:rPr>
        <w:t xml:space="preserve"> dhe nxitjen e përfshirjes financiare të migrantëve. Po ashtu, strategjia përfshin masa për lehtësimin dhe nxitjen e kthimit të emigrantëve të kualifikuar në Shqipëri dhe maksimizimin e potencialit të tyre për zhvillimin ekonomik të vendit përmes promovimit të kapitalit njerëzor dhe investues të tyre, krijimi</w:t>
      </w:r>
      <w:r w:rsidR="00425A9A" w:rsidRPr="00B457F5">
        <w:rPr>
          <w:rFonts w:ascii="Garamond" w:hAnsi="Garamond" w:cs="Times New Roman"/>
          <w:szCs w:val="24"/>
        </w:rPr>
        <w:t>t</w:t>
      </w:r>
      <w:r w:rsidRPr="00B457F5">
        <w:rPr>
          <w:rFonts w:ascii="Garamond" w:hAnsi="Garamond" w:cs="Times New Roman"/>
          <w:szCs w:val="24"/>
        </w:rPr>
        <w:t xml:space="preserve"> </w:t>
      </w:r>
      <w:r w:rsidR="00425A9A" w:rsidRPr="00B457F5">
        <w:rPr>
          <w:rFonts w:ascii="Garamond" w:hAnsi="Garamond" w:cs="Times New Roman"/>
          <w:szCs w:val="24"/>
        </w:rPr>
        <w:t>të</w:t>
      </w:r>
      <w:r w:rsidRPr="00B457F5">
        <w:rPr>
          <w:rFonts w:ascii="Garamond" w:hAnsi="Garamond" w:cs="Times New Roman"/>
          <w:szCs w:val="24"/>
        </w:rPr>
        <w:t xml:space="preserve"> paketave informuese mbi procesin e kthimit dhe riintegrimit</w:t>
      </w:r>
      <w:r w:rsidR="0009653B" w:rsidRPr="00B457F5">
        <w:rPr>
          <w:rFonts w:ascii="Garamond" w:hAnsi="Garamond" w:cs="Times New Roman"/>
          <w:szCs w:val="24"/>
        </w:rPr>
        <w:t>,</w:t>
      </w:r>
      <w:r w:rsidR="0006016F" w:rsidRPr="00B457F5">
        <w:rPr>
          <w:rFonts w:ascii="Garamond" w:hAnsi="Garamond" w:cs="Times New Roman"/>
          <w:szCs w:val="24"/>
        </w:rPr>
        <w:t xml:space="preserve"> </w:t>
      </w:r>
      <w:r w:rsidRPr="00B457F5">
        <w:rPr>
          <w:rFonts w:ascii="Garamond" w:hAnsi="Garamond" w:cs="Times New Roman"/>
          <w:szCs w:val="24"/>
        </w:rPr>
        <w:t>si dhe kushtet e tregut të punës.</w:t>
      </w:r>
    </w:p>
    <w:p w14:paraId="07167138" w14:textId="6E6AC4D6" w:rsidR="00F16D5E" w:rsidRPr="00B457F5" w:rsidRDefault="00F16D5E" w:rsidP="002E693B">
      <w:pPr>
        <w:spacing w:before="0" w:after="0"/>
        <w:ind w:firstLine="284"/>
        <w:rPr>
          <w:rFonts w:ascii="Garamond" w:hAnsi="Garamond" w:cs="Times New Roman"/>
          <w:szCs w:val="24"/>
        </w:rPr>
      </w:pPr>
      <w:r w:rsidRPr="00B457F5">
        <w:rPr>
          <w:rFonts w:ascii="Garamond" w:hAnsi="Garamond" w:cs="Times New Roman"/>
          <w:bCs/>
          <w:szCs w:val="24"/>
        </w:rPr>
        <w:t>Vlen të theksohet</w:t>
      </w:r>
      <w:r w:rsidR="0006016F" w:rsidRPr="00B457F5">
        <w:rPr>
          <w:rFonts w:ascii="Garamond" w:hAnsi="Garamond" w:cs="Times New Roman"/>
          <w:bCs/>
          <w:szCs w:val="24"/>
        </w:rPr>
        <w:t xml:space="preserve"> </w:t>
      </w:r>
      <w:r w:rsidRPr="00B457F5">
        <w:rPr>
          <w:rFonts w:ascii="Garamond" w:hAnsi="Garamond" w:cs="Times New Roman"/>
          <w:bCs/>
          <w:szCs w:val="24"/>
        </w:rPr>
        <w:t>gjithashtu se, Shqipëria po bëhet gjithnjë e më tepër një vend destinacioni për një sërë kategorish të huajsh, përfshirë ata që vijnë për motive punësimi, ndonëse shifrat janë relativisht të ulëta.</w:t>
      </w:r>
      <w:r w:rsidR="0006016F" w:rsidRPr="00B457F5">
        <w:rPr>
          <w:rFonts w:ascii="Garamond" w:hAnsi="Garamond" w:cs="Times New Roman"/>
          <w:bCs/>
          <w:szCs w:val="24"/>
        </w:rPr>
        <w:t xml:space="preserve"> </w:t>
      </w:r>
      <w:r w:rsidRPr="00B457F5">
        <w:rPr>
          <w:rFonts w:ascii="Garamond" w:hAnsi="Garamond" w:cs="Times New Roman"/>
          <w:bCs/>
          <w:szCs w:val="24"/>
        </w:rPr>
        <w:t>Në këtë këndvështrim,</w:t>
      </w:r>
      <w:r w:rsidRPr="00B457F5">
        <w:rPr>
          <w:rFonts w:ascii="Garamond" w:hAnsi="Garamond" w:cs="Times New Roman"/>
          <w:szCs w:val="24"/>
        </w:rPr>
        <w:t xml:space="preserve"> strategjia parashikon masa për informimin</w:t>
      </w:r>
      <w:r w:rsidR="0006016F" w:rsidRPr="00B457F5">
        <w:rPr>
          <w:rFonts w:ascii="Garamond" w:hAnsi="Garamond" w:cs="Times New Roman"/>
          <w:szCs w:val="24"/>
        </w:rPr>
        <w:t xml:space="preserve"> </w:t>
      </w:r>
      <w:r w:rsidRPr="00B457F5">
        <w:rPr>
          <w:rFonts w:ascii="Garamond" w:hAnsi="Garamond" w:cs="Times New Roman"/>
          <w:szCs w:val="24"/>
        </w:rPr>
        <w:t>mbi format, mundësitë dhe procedurat e migrimit për arsye pune në/nga Shqipëria</w:t>
      </w:r>
      <w:r w:rsidR="00730291" w:rsidRPr="00B457F5">
        <w:rPr>
          <w:rFonts w:ascii="Garamond" w:hAnsi="Garamond" w:cs="Times New Roman"/>
          <w:szCs w:val="24"/>
        </w:rPr>
        <w:t>,</w:t>
      </w:r>
      <w:r w:rsidRPr="00B457F5">
        <w:rPr>
          <w:rFonts w:ascii="Garamond" w:hAnsi="Garamond" w:cs="Times New Roman"/>
          <w:szCs w:val="24"/>
        </w:rPr>
        <w:t xml:space="preserve"> si dhe masa për përmirësimin e</w:t>
      </w:r>
      <w:r w:rsidR="0006016F" w:rsidRPr="00B457F5">
        <w:rPr>
          <w:rFonts w:ascii="Garamond" w:hAnsi="Garamond" w:cs="Times New Roman"/>
          <w:szCs w:val="24"/>
        </w:rPr>
        <w:t xml:space="preserve"> </w:t>
      </w:r>
      <w:r w:rsidRPr="00B457F5">
        <w:rPr>
          <w:rFonts w:ascii="Garamond" w:hAnsi="Garamond" w:cs="Times New Roman"/>
          <w:szCs w:val="24"/>
        </w:rPr>
        <w:t>veprimtarisë së agjencive private të punësimit dhe punëdhënësve</w:t>
      </w:r>
      <w:r w:rsidR="00730291" w:rsidRPr="00B457F5">
        <w:rPr>
          <w:rFonts w:ascii="Garamond" w:hAnsi="Garamond" w:cs="Times New Roman"/>
          <w:szCs w:val="24"/>
        </w:rPr>
        <w:t>,</w:t>
      </w:r>
      <w:r w:rsidRPr="00B457F5">
        <w:rPr>
          <w:rFonts w:ascii="Garamond" w:hAnsi="Garamond" w:cs="Times New Roman"/>
          <w:szCs w:val="24"/>
        </w:rPr>
        <w:t xml:space="preserve"> me qëllim zbatimin e standardeve të </w:t>
      </w:r>
      <w:r w:rsidR="003B38BF" w:rsidRPr="00B457F5">
        <w:rPr>
          <w:rFonts w:ascii="Garamond" w:hAnsi="Garamond" w:cs="Times New Roman"/>
          <w:szCs w:val="24"/>
        </w:rPr>
        <w:t xml:space="preserve">punësimit </w:t>
      </w:r>
      <w:r w:rsidRPr="00B457F5">
        <w:rPr>
          <w:rFonts w:ascii="Garamond" w:hAnsi="Garamond" w:cs="Times New Roman"/>
          <w:szCs w:val="24"/>
        </w:rPr>
        <w:t>etik</w:t>
      </w:r>
      <w:r w:rsidRPr="00B457F5">
        <w:rPr>
          <w:rFonts w:ascii="Garamond" w:hAnsi="Garamond" w:cs="Times New Roman"/>
          <w:bCs/>
          <w:szCs w:val="24"/>
        </w:rPr>
        <w:t>.</w:t>
      </w:r>
    </w:p>
    <w:p w14:paraId="03206B6A" w14:textId="31883E4F" w:rsidR="00F16D5E" w:rsidRPr="00B457F5" w:rsidRDefault="00F16D5E" w:rsidP="002E693B">
      <w:pPr>
        <w:spacing w:before="0" w:after="0"/>
        <w:ind w:firstLine="284"/>
        <w:rPr>
          <w:rFonts w:ascii="Garamond" w:hAnsi="Garamond" w:cs="Times New Roman"/>
          <w:b/>
          <w:bCs/>
          <w:szCs w:val="24"/>
        </w:rPr>
      </w:pPr>
      <w:bookmarkStart w:id="48" w:name="_Hlk148436356"/>
      <w:r w:rsidRPr="00B457F5">
        <w:rPr>
          <w:rFonts w:ascii="Garamond" w:hAnsi="Garamond" w:cs="Times New Roman"/>
          <w:b/>
          <w:bCs/>
          <w:szCs w:val="24"/>
        </w:rPr>
        <w:t xml:space="preserve">Ulja e migracionit neto </w:t>
      </w:r>
      <w:bookmarkEnd w:id="48"/>
      <w:r w:rsidRPr="00B457F5">
        <w:rPr>
          <w:rFonts w:ascii="Garamond" w:hAnsi="Garamond" w:cs="Times New Roman"/>
          <w:b/>
          <w:bCs/>
          <w:szCs w:val="24"/>
        </w:rPr>
        <w:t>(diferenca midis imigrantëve dhe emigrantëve)/</w:t>
      </w:r>
      <w:r w:rsidR="00730291" w:rsidRPr="00B457F5">
        <w:rPr>
          <w:rFonts w:ascii="Garamond" w:hAnsi="Garamond" w:cs="Times New Roman"/>
          <w:b/>
          <w:bCs/>
          <w:szCs w:val="24"/>
        </w:rPr>
        <w:t>i</w:t>
      </w:r>
      <w:r w:rsidRPr="00B457F5">
        <w:rPr>
          <w:rFonts w:ascii="Garamond" w:hAnsi="Garamond" w:cs="Times New Roman"/>
          <w:b/>
          <w:bCs/>
          <w:szCs w:val="24"/>
        </w:rPr>
        <w:t>ndeksi i aksesit në shërbime dhe të drejta për të huajt</w:t>
      </w:r>
    </w:p>
    <w:p w14:paraId="6C11859C" w14:textId="02EFA2C0" w:rsidR="00F16D5E" w:rsidRPr="00B457F5" w:rsidRDefault="00F16D5E" w:rsidP="002E693B">
      <w:pPr>
        <w:spacing w:before="0" w:after="0"/>
        <w:ind w:firstLine="284"/>
        <w:rPr>
          <w:rFonts w:ascii="Garamond" w:hAnsi="Garamond" w:cs="Times New Roman"/>
          <w:szCs w:val="24"/>
        </w:rPr>
      </w:pPr>
      <w:r w:rsidRPr="00B457F5">
        <w:rPr>
          <w:rFonts w:ascii="Garamond" w:hAnsi="Garamond" w:cs="Times New Roman"/>
          <w:szCs w:val="24"/>
        </w:rPr>
        <w:t>Shqipëria</w:t>
      </w:r>
      <w:r w:rsidR="0006016F" w:rsidRPr="00B457F5">
        <w:rPr>
          <w:rFonts w:ascii="Garamond" w:hAnsi="Garamond" w:cs="Times New Roman"/>
          <w:szCs w:val="24"/>
        </w:rPr>
        <w:t xml:space="preserve"> </w:t>
      </w:r>
      <w:r w:rsidRPr="00B457F5">
        <w:rPr>
          <w:rFonts w:ascii="Garamond" w:hAnsi="Garamond" w:cs="Times New Roman"/>
          <w:szCs w:val="24"/>
        </w:rPr>
        <w:t>është</w:t>
      </w:r>
      <w:r w:rsidR="0006016F" w:rsidRPr="00B457F5">
        <w:rPr>
          <w:rFonts w:ascii="Garamond" w:hAnsi="Garamond" w:cs="Times New Roman"/>
          <w:szCs w:val="24"/>
        </w:rPr>
        <w:t xml:space="preserve"> </w:t>
      </w:r>
      <w:r w:rsidRPr="00B457F5">
        <w:rPr>
          <w:rFonts w:ascii="Garamond" w:hAnsi="Garamond" w:cs="Times New Roman"/>
          <w:szCs w:val="24"/>
        </w:rPr>
        <w:t>dominuar</w:t>
      </w:r>
      <w:r w:rsidR="0006016F" w:rsidRPr="00B457F5">
        <w:rPr>
          <w:rFonts w:ascii="Garamond" w:hAnsi="Garamond" w:cs="Times New Roman"/>
          <w:szCs w:val="24"/>
        </w:rPr>
        <w:t xml:space="preserve"> </w:t>
      </w:r>
      <w:r w:rsidRPr="00B457F5">
        <w:rPr>
          <w:rFonts w:ascii="Garamond" w:hAnsi="Garamond" w:cs="Times New Roman"/>
          <w:szCs w:val="24"/>
        </w:rPr>
        <w:t>përherë nga</w:t>
      </w:r>
      <w:r w:rsidR="0006016F" w:rsidRPr="00B457F5">
        <w:rPr>
          <w:rFonts w:ascii="Garamond" w:hAnsi="Garamond" w:cs="Times New Roman"/>
          <w:szCs w:val="24"/>
        </w:rPr>
        <w:t xml:space="preserve"> </w:t>
      </w:r>
      <w:r w:rsidRPr="00B457F5">
        <w:rPr>
          <w:rFonts w:ascii="Garamond" w:hAnsi="Garamond" w:cs="Times New Roman"/>
          <w:szCs w:val="24"/>
        </w:rPr>
        <w:t>cikle</w:t>
      </w:r>
      <w:r w:rsidR="0006016F" w:rsidRPr="00B457F5">
        <w:rPr>
          <w:rFonts w:ascii="Garamond" w:hAnsi="Garamond" w:cs="Times New Roman"/>
          <w:szCs w:val="24"/>
        </w:rPr>
        <w:t xml:space="preserve"> </w:t>
      </w:r>
      <w:r w:rsidRPr="00B457F5">
        <w:rPr>
          <w:rFonts w:ascii="Garamond" w:hAnsi="Garamond" w:cs="Times New Roman"/>
          <w:szCs w:val="24"/>
        </w:rPr>
        <w:t>migr</w:t>
      </w:r>
      <w:r w:rsidR="00C11484" w:rsidRPr="00B457F5">
        <w:rPr>
          <w:rFonts w:ascii="Garamond" w:hAnsi="Garamond" w:cs="Times New Roman"/>
          <w:szCs w:val="24"/>
        </w:rPr>
        <w:t>atore</w:t>
      </w:r>
      <w:r w:rsidRPr="00B457F5">
        <w:rPr>
          <w:rFonts w:ascii="Garamond" w:hAnsi="Garamond" w:cs="Times New Roman"/>
          <w:szCs w:val="24"/>
        </w:rPr>
        <w:t>,</w:t>
      </w:r>
      <w:r w:rsidR="0006016F" w:rsidRPr="00B457F5">
        <w:rPr>
          <w:rFonts w:ascii="Garamond" w:hAnsi="Garamond" w:cs="Times New Roman"/>
          <w:szCs w:val="24"/>
        </w:rPr>
        <w:t xml:space="preserve"> </w:t>
      </w:r>
      <w:r w:rsidRPr="00B457F5">
        <w:rPr>
          <w:rFonts w:ascii="Garamond" w:hAnsi="Garamond" w:cs="Times New Roman"/>
          <w:szCs w:val="24"/>
        </w:rPr>
        <w:t>të</w:t>
      </w:r>
      <w:r w:rsidR="0006016F" w:rsidRPr="00B457F5">
        <w:rPr>
          <w:rFonts w:ascii="Garamond" w:hAnsi="Garamond" w:cs="Times New Roman"/>
          <w:szCs w:val="24"/>
        </w:rPr>
        <w:t xml:space="preserve"> </w:t>
      </w:r>
      <w:r w:rsidRPr="00B457F5">
        <w:rPr>
          <w:rFonts w:ascii="Garamond" w:hAnsi="Garamond" w:cs="Times New Roman"/>
          <w:szCs w:val="24"/>
        </w:rPr>
        <w:t>cilat</w:t>
      </w:r>
      <w:r w:rsidR="0006016F" w:rsidRPr="00B457F5">
        <w:rPr>
          <w:rFonts w:ascii="Garamond" w:hAnsi="Garamond" w:cs="Times New Roman"/>
          <w:szCs w:val="24"/>
        </w:rPr>
        <w:t xml:space="preserve"> </w:t>
      </w:r>
      <w:r w:rsidRPr="00B457F5">
        <w:rPr>
          <w:rFonts w:ascii="Garamond" w:hAnsi="Garamond" w:cs="Times New Roman"/>
          <w:szCs w:val="24"/>
        </w:rPr>
        <w:t>mund</w:t>
      </w:r>
      <w:r w:rsidR="0006016F" w:rsidRPr="00B457F5">
        <w:rPr>
          <w:rFonts w:ascii="Garamond" w:hAnsi="Garamond" w:cs="Times New Roman"/>
          <w:szCs w:val="24"/>
        </w:rPr>
        <w:t xml:space="preserve"> </w:t>
      </w:r>
      <w:r w:rsidRPr="00B457F5">
        <w:rPr>
          <w:rFonts w:ascii="Garamond" w:hAnsi="Garamond" w:cs="Times New Roman"/>
          <w:szCs w:val="24"/>
        </w:rPr>
        <w:t>të</w:t>
      </w:r>
      <w:r w:rsidR="0006016F" w:rsidRPr="00B457F5">
        <w:rPr>
          <w:rFonts w:ascii="Garamond" w:hAnsi="Garamond" w:cs="Times New Roman"/>
          <w:szCs w:val="24"/>
        </w:rPr>
        <w:t xml:space="preserve"> </w:t>
      </w:r>
      <w:r w:rsidRPr="00B457F5">
        <w:rPr>
          <w:rFonts w:ascii="Garamond" w:hAnsi="Garamond" w:cs="Times New Roman"/>
          <w:szCs w:val="24"/>
        </w:rPr>
        <w:t>konsiderohen</w:t>
      </w:r>
      <w:r w:rsidR="0006016F" w:rsidRPr="00B457F5">
        <w:rPr>
          <w:rFonts w:ascii="Garamond" w:hAnsi="Garamond" w:cs="Times New Roman"/>
          <w:szCs w:val="24"/>
        </w:rPr>
        <w:t xml:space="preserve"> </w:t>
      </w:r>
      <w:r w:rsidRPr="00B457F5">
        <w:rPr>
          <w:rFonts w:ascii="Garamond" w:hAnsi="Garamond" w:cs="Times New Roman"/>
          <w:szCs w:val="24"/>
        </w:rPr>
        <w:t>intensive,</w:t>
      </w:r>
      <w:r w:rsidR="0006016F" w:rsidRPr="00B457F5">
        <w:rPr>
          <w:rFonts w:ascii="Garamond" w:hAnsi="Garamond" w:cs="Times New Roman"/>
          <w:szCs w:val="24"/>
        </w:rPr>
        <w:t xml:space="preserve"> </w:t>
      </w:r>
      <w:r w:rsidRPr="00B457F5">
        <w:rPr>
          <w:rFonts w:ascii="Garamond" w:hAnsi="Garamond" w:cs="Times New Roman"/>
          <w:szCs w:val="24"/>
        </w:rPr>
        <w:t>të</w:t>
      </w:r>
      <w:r w:rsidR="0006016F" w:rsidRPr="00B457F5">
        <w:rPr>
          <w:rFonts w:ascii="Garamond" w:hAnsi="Garamond" w:cs="Times New Roman"/>
          <w:szCs w:val="24"/>
        </w:rPr>
        <w:t xml:space="preserve"> </w:t>
      </w:r>
      <w:r w:rsidRPr="00B457F5">
        <w:rPr>
          <w:rFonts w:ascii="Garamond" w:hAnsi="Garamond" w:cs="Times New Roman"/>
          <w:szCs w:val="24"/>
        </w:rPr>
        <w:t>parregullta</w:t>
      </w:r>
      <w:r w:rsidR="0006016F" w:rsidRPr="00B457F5">
        <w:rPr>
          <w:rFonts w:ascii="Garamond" w:hAnsi="Garamond" w:cs="Times New Roman"/>
          <w:szCs w:val="24"/>
        </w:rPr>
        <w:t xml:space="preserve"> </w:t>
      </w:r>
      <w:r w:rsidRPr="00B457F5">
        <w:rPr>
          <w:rFonts w:ascii="Garamond" w:hAnsi="Garamond" w:cs="Times New Roman"/>
          <w:szCs w:val="24"/>
        </w:rPr>
        <w:t xml:space="preserve">dhe </w:t>
      </w:r>
      <w:r w:rsidR="00A778AA" w:rsidRPr="00B457F5">
        <w:rPr>
          <w:rFonts w:ascii="Garamond" w:hAnsi="Garamond" w:cs="Times New Roman"/>
          <w:szCs w:val="24"/>
        </w:rPr>
        <w:t>në evoluim</w:t>
      </w:r>
      <w:r w:rsidRPr="00B457F5">
        <w:rPr>
          <w:rFonts w:ascii="Garamond" w:hAnsi="Garamond" w:cs="Times New Roman"/>
          <w:szCs w:val="24"/>
        </w:rPr>
        <w:t>,</w:t>
      </w:r>
      <w:r w:rsidR="0006016F" w:rsidRPr="00B457F5">
        <w:rPr>
          <w:rFonts w:ascii="Garamond" w:hAnsi="Garamond" w:cs="Times New Roman"/>
          <w:szCs w:val="24"/>
        </w:rPr>
        <w:t xml:space="preserve"> </w:t>
      </w:r>
      <w:r w:rsidRPr="00B457F5">
        <w:rPr>
          <w:rFonts w:ascii="Garamond" w:hAnsi="Garamond" w:cs="Times New Roman"/>
          <w:szCs w:val="24"/>
        </w:rPr>
        <w:t>si</w:t>
      </w:r>
      <w:r w:rsidR="0006016F" w:rsidRPr="00B457F5">
        <w:rPr>
          <w:rFonts w:ascii="Garamond" w:hAnsi="Garamond" w:cs="Times New Roman"/>
          <w:szCs w:val="24"/>
        </w:rPr>
        <w:t xml:space="preserve"> </w:t>
      </w:r>
      <w:r w:rsidRPr="00B457F5">
        <w:rPr>
          <w:rFonts w:ascii="Garamond" w:hAnsi="Garamond" w:cs="Times New Roman"/>
          <w:szCs w:val="24"/>
        </w:rPr>
        <w:t>pasojë</w:t>
      </w:r>
      <w:r w:rsidR="0006016F" w:rsidRPr="00B457F5">
        <w:rPr>
          <w:rFonts w:ascii="Garamond" w:hAnsi="Garamond" w:cs="Times New Roman"/>
          <w:szCs w:val="24"/>
        </w:rPr>
        <w:t xml:space="preserve"> </w:t>
      </w:r>
      <w:r w:rsidRPr="00B457F5">
        <w:rPr>
          <w:rFonts w:ascii="Garamond" w:hAnsi="Garamond" w:cs="Times New Roman"/>
          <w:szCs w:val="24"/>
        </w:rPr>
        <w:t>e</w:t>
      </w:r>
      <w:r w:rsidR="0006016F" w:rsidRPr="00B457F5">
        <w:rPr>
          <w:rFonts w:ascii="Garamond" w:hAnsi="Garamond" w:cs="Times New Roman"/>
          <w:szCs w:val="24"/>
        </w:rPr>
        <w:t xml:space="preserve"> </w:t>
      </w:r>
      <w:r w:rsidRPr="00B457F5">
        <w:rPr>
          <w:rFonts w:ascii="Garamond" w:hAnsi="Garamond" w:cs="Times New Roman"/>
          <w:szCs w:val="24"/>
        </w:rPr>
        <w:t>veprimit</w:t>
      </w:r>
      <w:r w:rsidR="0006016F" w:rsidRPr="00B457F5">
        <w:rPr>
          <w:rFonts w:ascii="Garamond" w:hAnsi="Garamond" w:cs="Times New Roman"/>
          <w:szCs w:val="24"/>
        </w:rPr>
        <w:t xml:space="preserve"> </w:t>
      </w:r>
      <w:r w:rsidRPr="00B457F5">
        <w:rPr>
          <w:rFonts w:ascii="Garamond" w:hAnsi="Garamond" w:cs="Times New Roman"/>
          <w:szCs w:val="24"/>
        </w:rPr>
        <w:t>të</w:t>
      </w:r>
      <w:r w:rsidR="0006016F" w:rsidRPr="00B457F5">
        <w:rPr>
          <w:rFonts w:ascii="Garamond" w:hAnsi="Garamond" w:cs="Times New Roman"/>
          <w:szCs w:val="24"/>
        </w:rPr>
        <w:t xml:space="preserve"> </w:t>
      </w:r>
      <w:r w:rsidRPr="00B457F5">
        <w:rPr>
          <w:rFonts w:ascii="Garamond" w:hAnsi="Garamond" w:cs="Times New Roman"/>
          <w:szCs w:val="24"/>
        </w:rPr>
        <w:t>kombinuar</w:t>
      </w:r>
      <w:r w:rsidR="0006016F" w:rsidRPr="00B457F5">
        <w:rPr>
          <w:rFonts w:ascii="Garamond" w:hAnsi="Garamond" w:cs="Times New Roman"/>
          <w:szCs w:val="24"/>
        </w:rPr>
        <w:t xml:space="preserve"> </w:t>
      </w:r>
      <w:r w:rsidRPr="00B457F5">
        <w:rPr>
          <w:rFonts w:ascii="Garamond" w:hAnsi="Garamond" w:cs="Times New Roman"/>
          <w:szCs w:val="24"/>
        </w:rPr>
        <w:t>të</w:t>
      </w:r>
      <w:r w:rsidR="0006016F" w:rsidRPr="00B457F5">
        <w:rPr>
          <w:rFonts w:ascii="Garamond" w:hAnsi="Garamond" w:cs="Times New Roman"/>
          <w:szCs w:val="24"/>
        </w:rPr>
        <w:t xml:space="preserve"> </w:t>
      </w:r>
      <w:r w:rsidRPr="00B457F5">
        <w:rPr>
          <w:rFonts w:ascii="Garamond" w:hAnsi="Garamond" w:cs="Times New Roman"/>
          <w:szCs w:val="24"/>
        </w:rPr>
        <w:t>faktorëve</w:t>
      </w:r>
      <w:r w:rsidR="0006016F" w:rsidRPr="00B457F5">
        <w:rPr>
          <w:rFonts w:ascii="Garamond" w:hAnsi="Garamond" w:cs="Times New Roman"/>
          <w:szCs w:val="24"/>
        </w:rPr>
        <w:t xml:space="preserve"> </w:t>
      </w:r>
      <w:r w:rsidRPr="00B457F5">
        <w:rPr>
          <w:rFonts w:ascii="Garamond" w:hAnsi="Garamond" w:cs="Times New Roman"/>
          <w:szCs w:val="24"/>
        </w:rPr>
        <w:t>shtytës</w:t>
      </w:r>
      <w:r w:rsidR="0006016F" w:rsidRPr="00B457F5">
        <w:rPr>
          <w:rFonts w:ascii="Garamond" w:hAnsi="Garamond" w:cs="Times New Roman"/>
          <w:szCs w:val="24"/>
        </w:rPr>
        <w:t xml:space="preserve"> </w:t>
      </w:r>
      <w:r w:rsidRPr="00B457F5">
        <w:rPr>
          <w:rFonts w:ascii="Garamond" w:hAnsi="Garamond" w:cs="Times New Roman"/>
          <w:szCs w:val="24"/>
        </w:rPr>
        <w:t xml:space="preserve">ekonomikë, social </w:t>
      </w:r>
      <w:r w:rsidRPr="00B457F5">
        <w:rPr>
          <w:rFonts w:ascii="Garamond" w:hAnsi="Garamond" w:cs="Times New Roman"/>
          <w:szCs w:val="24"/>
        </w:rPr>
        <w:lastRenderedPageBreak/>
        <w:t>dhe politikë. Të dhënat e publikuara nga INSTAT</w:t>
      </w:r>
      <w:r w:rsidR="00730291" w:rsidRPr="00B457F5">
        <w:rPr>
          <w:rFonts w:ascii="Garamond" w:hAnsi="Garamond" w:cs="Times New Roman"/>
          <w:szCs w:val="24"/>
        </w:rPr>
        <w:t>-i</w:t>
      </w:r>
      <w:r w:rsidRPr="00B457F5">
        <w:rPr>
          <w:rFonts w:ascii="Garamond" w:hAnsi="Garamond" w:cs="Times New Roman"/>
          <w:szCs w:val="24"/>
        </w:rPr>
        <w:t xml:space="preserve"> tregojnë se nga viti 2011</w:t>
      </w:r>
      <w:r w:rsidR="0009653B" w:rsidRPr="00B457F5">
        <w:rPr>
          <w:rStyle w:val="contentpasted1"/>
          <w:rFonts w:ascii="Garamond" w:hAnsi="Garamond" w:cs="Times New Roman"/>
          <w:color w:val="000000"/>
        </w:rPr>
        <w:t>–</w:t>
      </w:r>
      <w:r w:rsidRPr="00B457F5">
        <w:rPr>
          <w:rFonts w:ascii="Garamond" w:hAnsi="Garamond" w:cs="Times New Roman"/>
          <w:szCs w:val="24"/>
        </w:rPr>
        <w:t>2020 janë larguar nga vendi 423.7 mijë persona (emigrantë). Për të njëjtën periudhë janë kthyer 242.8 mijë imigrantë, duke bërë që migracioni neto për këtë periudhë të jetë -181 mijë persona. Flukset e larta dalëse edhe pas disa dekadash, tregojnë që Shqipëria nuk e ka mbyllur ciklin e tranzicionit migrator. Tranzicioni migrator përfundon kur nuk ka më ikje në ritme të larta dhe intensive</w:t>
      </w:r>
      <w:r w:rsidR="00730291" w:rsidRPr="00B457F5">
        <w:rPr>
          <w:rFonts w:ascii="Garamond" w:hAnsi="Garamond" w:cs="Times New Roman"/>
          <w:szCs w:val="24"/>
        </w:rPr>
        <w:t>,</w:t>
      </w:r>
      <w:r w:rsidRPr="00B457F5">
        <w:rPr>
          <w:rFonts w:ascii="Garamond" w:hAnsi="Garamond" w:cs="Times New Roman"/>
          <w:szCs w:val="24"/>
        </w:rPr>
        <w:t xml:space="preserve"> dhe </w:t>
      </w:r>
      <w:r w:rsidR="00095725" w:rsidRPr="00B457F5">
        <w:rPr>
          <w:rFonts w:ascii="Garamond" w:hAnsi="Garamond" w:cs="Times New Roman"/>
          <w:szCs w:val="24"/>
        </w:rPr>
        <w:t xml:space="preserve">kur </w:t>
      </w:r>
      <w:r w:rsidRPr="00B457F5">
        <w:rPr>
          <w:rFonts w:ascii="Garamond" w:hAnsi="Garamond" w:cs="Times New Roman"/>
          <w:szCs w:val="24"/>
        </w:rPr>
        <w:t xml:space="preserve">ka kryesisht një fluks në rritje të imigrantëve, të personave të ardhur për të jetuar dhe punuar në Shqipëri. Edhe pse </w:t>
      </w:r>
      <w:r w:rsidR="00095725" w:rsidRPr="00B457F5">
        <w:rPr>
          <w:rFonts w:ascii="Garamond" w:hAnsi="Garamond" w:cs="Times New Roman"/>
          <w:szCs w:val="24"/>
        </w:rPr>
        <w:t xml:space="preserve">gjatë </w:t>
      </w:r>
      <w:r w:rsidRPr="00B457F5">
        <w:rPr>
          <w:rFonts w:ascii="Garamond" w:hAnsi="Garamond" w:cs="Times New Roman"/>
          <w:szCs w:val="24"/>
        </w:rPr>
        <w:t>vite</w:t>
      </w:r>
      <w:r w:rsidR="00095725" w:rsidRPr="00B457F5">
        <w:rPr>
          <w:rFonts w:ascii="Garamond" w:hAnsi="Garamond" w:cs="Times New Roman"/>
          <w:szCs w:val="24"/>
        </w:rPr>
        <w:t>ve të</w:t>
      </w:r>
      <w:r w:rsidRPr="00B457F5">
        <w:rPr>
          <w:rFonts w:ascii="Garamond" w:hAnsi="Garamond" w:cs="Times New Roman"/>
          <w:szCs w:val="24"/>
        </w:rPr>
        <w:t xml:space="preserve"> fundit shihet një </w:t>
      </w:r>
      <w:r w:rsidR="00A944EC" w:rsidRPr="00B457F5">
        <w:rPr>
          <w:rFonts w:ascii="Garamond" w:hAnsi="Garamond" w:cs="Times New Roman"/>
          <w:szCs w:val="24"/>
        </w:rPr>
        <w:t>tendencë</w:t>
      </w:r>
      <w:r w:rsidRPr="00B457F5">
        <w:rPr>
          <w:rFonts w:ascii="Garamond" w:hAnsi="Garamond" w:cs="Times New Roman"/>
          <w:szCs w:val="24"/>
        </w:rPr>
        <w:t xml:space="preserve"> </w:t>
      </w:r>
      <w:r w:rsidR="00A944EC" w:rsidRPr="00B457F5">
        <w:rPr>
          <w:rFonts w:ascii="Garamond" w:hAnsi="Garamond" w:cs="Times New Roman"/>
          <w:szCs w:val="24"/>
        </w:rPr>
        <w:t>në rritje e</w:t>
      </w:r>
      <w:r w:rsidRPr="00B457F5">
        <w:rPr>
          <w:rFonts w:ascii="Garamond" w:hAnsi="Garamond" w:cs="Times New Roman"/>
          <w:szCs w:val="24"/>
        </w:rPr>
        <w:t xml:space="preserve"> personave që hyjnë në Shqipëri, flukset e larta dalëse</w:t>
      </w:r>
      <w:r w:rsidR="0006016F" w:rsidRPr="00B457F5">
        <w:rPr>
          <w:rFonts w:ascii="Garamond" w:hAnsi="Garamond" w:cs="Times New Roman"/>
          <w:szCs w:val="24"/>
        </w:rPr>
        <w:t xml:space="preserve"> </w:t>
      </w:r>
      <w:r w:rsidRPr="00B457F5">
        <w:rPr>
          <w:rFonts w:ascii="Garamond" w:hAnsi="Garamond" w:cs="Times New Roman"/>
          <w:szCs w:val="24"/>
        </w:rPr>
        <w:t>kanë rritur dukshëm migracionin neto. Migracioni neto, ose ndryshe diferenca midis imigrantëve dhe emigrantëve, shihet të ketë pësuar një rritje në vlerë absolute.</w:t>
      </w:r>
    </w:p>
    <w:p w14:paraId="773FA813" w14:textId="77777362" w:rsidR="00F16D5E" w:rsidRPr="00B457F5" w:rsidRDefault="00F16D5E" w:rsidP="002E693B">
      <w:pPr>
        <w:spacing w:before="0" w:after="0"/>
        <w:ind w:firstLine="284"/>
        <w:rPr>
          <w:rFonts w:ascii="Garamond" w:hAnsi="Garamond" w:cs="Times New Roman"/>
          <w:szCs w:val="24"/>
        </w:rPr>
      </w:pPr>
      <w:r w:rsidRPr="00B457F5">
        <w:rPr>
          <w:rFonts w:ascii="Garamond" w:hAnsi="Garamond" w:cs="Times New Roman"/>
          <w:szCs w:val="24"/>
        </w:rPr>
        <w:t xml:space="preserve">Për të </w:t>
      </w:r>
      <w:r w:rsidR="006D123A" w:rsidRPr="00B457F5">
        <w:rPr>
          <w:rFonts w:ascii="Garamond" w:hAnsi="Garamond" w:cs="Times New Roman"/>
          <w:szCs w:val="24"/>
        </w:rPr>
        <w:t xml:space="preserve">trajtuar </w:t>
      </w:r>
      <w:r w:rsidRPr="00B457F5">
        <w:rPr>
          <w:rFonts w:ascii="Garamond" w:hAnsi="Garamond" w:cs="Times New Roman"/>
          <w:szCs w:val="24"/>
        </w:rPr>
        <w:t xml:space="preserve">këtë sfidë, në </w:t>
      </w:r>
      <w:r w:rsidR="006D123A" w:rsidRPr="00B457F5">
        <w:rPr>
          <w:rFonts w:ascii="Garamond" w:hAnsi="Garamond" w:cs="Times New Roman"/>
          <w:szCs w:val="24"/>
        </w:rPr>
        <w:t xml:space="preserve">epiqendër </w:t>
      </w:r>
      <w:r w:rsidRPr="00B457F5">
        <w:rPr>
          <w:rFonts w:ascii="Garamond" w:hAnsi="Garamond" w:cs="Times New Roman"/>
          <w:szCs w:val="24"/>
        </w:rPr>
        <w:t>të strategjisë së re do të jetë ulja e migracionit neto përmes promovimit të migracionit të rregullt</w:t>
      </w:r>
      <w:r w:rsidR="00730291" w:rsidRPr="00B457F5">
        <w:rPr>
          <w:rFonts w:ascii="Garamond" w:hAnsi="Garamond" w:cs="Times New Roman"/>
          <w:szCs w:val="24"/>
        </w:rPr>
        <w:t>,</w:t>
      </w:r>
      <w:r w:rsidRPr="00B457F5">
        <w:rPr>
          <w:rFonts w:ascii="Garamond" w:hAnsi="Garamond" w:cs="Times New Roman"/>
          <w:szCs w:val="24"/>
        </w:rPr>
        <w:t xml:space="preserve"> si dhe fuqizimit dhe integrimi</w:t>
      </w:r>
      <w:r w:rsidR="00730291" w:rsidRPr="00B457F5">
        <w:rPr>
          <w:rFonts w:ascii="Garamond" w:hAnsi="Garamond" w:cs="Times New Roman"/>
          <w:szCs w:val="24"/>
        </w:rPr>
        <w:t>t</w:t>
      </w:r>
      <w:r w:rsidRPr="00B457F5">
        <w:rPr>
          <w:rFonts w:ascii="Garamond" w:hAnsi="Garamond" w:cs="Times New Roman"/>
          <w:szCs w:val="24"/>
        </w:rPr>
        <w:t xml:space="preserve"> </w:t>
      </w:r>
      <w:r w:rsidR="00730291" w:rsidRPr="00B457F5">
        <w:rPr>
          <w:rFonts w:ascii="Garamond" w:hAnsi="Garamond" w:cs="Times New Roman"/>
          <w:szCs w:val="24"/>
        </w:rPr>
        <w:t>të</w:t>
      </w:r>
      <w:r w:rsidRPr="00B457F5">
        <w:rPr>
          <w:rFonts w:ascii="Garamond" w:hAnsi="Garamond" w:cs="Times New Roman"/>
          <w:szCs w:val="24"/>
        </w:rPr>
        <w:t xml:space="preserve"> të huajve në shoqërinë shqiptare</w:t>
      </w:r>
      <w:r w:rsidR="00730291" w:rsidRPr="00B457F5">
        <w:rPr>
          <w:rFonts w:ascii="Garamond" w:hAnsi="Garamond" w:cs="Times New Roman"/>
          <w:szCs w:val="24"/>
        </w:rPr>
        <w:t>,</w:t>
      </w:r>
      <w:r w:rsidR="0006016F" w:rsidRPr="00B457F5">
        <w:rPr>
          <w:rFonts w:ascii="Garamond" w:hAnsi="Garamond" w:cs="Times New Roman"/>
          <w:szCs w:val="24"/>
        </w:rPr>
        <w:t xml:space="preserve"> </w:t>
      </w:r>
      <w:r w:rsidRPr="00B457F5">
        <w:rPr>
          <w:rFonts w:ascii="Garamond" w:hAnsi="Garamond" w:cs="Times New Roman"/>
          <w:szCs w:val="24"/>
        </w:rPr>
        <w:t>dhe ofrimi i zgjidhjeve të qëndrueshme për të huajt. Për këtë arsye</w:t>
      </w:r>
      <w:r w:rsidR="00730291" w:rsidRPr="00B457F5">
        <w:rPr>
          <w:rFonts w:ascii="Garamond" w:hAnsi="Garamond" w:cs="Times New Roman"/>
          <w:szCs w:val="24"/>
        </w:rPr>
        <w:t>,</w:t>
      </w:r>
      <w:r w:rsidRPr="00B457F5">
        <w:rPr>
          <w:rFonts w:ascii="Garamond" w:hAnsi="Garamond" w:cs="Times New Roman"/>
          <w:szCs w:val="24"/>
        </w:rPr>
        <w:t xml:space="preserve"> një sërë ndërhyrjesh konkrete janë parashikuar me qëllim fuqizimin e migrantëve dhe integrimin e tyre për një përfshirje sa më të plotë dhe kohezion social. Strategjia ka parashikuar hartimin dhe miratimin e</w:t>
      </w:r>
      <w:r w:rsidR="0006016F" w:rsidRPr="00B457F5">
        <w:rPr>
          <w:rFonts w:ascii="Garamond" w:hAnsi="Garamond" w:cs="Times New Roman"/>
          <w:szCs w:val="24"/>
        </w:rPr>
        <w:t xml:space="preserve"> </w:t>
      </w:r>
      <w:r w:rsidRPr="00B457F5">
        <w:rPr>
          <w:rFonts w:ascii="Garamond" w:hAnsi="Garamond" w:cs="Times New Roman"/>
          <w:szCs w:val="24"/>
        </w:rPr>
        <w:t>një mekanizmi informues mbi programet orientuese të integrimit, i cili do të evidentojë</w:t>
      </w:r>
      <w:r w:rsidR="00730291" w:rsidRPr="00B457F5">
        <w:rPr>
          <w:rFonts w:ascii="Garamond" w:hAnsi="Garamond" w:cs="Times New Roman"/>
          <w:szCs w:val="24"/>
        </w:rPr>
        <w:t>,</w:t>
      </w:r>
      <w:r w:rsidRPr="00B457F5">
        <w:rPr>
          <w:rFonts w:ascii="Garamond" w:hAnsi="Garamond" w:cs="Times New Roman"/>
          <w:szCs w:val="24"/>
        </w:rPr>
        <w:t xml:space="preserve"> përmes raporteve periodike monitoruese</w:t>
      </w:r>
      <w:r w:rsidR="00730291" w:rsidRPr="00B457F5">
        <w:rPr>
          <w:rFonts w:ascii="Garamond" w:hAnsi="Garamond" w:cs="Times New Roman"/>
          <w:szCs w:val="24"/>
        </w:rPr>
        <w:t>,</w:t>
      </w:r>
      <w:r w:rsidRPr="00B457F5">
        <w:rPr>
          <w:rFonts w:ascii="Garamond" w:hAnsi="Garamond" w:cs="Times New Roman"/>
          <w:szCs w:val="24"/>
        </w:rPr>
        <w:t xml:space="preserve"> të dhëna mbi aksesin e migrantëve në shërbimet. </w:t>
      </w:r>
      <w:r w:rsidR="007618C7" w:rsidRPr="00B457F5">
        <w:rPr>
          <w:rFonts w:ascii="Garamond" w:hAnsi="Garamond" w:cs="Times New Roman"/>
          <w:szCs w:val="24"/>
        </w:rPr>
        <w:t>Rëndësi</w:t>
      </w:r>
      <w:r w:rsidRPr="00B457F5">
        <w:rPr>
          <w:rFonts w:ascii="Garamond" w:hAnsi="Garamond" w:cs="Times New Roman"/>
          <w:szCs w:val="24"/>
        </w:rPr>
        <w:t xml:space="preserve"> </w:t>
      </w:r>
      <w:r w:rsidR="007618C7" w:rsidRPr="00B457F5">
        <w:rPr>
          <w:rFonts w:ascii="Garamond" w:hAnsi="Garamond" w:cs="Times New Roman"/>
          <w:szCs w:val="24"/>
        </w:rPr>
        <w:t>e</w:t>
      </w:r>
      <w:r w:rsidRPr="00B457F5">
        <w:rPr>
          <w:rFonts w:ascii="Garamond" w:hAnsi="Garamond" w:cs="Times New Roman"/>
          <w:szCs w:val="24"/>
        </w:rPr>
        <w:t xml:space="preserve"> veçantë do</w:t>
      </w:r>
      <w:r w:rsidR="004603C3" w:rsidRPr="00B457F5">
        <w:rPr>
          <w:rFonts w:ascii="Garamond" w:hAnsi="Garamond" w:cs="Times New Roman"/>
          <w:szCs w:val="24"/>
        </w:rPr>
        <w:t xml:space="preserve"> t’i </w:t>
      </w:r>
      <w:r w:rsidR="007618C7" w:rsidRPr="00B457F5">
        <w:rPr>
          <w:rFonts w:ascii="Garamond" w:hAnsi="Garamond" w:cs="Times New Roman"/>
          <w:szCs w:val="24"/>
        </w:rPr>
        <w:t>kushtohet</w:t>
      </w:r>
      <w:r w:rsidRPr="00B457F5">
        <w:rPr>
          <w:rFonts w:ascii="Garamond" w:hAnsi="Garamond" w:cs="Times New Roman"/>
          <w:szCs w:val="24"/>
        </w:rPr>
        <w:t xml:space="preserve"> plotësimi</w:t>
      </w:r>
      <w:r w:rsidR="007618C7" w:rsidRPr="00B457F5">
        <w:rPr>
          <w:rFonts w:ascii="Garamond" w:hAnsi="Garamond" w:cs="Times New Roman"/>
          <w:szCs w:val="24"/>
        </w:rPr>
        <w:t>t</w:t>
      </w:r>
      <w:r w:rsidRPr="00B457F5">
        <w:rPr>
          <w:rFonts w:ascii="Garamond" w:hAnsi="Garamond" w:cs="Times New Roman"/>
          <w:szCs w:val="24"/>
        </w:rPr>
        <w:t xml:space="preserve"> </w:t>
      </w:r>
      <w:r w:rsidR="007618C7" w:rsidRPr="00B457F5">
        <w:rPr>
          <w:rFonts w:ascii="Garamond" w:hAnsi="Garamond" w:cs="Times New Roman"/>
          <w:szCs w:val="24"/>
        </w:rPr>
        <w:t>të</w:t>
      </w:r>
      <w:r w:rsidRPr="00B457F5">
        <w:rPr>
          <w:rFonts w:ascii="Garamond" w:hAnsi="Garamond" w:cs="Times New Roman"/>
          <w:szCs w:val="24"/>
        </w:rPr>
        <w:t xml:space="preserve"> nevojave specifike të fëmijëve, të rinjve dhe kategorive </w:t>
      </w:r>
      <w:r w:rsidR="0029114E" w:rsidRPr="00B457F5">
        <w:rPr>
          <w:rFonts w:ascii="Garamond" w:hAnsi="Garamond" w:cs="Times New Roman"/>
          <w:szCs w:val="24"/>
        </w:rPr>
        <w:t>të cenueshme</w:t>
      </w:r>
      <w:r w:rsidRPr="00B457F5">
        <w:rPr>
          <w:rFonts w:ascii="Garamond" w:hAnsi="Garamond" w:cs="Times New Roman"/>
          <w:szCs w:val="24"/>
        </w:rPr>
        <w:t>. Në këtë strategji konkretisht do të synohet mbrojtja nga diskriminimi i të gjithë të huajve që qëndrojnë në territor, objektiv i cili do të ketë si tregues të dhënat e përfituara nga raportet e monitorimin të aksesit në të drejta të të huajve, përfshirë fushatat</w:t>
      </w:r>
      <w:r w:rsidR="0006016F" w:rsidRPr="00B457F5">
        <w:rPr>
          <w:rFonts w:ascii="Garamond" w:hAnsi="Garamond" w:cs="Times New Roman"/>
          <w:szCs w:val="24"/>
        </w:rPr>
        <w:t xml:space="preserve"> </w:t>
      </w:r>
      <w:r w:rsidRPr="00B457F5">
        <w:rPr>
          <w:rFonts w:ascii="Garamond" w:hAnsi="Garamond" w:cs="Times New Roman"/>
          <w:szCs w:val="24"/>
        </w:rPr>
        <w:t xml:space="preserve">ndërgjegjësuese mbi të drejtat e migrantëve. Kështu, plani i ri do të ndikojë në rritjen e ndërgjegjësimit nëpërmjet zhvillimit të takimeve dhe aktiviteteve në nivel </w:t>
      </w:r>
      <w:r w:rsidR="00DA205E" w:rsidRPr="00B457F5">
        <w:rPr>
          <w:rFonts w:ascii="Garamond" w:hAnsi="Garamond" w:cs="Times New Roman"/>
          <w:szCs w:val="24"/>
        </w:rPr>
        <w:t>vendor</w:t>
      </w:r>
      <w:r w:rsidRPr="00B457F5">
        <w:rPr>
          <w:rFonts w:ascii="Garamond" w:hAnsi="Garamond" w:cs="Times New Roman"/>
          <w:szCs w:val="24"/>
        </w:rPr>
        <w:t>, si dhe duke i përfshirë migrantët në procese politikbërëse apo vendimmarrëse.</w:t>
      </w:r>
    </w:p>
    <w:p w14:paraId="1A668BD9" w14:textId="5B7CBC38" w:rsidR="00E154DC" w:rsidRPr="00B457F5" w:rsidRDefault="00E154DC" w:rsidP="002E693B">
      <w:pPr>
        <w:spacing w:before="0" w:after="0"/>
        <w:ind w:firstLine="284"/>
        <w:rPr>
          <w:rFonts w:ascii="Garamond" w:hAnsi="Garamond" w:cs="Times New Roman"/>
          <w:szCs w:val="24"/>
        </w:rPr>
      </w:pPr>
      <w:r w:rsidRPr="00B457F5">
        <w:rPr>
          <w:rFonts w:ascii="Garamond" w:hAnsi="Garamond" w:cs="Times New Roman"/>
          <w:b/>
          <w:bCs/>
          <w:szCs w:val="24"/>
        </w:rPr>
        <w:t xml:space="preserve">Reduktimi i </w:t>
      </w:r>
      <w:r w:rsidR="0009653B" w:rsidRPr="00B457F5">
        <w:rPr>
          <w:rFonts w:ascii="Garamond" w:hAnsi="Garamond" w:cs="Times New Roman"/>
          <w:b/>
          <w:bCs/>
          <w:szCs w:val="24"/>
        </w:rPr>
        <w:t>kohëzgjatjes së procedurave të azilit</w:t>
      </w:r>
      <w:r w:rsidRPr="00B457F5">
        <w:rPr>
          <w:rFonts w:ascii="Garamond" w:hAnsi="Garamond" w:cs="Times New Roman"/>
          <w:b/>
          <w:bCs/>
          <w:szCs w:val="24"/>
        </w:rPr>
        <w:t>:</w:t>
      </w:r>
      <w:r w:rsidRPr="00B457F5">
        <w:rPr>
          <w:rFonts w:ascii="Garamond" w:hAnsi="Garamond" w:cs="Times New Roman"/>
          <w:szCs w:val="24"/>
        </w:rPr>
        <w:t xml:space="preserve"> Një sfidë kryesore për një sistem në zhvillim të trajtimit të kërkesave për mbrojtje ndërkombëtare është kohëzgjatja e proceseve për përcaktimin e vlefshmërisë së aplikimeve, identifikimin e personave me nevoja të </w:t>
      </w:r>
      <w:r w:rsidR="00A02A29" w:rsidRPr="00B457F5">
        <w:rPr>
          <w:rFonts w:ascii="Garamond" w:hAnsi="Garamond" w:cs="Times New Roman"/>
          <w:szCs w:val="24"/>
        </w:rPr>
        <w:t>veçanta, shqyrtimin e plotë të kërkesës dhe aksesin në mjetet juridike efektive,</w:t>
      </w:r>
      <w:r w:rsidRPr="00B457F5">
        <w:rPr>
          <w:rFonts w:ascii="Garamond" w:hAnsi="Garamond" w:cs="Times New Roman"/>
          <w:szCs w:val="24"/>
        </w:rPr>
        <w:t xml:space="preserve"> si dhe sigurimin e zbatimit të shpejtë të masave, si p.sh. ndalimi, transferimi dhe largimi nga territori. Në mënyrë që procedura të jetë transparente, efektive dhe respektue</w:t>
      </w:r>
      <w:r w:rsidR="00A02A29" w:rsidRPr="00B457F5">
        <w:rPr>
          <w:rFonts w:ascii="Garamond" w:hAnsi="Garamond" w:cs="Times New Roman"/>
          <w:szCs w:val="24"/>
        </w:rPr>
        <w:t>se e të drejtave të aplikantëve dhe garancitë kryesore procedurale,</w:t>
      </w:r>
      <w:r w:rsidRPr="00B457F5">
        <w:rPr>
          <w:rFonts w:ascii="Garamond" w:hAnsi="Garamond" w:cs="Times New Roman"/>
          <w:szCs w:val="24"/>
        </w:rPr>
        <w:t xml:space="preserve"> nevojiten përpjekje të mëtejshme për reduktimin e kohëzgjatjes së fazave të procedurës nëpërmjet mbajtjes së periudhave standarde, të përcaktuara në ligj, përmirësimit të teknikave për përcaktimin e identitetit dhe moshës</w:t>
      </w:r>
      <w:r w:rsidR="00730291" w:rsidRPr="00B457F5">
        <w:rPr>
          <w:rFonts w:ascii="Garamond" w:hAnsi="Garamond" w:cs="Times New Roman"/>
          <w:szCs w:val="24"/>
        </w:rPr>
        <w:t>,</w:t>
      </w:r>
      <w:r w:rsidRPr="00B457F5">
        <w:rPr>
          <w:rFonts w:ascii="Garamond" w:hAnsi="Garamond" w:cs="Times New Roman"/>
          <w:szCs w:val="24"/>
        </w:rPr>
        <w:t xml:space="preserve"> si dhe për mbajtjen e intervistave duke p</w:t>
      </w:r>
      <w:r w:rsidR="00DD7F5B" w:rsidRPr="00B457F5">
        <w:rPr>
          <w:rFonts w:ascii="Garamond" w:hAnsi="Garamond" w:cs="Times New Roman"/>
          <w:szCs w:val="24"/>
        </w:rPr>
        <w:t>ë</w:t>
      </w:r>
      <w:r w:rsidRPr="00B457F5">
        <w:rPr>
          <w:rFonts w:ascii="Garamond" w:hAnsi="Garamond" w:cs="Times New Roman"/>
          <w:szCs w:val="24"/>
        </w:rPr>
        <w:t>rfshir</w:t>
      </w:r>
      <w:r w:rsidR="00DD7F5B" w:rsidRPr="00B457F5">
        <w:rPr>
          <w:rFonts w:ascii="Garamond" w:hAnsi="Garamond" w:cs="Times New Roman"/>
          <w:szCs w:val="24"/>
        </w:rPr>
        <w:t>ë</w:t>
      </w:r>
      <w:r w:rsidRPr="00B457F5">
        <w:rPr>
          <w:rFonts w:ascii="Garamond" w:hAnsi="Garamond" w:cs="Times New Roman"/>
          <w:szCs w:val="24"/>
        </w:rPr>
        <w:t xml:space="preserve"> p</w:t>
      </w:r>
      <w:r w:rsidR="00DD7F5B" w:rsidRPr="00B457F5">
        <w:rPr>
          <w:rFonts w:ascii="Garamond" w:hAnsi="Garamond" w:cs="Times New Roman"/>
          <w:szCs w:val="24"/>
        </w:rPr>
        <w:t>ë</w:t>
      </w:r>
      <w:r w:rsidRPr="00B457F5">
        <w:rPr>
          <w:rFonts w:ascii="Garamond" w:hAnsi="Garamond" w:cs="Times New Roman"/>
          <w:szCs w:val="24"/>
        </w:rPr>
        <w:t>rkthimin dhe asistenc</w:t>
      </w:r>
      <w:r w:rsidR="00DD7F5B" w:rsidRPr="00B457F5">
        <w:rPr>
          <w:rFonts w:ascii="Garamond" w:hAnsi="Garamond" w:cs="Times New Roman"/>
          <w:szCs w:val="24"/>
        </w:rPr>
        <w:t>ë</w:t>
      </w:r>
      <w:r w:rsidRPr="00B457F5">
        <w:rPr>
          <w:rFonts w:ascii="Garamond" w:hAnsi="Garamond" w:cs="Times New Roman"/>
          <w:szCs w:val="24"/>
        </w:rPr>
        <w:t>n psiko</w:t>
      </w:r>
      <w:r w:rsidR="0009653B" w:rsidRPr="00B457F5">
        <w:rPr>
          <w:rFonts w:ascii="Garamond" w:hAnsi="Garamond" w:cs="Times New Roman"/>
          <w:szCs w:val="24"/>
        </w:rPr>
        <w:t>l</w:t>
      </w:r>
      <w:r w:rsidRPr="00B457F5">
        <w:rPr>
          <w:rFonts w:ascii="Garamond" w:hAnsi="Garamond" w:cs="Times New Roman"/>
          <w:szCs w:val="24"/>
        </w:rPr>
        <w:t>ogjike. Koha e reduktu</w:t>
      </w:r>
      <w:r w:rsidR="00EB3916" w:rsidRPr="00B457F5">
        <w:rPr>
          <w:rFonts w:ascii="Garamond" w:hAnsi="Garamond" w:cs="Times New Roman"/>
          <w:szCs w:val="24"/>
        </w:rPr>
        <w:t>ar e shqyrtimit do të ndihmoj</w:t>
      </w:r>
      <w:r w:rsidRPr="00B457F5">
        <w:rPr>
          <w:rFonts w:ascii="Garamond" w:hAnsi="Garamond" w:cs="Times New Roman"/>
          <w:szCs w:val="24"/>
        </w:rPr>
        <w:t>ë Shqipërinë të ulë barrën mbi qendrat prit</w:t>
      </w:r>
      <w:r w:rsidR="00DD7F5B" w:rsidRPr="00B457F5">
        <w:rPr>
          <w:rFonts w:ascii="Garamond" w:hAnsi="Garamond" w:cs="Times New Roman"/>
          <w:szCs w:val="24"/>
        </w:rPr>
        <w:t>ë</w:t>
      </w:r>
      <w:r w:rsidRPr="00B457F5">
        <w:rPr>
          <w:rFonts w:ascii="Garamond" w:hAnsi="Garamond" w:cs="Times New Roman"/>
          <w:szCs w:val="24"/>
        </w:rPr>
        <w:t>se, duke përmirësuar aftësinë e saj për pritjen e aplikantëve të rinj, ndërkohë që redukton kohën e ndalimit dhe ankthin që lidhet me pasigurinë e pritjes së vendimeve për</w:t>
      </w:r>
      <w:r w:rsidR="00A02A29" w:rsidRPr="00B457F5">
        <w:rPr>
          <w:rFonts w:ascii="Garamond" w:hAnsi="Garamond" w:cs="Times New Roman"/>
          <w:szCs w:val="24"/>
        </w:rPr>
        <w:t xml:space="preserve"> aplikantët dhe familjet e tyre, n</w:t>
      </w:r>
      <w:r w:rsidR="00264243" w:rsidRPr="00B457F5">
        <w:rPr>
          <w:rFonts w:ascii="Garamond" w:hAnsi="Garamond" w:cs="Times New Roman"/>
          <w:szCs w:val="24"/>
        </w:rPr>
        <w:t>ë</w:t>
      </w:r>
      <w:r w:rsidR="00A02A29" w:rsidRPr="00B457F5">
        <w:rPr>
          <w:rFonts w:ascii="Garamond" w:hAnsi="Garamond" w:cs="Times New Roman"/>
          <w:szCs w:val="24"/>
        </w:rPr>
        <w:t xml:space="preserve"> t</w:t>
      </w:r>
      <w:r w:rsidR="00264243" w:rsidRPr="00B457F5">
        <w:rPr>
          <w:rFonts w:ascii="Garamond" w:hAnsi="Garamond" w:cs="Times New Roman"/>
          <w:szCs w:val="24"/>
        </w:rPr>
        <w:t>ë</w:t>
      </w:r>
      <w:r w:rsidR="00A02A29" w:rsidRPr="00B457F5">
        <w:rPr>
          <w:rFonts w:ascii="Garamond" w:hAnsi="Garamond" w:cs="Times New Roman"/>
          <w:szCs w:val="24"/>
        </w:rPr>
        <w:t xml:space="preserve"> nj</w:t>
      </w:r>
      <w:r w:rsidR="00264243" w:rsidRPr="00B457F5">
        <w:rPr>
          <w:rFonts w:ascii="Garamond" w:hAnsi="Garamond" w:cs="Times New Roman"/>
          <w:szCs w:val="24"/>
        </w:rPr>
        <w:t>ë</w:t>
      </w:r>
      <w:r w:rsidR="00A02A29" w:rsidRPr="00B457F5">
        <w:rPr>
          <w:rFonts w:ascii="Garamond" w:hAnsi="Garamond" w:cs="Times New Roman"/>
          <w:szCs w:val="24"/>
        </w:rPr>
        <w:t>jt</w:t>
      </w:r>
      <w:r w:rsidR="00264243" w:rsidRPr="00B457F5">
        <w:rPr>
          <w:rFonts w:ascii="Garamond" w:hAnsi="Garamond" w:cs="Times New Roman"/>
          <w:szCs w:val="24"/>
        </w:rPr>
        <w:t>ë</w:t>
      </w:r>
      <w:r w:rsidR="00A02A29" w:rsidRPr="00B457F5">
        <w:rPr>
          <w:rFonts w:ascii="Garamond" w:hAnsi="Garamond" w:cs="Times New Roman"/>
          <w:szCs w:val="24"/>
        </w:rPr>
        <w:t>n koh</w:t>
      </w:r>
      <w:r w:rsidR="00264243" w:rsidRPr="00B457F5">
        <w:rPr>
          <w:rFonts w:ascii="Garamond" w:hAnsi="Garamond" w:cs="Times New Roman"/>
          <w:szCs w:val="24"/>
        </w:rPr>
        <w:t>ë</w:t>
      </w:r>
      <w:r w:rsidR="00A02A29" w:rsidRPr="00B457F5">
        <w:rPr>
          <w:rFonts w:ascii="Garamond" w:hAnsi="Garamond" w:cs="Times New Roman"/>
          <w:szCs w:val="24"/>
        </w:rPr>
        <w:t xml:space="preserve"> procedurat duhet t</w:t>
      </w:r>
      <w:r w:rsidR="00E47A10" w:rsidRPr="00B457F5">
        <w:rPr>
          <w:rFonts w:ascii="Garamond" w:hAnsi="Garamond" w:cs="Times New Roman"/>
          <w:szCs w:val="24"/>
        </w:rPr>
        <w:t>’</w:t>
      </w:r>
      <w:r w:rsidR="00A02A29" w:rsidRPr="00B457F5">
        <w:rPr>
          <w:rFonts w:ascii="Garamond" w:hAnsi="Garamond" w:cs="Times New Roman"/>
          <w:szCs w:val="24"/>
        </w:rPr>
        <w:t>i l</w:t>
      </w:r>
      <w:r w:rsidR="00264243" w:rsidRPr="00B457F5">
        <w:rPr>
          <w:rFonts w:ascii="Garamond" w:hAnsi="Garamond" w:cs="Times New Roman"/>
          <w:szCs w:val="24"/>
        </w:rPr>
        <w:t>ë</w:t>
      </w:r>
      <w:r w:rsidR="00A02A29" w:rsidRPr="00B457F5">
        <w:rPr>
          <w:rFonts w:ascii="Garamond" w:hAnsi="Garamond" w:cs="Times New Roman"/>
          <w:szCs w:val="24"/>
        </w:rPr>
        <w:t>n</w:t>
      </w:r>
      <w:r w:rsidR="00264243" w:rsidRPr="00B457F5">
        <w:rPr>
          <w:rFonts w:ascii="Garamond" w:hAnsi="Garamond" w:cs="Times New Roman"/>
          <w:szCs w:val="24"/>
        </w:rPr>
        <w:t>ë</w:t>
      </w:r>
      <w:r w:rsidR="00A02A29" w:rsidRPr="00B457F5">
        <w:rPr>
          <w:rFonts w:ascii="Garamond" w:hAnsi="Garamond" w:cs="Times New Roman"/>
          <w:szCs w:val="24"/>
        </w:rPr>
        <w:t xml:space="preserve"> </w:t>
      </w:r>
      <w:r w:rsidR="00264243" w:rsidRPr="00B457F5">
        <w:rPr>
          <w:rFonts w:ascii="Garamond" w:hAnsi="Garamond" w:cs="Times New Roman"/>
          <w:szCs w:val="24"/>
        </w:rPr>
        <w:t>kërkuesit</w:t>
      </w:r>
      <w:r w:rsidR="00A02A29" w:rsidRPr="00B457F5">
        <w:rPr>
          <w:rFonts w:ascii="Garamond" w:hAnsi="Garamond" w:cs="Times New Roman"/>
          <w:szCs w:val="24"/>
        </w:rPr>
        <w:t xml:space="preserve"> nj</w:t>
      </w:r>
      <w:r w:rsidR="00264243" w:rsidRPr="00B457F5">
        <w:rPr>
          <w:rFonts w:ascii="Garamond" w:hAnsi="Garamond" w:cs="Times New Roman"/>
          <w:szCs w:val="24"/>
        </w:rPr>
        <w:t>ë</w:t>
      </w:r>
      <w:r w:rsidR="00A02A29" w:rsidRPr="00B457F5">
        <w:rPr>
          <w:rFonts w:ascii="Garamond" w:hAnsi="Garamond" w:cs="Times New Roman"/>
          <w:szCs w:val="24"/>
        </w:rPr>
        <w:t xml:space="preserve"> mund</w:t>
      </w:r>
      <w:r w:rsidR="00264243" w:rsidRPr="00B457F5">
        <w:rPr>
          <w:rFonts w:ascii="Garamond" w:hAnsi="Garamond" w:cs="Times New Roman"/>
          <w:szCs w:val="24"/>
        </w:rPr>
        <w:t>ë</w:t>
      </w:r>
      <w:r w:rsidR="00A02A29" w:rsidRPr="00B457F5">
        <w:rPr>
          <w:rFonts w:ascii="Garamond" w:hAnsi="Garamond" w:cs="Times New Roman"/>
          <w:szCs w:val="24"/>
        </w:rPr>
        <w:t>si reale p</w:t>
      </w:r>
      <w:r w:rsidR="00264243" w:rsidRPr="00B457F5">
        <w:rPr>
          <w:rFonts w:ascii="Garamond" w:hAnsi="Garamond" w:cs="Times New Roman"/>
          <w:szCs w:val="24"/>
        </w:rPr>
        <w:t>ë</w:t>
      </w:r>
      <w:r w:rsidR="00A02A29" w:rsidRPr="00B457F5">
        <w:rPr>
          <w:rFonts w:ascii="Garamond" w:hAnsi="Garamond" w:cs="Times New Roman"/>
          <w:szCs w:val="24"/>
        </w:rPr>
        <w:t>r t</w:t>
      </w:r>
      <w:r w:rsidR="00264243" w:rsidRPr="00B457F5">
        <w:rPr>
          <w:rFonts w:ascii="Garamond" w:hAnsi="Garamond" w:cs="Times New Roman"/>
          <w:szCs w:val="24"/>
        </w:rPr>
        <w:t>ë</w:t>
      </w:r>
      <w:r w:rsidR="00A02A29" w:rsidRPr="00B457F5">
        <w:rPr>
          <w:rFonts w:ascii="Garamond" w:hAnsi="Garamond" w:cs="Times New Roman"/>
          <w:szCs w:val="24"/>
        </w:rPr>
        <w:t xml:space="preserve"> v</w:t>
      </w:r>
      <w:r w:rsidR="00264243" w:rsidRPr="00B457F5">
        <w:rPr>
          <w:rFonts w:ascii="Garamond" w:hAnsi="Garamond" w:cs="Times New Roman"/>
          <w:szCs w:val="24"/>
        </w:rPr>
        <w:t>ë</w:t>
      </w:r>
      <w:r w:rsidR="00A02A29" w:rsidRPr="00B457F5">
        <w:rPr>
          <w:rFonts w:ascii="Garamond" w:hAnsi="Garamond" w:cs="Times New Roman"/>
          <w:szCs w:val="24"/>
        </w:rPr>
        <w:t>r</w:t>
      </w:r>
      <w:r w:rsidR="00264243" w:rsidRPr="00B457F5">
        <w:rPr>
          <w:rFonts w:ascii="Garamond" w:hAnsi="Garamond" w:cs="Times New Roman"/>
          <w:szCs w:val="24"/>
        </w:rPr>
        <w:t>tetuar aplikimin e tij</w:t>
      </w:r>
      <w:r w:rsidR="00A02A29" w:rsidRPr="00B457F5">
        <w:rPr>
          <w:rFonts w:ascii="Garamond" w:hAnsi="Garamond" w:cs="Times New Roman"/>
          <w:szCs w:val="24"/>
        </w:rPr>
        <w:t xml:space="preserve"> dhe aft</w:t>
      </w:r>
      <w:r w:rsidR="00264243" w:rsidRPr="00B457F5">
        <w:rPr>
          <w:rFonts w:ascii="Garamond" w:hAnsi="Garamond" w:cs="Times New Roman"/>
          <w:szCs w:val="24"/>
        </w:rPr>
        <w:t>ë</w:t>
      </w:r>
      <w:r w:rsidR="00A02A29" w:rsidRPr="00B457F5">
        <w:rPr>
          <w:rFonts w:ascii="Garamond" w:hAnsi="Garamond" w:cs="Times New Roman"/>
          <w:szCs w:val="24"/>
        </w:rPr>
        <w:t>si reale p</w:t>
      </w:r>
      <w:r w:rsidR="00264243" w:rsidRPr="00B457F5">
        <w:rPr>
          <w:rFonts w:ascii="Garamond" w:hAnsi="Garamond" w:cs="Times New Roman"/>
          <w:szCs w:val="24"/>
        </w:rPr>
        <w:t>ë</w:t>
      </w:r>
      <w:r w:rsidR="00A02A29" w:rsidRPr="00B457F5">
        <w:rPr>
          <w:rFonts w:ascii="Garamond" w:hAnsi="Garamond" w:cs="Times New Roman"/>
          <w:szCs w:val="24"/>
        </w:rPr>
        <w:t>r autoritetin p</w:t>
      </w:r>
      <w:r w:rsidR="00264243" w:rsidRPr="00B457F5">
        <w:rPr>
          <w:rFonts w:ascii="Garamond" w:hAnsi="Garamond" w:cs="Times New Roman"/>
          <w:szCs w:val="24"/>
        </w:rPr>
        <w:t>ë</w:t>
      </w:r>
      <w:r w:rsidR="00A02A29" w:rsidRPr="00B457F5">
        <w:rPr>
          <w:rFonts w:ascii="Garamond" w:hAnsi="Garamond" w:cs="Times New Roman"/>
          <w:szCs w:val="24"/>
        </w:rPr>
        <w:t>rcaktues p</w:t>
      </w:r>
      <w:r w:rsidR="00264243" w:rsidRPr="00B457F5">
        <w:rPr>
          <w:rFonts w:ascii="Garamond" w:hAnsi="Garamond" w:cs="Times New Roman"/>
          <w:szCs w:val="24"/>
        </w:rPr>
        <w:t>ë</w:t>
      </w:r>
      <w:r w:rsidR="00A02A29" w:rsidRPr="00B457F5">
        <w:rPr>
          <w:rFonts w:ascii="Garamond" w:hAnsi="Garamond" w:cs="Times New Roman"/>
          <w:szCs w:val="24"/>
        </w:rPr>
        <w:t xml:space="preserve">r </w:t>
      </w:r>
      <w:r w:rsidR="00264243" w:rsidRPr="00B457F5">
        <w:rPr>
          <w:rFonts w:ascii="Garamond" w:hAnsi="Garamond" w:cs="Times New Roman"/>
          <w:szCs w:val="24"/>
        </w:rPr>
        <w:t xml:space="preserve">të </w:t>
      </w:r>
      <w:r w:rsidR="00A02A29" w:rsidRPr="00B457F5">
        <w:rPr>
          <w:rFonts w:ascii="Garamond" w:hAnsi="Garamond" w:cs="Times New Roman"/>
          <w:szCs w:val="24"/>
        </w:rPr>
        <w:t>shqyrtuar k</w:t>
      </w:r>
      <w:r w:rsidR="00264243" w:rsidRPr="00B457F5">
        <w:rPr>
          <w:rFonts w:ascii="Garamond" w:hAnsi="Garamond" w:cs="Times New Roman"/>
          <w:szCs w:val="24"/>
        </w:rPr>
        <w:t>ë</w:t>
      </w:r>
      <w:r w:rsidR="00A02A29" w:rsidRPr="00B457F5">
        <w:rPr>
          <w:rFonts w:ascii="Garamond" w:hAnsi="Garamond" w:cs="Times New Roman"/>
          <w:szCs w:val="24"/>
        </w:rPr>
        <w:t>rkes</w:t>
      </w:r>
      <w:r w:rsidR="00264243" w:rsidRPr="00B457F5">
        <w:rPr>
          <w:rFonts w:ascii="Garamond" w:hAnsi="Garamond" w:cs="Times New Roman"/>
          <w:szCs w:val="24"/>
        </w:rPr>
        <w:t>ë</w:t>
      </w:r>
      <w:r w:rsidR="00A02A29" w:rsidRPr="00B457F5">
        <w:rPr>
          <w:rFonts w:ascii="Garamond" w:hAnsi="Garamond" w:cs="Times New Roman"/>
          <w:szCs w:val="24"/>
        </w:rPr>
        <w:t>n brenda afateve kohore.</w:t>
      </w:r>
    </w:p>
    <w:p w14:paraId="0372BD57" w14:textId="5760D790" w:rsidR="00783BF2" w:rsidRPr="00B457F5" w:rsidRDefault="00783BF2" w:rsidP="0009653B">
      <w:pPr>
        <w:spacing w:before="0" w:after="0"/>
        <w:ind w:firstLine="284"/>
        <w:rPr>
          <w:rFonts w:ascii="Garamond" w:eastAsia="MS Mincho" w:hAnsi="Garamond" w:cs="Times New Roman"/>
          <w:szCs w:val="24"/>
        </w:rPr>
      </w:pPr>
      <w:r w:rsidRPr="00B457F5">
        <w:rPr>
          <w:rFonts w:ascii="Garamond" w:eastAsia="MS Mincho" w:hAnsi="Garamond" w:cs="Times New Roman"/>
          <w:szCs w:val="24"/>
        </w:rPr>
        <w:t>PJESA II – QËLLIMI I POLITIKAVE DHE OBJEKTIVAT SPECIFIK</w:t>
      </w:r>
      <w:r w:rsidR="00AF4731" w:rsidRPr="00B457F5">
        <w:rPr>
          <w:rFonts w:ascii="Garamond" w:eastAsia="MS Mincho" w:hAnsi="Garamond" w:cs="Times New Roman"/>
          <w:szCs w:val="24"/>
        </w:rPr>
        <w:t>Ë</w:t>
      </w:r>
      <w:r w:rsidRPr="00B457F5">
        <w:rPr>
          <w:rFonts w:ascii="Garamond" w:eastAsia="MS Mincho" w:hAnsi="Garamond" w:cs="Times New Roman"/>
          <w:szCs w:val="24"/>
        </w:rPr>
        <w:t xml:space="preserve"> TË STRATEGJISË</w:t>
      </w:r>
      <w:bookmarkStart w:id="49" w:name="_Toc155620732"/>
    </w:p>
    <w:p w14:paraId="46A60F69" w14:textId="5CD6C91A" w:rsidR="00783BF2" w:rsidRPr="00B457F5" w:rsidRDefault="001B3BCB" w:rsidP="00783BF2">
      <w:pPr>
        <w:spacing w:before="0" w:after="0"/>
        <w:ind w:firstLine="284"/>
        <w:jc w:val="left"/>
        <w:rPr>
          <w:rFonts w:ascii="Garamond" w:eastAsia="MS Gothic" w:hAnsi="Garamond" w:cs="Times New Roman"/>
          <w:b/>
          <w:iCs/>
          <w:szCs w:val="24"/>
          <w:lang w:eastAsia="fr-FR"/>
        </w:rPr>
      </w:pPr>
      <w:r w:rsidRPr="00B457F5">
        <w:rPr>
          <w:rFonts w:ascii="Garamond" w:eastAsia="MS Gothic" w:hAnsi="Garamond" w:cs="Times New Roman"/>
          <w:b/>
          <w:iCs/>
          <w:szCs w:val="24"/>
          <w:lang w:eastAsia="fr-FR"/>
        </w:rPr>
        <w:t>Qëllimi</w:t>
      </w:r>
      <w:r w:rsidR="0007734A" w:rsidRPr="00B457F5">
        <w:rPr>
          <w:rFonts w:ascii="Garamond" w:eastAsia="MS Gothic" w:hAnsi="Garamond" w:cs="Times New Roman"/>
          <w:b/>
          <w:iCs/>
          <w:szCs w:val="24"/>
          <w:lang w:eastAsia="fr-FR"/>
        </w:rPr>
        <w:t xml:space="preserve"> i </w:t>
      </w:r>
      <w:r w:rsidR="004A6BB7" w:rsidRPr="00B457F5">
        <w:rPr>
          <w:rFonts w:ascii="Garamond" w:eastAsia="MS Gothic" w:hAnsi="Garamond" w:cs="Times New Roman"/>
          <w:b/>
          <w:iCs/>
          <w:szCs w:val="24"/>
          <w:lang w:eastAsia="fr-FR"/>
        </w:rPr>
        <w:t xml:space="preserve">politikës </w:t>
      </w:r>
      <w:r w:rsidR="0007734A" w:rsidRPr="00B457F5">
        <w:rPr>
          <w:rFonts w:ascii="Garamond" w:eastAsia="MS Gothic" w:hAnsi="Garamond" w:cs="Times New Roman"/>
          <w:b/>
          <w:iCs/>
          <w:szCs w:val="24"/>
          <w:lang w:eastAsia="fr-FR"/>
        </w:rPr>
        <w:t>I: Garantimi i qeverisjes strategjike të migracionit në Shqipëri</w:t>
      </w:r>
      <w:bookmarkEnd w:id="49"/>
    </w:p>
    <w:p w14:paraId="57CC607B" w14:textId="58ED8ED6" w:rsidR="00E51C27" w:rsidRPr="00B457F5" w:rsidRDefault="003C7CEB" w:rsidP="0009653B">
      <w:pPr>
        <w:spacing w:before="0" w:after="0"/>
        <w:ind w:firstLine="284"/>
        <w:rPr>
          <w:rFonts w:ascii="Garamond" w:eastAsia="MS Mincho" w:hAnsi="Garamond" w:cs="Times New Roman"/>
          <w:szCs w:val="24"/>
        </w:rPr>
      </w:pPr>
      <w:r w:rsidRPr="00B457F5">
        <w:rPr>
          <w:rFonts w:ascii="Garamond" w:eastAsia="MS Mincho" w:hAnsi="Garamond" w:cs="Times New Roman"/>
          <w:szCs w:val="24"/>
        </w:rPr>
        <w:t>Q</w:t>
      </w:r>
      <w:r w:rsidR="0007734A" w:rsidRPr="00B457F5">
        <w:rPr>
          <w:rFonts w:ascii="Garamond" w:eastAsia="MS Mincho" w:hAnsi="Garamond" w:cs="Times New Roman"/>
          <w:szCs w:val="24"/>
        </w:rPr>
        <w:t>asj</w:t>
      </w:r>
      <w:r w:rsidRPr="00B457F5">
        <w:rPr>
          <w:rFonts w:ascii="Garamond" w:eastAsia="MS Mincho" w:hAnsi="Garamond" w:cs="Times New Roman"/>
          <w:szCs w:val="24"/>
        </w:rPr>
        <w:t>a</w:t>
      </w:r>
      <w:r w:rsidR="0007734A" w:rsidRPr="00B457F5">
        <w:rPr>
          <w:rFonts w:ascii="Garamond" w:eastAsia="MS Mincho" w:hAnsi="Garamond" w:cs="Times New Roman"/>
          <w:szCs w:val="24"/>
        </w:rPr>
        <w:t xml:space="preserve"> e koordinuar strategjike ndaj çështjeve të migracionit, duke ndjekur parimin </w:t>
      </w:r>
      <w:r w:rsidR="00A313AE" w:rsidRPr="00B457F5">
        <w:rPr>
          <w:rFonts w:ascii="Garamond" w:eastAsia="MS Mincho" w:hAnsi="Garamond" w:cs="Times New Roman"/>
          <w:szCs w:val="24"/>
        </w:rPr>
        <w:t>“</w:t>
      </w:r>
      <w:r w:rsidR="0007734A" w:rsidRPr="00B457F5">
        <w:rPr>
          <w:rFonts w:ascii="Garamond" w:eastAsia="MS Mincho" w:hAnsi="Garamond" w:cs="Times New Roman"/>
          <w:szCs w:val="24"/>
        </w:rPr>
        <w:t>e gjithë qeveria</w:t>
      </w:r>
      <w:r w:rsidR="00A313AE" w:rsidRPr="00B457F5">
        <w:rPr>
          <w:rFonts w:ascii="Garamond" w:eastAsia="MS Mincho" w:hAnsi="Garamond" w:cs="Times New Roman"/>
          <w:szCs w:val="24"/>
        </w:rPr>
        <w:t>”</w:t>
      </w:r>
      <w:r w:rsidR="0007734A" w:rsidRPr="00B457F5">
        <w:rPr>
          <w:rFonts w:ascii="Garamond" w:eastAsia="MS Mincho" w:hAnsi="Garamond" w:cs="Times New Roman"/>
          <w:szCs w:val="24"/>
        </w:rPr>
        <w:t>, është një element kyç për detyrën e përgjithshme të Shqipërisë për</w:t>
      </w:r>
      <w:r w:rsidR="0009653B" w:rsidRPr="00B457F5">
        <w:rPr>
          <w:rFonts w:ascii="Garamond" w:eastAsia="MS Mincho" w:hAnsi="Garamond" w:cs="Times New Roman"/>
          <w:szCs w:val="24"/>
        </w:rPr>
        <w:t xml:space="preserve"> t’iu </w:t>
      </w:r>
      <w:r w:rsidR="0007734A" w:rsidRPr="00B457F5">
        <w:rPr>
          <w:rFonts w:ascii="Garamond" w:eastAsia="MS Mincho" w:hAnsi="Garamond" w:cs="Times New Roman"/>
          <w:szCs w:val="24"/>
        </w:rPr>
        <w:t>përgjigjur në mënyrë efektive sfidave të reja në fushën e qeverisjes së migracionit.</w:t>
      </w:r>
    </w:p>
    <w:p w14:paraId="7439727F" w14:textId="47CEF891" w:rsidR="0007734A" w:rsidRPr="00B457F5" w:rsidRDefault="0007734A"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Miratimi i ligjit nr.</w:t>
      </w:r>
      <w:r w:rsidR="00570E74" w:rsidRPr="00B457F5">
        <w:rPr>
          <w:rFonts w:ascii="Garamond" w:eastAsia="MS Mincho" w:hAnsi="Garamond" w:cs="Times New Roman"/>
          <w:szCs w:val="24"/>
        </w:rPr>
        <w:t xml:space="preserve"> </w:t>
      </w:r>
      <w:r w:rsidRPr="00B457F5">
        <w:rPr>
          <w:rFonts w:ascii="Garamond" w:eastAsia="MS Mincho" w:hAnsi="Garamond" w:cs="Times New Roman"/>
          <w:szCs w:val="24"/>
        </w:rPr>
        <w:t>79</w:t>
      </w:r>
      <w:r w:rsidR="00570E74" w:rsidRPr="00B457F5">
        <w:rPr>
          <w:rFonts w:ascii="Garamond" w:eastAsia="MS Mincho" w:hAnsi="Garamond" w:cs="Times New Roman"/>
          <w:szCs w:val="24"/>
        </w:rPr>
        <w:t>,</w:t>
      </w:r>
      <w:r w:rsidRPr="00B457F5">
        <w:rPr>
          <w:rFonts w:ascii="Garamond" w:eastAsia="MS Mincho" w:hAnsi="Garamond" w:cs="Times New Roman"/>
          <w:szCs w:val="24"/>
        </w:rPr>
        <w:t xml:space="preserve"> </w:t>
      </w:r>
      <w:r w:rsidR="00A313AE" w:rsidRPr="00B457F5">
        <w:rPr>
          <w:rFonts w:ascii="Garamond" w:eastAsia="MS Mincho" w:hAnsi="Garamond" w:cs="Times New Roman"/>
          <w:szCs w:val="24"/>
        </w:rPr>
        <w:t>“</w:t>
      </w:r>
      <w:r w:rsidRPr="00B457F5">
        <w:rPr>
          <w:rFonts w:ascii="Garamond" w:eastAsia="MS Mincho" w:hAnsi="Garamond" w:cs="Times New Roman"/>
          <w:szCs w:val="24"/>
        </w:rPr>
        <w:t>Për të huajt</w:t>
      </w:r>
      <w:r w:rsidR="00A313AE" w:rsidRPr="00B457F5">
        <w:rPr>
          <w:rFonts w:ascii="Garamond" w:eastAsia="MS Mincho" w:hAnsi="Garamond" w:cs="Times New Roman"/>
          <w:szCs w:val="24"/>
        </w:rPr>
        <w:t>”</w:t>
      </w:r>
      <w:r w:rsidR="00570E74" w:rsidRPr="00B457F5">
        <w:rPr>
          <w:rFonts w:ascii="Garamond" w:eastAsia="MS Mincho" w:hAnsi="Garamond" w:cs="Times New Roman"/>
          <w:szCs w:val="24"/>
        </w:rPr>
        <w:t>,</w:t>
      </w:r>
      <w:r w:rsidRPr="00B457F5">
        <w:rPr>
          <w:rFonts w:ascii="Garamond" w:eastAsia="MS Mincho" w:hAnsi="Garamond" w:cs="Times New Roman"/>
          <w:szCs w:val="24"/>
        </w:rPr>
        <w:t xml:space="preserve"> në vitin 2021, i cili përafron kuadrin ligjor kombëtar me</w:t>
      </w:r>
      <w:r w:rsidRPr="00B457F5">
        <w:rPr>
          <w:rFonts w:ascii="Garamond" w:eastAsia="MS Mincho" w:hAnsi="Garamond" w:cs="Times New Roman"/>
          <w:i/>
          <w:iCs/>
          <w:szCs w:val="24"/>
        </w:rPr>
        <w:t xml:space="preserve"> acquis</w:t>
      </w:r>
      <w:r w:rsidR="003C7CEB" w:rsidRPr="00B457F5">
        <w:rPr>
          <w:rFonts w:ascii="Garamond" w:eastAsia="MS Mincho" w:hAnsi="Garamond" w:cs="Times New Roman"/>
          <w:i/>
          <w:iCs/>
          <w:szCs w:val="24"/>
        </w:rPr>
        <w:t>-</w:t>
      </w:r>
      <w:r w:rsidR="003C7CEB" w:rsidRPr="00B457F5">
        <w:rPr>
          <w:rFonts w:ascii="Garamond" w:eastAsia="MS Mincho" w:hAnsi="Garamond" w:cs="Times New Roman"/>
          <w:szCs w:val="24"/>
        </w:rPr>
        <w:t>në</w:t>
      </w:r>
      <w:r w:rsidRPr="00B457F5">
        <w:rPr>
          <w:rFonts w:ascii="Garamond" w:eastAsia="MS Mincho" w:hAnsi="Garamond" w:cs="Times New Roman"/>
          <w:szCs w:val="24"/>
        </w:rPr>
        <w:t xml:space="preserve"> </w:t>
      </w:r>
      <w:r w:rsidR="003C7CEB" w:rsidRPr="00B457F5">
        <w:rPr>
          <w:rFonts w:ascii="Garamond" w:eastAsia="MS Mincho" w:hAnsi="Garamond" w:cs="Times New Roman"/>
          <w:szCs w:val="24"/>
        </w:rPr>
        <w:t>e</w:t>
      </w:r>
      <w:r w:rsidRPr="00B457F5">
        <w:rPr>
          <w:rFonts w:ascii="Garamond" w:eastAsia="MS Mincho" w:hAnsi="Garamond" w:cs="Times New Roman"/>
          <w:szCs w:val="24"/>
        </w:rPr>
        <w:t xml:space="preserve"> BE-së</w:t>
      </w:r>
      <w:r w:rsidR="00730291" w:rsidRPr="00B457F5">
        <w:rPr>
          <w:rFonts w:ascii="Garamond" w:eastAsia="MS Mincho" w:hAnsi="Garamond" w:cs="Times New Roman"/>
          <w:szCs w:val="24"/>
        </w:rPr>
        <w:t>,</w:t>
      </w:r>
      <w:r w:rsidRPr="00B457F5">
        <w:rPr>
          <w:rFonts w:ascii="Garamond" w:eastAsia="MS Mincho" w:hAnsi="Garamond" w:cs="Times New Roman"/>
          <w:szCs w:val="24"/>
        </w:rPr>
        <w:t xml:space="preserve"> duke rregulluar kushtet e hyrjes, qëndrimit, punës, arsimimit dhe daljes së shtetasve të huaj në Shqipëri, ka hedhur themelet për një sistem bashkëpunimi ndë</w:t>
      </w:r>
      <w:r w:rsidR="00F54710" w:rsidRPr="00B457F5">
        <w:rPr>
          <w:rFonts w:ascii="Garamond" w:eastAsia="MS Mincho" w:hAnsi="Garamond" w:cs="Times New Roman"/>
          <w:szCs w:val="24"/>
        </w:rPr>
        <w:t>rmjet institucioneve kyçe</w:t>
      </w:r>
      <w:r w:rsidRPr="00B457F5">
        <w:rPr>
          <w:rFonts w:ascii="Garamond" w:eastAsia="MS Mincho" w:hAnsi="Garamond" w:cs="Times New Roman"/>
          <w:szCs w:val="24"/>
        </w:rPr>
        <w:t xml:space="preserve"> përgjegjëse për çështjet e migracionit. </w:t>
      </w:r>
      <w:r w:rsidR="007C0817" w:rsidRPr="00B457F5">
        <w:rPr>
          <w:rFonts w:ascii="Garamond" w:eastAsia="MS Mincho" w:hAnsi="Garamond" w:cs="Times New Roman"/>
          <w:szCs w:val="24"/>
        </w:rPr>
        <w:t>Më konkretisht</w:t>
      </w:r>
      <w:r w:rsidRPr="00B457F5">
        <w:rPr>
          <w:rFonts w:ascii="Garamond" w:eastAsia="MS Mincho" w:hAnsi="Garamond" w:cs="Times New Roman"/>
          <w:szCs w:val="24"/>
        </w:rPr>
        <w:t xml:space="preserve">, ligji i ri shpërndan përgjegjësi midis autoriteteve shtetërore për mbledhjen dhe administrimin e të dhënave personale për të huajt dhe </w:t>
      </w:r>
      <w:r w:rsidR="00F54710" w:rsidRPr="00B457F5">
        <w:rPr>
          <w:rFonts w:ascii="Garamond" w:eastAsia="MS Mincho" w:hAnsi="Garamond" w:cs="Times New Roman"/>
          <w:szCs w:val="24"/>
        </w:rPr>
        <w:t>ka p</w:t>
      </w:r>
      <w:r w:rsidR="001B43F4" w:rsidRPr="00B457F5">
        <w:rPr>
          <w:rFonts w:ascii="Garamond" w:eastAsia="MS Mincho" w:hAnsi="Garamond" w:cs="Times New Roman"/>
          <w:szCs w:val="24"/>
        </w:rPr>
        <w:t>ë</w:t>
      </w:r>
      <w:r w:rsidR="00F54710" w:rsidRPr="00B457F5">
        <w:rPr>
          <w:rFonts w:ascii="Garamond" w:eastAsia="MS Mincho" w:hAnsi="Garamond" w:cs="Times New Roman"/>
          <w:szCs w:val="24"/>
        </w:rPr>
        <w:t>rmir</w:t>
      </w:r>
      <w:r w:rsidR="001B43F4" w:rsidRPr="00B457F5">
        <w:rPr>
          <w:rFonts w:ascii="Garamond" w:eastAsia="MS Mincho" w:hAnsi="Garamond" w:cs="Times New Roman"/>
          <w:szCs w:val="24"/>
        </w:rPr>
        <w:t>ë</w:t>
      </w:r>
      <w:r w:rsidR="00F54710" w:rsidRPr="00B457F5">
        <w:rPr>
          <w:rFonts w:ascii="Garamond" w:eastAsia="MS Mincho" w:hAnsi="Garamond" w:cs="Times New Roman"/>
          <w:szCs w:val="24"/>
        </w:rPr>
        <w:t xml:space="preserve">suar </w:t>
      </w:r>
      <w:r w:rsidRPr="00B457F5">
        <w:rPr>
          <w:rFonts w:ascii="Garamond" w:eastAsia="MS Mincho" w:hAnsi="Garamond" w:cs="Times New Roman"/>
          <w:szCs w:val="24"/>
        </w:rPr>
        <w:t>Regjist</w:t>
      </w:r>
      <w:r w:rsidR="007C0817" w:rsidRPr="00B457F5">
        <w:rPr>
          <w:rFonts w:ascii="Garamond" w:eastAsia="MS Mincho" w:hAnsi="Garamond" w:cs="Times New Roman"/>
          <w:szCs w:val="24"/>
        </w:rPr>
        <w:t>ri</w:t>
      </w:r>
      <w:r w:rsidR="00F54710" w:rsidRPr="00B457F5">
        <w:rPr>
          <w:rFonts w:ascii="Garamond" w:eastAsia="MS Mincho" w:hAnsi="Garamond" w:cs="Times New Roman"/>
          <w:szCs w:val="24"/>
        </w:rPr>
        <w:t xml:space="preserve">n </w:t>
      </w:r>
      <w:r w:rsidRPr="00B457F5">
        <w:rPr>
          <w:rFonts w:ascii="Garamond" w:eastAsia="MS Mincho" w:hAnsi="Garamond" w:cs="Times New Roman"/>
          <w:szCs w:val="24"/>
        </w:rPr>
        <w:t xml:space="preserve">Elektronik Kombëtar për të Huajt. </w:t>
      </w:r>
      <w:r w:rsidR="00F54710" w:rsidRPr="00B457F5">
        <w:rPr>
          <w:rFonts w:ascii="Garamond" w:eastAsia="MS Mincho" w:hAnsi="Garamond" w:cs="Times New Roman"/>
          <w:szCs w:val="24"/>
        </w:rPr>
        <w:t>Në këtë drejtim j</w:t>
      </w:r>
      <w:r w:rsidRPr="00B457F5">
        <w:rPr>
          <w:rFonts w:ascii="Garamond" w:eastAsia="MS Mincho" w:hAnsi="Garamond" w:cs="Times New Roman"/>
          <w:szCs w:val="24"/>
        </w:rPr>
        <w:t xml:space="preserve">anë krijuar module të </w:t>
      </w:r>
      <w:r w:rsidR="00F54710" w:rsidRPr="00B457F5">
        <w:rPr>
          <w:rFonts w:ascii="Garamond" w:eastAsia="MS Mincho" w:hAnsi="Garamond" w:cs="Times New Roman"/>
          <w:szCs w:val="24"/>
        </w:rPr>
        <w:t xml:space="preserve">reja për ruajtjen e </w:t>
      </w:r>
      <w:r w:rsidR="00570E74" w:rsidRPr="00B457F5">
        <w:rPr>
          <w:rFonts w:ascii="Garamond" w:eastAsia="MS Mincho" w:hAnsi="Garamond" w:cs="Times New Roman"/>
          <w:szCs w:val="24"/>
        </w:rPr>
        <w:t>dokumenteve</w:t>
      </w:r>
      <w:r w:rsidR="00F54710" w:rsidRPr="00B457F5">
        <w:rPr>
          <w:rFonts w:ascii="Garamond" w:eastAsia="MS Mincho" w:hAnsi="Garamond" w:cs="Times New Roman"/>
          <w:szCs w:val="24"/>
        </w:rPr>
        <w:t xml:space="preserve"> të identifikimit/udhëtimit të të huajve. REKH</w:t>
      </w:r>
      <w:r w:rsidR="00900596" w:rsidRPr="00B457F5">
        <w:rPr>
          <w:rFonts w:ascii="Garamond" w:eastAsia="MS Mincho" w:hAnsi="Garamond" w:cs="Times New Roman"/>
          <w:szCs w:val="24"/>
        </w:rPr>
        <w:t>-ja</w:t>
      </w:r>
      <w:r w:rsidR="00F54710" w:rsidRPr="00B457F5">
        <w:rPr>
          <w:rFonts w:ascii="Garamond" w:eastAsia="MS Mincho" w:hAnsi="Garamond" w:cs="Times New Roman"/>
          <w:szCs w:val="24"/>
        </w:rPr>
        <w:t xml:space="preserve"> përmban module të </w:t>
      </w:r>
      <w:r w:rsidRPr="00B457F5">
        <w:rPr>
          <w:rFonts w:ascii="Garamond" w:eastAsia="MS Mincho" w:hAnsi="Garamond" w:cs="Times New Roman"/>
          <w:szCs w:val="24"/>
        </w:rPr>
        <w:t>veçanta për të dhënat për vizat e lëshuara, kontrollet e kalimit kufitar, lejet unike dhe të qëndrimit, qëndrimin e parregullt dhe dokumentet e identifikimit.</w:t>
      </w:r>
    </w:p>
    <w:p w14:paraId="6CE3FFF0" w14:textId="4FC4F080" w:rsidR="0007734A" w:rsidRPr="00B457F5" w:rsidRDefault="0007734A"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Një tjetër zhvillim i rëndësishëm </w:t>
      </w:r>
      <w:r w:rsidR="001A750E" w:rsidRPr="00B457F5">
        <w:rPr>
          <w:rFonts w:ascii="Garamond" w:eastAsia="MS Mincho" w:hAnsi="Garamond" w:cs="Times New Roman"/>
          <w:szCs w:val="24"/>
        </w:rPr>
        <w:t>është</w:t>
      </w:r>
      <w:r w:rsidRPr="00B457F5">
        <w:rPr>
          <w:rFonts w:ascii="Garamond" w:eastAsia="MS Mincho" w:hAnsi="Garamond" w:cs="Times New Roman"/>
          <w:szCs w:val="24"/>
        </w:rPr>
        <w:t xml:space="preserve"> përpunimi dhe shpërndarja e </w:t>
      </w:r>
      <w:r w:rsidR="00900596" w:rsidRPr="00B457F5">
        <w:rPr>
          <w:rFonts w:ascii="Garamond" w:eastAsia="MS Mincho" w:hAnsi="Garamond" w:cs="Times New Roman"/>
          <w:szCs w:val="24"/>
        </w:rPr>
        <w:t>udhëzimeve për statistikat e migracioni</w:t>
      </w:r>
      <w:r w:rsidRPr="00B457F5">
        <w:rPr>
          <w:rFonts w:ascii="Garamond" w:eastAsia="MS Mincho" w:hAnsi="Garamond" w:cs="Times New Roman"/>
          <w:szCs w:val="24"/>
        </w:rPr>
        <w:t xml:space="preserve">t, të cilat synojnë ndërtimin e një modeli standard të mbledhjes së të dhënave </w:t>
      </w:r>
      <w:r w:rsidRPr="00B457F5">
        <w:rPr>
          <w:rFonts w:ascii="Garamond" w:eastAsia="MS Mincho" w:hAnsi="Garamond" w:cs="Times New Roman"/>
          <w:szCs w:val="24"/>
        </w:rPr>
        <w:lastRenderedPageBreak/>
        <w:t>administrative.</w:t>
      </w:r>
      <w:r w:rsidRPr="00B457F5">
        <w:rPr>
          <w:rFonts w:ascii="Garamond" w:eastAsia="MS Mincho" w:hAnsi="Garamond" w:cs="Times New Roman"/>
          <w:szCs w:val="24"/>
          <w:vertAlign w:val="superscript"/>
        </w:rPr>
        <w:footnoteReference w:id="64"/>
      </w:r>
      <w:r w:rsidRPr="00B457F5">
        <w:rPr>
          <w:rFonts w:ascii="Garamond" w:eastAsia="MS Mincho" w:hAnsi="Garamond" w:cs="Times New Roman"/>
          <w:szCs w:val="24"/>
        </w:rPr>
        <w:t xml:space="preserve"> Megjithatë, disa fusha kërkojnë vëmendje të vazhdueshme. Këto përfshijnë mbledhjen e të dhënave</w:t>
      </w:r>
      <w:r w:rsidR="00900596" w:rsidRPr="00B457F5">
        <w:rPr>
          <w:rFonts w:ascii="Garamond" w:eastAsia="MS Mincho" w:hAnsi="Garamond" w:cs="Times New Roman"/>
          <w:szCs w:val="24"/>
        </w:rPr>
        <w:t>,</w:t>
      </w:r>
      <w:r w:rsidRPr="00B457F5">
        <w:rPr>
          <w:rFonts w:ascii="Garamond" w:eastAsia="MS Mincho" w:hAnsi="Garamond" w:cs="Times New Roman"/>
          <w:szCs w:val="24"/>
        </w:rPr>
        <w:t xml:space="preserve"> me qëllim përdorimin për zhvillimin e politikave të të dhënave për stokun e emigrantëve shqiptarë jashtë vendit dhe zbatimin e një modeli të ri të mbledhjes së të dhënave administrative</w:t>
      </w:r>
      <w:r w:rsidR="00900596" w:rsidRPr="00B457F5">
        <w:rPr>
          <w:rFonts w:ascii="Garamond" w:eastAsia="MS Mincho" w:hAnsi="Garamond" w:cs="Times New Roman"/>
          <w:szCs w:val="24"/>
        </w:rPr>
        <w:t>,</w:t>
      </w:r>
      <w:r w:rsidRPr="00B457F5">
        <w:rPr>
          <w:rFonts w:ascii="Garamond" w:eastAsia="MS Mincho" w:hAnsi="Garamond" w:cs="Times New Roman"/>
          <w:szCs w:val="24"/>
        </w:rPr>
        <w:t xml:space="preserve"> që do të koordinohet nga Sekretariati Teknik për Migracionin.</w:t>
      </w:r>
      <w:r w:rsidRPr="00B457F5">
        <w:rPr>
          <w:rFonts w:ascii="Garamond" w:eastAsia="MS Mincho" w:hAnsi="Garamond" w:cs="Times New Roman"/>
          <w:szCs w:val="24"/>
          <w:vertAlign w:val="superscript"/>
        </w:rPr>
        <w:footnoteReference w:id="65"/>
      </w:r>
    </w:p>
    <w:p w14:paraId="503B09AA" w14:textId="68832299" w:rsidR="0007734A" w:rsidRPr="00B457F5" w:rsidRDefault="0007734A"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Një fushë tjetër jetike për të siguruar një përgjigje efektive afatgjatë ndaj sfidave të migracionit është bashkëpunimi rajonal dhe ndërkombëtar. Si Raporti Kombëtar Vullnetar (RKV), MGI</w:t>
      </w:r>
      <w:r w:rsidR="009A20F5" w:rsidRPr="00B457F5">
        <w:rPr>
          <w:rFonts w:ascii="Garamond" w:eastAsia="MS Mincho" w:hAnsi="Garamond" w:cs="Times New Roman"/>
          <w:szCs w:val="24"/>
        </w:rPr>
        <w:t>-ja</w:t>
      </w:r>
      <w:r w:rsidRPr="00B457F5">
        <w:rPr>
          <w:rFonts w:ascii="Garamond" w:eastAsia="MS Mincho" w:hAnsi="Garamond" w:cs="Times New Roman"/>
          <w:szCs w:val="24"/>
        </w:rPr>
        <w:t xml:space="preserve"> dhe vlerësimet e BE-së vënë në dukje progres</w:t>
      </w:r>
      <w:r w:rsidR="009A20F5" w:rsidRPr="00B457F5">
        <w:rPr>
          <w:rFonts w:ascii="Garamond" w:eastAsia="MS Mincho" w:hAnsi="Garamond" w:cs="Times New Roman"/>
          <w:szCs w:val="24"/>
        </w:rPr>
        <w:t>in e madh</w:t>
      </w:r>
      <w:r w:rsidR="00442960" w:rsidRPr="00B457F5">
        <w:rPr>
          <w:rFonts w:ascii="Garamond" w:eastAsia="MS Mincho" w:hAnsi="Garamond" w:cs="Times New Roman"/>
          <w:szCs w:val="24"/>
        </w:rPr>
        <w:t xml:space="preserve"> të</w:t>
      </w:r>
      <w:r w:rsidRPr="00B457F5">
        <w:rPr>
          <w:rFonts w:ascii="Garamond" w:eastAsia="MS Mincho" w:hAnsi="Garamond" w:cs="Times New Roman"/>
          <w:szCs w:val="24"/>
        </w:rPr>
        <w:t xml:space="preserve"> Shqipëri</w:t>
      </w:r>
      <w:r w:rsidR="00442960" w:rsidRPr="00B457F5">
        <w:rPr>
          <w:rFonts w:ascii="Garamond" w:eastAsia="MS Mincho" w:hAnsi="Garamond" w:cs="Times New Roman"/>
          <w:szCs w:val="24"/>
        </w:rPr>
        <w:t>së</w:t>
      </w:r>
      <w:r w:rsidRPr="00B457F5">
        <w:rPr>
          <w:rFonts w:ascii="Garamond" w:eastAsia="MS Mincho" w:hAnsi="Garamond" w:cs="Times New Roman"/>
          <w:szCs w:val="24"/>
        </w:rPr>
        <w:t xml:space="preserve"> kohët e fundit</w:t>
      </w:r>
      <w:r w:rsidR="00900596" w:rsidRPr="00B457F5">
        <w:rPr>
          <w:rFonts w:ascii="Garamond" w:eastAsia="MS Mincho" w:hAnsi="Garamond" w:cs="Times New Roman"/>
          <w:szCs w:val="24"/>
        </w:rPr>
        <w:t>,</w:t>
      </w:r>
      <w:r w:rsidRPr="00B457F5">
        <w:rPr>
          <w:rFonts w:ascii="Garamond" w:eastAsia="MS Mincho" w:hAnsi="Garamond" w:cs="Times New Roman"/>
          <w:szCs w:val="24"/>
        </w:rPr>
        <w:t xml:space="preserve"> si në angazhimin në proceset rajonale (Procesi i Pragës, Procesi i Budapestit, Procesi i Berlinit, Migrimi, Azili, Iniciativa Rajonale e Refugjatëve)</w:t>
      </w:r>
      <w:r w:rsidR="00442960" w:rsidRPr="00B457F5">
        <w:rPr>
          <w:rFonts w:ascii="Garamond" w:eastAsia="MS Mincho" w:hAnsi="Garamond" w:cs="Times New Roman"/>
          <w:szCs w:val="24"/>
        </w:rPr>
        <w:t>,</w:t>
      </w:r>
      <w:r w:rsidRPr="00B457F5">
        <w:rPr>
          <w:rFonts w:ascii="Garamond" w:eastAsia="MS Mincho" w:hAnsi="Garamond" w:cs="Times New Roman"/>
          <w:szCs w:val="24"/>
        </w:rPr>
        <w:t xml:space="preserve"> dhe në operacionet e ndërmarra në bashkë</w:t>
      </w:r>
      <w:r w:rsidR="00442960" w:rsidRPr="00B457F5">
        <w:rPr>
          <w:rFonts w:ascii="Garamond" w:eastAsia="MS Mincho" w:hAnsi="Garamond" w:cs="Times New Roman"/>
          <w:szCs w:val="24"/>
        </w:rPr>
        <w:t>p</w:t>
      </w:r>
      <w:r w:rsidRPr="00B457F5">
        <w:rPr>
          <w:rFonts w:ascii="Garamond" w:eastAsia="MS Mincho" w:hAnsi="Garamond" w:cs="Times New Roman"/>
          <w:szCs w:val="24"/>
        </w:rPr>
        <w:t>unim me FRONTEX</w:t>
      </w:r>
      <w:r w:rsidR="00900596" w:rsidRPr="00B457F5">
        <w:rPr>
          <w:rFonts w:ascii="Garamond" w:eastAsia="MS Mincho" w:hAnsi="Garamond" w:cs="Times New Roman"/>
          <w:szCs w:val="24"/>
        </w:rPr>
        <w:t>-in</w:t>
      </w:r>
      <w:r w:rsidRPr="00B457F5">
        <w:rPr>
          <w:rFonts w:ascii="Garamond" w:eastAsia="MS Mincho" w:hAnsi="Garamond" w:cs="Times New Roman"/>
          <w:szCs w:val="24"/>
        </w:rPr>
        <w:t xml:space="preserve">. Megjithatë, gjatë përcaktimit të prioriteteve të GCM-së, palët e </w:t>
      </w:r>
      <w:r w:rsidR="00442960" w:rsidRPr="00B457F5">
        <w:rPr>
          <w:rFonts w:ascii="Garamond" w:eastAsia="MS Mincho" w:hAnsi="Garamond" w:cs="Times New Roman"/>
          <w:szCs w:val="24"/>
        </w:rPr>
        <w:t xml:space="preserve">interesit </w:t>
      </w:r>
      <w:r w:rsidRPr="00B457F5">
        <w:rPr>
          <w:rFonts w:ascii="Garamond" w:eastAsia="MS Mincho" w:hAnsi="Garamond" w:cs="Times New Roman"/>
          <w:szCs w:val="24"/>
        </w:rPr>
        <w:t>vunë në dukje nevojën për intensifikimin e shkëmbimit të informacionit me shërbimet e migracionit, misionet diplomatike dhe ndërlidhjet e jashtme</w:t>
      </w:r>
      <w:r w:rsidR="00900596" w:rsidRPr="00B457F5">
        <w:rPr>
          <w:rFonts w:ascii="Garamond" w:eastAsia="MS Mincho" w:hAnsi="Garamond" w:cs="Times New Roman"/>
          <w:szCs w:val="24"/>
        </w:rPr>
        <w:t>,</w:t>
      </w:r>
      <w:r w:rsidRPr="00B457F5">
        <w:rPr>
          <w:rFonts w:ascii="Garamond" w:eastAsia="MS Mincho" w:hAnsi="Garamond" w:cs="Times New Roman"/>
          <w:szCs w:val="24"/>
        </w:rPr>
        <w:t xml:space="preserve"> si të vendeve fqinje ashtu edhe të vendeve të destinacionit. Shkëmbimi në kohë dhe gjithëpërfshirës i të dhënave do të ishte thelbësor për zhvillimin e përgjigjeve efektive ndaj flukseve të përziera të migracionit.</w:t>
      </w:r>
    </w:p>
    <w:p w14:paraId="61372213" w14:textId="0A1CA9A0" w:rsidR="00783BF2" w:rsidRPr="00B457F5" w:rsidRDefault="0007734A" w:rsidP="00783BF2">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Qëllimi i parë i politikës </w:t>
      </w:r>
      <w:r w:rsidRPr="00B457F5">
        <w:rPr>
          <w:rFonts w:ascii="Garamond" w:eastAsia="MS Mincho" w:hAnsi="Garamond" w:cs="Times New Roman"/>
          <w:i/>
          <w:iCs/>
          <w:szCs w:val="24"/>
        </w:rPr>
        <w:t>(</w:t>
      </w:r>
      <w:r w:rsidR="00900596" w:rsidRPr="00B457F5">
        <w:rPr>
          <w:rFonts w:ascii="Garamond" w:eastAsia="MS Mincho" w:hAnsi="Garamond" w:cs="Times New Roman"/>
          <w:i/>
          <w:iCs/>
          <w:szCs w:val="24"/>
        </w:rPr>
        <w:t>g</w:t>
      </w:r>
      <w:r w:rsidRPr="00B457F5">
        <w:rPr>
          <w:rFonts w:ascii="Garamond" w:eastAsia="MS Mincho" w:hAnsi="Garamond" w:cs="Times New Roman"/>
          <w:i/>
          <w:iCs/>
          <w:szCs w:val="24"/>
        </w:rPr>
        <w:t>arantimi i qeverisjes strategjike të migracionit në Shqipëri)</w:t>
      </w:r>
      <w:r w:rsidRPr="00B457F5">
        <w:rPr>
          <w:rFonts w:ascii="Garamond" w:eastAsia="MS Mincho" w:hAnsi="Garamond" w:cs="Times New Roman"/>
          <w:szCs w:val="24"/>
        </w:rPr>
        <w:t xml:space="preserve"> është planifikuar të realizohet nëpërmjet ndjekjes së tre objektivave specifikë (</w:t>
      </w:r>
      <w:r w:rsidR="00B95279" w:rsidRPr="00B457F5">
        <w:rPr>
          <w:rFonts w:ascii="Garamond" w:eastAsia="MS Mincho" w:hAnsi="Garamond" w:cs="Times New Roman"/>
          <w:szCs w:val="24"/>
        </w:rPr>
        <w:t>f</w:t>
      </w:r>
      <w:r w:rsidRPr="00B457F5">
        <w:rPr>
          <w:rFonts w:ascii="Garamond" w:eastAsia="MS Mincho" w:hAnsi="Garamond" w:cs="Times New Roman"/>
          <w:szCs w:val="24"/>
        </w:rPr>
        <w:t>ig. 2), të cilat</w:t>
      </w:r>
      <w:r w:rsidR="00D26AC7" w:rsidRPr="00B457F5">
        <w:rPr>
          <w:rFonts w:ascii="Garamond" w:eastAsia="MS Mincho" w:hAnsi="Garamond" w:cs="Times New Roman"/>
          <w:szCs w:val="24"/>
        </w:rPr>
        <w:t>,</w:t>
      </w:r>
      <w:r w:rsidRPr="00B457F5">
        <w:rPr>
          <w:rFonts w:ascii="Garamond" w:eastAsia="MS Mincho" w:hAnsi="Garamond" w:cs="Times New Roman"/>
          <w:szCs w:val="24"/>
        </w:rPr>
        <w:t xml:space="preserve"> nga njëra anë</w:t>
      </w:r>
      <w:r w:rsidR="00D26AC7" w:rsidRPr="00B457F5">
        <w:rPr>
          <w:rFonts w:ascii="Garamond" w:eastAsia="MS Mincho" w:hAnsi="Garamond" w:cs="Times New Roman"/>
          <w:szCs w:val="24"/>
        </w:rPr>
        <w:t>,</w:t>
      </w:r>
      <w:r w:rsidRPr="00B457F5">
        <w:rPr>
          <w:rFonts w:ascii="Garamond" w:eastAsia="MS Mincho" w:hAnsi="Garamond" w:cs="Times New Roman"/>
          <w:szCs w:val="24"/>
        </w:rPr>
        <w:t xml:space="preserve"> ofrojnë një vazhdimësi me synimet e </w:t>
      </w:r>
      <w:r w:rsidR="00900596" w:rsidRPr="00B457F5">
        <w:rPr>
          <w:rFonts w:ascii="Garamond" w:eastAsia="MS Mincho" w:hAnsi="Garamond" w:cs="Times New Roman"/>
          <w:szCs w:val="24"/>
        </w:rPr>
        <w:t>s</w:t>
      </w:r>
      <w:r w:rsidRPr="00B457F5">
        <w:rPr>
          <w:rFonts w:ascii="Garamond" w:eastAsia="MS Mincho" w:hAnsi="Garamond" w:cs="Times New Roman"/>
          <w:szCs w:val="24"/>
        </w:rPr>
        <w:t>trategjisë së mëparshme dhe</w:t>
      </w:r>
      <w:r w:rsidR="00D26AC7" w:rsidRPr="00B457F5">
        <w:rPr>
          <w:rFonts w:ascii="Garamond" w:eastAsia="MS Mincho" w:hAnsi="Garamond" w:cs="Times New Roman"/>
          <w:szCs w:val="24"/>
        </w:rPr>
        <w:t>,</w:t>
      </w:r>
      <w:r w:rsidRPr="00B457F5">
        <w:rPr>
          <w:rFonts w:ascii="Garamond" w:eastAsia="MS Mincho" w:hAnsi="Garamond" w:cs="Times New Roman"/>
          <w:szCs w:val="24"/>
        </w:rPr>
        <w:t xml:space="preserve"> nga ana tjetër</w:t>
      </w:r>
      <w:r w:rsidR="00D26AC7" w:rsidRPr="00B457F5">
        <w:rPr>
          <w:rFonts w:ascii="Garamond" w:eastAsia="MS Mincho" w:hAnsi="Garamond" w:cs="Times New Roman"/>
          <w:szCs w:val="24"/>
        </w:rPr>
        <w:t>,</w:t>
      </w:r>
      <w:r w:rsidRPr="00B457F5">
        <w:rPr>
          <w:rFonts w:ascii="Garamond" w:eastAsia="MS Mincho" w:hAnsi="Garamond" w:cs="Times New Roman"/>
          <w:szCs w:val="24"/>
        </w:rPr>
        <w:t xml:space="preserve"> harmonizojnë qeverisjen strategjike të Shqipërisë me kuadrin GCM (</w:t>
      </w:r>
      <w:r w:rsidR="00B95279" w:rsidRPr="00B457F5">
        <w:rPr>
          <w:rFonts w:ascii="Garamond" w:eastAsia="MS Mincho" w:hAnsi="Garamond" w:cs="Times New Roman"/>
          <w:szCs w:val="24"/>
        </w:rPr>
        <w:t>t</w:t>
      </w:r>
      <w:r w:rsidRPr="00B457F5">
        <w:rPr>
          <w:rFonts w:ascii="Garamond" w:eastAsia="MS Mincho" w:hAnsi="Garamond" w:cs="Times New Roman"/>
          <w:szCs w:val="24"/>
        </w:rPr>
        <w:t xml:space="preserve">abela </w:t>
      </w:r>
      <w:r w:rsidR="00CF218E" w:rsidRPr="00B457F5">
        <w:rPr>
          <w:rFonts w:ascii="Garamond" w:eastAsia="MS Mincho" w:hAnsi="Garamond" w:cs="Times New Roman"/>
          <w:szCs w:val="24"/>
        </w:rPr>
        <w:t>5</w:t>
      </w:r>
      <w:r w:rsidRPr="00B457F5">
        <w:rPr>
          <w:rFonts w:ascii="Garamond" w:eastAsia="MS Mincho" w:hAnsi="Garamond" w:cs="Times New Roman"/>
          <w:szCs w:val="24"/>
        </w:rPr>
        <w:t>).</w:t>
      </w:r>
      <w:bookmarkStart w:id="50" w:name="_Toc141272984"/>
    </w:p>
    <w:p w14:paraId="500BA198" w14:textId="6280E1F9" w:rsidR="0007734A" w:rsidRPr="00B457F5" w:rsidRDefault="0007734A" w:rsidP="00783BF2">
      <w:pPr>
        <w:spacing w:before="0" w:after="0"/>
        <w:ind w:firstLine="284"/>
        <w:rPr>
          <w:rFonts w:ascii="Garamond" w:eastAsia="Calibri" w:hAnsi="Garamond" w:cs="Times New Roman"/>
          <w:bCs/>
          <w:i/>
          <w:szCs w:val="24"/>
        </w:rPr>
      </w:pPr>
      <w:r w:rsidRPr="00B457F5">
        <w:rPr>
          <w:rFonts w:ascii="Garamond" w:eastAsia="Calibri" w:hAnsi="Garamond" w:cs="Times New Roman"/>
          <w:bCs/>
          <w:i/>
          <w:szCs w:val="24"/>
        </w:rPr>
        <w:t>Fig. 2</w:t>
      </w:r>
      <w:r w:rsidR="00570E74" w:rsidRPr="00B457F5">
        <w:rPr>
          <w:rFonts w:ascii="Garamond" w:eastAsia="Calibri" w:hAnsi="Garamond" w:cs="Times New Roman"/>
          <w:bCs/>
          <w:i/>
          <w:szCs w:val="24"/>
        </w:rPr>
        <w:t>:</w:t>
      </w:r>
      <w:r w:rsidRPr="00B457F5">
        <w:rPr>
          <w:rFonts w:ascii="Garamond" w:eastAsia="Calibri" w:hAnsi="Garamond" w:cs="Times New Roman"/>
          <w:bCs/>
          <w:i/>
          <w:szCs w:val="24"/>
        </w:rPr>
        <w:t xml:space="preserve"> </w:t>
      </w:r>
      <w:bookmarkEnd w:id="50"/>
      <w:r w:rsidRPr="00B457F5">
        <w:rPr>
          <w:rFonts w:ascii="Garamond" w:eastAsia="Calibri" w:hAnsi="Garamond" w:cs="Times New Roman"/>
          <w:bCs/>
          <w:i/>
          <w:szCs w:val="24"/>
        </w:rPr>
        <w:t>Qëllimi i politikës I</w:t>
      </w:r>
      <w:r w:rsidR="00570E74" w:rsidRPr="00B457F5">
        <w:rPr>
          <w:rFonts w:ascii="Garamond" w:eastAsia="Calibri" w:hAnsi="Garamond" w:cs="Times New Roman"/>
          <w:bCs/>
          <w:i/>
          <w:szCs w:val="24"/>
        </w:rPr>
        <w:t>.</w:t>
      </w:r>
      <w:r w:rsidRPr="00B457F5">
        <w:rPr>
          <w:rFonts w:ascii="Garamond" w:eastAsia="Calibri" w:hAnsi="Garamond" w:cs="Times New Roman"/>
          <w:bCs/>
          <w:i/>
          <w:szCs w:val="24"/>
        </w:rPr>
        <w:t xml:space="preserve"> Objektivat specifik</w:t>
      </w:r>
      <w:r w:rsidR="00570E74" w:rsidRPr="00B457F5">
        <w:rPr>
          <w:rFonts w:ascii="Garamond" w:eastAsia="Calibri" w:hAnsi="Garamond" w:cs="Times New Roman"/>
          <w:bCs/>
          <w:i/>
          <w:szCs w:val="24"/>
        </w:rPr>
        <w:t>ë</w:t>
      </w:r>
    </w:p>
    <w:p w14:paraId="694319DC" w14:textId="77777777" w:rsidR="0007734A" w:rsidRPr="00B457F5" w:rsidRDefault="0007734A" w:rsidP="002E693B">
      <w:pPr>
        <w:spacing w:before="0" w:after="0"/>
        <w:ind w:firstLine="284"/>
        <w:jc w:val="left"/>
        <w:rPr>
          <w:rFonts w:ascii="Garamond" w:eastAsia="MS Mincho" w:hAnsi="Garamond" w:cs="Times New Roman"/>
          <w:b/>
          <w:bCs/>
          <w:szCs w:val="24"/>
        </w:rPr>
      </w:pPr>
    </w:p>
    <w:p w14:paraId="31CA3CAB" w14:textId="77777777" w:rsidR="00783BF2" w:rsidRPr="00B457F5" w:rsidRDefault="0007734A" w:rsidP="00783BF2">
      <w:pPr>
        <w:spacing w:before="0" w:after="0"/>
        <w:ind w:firstLine="284"/>
        <w:jc w:val="left"/>
        <w:rPr>
          <w:rFonts w:ascii="Garamond" w:eastAsia="Calibri" w:hAnsi="Garamond" w:cs="Times New Roman"/>
          <w:b/>
          <w:bCs/>
          <w:szCs w:val="24"/>
        </w:rPr>
      </w:pPr>
      <w:r w:rsidRPr="00B457F5">
        <w:rPr>
          <w:rFonts w:ascii="Garamond" w:eastAsia="MS Mincho" w:hAnsi="Garamond" w:cs="Times New Roman"/>
          <w:b/>
          <w:bCs/>
          <w:noProof/>
          <w:szCs w:val="24"/>
        </w:rPr>
        <w:drawing>
          <wp:inline distT="0" distB="0" distL="0" distR="0" wp14:anchorId="25E92B72" wp14:editId="1536E5B6">
            <wp:extent cx="4931664" cy="1724152"/>
            <wp:effectExtent l="0" t="38100" r="0" b="47625"/>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bookmarkStart w:id="51" w:name="_Toc141272985"/>
    </w:p>
    <w:p w14:paraId="687590D6" w14:textId="77777777" w:rsidR="00570E74" w:rsidRPr="00B457F5" w:rsidRDefault="00570E74" w:rsidP="00900596">
      <w:pPr>
        <w:spacing w:before="0" w:after="0"/>
        <w:jc w:val="left"/>
        <w:rPr>
          <w:rFonts w:ascii="Garamond" w:eastAsia="Calibri" w:hAnsi="Garamond" w:cs="Times New Roman"/>
          <w:bCs/>
          <w:i/>
          <w:szCs w:val="24"/>
        </w:rPr>
      </w:pPr>
    </w:p>
    <w:p w14:paraId="15A3FE8B" w14:textId="3815EAD4" w:rsidR="0007734A" w:rsidRPr="00B457F5" w:rsidRDefault="0007734A" w:rsidP="00783BF2">
      <w:pPr>
        <w:spacing w:before="0" w:after="0"/>
        <w:ind w:firstLine="284"/>
        <w:jc w:val="left"/>
        <w:rPr>
          <w:rFonts w:ascii="Garamond" w:eastAsia="Calibri" w:hAnsi="Garamond" w:cs="Times New Roman"/>
          <w:bCs/>
          <w:i/>
          <w:szCs w:val="24"/>
        </w:rPr>
      </w:pPr>
      <w:r w:rsidRPr="00B457F5">
        <w:rPr>
          <w:rFonts w:ascii="Garamond" w:eastAsia="Calibri" w:hAnsi="Garamond" w:cs="Times New Roman"/>
          <w:bCs/>
          <w:i/>
          <w:szCs w:val="24"/>
        </w:rPr>
        <w:t xml:space="preserve">Tabela </w:t>
      </w:r>
      <w:r w:rsidR="00CF218E" w:rsidRPr="00B457F5">
        <w:rPr>
          <w:rFonts w:ascii="Garamond" w:eastAsia="Calibri" w:hAnsi="Garamond" w:cs="Times New Roman"/>
          <w:bCs/>
          <w:i/>
          <w:szCs w:val="24"/>
        </w:rPr>
        <w:t>5</w:t>
      </w:r>
      <w:r w:rsidR="00B95279" w:rsidRPr="00B457F5">
        <w:rPr>
          <w:rFonts w:ascii="Garamond" w:eastAsia="Calibri" w:hAnsi="Garamond" w:cs="Times New Roman"/>
          <w:bCs/>
          <w:i/>
          <w:szCs w:val="24"/>
        </w:rPr>
        <w:t>.</w:t>
      </w:r>
      <w:r w:rsidRPr="00B457F5">
        <w:rPr>
          <w:rFonts w:ascii="Garamond" w:eastAsia="Calibri" w:hAnsi="Garamond" w:cs="Times New Roman"/>
          <w:bCs/>
          <w:i/>
          <w:szCs w:val="24"/>
        </w:rPr>
        <w:t xml:space="preserve"> </w:t>
      </w:r>
      <w:bookmarkEnd w:id="51"/>
      <w:r w:rsidRPr="00B457F5">
        <w:rPr>
          <w:rFonts w:ascii="Garamond" w:eastAsia="Calibri" w:hAnsi="Garamond" w:cs="Times New Roman"/>
          <w:bCs/>
          <w:i/>
          <w:szCs w:val="24"/>
        </w:rPr>
        <w:t>Përafrimi i politikës GCM I</w:t>
      </w:r>
    </w:p>
    <w:tbl>
      <w:tblPr>
        <w:tblStyle w:val="TableGrid1"/>
        <w:tblW w:w="5000" w:type="pct"/>
        <w:tblLook w:val="04A0" w:firstRow="1" w:lastRow="0" w:firstColumn="1" w:lastColumn="0" w:noHBand="0" w:noVBand="1"/>
      </w:tblPr>
      <w:tblGrid>
        <w:gridCol w:w="4644"/>
        <w:gridCol w:w="4645"/>
      </w:tblGrid>
      <w:tr w:rsidR="0007734A" w:rsidRPr="00B457F5" w14:paraId="35CA71F2" w14:textId="77777777" w:rsidTr="00AF4731">
        <w:trPr>
          <w:trHeight w:val="20"/>
        </w:trPr>
        <w:tc>
          <w:tcPr>
            <w:tcW w:w="2500" w:type="pct"/>
            <w:vAlign w:val="center"/>
          </w:tcPr>
          <w:p w14:paraId="01652A23" w14:textId="3ED5E254" w:rsidR="0007734A" w:rsidRPr="00B457F5" w:rsidRDefault="0007734A" w:rsidP="00AF4731">
            <w:pPr>
              <w:jc w:val="center"/>
              <w:rPr>
                <w:rFonts w:ascii="Garamond" w:eastAsia="MS Mincho" w:hAnsi="Garamond" w:cs="Times New Roman"/>
                <w:b/>
                <w:bCs/>
                <w:sz w:val="16"/>
                <w:szCs w:val="16"/>
              </w:rPr>
            </w:pPr>
            <w:r w:rsidRPr="00B457F5">
              <w:rPr>
                <w:rFonts w:ascii="Garamond" w:eastAsia="MS Mincho" w:hAnsi="Garamond" w:cs="Times New Roman"/>
                <w:b/>
                <w:bCs/>
                <w:sz w:val="16"/>
                <w:szCs w:val="16"/>
              </w:rPr>
              <w:t xml:space="preserve">Objektivat </w:t>
            </w:r>
            <w:r w:rsidR="00B95279" w:rsidRPr="00B457F5">
              <w:rPr>
                <w:rFonts w:ascii="Garamond" w:eastAsia="MS Mincho" w:hAnsi="Garamond" w:cs="Times New Roman"/>
                <w:b/>
                <w:bCs/>
                <w:sz w:val="16"/>
                <w:szCs w:val="16"/>
              </w:rPr>
              <w:t xml:space="preserve">specifikë të politikës </w:t>
            </w:r>
            <w:r w:rsidRPr="00B457F5">
              <w:rPr>
                <w:rFonts w:ascii="Garamond" w:eastAsia="MS Mincho" w:hAnsi="Garamond" w:cs="Times New Roman"/>
                <w:b/>
                <w:bCs/>
                <w:sz w:val="16"/>
                <w:szCs w:val="16"/>
              </w:rPr>
              <w:t>I</w:t>
            </w:r>
          </w:p>
        </w:tc>
        <w:tc>
          <w:tcPr>
            <w:tcW w:w="2500" w:type="pct"/>
            <w:vAlign w:val="center"/>
          </w:tcPr>
          <w:p w14:paraId="210E1F10" w14:textId="69FD2F15" w:rsidR="0007734A" w:rsidRPr="00B457F5" w:rsidRDefault="0007734A" w:rsidP="00AF4731">
            <w:pPr>
              <w:jc w:val="center"/>
              <w:rPr>
                <w:rFonts w:ascii="Garamond" w:eastAsia="MS Mincho" w:hAnsi="Garamond" w:cs="Times New Roman"/>
                <w:b/>
                <w:bCs/>
                <w:sz w:val="16"/>
                <w:szCs w:val="16"/>
              </w:rPr>
            </w:pPr>
            <w:r w:rsidRPr="00B457F5">
              <w:rPr>
                <w:rFonts w:ascii="Garamond" w:eastAsia="MS Mincho" w:hAnsi="Garamond" w:cs="Times New Roman"/>
                <w:b/>
                <w:bCs/>
                <w:sz w:val="16"/>
                <w:szCs w:val="16"/>
              </w:rPr>
              <w:t>Objektivat përkatës të GCM</w:t>
            </w:r>
            <w:r w:rsidR="00AF4731" w:rsidRPr="00B457F5">
              <w:rPr>
                <w:rFonts w:ascii="Garamond" w:eastAsia="MS Mincho" w:hAnsi="Garamond" w:cs="Times New Roman"/>
                <w:b/>
                <w:bCs/>
                <w:sz w:val="16"/>
                <w:szCs w:val="16"/>
              </w:rPr>
              <w:t>-së</w:t>
            </w:r>
          </w:p>
        </w:tc>
      </w:tr>
      <w:tr w:rsidR="0007734A" w:rsidRPr="00B457F5" w14:paraId="5C9951CC" w14:textId="77777777" w:rsidTr="00783BF2">
        <w:trPr>
          <w:trHeight w:val="20"/>
        </w:trPr>
        <w:tc>
          <w:tcPr>
            <w:tcW w:w="2500" w:type="pct"/>
          </w:tcPr>
          <w:p w14:paraId="32821AAF" w14:textId="6DDDDD3E" w:rsidR="0007734A" w:rsidRPr="00B457F5" w:rsidRDefault="00570E74" w:rsidP="00570E74">
            <w:pPr>
              <w:tabs>
                <w:tab w:val="left" w:pos="163"/>
              </w:tabs>
              <w:contextualSpacing/>
              <w:jc w:val="left"/>
              <w:rPr>
                <w:rFonts w:ascii="Garamond" w:eastAsia="Times New Roman" w:hAnsi="Garamond" w:cs="Times New Roman"/>
                <w:sz w:val="16"/>
                <w:szCs w:val="16"/>
              </w:rPr>
            </w:pPr>
            <w:r w:rsidRPr="00B457F5">
              <w:rPr>
                <w:rFonts w:ascii="Garamond" w:eastAsia="Calibri" w:hAnsi="Garamond" w:cs="Times New Roman"/>
                <w:sz w:val="16"/>
                <w:szCs w:val="16"/>
              </w:rPr>
              <w:t xml:space="preserve">1.1 </w:t>
            </w:r>
            <w:r w:rsidR="00163437" w:rsidRPr="00B457F5">
              <w:rPr>
                <w:rFonts w:ascii="Garamond" w:eastAsia="Calibri" w:hAnsi="Garamond" w:cs="Times New Roman"/>
                <w:sz w:val="16"/>
                <w:szCs w:val="16"/>
              </w:rPr>
              <w:t>Qeverisja e</w:t>
            </w:r>
            <w:r w:rsidR="0007734A" w:rsidRPr="00B457F5">
              <w:rPr>
                <w:rFonts w:ascii="Garamond" w:eastAsia="Calibri" w:hAnsi="Garamond" w:cs="Times New Roman"/>
                <w:sz w:val="16"/>
                <w:szCs w:val="16"/>
              </w:rPr>
              <w:t xml:space="preserve"> migracionit në Shqipëri nëpërmjet përmirësimit të kuadrit ligjor dhe institucional</w:t>
            </w:r>
            <w:r w:rsidR="00900596" w:rsidRPr="00B457F5">
              <w:rPr>
                <w:rFonts w:ascii="Garamond" w:eastAsia="Calibri" w:hAnsi="Garamond" w:cs="Times New Roman"/>
                <w:sz w:val="16"/>
                <w:szCs w:val="16"/>
              </w:rPr>
              <w:t>.</w:t>
            </w:r>
          </w:p>
        </w:tc>
        <w:tc>
          <w:tcPr>
            <w:tcW w:w="2500" w:type="pct"/>
          </w:tcPr>
          <w:p w14:paraId="44466B90" w14:textId="77777777" w:rsidR="0007734A" w:rsidRPr="00B457F5" w:rsidRDefault="0007734A" w:rsidP="00783BF2">
            <w:pPr>
              <w:jc w:val="left"/>
              <w:rPr>
                <w:rFonts w:ascii="Garamond" w:eastAsia="MS Mincho" w:hAnsi="Garamond" w:cs="Times New Roman"/>
                <w:sz w:val="16"/>
                <w:szCs w:val="16"/>
              </w:rPr>
            </w:pPr>
          </w:p>
        </w:tc>
      </w:tr>
      <w:tr w:rsidR="0007734A" w:rsidRPr="00B457F5" w14:paraId="2112A1F0" w14:textId="77777777" w:rsidTr="00783BF2">
        <w:trPr>
          <w:trHeight w:val="20"/>
        </w:trPr>
        <w:tc>
          <w:tcPr>
            <w:tcW w:w="2500" w:type="pct"/>
          </w:tcPr>
          <w:p w14:paraId="00E3DAD3" w14:textId="737D9393" w:rsidR="0007734A" w:rsidRPr="00B457F5" w:rsidRDefault="0007734A" w:rsidP="00783BF2">
            <w:pPr>
              <w:jc w:val="left"/>
              <w:rPr>
                <w:rFonts w:ascii="Garamond" w:eastAsia="MS Mincho" w:hAnsi="Garamond" w:cs="Times New Roman"/>
                <w:sz w:val="16"/>
                <w:szCs w:val="16"/>
              </w:rPr>
            </w:pPr>
            <w:r w:rsidRPr="00B457F5">
              <w:rPr>
                <w:rFonts w:ascii="Garamond" w:eastAsia="MS Mincho" w:hAnsi="Garamond" w:cs="Times New Roman"/>
                <w:sz w:val="16"/>
                <w:szCs w:val="16"/>
              </w:rPr>
              <w:t>1.2 Hartimi dhe rishikimi i politikave të migracionit bazuar në të dhëna të sakta dhe të koordinuara</w:t>
            </w:r>
            <w:r w:rsidR="00900596" w:rsidRPr="00B457F5">
              <w:rPr>
                <w:rFonts w:ascii="Garamond" w:eastAsia="MS Mincho" w:hAnsi="Garamond" w:cs="Times New Roman"/>
                <w:sz w:val="16"/>
                <w:szCs w:val="16"/>
              </w:rPr>
              <w:t>.</w:t>
            </w:r>
          </w:p>
        </w:tc>
        <w:tc>
          <w:tcPr>
            <w:tcW w:w="2500" w:type="pct"/>
          </w:tcPr>
          <w:p w14:paraId="404E90B7" w14:textId="1AE8BE6B" w:rsidR="0007734A" w:rsidRPr="00B457F5" w:rsidRDefault="0007734A" w:rsidP="00783BF2">
            <w:pPr>
              <w:jc w:val="left"/>
              <w:rPr>
                <w:rFonts w:ascii="Garamond" w:eastAsia="MS Mincho" w:hAnsi="Garamond" w:cs="Times New Roman"/>
                <w:b/>
                <w:bCs/>
                <w:sz w:val="16"/>
                <w:szCs w:val="16"/>
              </w:rPr>
            </w:pPr>
            <w:r w:rsidRPr="00B457F5">
              <w:rPr>
                <w:rFonts w:ascii="Garamond" w:eastAsia="MS Mincho" w:hAnsi="Garamond" w:cs="Times New Roman"/>
                <w:sz w:val="16"/>
                <w:szCs w:val="16"/>
              </w:rPr>
              <w:t>1: Mbledhja dhe përdorimi i të dhënave të sakta dhe të disagreguara si bazë për zhvillimin e politikave të bazuara në dëshmi</w:t>
            </w:r>
            <w:r w:rsidR="00900596" w:rsidRPr="00B457F5">
              <w:rPr>
                <w:rFonts w:ascii="Garamond" w:eastAsia="MS Mincho" w:hAnsi="Garamond" w:cs="Times New Roman"/>
                <w:sz w:val="16"/>
                <w:szCs w:val="16"/>
              </w:rPr>
              <w:t>.</w:t>
            </w:r>
          </w:p>
        </w:tc>
      </w:tr>
      <w:tr w:rsidR="0007734A" w:rsidRPr="00B457F5" w14:paraId="25DA13E7" w14:textId="77777777" w:rsidTr="00783BF2">
        <w:trPr>
          <w:trHeight w:val="20"/>
        </w:trPr>
        <w:tc>
          <w:tcPr>
            <w:tcW w:w="2500" w:type="pct"/>
          </w:tcPr>
          <w:p w14:paraId="62DB30E1" w14:textId="33935894" w:rsidR="0007734A" w:rsidRPr="00B457F5" w:rsidRDefault="0007734A" w:rsidP="00783BF2">
            <w:pPr>
              <w:tabs>
                <w:tab w:val="left" w:pos="343"/>
                <w:tab w:val="left" w:pos="433"/>
                <w:tab w:val="left" w:pos="523"/>
                <w:tab w:val="left" w:pos="613"/>
              </w:tabs>
              <w:jc w:val="left"/>
              <w:rPr>
                <w:rFonts w:ascii="Garamond" w:eastAsia="MS Mincho" w:hAnsi="Garamond" w:cs="Times New Roman"/>
                <w:sz w:val="16"/>
                <w:szCs w:val="16"/>
              </w:rPr>
            </w:pPr>
            <w:r w:rsidRPr="00B457F5">
              <w:rPr>
                <w:rFonts w:ascii="Garamond" w:eastAsia="MS Mincho" w:hAnsi="Garamond" w:cs="Times New Roman"/>
                <w:sz w:val="16"/>
                <w:szCs w:val="16"/>
              </w:rPr>
              <w:t>1.3 Forcimi i bashkëpunimit ndërkombëtar dhe partneriteteve për migrim të sigurt dhe të rregullt</w:t>
            </w:r>
            <w:r w:rsidR="00900596" w:rsidRPr="00B457F5">
              <w:rPr>
                <w:rFonts w:ascii="Garamond" w:eastAsia="MS Mincho" w:hAnsi="Garamond" w:cs="Times New Roman"/>
                <w:sz w:val="16"/>
                <w:szCs w:val="16"/>
              </w:rPr>
              <w:t>.</w:t>
            </w:r>
          </w:p>
        </w:tc>
        <w:tc>
          <w:tcPr>
            <w:tcW w:w="2500" w:type="pct"/>
          </w:tcPr>
          <w:p w14:paraId="0DEF0687" w14:textId="08A41C92" w:rsidR="0007734A" w:rsidRPr="00B457F5" w:rsidRDefault="0007734A" w:rsidP="00783BF2">
            <w:pPr>
              <w:tabs>
                <w:tab w:val="left" w:pos="158"/>
                <w:tab w:val="left" w:pos="481"/>
                <w:tab w:val="left" w:pos="698"/>
              </w:tabs>
              <w:jc w:val="left"/>
              <w:rPr>
                <w:rFonts w:ascii="Garamond" w:eastAsia="MS Mincho" w:hAnsi="Garamond" w:cs="Times New Roman"/>
                <w:b/>
                <w:bCs/>
                <w:sz w:val="16"/>
                <w:szCs w:val="16"/>
              </w:rPr>
            </w:pPr>
            <w:r w:rsidRPr="00B457F5">
              <w:rPr>
                <w:rFonts w:ascii="Garamond" w:eastAsia="MS Mincho" w:hAnsi="Garamond" w:cs="Times New Roman"/>
                <w:sz w:val="16"/>
                <w:szCs w:val="16"/>
              </w:rPr>
              <w:t>23: Forcimi i bashkëpunimit ndërkombëtar dhe partneriteteve globale për migrim të sigurt</w:t>
            </w:r>
            <w:r w:rsidRPr="007D0A97">
              <w:rPr>
                <w:rFonts w:ascii="Garamond" w:eastAsia="MS Mincho" w:hAnsi="Garamond" w:cs="Times New Roman"/>
                <w:sz w:val="16"/>
                <w:szCs w:val="16"/>
              </w:rPr>
              <w:t>, të rregullt dhe të rregullt</w:t>
            </w:r>
            <w:r w:rsidR="00900596" w:rsidRPr="007D0A97">
              <w:rPr>
                <w:rFonts w:ascii="Garamond" w:eastAsia="MS Mincho" w:hAnsi="Garamond" w:cs="Times New Roman"/>
                <w:sz w:val="16"/>
                <w:szCs w:val="16"/>
              </w:rPr>
              <w:t>.</w:t>
            </w:r>
          </w:p>
        </w:tc>
      </w:tr>
      <w:tr w:rsidR="0007734A" w:rsidRPr="00B457F5" w14:paraId="19BE5AEC" w14:textId="77777777" w:rsidTr="00783BF2">
        <w:trPr>
          <w:trHeight w:val="20"/>
        </w:trPr>
        <w:tc>
          <w:tcPr>
            <w:tcW w:w="2500" w:type="pct"/>
          </w:tcPr>
          <w:p w14:paraId="3A3A5ADD" w14:textId="36B9E814" w:rsidR="0007734A" w:rsidRPr="00B457F5" w:rsidRDefault="0007734A" w:rsidP="00783BF2">
            <w:pPr>
              <w:jc w:val="left"/>
              <w:rPr>
                <w:rFonts w:ascii="Garamond" w:eastAsia="MS Mincho" w:hAnsi="Garamond" w:cs="Times New Roman"/>
                <w:sz w:val="16"/>
                <w:szCs w:val="16"/>
              </w:rPr>
            </w:pPr>
            <w:r w:rsidRPr="00B457F5">
              <w:rPr>
                <w:rFonts w:ascii="Garamond" w:eastAsia="MS Mincho" w:hAnsi="Garamond" w:cs="Times New Roman"/>
                <w:sz w:val="16"/>
                <w:szCs w:val="16"/>
              </w:rPr>
              <w:t>1.4 Parandalimi i migrimit të parregullt drejt dhe nga Shqipëria</w:t>
            </w:r>
            <w:r w:rsidR="00900596" w:rsidRPr="00B457F5">
              <w:rPr>
                <w:rFonts w:ascii="Garamond" w:eastAsia="MS Mincho" w:hAnsi="Garamond" w:cs="Times New Roman"/>
                <w:sz w:val="16"/>
                <w:szCs w:val="16"/>
              </w:rPr>
              <w:t>.</w:t>
            </w:r>
          </w:p>
        </w:tc>
        <w:tc>
          <w:tcPr>
            <w:tcW w:w="2500" w:type="pct"/>
          </w:tcPr>
          <w:p w14:paraId="6BBC90DF" w14:textId="77777777" w:rsidR="0007734A" w:rsidRPr="00B457F5" w:rsidRDefault="0007734A" w:rsidP="00783BF2">
            <w:pPr>
              <w:jc w:val="left"/>
              <w:rPr>
                <w:rFonts w:ascii="Garamond" w:eastAsia="MS Mincho" w:hAnsi="Garamond" w:cs="Times New Roman"/>
                <w:sz w:val="16"/>
                <w:szCs w:val="16"/>
              </w:rPr>
            </w:pPr>
            <w:r w:rsidRPr="00B457F5">
              <w:rPr>
                <w:rFonts w:ascii="Garamond" w:eastAsia="MS Mincho" w:hAnsi="Garamond" w:cs="Times New Roman"/>
                <w:sz w:val="16"/>
                <w:szCs w:val="16"/>
              </w:rPr>
              <w:t xml:space="preserve">3: </w:t>
            </w:r>
            <w:r w:rsidRPr="00B457F5">
              <w:rPr>
                <w:rFonts w:ascii="Garamond" w:eastAsia="Calibri" w:hAnsi="Garamond" w:cs="Times New Roman"/>
                <w:sz w:val="16"/>
                <w:szCs w:val="16"/>
              </w:rPr>
              <w:t>Sigurimi i informacionit të saktë dhe në kohë në të gjitha fazat e migrimit;</w:t>
            </w:r>
          </w:p>
          <w:p w14:paraId="3C0EAAE1" w14:textId="77777777" w:rsidR="0007734A" w:rsidRPr="00B457F5" w:rsidRDefault="0007734A" w:rsidP="00783BF2">
            <w:pPr>
              <w:jc w:val="left"/>
              <w:rPr>
                <w:rFonts w:ascii="Garamond" w:eastAsia="MS Mincho" w:hAnsi="Garamond" w:cs="Times New Roman"/>
                <w:sz w:val="16"/>
                <w:szCs w:val="16"/>
              </w:rPr>
            </w:pPr>
            <w:r w:rsidRPr="00B457F5">
              <w:rPr>
                <w:rFonts w:ascii="Garamond" w:eastAsia="MS Mincho" w:hAnsi="Garamond" w:cs="Times New Roman"/>
                <w:sz w:val="16"/>
                <w:szCs w:val="16"/>
              </w:rPr>
              <w:t>4: Sigurimi që të gjithë migrantët të kenë dëshmi të identitetit ligjor dhe dokumentacion adekuat.</w:t>
            </w:r>
          </w:p>
        </w:tc>
      </w:tr>
    </w:tbl>
    <w:p w14:paraId="0658F95E" w14:textId="18DACAE8" w:rsidR="0007734A" w:rsidRPr="00B457F5" w:rsidRDefault="0007734A" w:rsidP="00570E74">
      <w:pPr>
        <w:spacing w:before="0" w:after="0"/>
        <w:ind w:firstLine="284"/>
        <w:rPr>
          <w:rFonts w:ascii="Garamond" w:eastAsia="MS Mincho" w:hAnsi="Garamond" w:cs="Times New Roman"/>
          <w:szCs w:val="24"/>
        </w:rPr>
      </w:pPr>
      <w:r w:rsidRPr="00B457F5">
        <w:rPr>
          <w:rFonts w:ascii="Garamond" w:eastAsia="MS Mincho" w:hAnsi="Garamond" w:cs="Times New Roman"/>
          <w:szCs w:val="24"/>
        </w:rPr>
        <w:t>Objektivi i parë</w:t>
      </w:r>
      <w:r w:rsidRPr="00B457F5">
        <w:rPr>
          <w:rFonts w:ascii="Garamond" w:eastAsia="MS Mincho" w:hAnsi="Garamond" w:cs="Times New Roman"/>
          <w:b/>
          <w:bCs/>
          <w:i/>
          <w:iCs/>
          <w:szCs w:val="24"/>
        </w:rPr>
        <w:t xml:space="preserve"> </w:t>
      </w:r>
      <w:r w:rsidRPr="00B457F5">
        <w:rPr>
          <w:rFonts w:ascii="Garamond" w:eastAsia="MS Mincho" w:hAnsi="Garamond" w:cs="Times New Roman"/>
          <w:bCs/>
          <w:i/>
          <w:iCs/>
          <w:szCs w:val="24"/>
        </w:rPr>
        <w:t>(</w:t>
      </w:r>
      <w:r w:rsidR="00570E74" w:rsidRPr="00B457F5">
        <w:rPr>
          <w:rFonts w:ascii="Garamond" w:eastAsia="MS Mincho" w:hAnsi="Garamond" w:cs="Times New Roman"/>
          <w:bCs/>
          <w:i/>
          <w:iCs/>
          <w:szCs w:val="24"/>
        </w:rPr>
        <w:t>q</w:t>
      </w:r>
      <w:r w:rsidR="00163437" w:rsidRPr="00B457F5">
        <w:rPr>
          <w:rFonts w:ascii="Garamond" w:eastAsia="MS Mincho" w:hAnsi="Garamond" w:cs="Times New Roman"/>
          <w:bCs/>
          <w:i/>
          <w:iCs/>
          <w:szCs w:val="24"/>
        </w:rPr>
        <w:t>everisja e</w:t>
      </w:r>
      <w:r w:rsidRPr="00B457F5">
        <w:rPr>
          <w:rFonts w:ascii="Garamond" w:eastAsia="MS Mincho" w:hAnsi="Garamond" w:cs="Times New Roman"/>
          <w:bCs/>
          <w:i/>
          <w:iCs/>
          <w:szCs w:val="24"/>
        </w:rPr>
        <w:t xml:space="preserve"> migracionit në Shqipëri nëpërmjet përmirësimit të kuadrit ligjor dhe institucional)</w:t>
      </w:r>
      <w:r w:rsidRPr="00B457F5">
        <w:rPr>
          <w:rFonts w:ascii="Garamond" w:eastAsia="MS Mincho" w:hAnsi="Garamond" w:cs="Times New Roman"/>
          <w:szCs w:val="24"/>
        </w:rPr>
        <w:t xml:space="preserve"> synon përmirësimin e kuadrit ligjor dhe institucional, i cili jo vetëm siguron përafrimin e normave dhe standardeve kombëtare me ato të BE-së dhe angazhimeve të tjera ndërkombëtare, por është gjithashtu thelbësore për arritjen e objektivave të tjera të </w:t>
      </w:r>
      <w:r w:rsidR="00900596" w:rsidRPr="00B457F5">
        <w:rPr>
          <w:rFonts w:ascii="Garamond" w:eastAsia="MS Mincho" w:hAnsi="Garamond" w:cs="Times New Roman"/>
          <w:szCs w:val="24"/>
        </w:rPr>
        <w:t>s</w:t>
      </w:r>
      <w:r w:rsidRPr="00B457F5">
        <w:rPr>
          <w:rFonts w:ascii="Garamond" w:eastAsia="MS Mincho" w:hAnsi="Garamond" w:cs="Times New Roman"/>
          <w:szCs w:val="24"/>
        </w:rPr>
        <w:t>trategjisë.</w:t>
      </w:r>
    </w:p>
    <w:p w14:paraId="26A61115" w14:textId="7505F7FA" w:rsidR="001B43F4" w:rsidRPr="00B457F5" w:rsidRDefault="001B43F4" w:rsidP="00570E74">
      <w:pPr>
        <w:spacing w:before="0" w:after="0"/>
        <w:ind w:firstLine="284"/>
        <w:rPr>
          <w:rFonts w:ascii="Garamond" w:eastAsia="MS Mincho" w:hAnsi="Garamond" w:cs="Times New Roman"/>
          <w:szCs w:val="24"/>
        </w:rPr>
      </w:pPr>
      <w:r w:rsidRPr="00B457F5">
        <w:rPr>
          <w:rFonts w:ascii="Garamond" w:eastAsia="MS Mincho" w:hAnsi="Garamond" w:cs="Times New Roman"/>
          <w:szCs w:val="24"/>
        </w:rPr>
        <w:lastRenderedPageBreak/>
        <w:t xml:space="preserve">Në përmbushje të këtij qëllim të politikës për periudhën e ardhshme do të vijojë përafrimi i mëtejshëm i legjislacionit kombëtar për migracionin me </w:t>
      </w:r>
      <w:r w:rsidRPr="00B457F5">
        <w:rPr>
          <w:rFonts w:ascii="Garamond" w:eastAsia="MS Mincho" w:hAnsi="Garamond" w:cs="Times New Roman"/>
          <w:i/>
          <w:szCs w:val="24"/>
        </w:rPr>
        <w:t>acquis</w:t>
      </w:r>
      <w:r w:rsidRPr="00B457F5">
        <w:rPr>
          <w:rFonts w:ascii="Garamond" w:eastAsia="MS Mincho" w:hAnsi="Garamond" w:cs="Times New Roman"/>
          <w:szCs w:val="24"/>
        </w:rPr>
        <w:t xml:space="preserve"> të BE-së, përfshirë përkufizimin në legjislacion të kategorisë </w:t>
      </w:r>
      <w:r w:rsidR="00A313AE" w:rsidRPr="00B457F5">
        <w:rPr>
          <w:rFonts w:ascii="Garamond" w:eastAsia="MS Mincho" w:hAnsi="Garamond" w:cs="Times New Roman"/>
          <w:szCs w:val="24"/>
        </w:rPr>
        <w:t>“</w:t>
      </w:r>
      <w:r w:rsidRPr="00B457F5">
        <w:rPr>
          <w:rFonts w:ascii="Garamond" w:eastAsia="MS Mincho" w:hAnsi="Garamond" w:cs="Times New Roman"/>
          <w:szCs w:val="24"/>
        </w:rPr>
        <w:t>shtetas të vendeve të treta</w:t>
      </w:r>
      <w:r w:rsidR="00A313AE" w:rsidRPr="00B457F5">
        <w:rPr>
          <w:rFonts w:ascii="Garamond" w:eastAsia="MS Mincho" w:hAnsi="Garamond" w:cs="Times New Roman"/>
          <w:szCs w:val="24"/>
        </w:rPr>
        <w:t>”</w:t>
      </w:r>
      <w:r w:rsidRPr="00B457F5">
        <w:rPr>
          <w:rFonts w:ascii="Garamond" w:eastAsia="MS Mincho" w:hAnsi="Garamond" w:cs="Times New Roman"/>
          <w:szCs w:val="24"/>
        </w:rPr>
        <w:t xml:space="preserve">, në përputhje me detyrimet në kuadër të zbatimit të </w:t>
      </w:r>
      <w:r w:rsidR="00570E74" w:rsidRPr="00B457F5">
        <w:rPr>
          <w:rFonts w:ascii="Garamond" w:eastAsia="MS Mincho" w:hAnsi="Garamond" w:cs="Times New Roman"/>
          <w:szCs w:val="24"/>
        </w:rPr>
        <w:t>v</w:t>
      </w:r>
      <w:r w:rsidRPr="00B457F5">
        <w:rPr>
          <w:rFonts w:ascii="Garamond" w:eastAsia="MS Mincho" w:hAnsi="Garamond" w:cs="Times New Roman"/>
          <w:szCs w:val="24"/>
        </w:rPr>
        <w:t>endimit të Këshillit të Ministrave nr.</w:t>
      </w:r>
      <w:r w:rsidR="00570E74" w:rsidRPr="00B457F5">
        <w:rPr>
          <w:rFonts w:ascii="Garamond" w:eastAsia="MS Mincho" w:hAnsi="Garamond" w:cs="Times New Roman"/>
          <w:szCs w:val="24"/>
        </w:rPr>
        <w:t xml:space="preserve"> </w:t>
      </w:r>
      <w:r w:rsidRPr="00B457F5">
        <w:rPr>
          <w:rFonts w:ascii="Garamond" w:eastAsia="MS Mincho" w:hAnsi="Garamond" w:cs="Times New Roman"/>
          <w:szCs w:val="24"/>
        </w:rPr>
        <w:t>736, datë 13.12.2023</w:t>
      </w:r>
      <w:r w:rsidR="00570E74" w:rsidRPr="00B457F5">
        <w:rPr>
          <w:rFonts w:ascii="Garamond" w:eastAsia="MS Mincho" w:hAnsi="Garamond" w:cs="Times New Roman"/>
          <w:szCs w:val="24"/>
        </w:rPr>
        <w:t>,</w:t>
      </w:r>
      <w:r w:rsidRPr="00B457F5">
        <w:rPr>
          <w:rFonts w:ascii="Garamond" w:eastAsia="MS Mincho" w:hAnsi="Garamond" w:cs="Times New Roman"/>
          <w:szCs w:val="24"/>
        </w:rPr>
        <w:t xml:space="preserve"> </w:t>
      </w:r>
      <w:r w:rsidR="00A313AE" w:rsidRPr="00B457F5">
        <w:rPr>
          <w:rFonts w:ascii="Garamond" w:eastAsia="MS Mincho" w:hAnsi="Garamond" w:cs="Times New Roman"/>
          <w:szCs w:val="24"/>
        </w:rPr>
        <w:t>“</w:t>
      </w:r>
      <w:r w:rsidRPr="00B457F5">
        <w:rPr>
          <w:rFonts w:ascii="Garamond" w:eastAsia="MS Mincho" w:hAnsi="Garamond" w:cs="Times New Roman"/>
          <w:szCs w:val="24"/>
        </w:rPr>
        <w:t>Për miratimin e udhërrëfyesit për shtetin e së drejtës</w:t>
      </w:r>
      <w:r w:rsidR="00A313AE" w:rsidRPr="00B457F5">
        <w:rPr>
          <w:rFonts w:ascii="Garamond" w:eastAsia="MS Mincho" w:hAnsi="Garamond" w:cs="Times New Roman"/>
          <w:szCs w:val="24"/>
        </w:rPr>
        <w:t>”</w:t>
      </w:r>
      <w:r w:rsidRPr="00B457F5">
        <w:rPr>
          <w:rFonts w:ascii="Garamond" w:eastAsia="MS Mincho" w:hAnsi="Garamond" w:cs="Times New Roman"/>
          <w:szCs w:val="24"/>
        </w:rPr>
        <w:t>.</w:t>
      </w:r>
    </w:p>
    <w:p w14:paraId="5E6988B0" w14:textId="3E62FCE8" w:rsidR="0007734A" w:rsidRPr="00B457F5" w:rsidRDefault="0007734A" w:rsidP="00570E74">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Sipas </w:t>
      </w:r>
      <w:r w:rsidR="004B2786" w:rsidRPr="00B457F5">
        <w:rPr>
          <w:rFonts w:ascii="Garamond" w:eastAsia="MS Mincho" w:hAnsi="Garamond" w:cs="Times New Roman"/>
          <w:bCs/>
          <w:i/>
          <w:szCs w:val="24"/>
        </w:rPr>
        <w:t xml:space="preserve">objektivit specifik </w:t>
      </w:r>
      <w:r w:rsidRPr="00B457F5">
        <w:rPr>
          <w:rFonts w:ascii="Garamond" w:eastAsia="MS Mincho" w:hAnsi="Garamond" w:cs="Times New Roman"/>
          <w:bCs/>
          <w:i/>
          <w:szCs w:val="24"/>
        </w:rPr>
        <w:t>1.1</w:t>
      </w:r>
      <w:r w:rsidRPr="00B457F5">
        <w:rPr>
          <w:rFonts w:ascii="Garamond" w:eastAsia="MS Mincho" w:hAnsi="Garamond" w:cs="Times New Roman"/>
          <w:i/>
          <w:szCs w:val="24"/>
        </w:rPr>
        <w:t>,</w:t>
      </w:r>
      <w:r w:rsidRPr="00B457F5">
        <w:rPr>
          <w:rFonts w:ascii="Garamond" w:eastAsia="MS Mincho" w:hAnsi="Garamond" w:cs="Times New Roman"/>
          <w:szCs w:val="24"/>
        </w:rPr>
        <w:t xml:space="preserve"> palët e </w:t>
      </w:r>
      <w:r w:rsidR="00DA0EA4" w:rsidRPr="00B457F5">
        <w:rPr>
          <w:rFonts w:ascii="Garamond" w:eastAsia="MS Mincho" w:hAnsi="Garamond" w:cs="Times New Roman"/>
          <w:szCs w:val="24"/>
        </w:rPr>
        <w:t xml:space="preserve">interesit </w:t>
      </w:r>
      <w:r w:rsidRPr="00B457F5">
        <w:rPr>
          <w:rFonts w:ascii="Garamond" w:eastAsia="MS Mincho" w:hAnsi="Garamond" w:cs="Times New Roman"/>
          <w:szCs w:val="24"/>
        </w:rPr>
        <w:t xml:space="preserve">vendosën </w:t>
      </w:r>
      <w:r w:rsidR="00D21B41" w:rsidRPr="00B457F5">
        <w:rPr>
          <w:rFonts w:ascii="Garamond" w:eastAsia="MS Mincho" w:hAnsi="Garamond" w:cs="Times New Roman"/>
          <w:szCs w:val="24"/>
        </w:rPr>
        <w:t>si më poshtë</w:t>
      </w:r>
      <w:r w:rsidRPr="00B457F5">
        <w:rPr>
          <w:rFonts w:ascii="Garamond" w:eastAsia="MS Mincho" w:hAnsi="Garamond" w:cs="Times New Roman"/>
          <w:szCs w:val="24"/>
        </w:rPr>
        <w:t>:</w:t>
      </w:r>
    </w:p>
    <w:p w14:paraId="407AEEC9" w14:textId="45AD83A1" w:rsidR="00151C91" w:rsidRPr="00B457F5" w:rsidRDefault="00433841" w:rsidP="00570E74">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Wingdings"/>
          <w:color w:val="000000"/>
          <w:szCs w:val="24"/>
        </w:rPr>
        <w:t xml:space="preserve">- </w:t>
      </w:r>
      <w:r w:rsidR="00151C91" w:rsidRPr="00B457F5">
        <w:rPr>
          <w:rFonts w:ascii="Garamond" w:eastAsiaTheme="minorHAnsi" w:hAnsi="Garamond" w:cs="Times New Roman"/>
          <w:color w:val="000000"/>
          <w:szCs w:val="24"/>
        </w:rPr>
        <w:t>Përmirësimi i kuadrit ligjor kombëtar dhe harmonizimi i tij me kuadrin ligjor të BE-së për qeverisjen e migracionit;</w:t>
      </w:r>
    </w:p>
    <w:p w14:paraId="472769EA" w14:textId="6EC16C2C" w:rsidR="00151C91" w:rsidRPr="00B457F5" w:rsidRDefault="00433841" w:rsidP="00570E74">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Wingdings"/>
          <w:color w:val="000000"/>
          <w:szCs w:val="24"/>
        </w:rPr>
        <w:t xml:space="preserve">- </w:t>
      </w:r>
      <w:r w:rsidR="00151C91" w:rsidRPr="00B457F5">
        <w:rPr>
          <w:rFonts w:ascii="Garamond" w:eastAsiaTheme="minorHAnsi" w:hAnsi="Garamond" w:cs="Times New Roman"/>
          <w:color w:val="000000"/>
          <w:szCs w:val="24"/>
        </w:rPr>
        <w:t>Rritja e kapaciteteve institucionale dhe strukturave rishikuese në institucione</w:t>
      </w:r>
      <w:r w:rsidR="00900596" w:rsidRPr="00B457F5">
        <w:rPr>
          <w:rFonts w:ascii="Garamond" w:eastAsiaTheme="minorHAnsi" w:hAnsi="Garamond" w:cs="Times New Roman"/>
          <w:color w:val="000000"/>
          <w:szCs w:val="24"/>
        </w:rPr>
        <w:t>,</w:t>
      </w:r>
      <w:r w:rsidR="00151C91" w:rsidRPr="00B457F5">
        <w:rPr>
          <w:rFonts w:ascii="Garamond" w:eastAsiaTheme="minorHAnsi" w:hAnsi="Garamond" w:cs="Times New Roman"/>
          <w:color w:val="000000"/>
          <w:szCs w:val="24"/>
        </w:rPr>
        <w:t xml:space="preserve"> në nivel qendror dhe vendor</w:t>
      </w:r>
      <w:r w:rsidR="00900596" w:rsidRPr="00B457F5">
        <w:rPr>
          <w:rFonts w:ascii="Garamond" w:eastAsiaTheme="minorHAnsi" w:hAnsi="Garamond" w:cs="Times New Roman"/>
          <w:color w:val="000000"/>
          <w:szCs w:val="24"/>
        </w:rPr>
        <w:t>,</w:t>
      </w:r>
      <w:r w:rsidR="00151C91" w:rsidRPr="00B457F5">
        <w:rPr>
          <w:rFonts w:ascii="Garamond" w:eastAsiaTheme="minorHAnsi" w:hAnsi="Garamond" w:cs="Times New Roman"/>
          <w:color w:val="000000"/>
          <w:szCs w:val="24"/>
        </w:rPr>
        <w:t xml:space="preserve"> për një qeverisje efektive të migracionit;</w:t>
      </w:r>
    </w:p>
    <w:p w14:paraId="4E170821" w14:textId="2B35F771" w:rsidR="00151C91" w:rsidRPr="00B457F5" w:rsidRDefault="00433841" w:rsidP="00570E74">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Wingdings"/>
          <w:color w:val="000000"/>
          <w:szCs w:val="24"/>
        </w:rPr>
        <w:t xml:space="preserve">- </w:t>
      </w:r>
      <w:r w:rsidR="00151C91" w:rsidRPr="00B457F5">
        <w:rPr>
          <w:rFonts w:ascii="Garamond" w:eastAsiaTheme="minorHAnsi" w:hAnsi="Garamond" w:cs="Times New Roman"/>
          <w:color w:val="000000"/>
          <w:szCs w:val="24"/>
        </w:rPr>
        <w:t>Përmirësimi i mekanizmave koordinues për qeverisjen e migracionit.</w:t>
      </w:r>
    </w:p>
    <w:p w14:paraId="02F7C5BB" w14:textId="032378BB" w:rsidR="0007734A" w:rsidRPr="00B457F5" w:rsidRDefault="0007734A" w:rsidP="002E693B">
      <w:pPr>
        <w:spacing w:before="0" w:after="0"/>
        <w:ind w:firstLine="284"/>
        <w:rPr>
          <w:rFonts w:ascii="Garamond" w:eastAsia="MS Mincho" w:hAnsi="Garamond" w:cs="Times New Roman"/>
          <w:szCs w:val="24"/>
          <w:lang w:eastAsia="fr-RE"/>
        </w:rPr>
      </w:pPr>
      <w:r w:rsidRPr="00B457F5">
        <w:rPr>
          <w:rFonts w:ascii="Garamond" w:eastAsia="MS Mincho" w:hAnsi="Garamond" w:cs="Times New Roman"/>
          <w:szCs w:val="24"/>
          <w:lang w:eastAsia="fr-RE"/>
        </w:rPr>
        <w:t xml:space="preserve">Përafrimi i vazhdueshëm ligjor me </w:t>
      </w:r>
      <w:r w:rsidRPr="00B457F5">
        <w:rPr>
          <w:rFonts w:ascii="Garamond" w:eastAsia="MS Mincho" w:hAnsi="Garamond" w:cs="Times New Roman"/>
          <w:i/>
          <w:iCs/>
          <w:szCs w:val="24"/>
          <w:lang w:eastAsia="fr-RE"/>
        </w:rPr>
        <w:t>acquis</w:t>
      </w:r>
      <w:r w:rsidR="00D21B41" w:rsidRPr="00B457F5">
        <w:rPr>
          <w:rFonts w:ascii="Garamond" w:eastAsia="MS Mincho" w:hAnsi="Garamond" w:cs="Times New Roman"/>
          <w:szCs w:val="24"/>
          <w:lang w:eastAsia="fr-RE"/>
        </w:rPr>
        <w:t xml:space="preserve"> </w:t>
      </w:r>
      <w:r w:rsidR="00900596" w:rsidRPr="00B457F5">
        <w:rPr>
          <w:rFonts w:ascii="Garamond" w:eastAsia="MS Mincho" w:hAnsi="Garamond" w:cs="Times New Roman"/>
          <w:szCs w:val="24"/>
          <w:lang w:eastAsia="fr-RE"/>
        </w:rPr>
        <w:t>të</w:t>
      </w:r>
      <w:r w:rsidRPr="00B457F5">
        <w:rPr>
          <w:rFonts w:ascii="Garamond" w:eastAsia="MS Mincho" w:hAnsi="Garamond" w:cs="Times New Roman"/>
          <w:szCs w:val="24"/>
          <w:lang w:eastAsia="fr-RE"/>
        </w:rPr>
        <w:t xml:space="preserve"> BE-së duhet të arrihet në fazën fillestare të zbatimit të </w:t>
      </w:r>
      <w:r w:rsidR="00900596" w:rsidRPr="00B457F5">
        <w:rPr>
          <w:rFonts w:ascii="Garamond" w:eastAsia="MS Mincho" w:hAnsi="Garamond" w:cs="Times New Roman"/>
          <w:szCs w:val="24"/>
          <w:lang w:eastAsia="fr-RE"/>
        </w:rPr>
        <w:t>s</w:t>
      </w:r>
      <w:r w:rsidRPr="00B457F5">
        <w:rPr>
          <w:rFonts w:ascii="Garamond" w:eastAsia="MS Mincho" w:hAnsi="Garamond" w:cs="Times New Roman"/>
          <w:szCs w:val="24"/>
          <w:lang w:eastAsia="fr-RE"/>
        </w:rPr>
        <w:t>trategjisë. Në vitin 2024, do të ndërmerren dy hapa madhorë drejt hedhjes së themeleve për përmirësimin e koordinimit ndërinstitucional. Këshilli i Ministrave do të miratojë një Pla</w:t>
      </w:r>
      <w:r w:rsidR="00EB3916" w:rsidRPr="00B457F5">
        <w:rPr>
          <w:rFonts w:ascii="Garamond" w:eastAsia="MS Mincho" w:hAnsi="Garamond" w:cs="Times New Roman"/>
          <w:szCs w:val="24"/>
          <w:lang w:eastAsia="fr-RE"/>
        </w:rPr>
        <w:t>n të përditësuar të Kontingjencës</w:t>
      </w:r>
      <w:r w:rsidRPr="00B457F5">
        <w:rPr>
          <w:rFonts w:ascii="Garamond" w:eastAsia="MS Mincho" w:hAnsi="Garamond" w:cs="Times New Roman"/>
          <w:szCs w:val="24"/>
          <w:lang w:eastAsia="fr-RE"/>
        </w:rPr>
        <w:t xml:space="preserve"> dhe </w:t>
      </w:r>
      <w:r w:rsidR="004B2786" w:rsidRPr="00B457F5">
        <w:rPr>
          <w:rFonts w:ascii="Garamond" w:eastAsia="MS Mincho" w:hAnsi="Garamond" w:cs="Times New Roman"/>
          <w:szCs w:val="24"/>
          <w:lang w:eastAsia="fr-RE"/>
        </w:rPr>
        <w:t xml:space="preserve">Ministria e Brendshme </w:t>
      </w:r>
      <w:r w:rsidRPr="00B457F5">
        <w:rPr>
          <w:rFonts w:ascii="Garamond" w:eastAsia="MS Mincho" w:hAnsi="Garamond" w:cs="Times New Roman"/>
          <w:szCs w:val="24"/>
          <w:lang w:eastAsia="fr-RE"/>
        </w:rPr>
        <w:t>së bashku me Inspektoratin e Punës, AKPA</w:t>
      </w:r>
      <w:r w:rsidR="00900596" w:rsidRPr="00B457F5">
        <w:rPr>
          <w:rFonts w:ascii="Garamond" w:eastAsia="MS Mincho" w:hAnsi="Garamond" w:cs="Times New Roman"/>
          <w:szCs w:val="24"/>
          <w:lang w:eastAsia="fr-RE"/>
        </w:rPr>
        <w:t>-në</w:t>
      </w:r>
      <w:r w:rsidRPr="00B457F5">
        <w:rPr>
          <w:rFonts w:ascii="Garamond" w:eastAsia="MS Mincho" w:hAnsi="Garamond" w:cs="Times New Roman"/>
          <w:szCs w:val="24"/>
          <w:lang w:eastAsia="fr-RE"/>
        </w:rPr>
        <w:t>, DKM</w:t>
      </w:r>
      <w:r w:rsidR="00900596" w:rsidRPr="00B457F5">
        <w:rPr>
          <w:rFonts w:ascii="Garamond" w:eastAsia="MS Mincho" w:hAnsi="Garamond" w:cs="Times New Roman"/>
          <w:szCs w:val="24"/>
          <w:lang w:eastAsia="fr-RE"/>
        </w:rPr>
        <w:t>-në</w:t>
      </w:r>
      <w:r w:rsidRPr="00B457F5">
        <w:rPr>
          <w:rFonts w:ascii="Garamond" w:eastAsia="MS Mincho" w:hAnsi="Garamond" w:cs="Times New Roman"/>
          <w:szCs w:val="24"/>
          <w:lang w:eastAsia="fr-RE"/>
        </w:rPr>
        <w:t xml:space="preserve"> dhe MEPJ</w:t>
      </w:r>
      <w:r w:rsidR="00900596" w:rsidRPr="00B457F5">
        <w:rPr>
          <w:rFonts w:ascii="Garamond" w:eastAsia="MS Mincho" w:hAnsi="Garamond" w:cs="Times New Roman"/>
          <w:szCs w:val="24"/>
          <w:lang w:eastAsia="fr-RE"/>
        </w:rPr>
        <w:t>-në</w:t>
      </w:r>
      <w:r w:rsidRPr="00B457F5">
        <w:rPr>
          <w:rFonts w:ascii="Garamond" w:eastAsia="MS Mincho" w:hAnsi="Garamond" w:cs="Times New Roman"/>
          <w:szCs w:val="24"/>
          <w:lang w:eastAsia="fr-RE"/>
        </w:rPr>
        <w:t xml:space="preserve"> do të miratojnë një udhëzim të përbashkët, i cili do të përcaktoj</w:t>
      </w:r>
      <w:r w:rsidR="00900596" w:rsidRPr="00B457F5">
        <w:rPr>
          <w:rFonts w:ascii="Garamond" w:eastAsia="MS Mincho" w:hAnsi="Garamond" w:cs="Times New Roman"/>
          <w:szCs w:val="24"/>
          <w:lang w:eastAsia="fr-RE"/>
        </w:rPr>
        <w:t>ë</w:t>
      </w:r>
      <w:r w:rsidRPr="00B457F5">
        <w:rPr>
          <w:rFonts w:ascii="Garamond" w:eastAsia="MS Mincho" w:hAnsi="Garamond" w:cs="Times New Roman"/>
          <w:szCs w:val="24"/>
          <w:lang w:eastAsia="fr-RE"/>
        </w:rPr>
        <w:t xml:space="preserve"> kushtet </w:t>
      </w:r>
      <w:r w:rsidR="00D21B41" w:rsidRPr="00B457F5">
        <w:rPr>
          <w:rFonts w:ascii="Garamond" w:eastAsia="MS Mincho" w:hAnsi="Garamond" w:cs="Times New Roman"/>
          <w:szCs w:val="24"/>
          <w:lang w:eastAsia="fr-RE"/>
        </w:rPr>
        <w:t>për</w:t>
      </w:r>
      <w:r w:rsidRPr="00B457F5">
        <w:rPr>
          <w:rFonts w:ascii="Garamond" w:eastAsia="MS Mincho" w:hAnsi="Garamond" w:cs="Times New Roman"/>
          <w:szCs w:val="24"/>
          <w:lang w:eastAsia="fr-RE"/>
        </w:rPr>
        <w:t xml:space="preserve"> monitorimi</w:t>
      </w:r>
      <w:r w:rsidR="00D21B41" w:rsidRPr="00B457F5">
        <w:rPr>
          <w:rFonts w:ascii="Garamond" w:eastAsia="MS Mincho" w:hAnsi="Garamond" w:cs="Times New Roman"/>
          <w:szCs w:val="24"/>
          <w:lang w:eastAsia="fr-RE"/>
        </w:rPr>
        <w:t>n e</w:t>
      </w:r>
      <w:r w:rsidRPr="00B457F5">
        <w:rPr>
          <w:rFonts w:ascii="Garamond" w:eastAsia="MS Mincho" w:hAnsi="Garamond" w:cs="Times New Roman"/>
          <w:szCs w:val="24"/>
          <w:lang w:eastAsia="fr-RE"/>
        </w:rPr>
        <w:t xml:space="preserve"> rregullt nga të gjitha këto institucione të kushteve të hyrjes, qëndrimit dhe punësimit të emigrantëve në Shqipëri.</w:t>
      </w:r>
    </w:p>
    <w:p w14:paraId="415B3B2D" w14:textId="34952663" w:rsidR="0007734A" w:rsidRPr="00B457F5" w:rsidRDefault="0007734A" w:rsidP="002E693B">
      <w:pPr>
        <w:spacing w:before="0" w:after="0"/>
        <w:ind w:firstLine="284"/>
        <w:rPr>
          <w:rFonts w:ascii="Garamond" w:eastAsia="MS Mincho" w:hAnsi="Garamond" w:cs="Times New Roman"/>
          <w:szCs w:val="24"/>
          <w:lang w:eastAsia="fr-RE"/>
        </w:rPr>
      </w:pPr>
      <w:r w:rsidRPr="00B457F5">
        <w:rPr>
          <w:rFonts w:ascii="Garamond" w:eastAsia="MS Mincho" w:hAnsi="Garamond" w:cs="Times New Roman"/>
          <w:szCs w:val="24"/>
          <w:lang w:eastAsia="fr-RE"/>
        </w:rPr>
        <w:t xml:space="preserve">Për të përmbushur detyrimet për përafrimin ligjor me BE-në dhe për të kryer detyrat operacionale me efektivitet në fusha të ndryshme të qeverisjes së migracionit, institucionet përgjegjëse do të duhet të kryejnë vlerësimet fillestare të nevojave, duke mundësuar identifikimin e </w:t>
      </w:r>
      <w:r w:rsidR="007B0DBF" w:rsidRPr="00B457F5">
        <w:rPr>
          <w:rFonts w:ascii="Garamond" w:eastAsia="MS Mincho" w:hAnsi="Garamond" w:cs="Times New Roman"/>
          <w:szCs w:val="24"/>
          <w:lang w:eastAsia="fr-RE"/>
        </w:rPr>
        <w:t xml:space="preserve">mangësive </w:t>
      </w:r>
      <w:r w:rsidRPr="00B457F5">
        <w:rPr>
          <w:rFonts w:ascii="Garamond" w:eastAsia="MS Mincho" w:hAnsi="Garamond" w:cs="Times New Roman"/>
          <w:szCs w:val="24"/>
          <w:lang w:eastAsia="fr-RE"/>
        </w:rPr>
        <w:t>për sa i përket personelit, aftësive, ekspertizës apo pajisjeve.</w:t>
      </w:r>
      <w:r w:rsidRPr="00B457F5">
        <w:rPr>
          <w:rFonts w:ascii="Garamond" w:eastAsia="MS Mincho" w:hAnsi="Garamond" w:cs="Times New Roman"/>
          <w:szCs w:val="24"/>
          <w:vertAlign w:val="superscript"/>
          <w:lang w:eastAsia="fr-RE"/>
        </w:rPr>
        <w:footnoteReference w:id="66"/>
      </w:r>
      <w:r w:rsidRPr="00B457F5">
        <w:rPr>
          <w:rFonts w:ascii="Garamond" w:eastAsia="MS Mincho" w:hAnsi="Garamond" w:cs="Times New Roman"/>
          <w:szCs w:val="24"/>
          <w:lang w:eastAsia="fr-RE"/>
        </w:rPr>
        <w:t xml:space="preserve"> Do të kërkohen gjithashtu trajnime të vazhdueshme për normat dhe standardet ligjore në zhvillim</w:t>
      </w:r>
      <w:r w:rsidR="00900596" w:rsidRPr="00B457F5">
        <w:rPr>
          <w:rFonts w:ascii="Garamond" w:eastAsia="MS Mincho" w:hAnsi="Garamond" w:cs="Times New Roman"/>
          <w:szCs w:val="24"/>
          <w:lang w:eastAsia="fr-RE"/>
        </w:rPr>
        <w:t>,</w:t>
      </w:r>
      <w:r w:rsidRPr="00B457F5">
        <w:rPr>
          <w:rFonts w:ascii="Garamond" w:eastAsia="MS Mincho" w:hAnsi="Garamond" w:cs="Times New Roman"/>
          <w:szCs w:val="24"/>
          <w:lang w:eastAsia="fr-RE"/>
        </w:rPr>
        <w:t xml:space="preserve"> si dhe çështjet e lidhura me </w:t>
      </w:r>
      <w:r w:rsidR="007B0DBF" w:rsidRPr="00B457F5">
        <w:rPr>
          <w:rFonts w:ascii="Garamond" w:eastAsia="MS Mincho" w:hAnsi="Garamond" w:cs="Times New Roman"/>
          <w:szCs w:val="24"/>
          <w:lang w:eastAsia="fr-RE"/>
        </w:rPr>
        <w:t>zbatimin</w:t>
      </w:r>
      <w:r w:rsidRPr="00B457F5">
        <w:rPr>
          <w:rFonts w:ascii="Garamond" w:eastAsia="MS Mincho" w:hAnsi="Garamond" w:cs="Times New Roman"/>
          <w:szCs w:val="24"/>
          <w:lang w:eastAsia="fr-RE"/>
        </w:rPr>
        <w:t>.</w:t>
      </w:r>
      <w:r w:rsidRPr="00B457F5">
        <w:rPr>
          <w:rFonts w:ascii="Garamond" w:eastAsia="MS Mincho" w:hAnsi="Garamond" w:cs="Times New Roman"/>
          <w:szCs w:val="24"/>
          <w:vertAlign w:val="superscript"/>
          <w:lang w:eastAsia="fr-RE"/>
        </w:rPr>
        <w:footnoteReference w:id="67"/>
      </w:r>
      <w:r w:rsidRPr="00B457F5">
        <w:rPr>
          <w:rFonts w:ascii="Garamond" w:eastAsia="MS Mincho" w:hAnsi="Garamond" w:cs="Times New Roman"/>
          <w:szCs w:val="24"/>
          <w:lang w:eastAsia="fr-RE"/>
        </w:rPr>
        <w:t xml:space="preserve"> Sipas masës prioritare 1.1.2, parashikohen tre lloje specifike trajnimesh: </w:t>
      </w:r>
      <w:r w:rsidR="00DE0F54" w:rsidRPr="00B457F5">
        <w:rPr>
          <w:rFonts w:ascii="Garamond" w:eastAsia="MS Mincho" w:hAnsi="Garamond" w:cs="Times New Roman"/>
          <w:szCs w:val="24"/>
          <w:lang w:eastAsia="fr-RE"/>
        </w:rPr>
        <w:t xml:space="preserve">rritja </w:t>
      </w:r>
      <w:r w:rsidRPr="00B457F5">
        <w:rPr>
          <w:rFonts w:ascii="Garamond" w:eastAsia="MS Mincho" w:hAnsi="Garamond" w:cs="Times New Roman"/>
          <w:szCs w:val="24"/>
          <w:lang w:eastAsia="fr-RE"/>
        </w:rPr>
        <w:t xml:space="preserve">e kapaciteteve për çështjet e migracionit dhe azilit, zbatimi i legjislacionit, veçanërisht për menaxhimin e migracionit, përcaktimi dhe identifikimi i personave në situata </w:t>
      </w:r>
      <w:r w:rsidR="00280ED8" w:rsidRPr="00B457F5">
        <w:rPr>
          <w:rFonts w:ascii="Garamond" w:eastAsia="MS Mincho" w:hAnsi="Garamond" w:cs="Times New Roman"/>
          <w:szCs w:val="24"/>
          <w:lang w:eastAsia="fr-RE"/>
        </w:rPr>
        <w:t>të cenueshme</w:t>
      </w:r>
      <w:r w:rsidR="00900596" w:rsidRPr="00B457F5">
        <w:rPr>
          <w:rFonts w:ascii="Garamond" w:eastAsia="MS Mincho" w:hAnsi="Garamond" w:cs="Times New Roman"/>
          <w:szCs w:val="24"/>
          <w:lang w:eastAsia="fr-RE"/>
        </w:rPr>
        <w:t>,</w:t>
      </w:r>
      <w:r w:rsidRPr="00B457F5">
        <w:rPr>
          <w:rFonts w:ascii="Garamond" w:eastAsia="MS Mincho" w:hAnsi="Garamond" w:cs="Times New Roman"/>
          <w:szCs w:val="24"/>
          <w:lang w:eastAsia="fr-RE"/>
        </w:rPr>
        <w:t xml:space="preserve"> si dhe kryerja e procedurave të kthimit. Në këtë kuadër, ngritja e planifikuar e një njësie të dedikuar për trajnimin </w:t>
      </w:r>
      <w:r w:rsidR="00DE0F54" w:rsidRPr="00B457F5">
        <w:rPr>
          <w:rFonts w:ascii="Garamond" w:eastAsia="MS Mincho" w:hAnsi="Garamond" w:cs="Times New Roman"/>
          <w:szCs w:val="24"/>
          <w:lang w:eastAsia="fr-RE"/>
        </w:rPr>
        <w:t>mbi çështjet e</w:t>
      </w:r>
      <w:r w:rsidRPr="00B457F5">
        <w:rPr>
          <w:rFonts w:ascii="Garamond" w:eastAsia="MS Mincho" w:hAnsi="Garamond" w:cs="Times New Roman"/>
          <w:szCs w:val="24"/>
          <w:lang w:eastAsia="fr-RE"/>
        </w:rPr>
        <w:t xml:space="preserve"> migracionit, e mbikëqyrur nga Ministria e Brendshme në bashkëpunim me disa organe shtetërore, pritet të sjellë standardizimin dhe profesionalizimin e mëtejshëm të programeve të trajnimit.</w:t>
      </w:r>
    </w:p>
    <w:p w14:paraId="094BD59D" w14:textId="4E26A4FA" w:rsidR="0007734A" w:rsidRPr="00B457F5" w:rsidRDefault="0007734A" w:rsidP="002E693B">
      <w:pPr>
        <w:spacing w:before="0" w:after="0"/>
        <w:ind w:firstLine="284"/>
        <w:rPr>
          <w:rFonts w:ascii="Garamond" w:eastAsia="MS Mincho" w:hAnsi="Garamond" w:cs="Times New Roman"/>
          <w:szCs w:val="24"/>
          <w:lang w:eastAsia="fr-RE"/>
        </w:rPr>
      </w:pPr>
      <w:r w:rsidRPr="00B457F5">
        <w:rPr>
          <w:rFonts w:ascii="Garamond" w:eastAsia="MS Mincho" w:hAnsi="Garamond" w:cs="Times New Roman"/>
          <w:szCs w:val="24"/>
          <w:lang w:eastAsia="fr-RE"/>
        </w:rPr>
        <w:t xml:space="preserve">Strategjia aktuale gjithashtu </w:t>
      </w:r>
      <w:r w:rsidR="00A16BD7" w:rsidRPr="00B457F5">
        <w:rPr>
          <w:rFonts w:ascii="Garamond" w:eastAsia="MS Mincho" w:hAnsi="Garamond" w:cs="Times New Roman"/>
          <w:szCs w:val="24"/>
          <w:lang w:eastAsia="fr-RE"/>
        </w:rPr>
        <w:t>i kushton rëndësi përdorimit të</w:t>
      </w:r>
      <w:r w:rsidRPr="00B457F5">
        <w:rPr>
          <w:rFonts w:ascii="Garamond" w:eastAsia="MS Mincho" w:hAnsi="Garamond" w:cs="Times New Roman"/>
          <w:szCs w:val="24"/>
          <w:lang w:eastAsia="fr-RE"/>
        </w:rPr>
        <w:t xml:space="preserve"> instrumenteve për të siguruar që të huajt të hyjnë dhe të banojnë në Shqipëri në mënyrë të rregullt (verifikimi i qëllimit gjatë aplikimit për vizë, intervista konsullore dhe e hyrjes në kufi). Përveç kësaj, në përputhje me kërkesat e anëtarësimit në BE,</w:t>
      </w:r>
      <w:r w:rsidRPr="00B457F5">
        <w:rPr>
          <w:rFonts w:ascii="Garamond" w:eastAsia="MS Mincho" w:hAnsi="Garamond" w:cs="Times New Roman"/>
          <w:szCs w:val="24"/>
          <w:vertAlign w:val="superscript"/>
          <w:lang w:eastAsia="fr-RE"/>
        </w:rPr>
        <w:footnoteReference w:id="68"/>
      </w:r>
      <w:r w:rsidRPr="00B457F5">
        <w:rPr>
          <w:rFonts w:ascii="Garamond" w:eastAsia="MS Mincho" w:hAnsi="Garamond" w:cs="Times New Roman"/>
          <w:szCs w:val="24"/>
          <w:lang w:eastAsia="fr-RE"/>
        </w:rPr>
        <w:t xml:space="preserve"> parashikohet shtimi i personelit të policisë kufitare dhe territoriale</w:t>
      </w:r>
      <w:r w:rsidR="00900596" w:rsidRPr="00B457F5">
        <w:rPr>
          <w:rFonts w:ascii="Garamond" w:eastAsia="MS Mincho" w:hAnsi="Garamond" w:cs="Times New Roman"/>
          <w:szCs w:val="24"/>
          <w:lang w:eastAsia="fr-RE"/>
        </w:rPr>
        <w:t>,</w:t>
      </w:r>
      <w:r w:rsidRPr="00B457F5">
        <w:rPr>
          <w:rFonts w:ascii="Garamond" w:eastAsia="MS Mincho" w:hAnsi="Garamond" w:cs="Times New Roman"/>
          <w:szCs w:val="24"/>
          <w:lang w:eastAsia="fr-RE"/>
        </w:rPr>
        <w:t xml:space="preserve"> dhe caktimi i specialistëve për të ndihmuar kthimin vullnetar është </w:t>
      </w:r>
      <w:r w:rsidR="00F840EB" w:rsidRPr="00B457F5">
        <w:rPr>
          <w:rFonts w:ascii="Garamond" w:eastAsia="MS Mincho" w:hAnsi="Garamond" w:cs="Times New Roman"/>
          <w:szCs w:val="24"/>
          <w:lang w:eastAsia="fr-RE"/>
        </w:rPr>
        <w:t xml:space="preserve">caktuar si përparësi </w:t>
      </w:r>
      <w:r w:rsidRPr="00B457F5">
        <w:rPr>
          <w:rFonts w:ascii="Garamond" w:eastAsia="MS Mincho" w:hAnsi="Garamond" w:cs="Times New Roman"/>
          <w:szCs w:val="24"/>
          <w:lang w:eastAsia="fr-RE"/>
        </w:rPr>
        <w:t xml:space="preserve">në vazhdim të strategjisë së mëparshme. </w:t>
      </w:r>
      <w:r w:rsidR="00B61F1F" w:rsidRPr="00B457F5">
        <w:rPr>
          <w:rFonts w:ascii="Garamond" w:eastAsia="MS Mincho" w:hAnsi="Garamond" w:cs="Times New Roman"/>
          <w:szCs w:val="24"/>
          <w:lang w:eastAsia="fr-RE"/>
        </w:rPr>
        <w:t>Do të caktohen b</w:t>
      </w:r>
      <w:r w:rsidRPr="00B457F5">
        <w:rPr>
          <w:rFonts w:ascii="Garamond" w:eastAsia="MS Mincho" w:hAnsi="Garamond" w:cs="Times New Roman"/>
          <w:szCs w:val="24"/>
          <w:lang w:eastAsia="fr-RE"/>
        </w:rPr>
        <w:t>urimet buxhetore për rritjen e burimeve njerëzore në DKM, KMD dhe Ministrinë e Brendshme</w:t>
      </w:r>
      <w:r w:rsidR="00900596" w:rsidRPr="00B457F5">
        <w:rPr>
          <w:rFonts w:ascii="Garamond" w:eastAsia="MS Mincho" w:hAnsi="Garamond" w:cs="Times New Roman"/>
          <w:szCs w:val="24"/>
          <w:lang w:eastAsia="fr-RE"/>
        </w:rPr>
        <w:t>,</w:t>
      </w:r>
      <w:r w:rsidRPr="00B457F5">
        <w:rPr>
          <w:rFonts w:ascii="Garamond" w:eastAsia="MS Mincho" w:hAnsi="Garamond" w:cs="Times New Roman"/>
          <w:szCs w:val="24"/>
          <w:lang w:eastAsia="fr-RE"/>
        </w:rPr>
        <w:t xml:space="preserve"> në vitet 2024</w:t>
      </w:r>
      <w:r w:rsidR="004603C3" w:rsidRPr="00B457F5">
        <w:rPr>
          <w:rStyle w:val="contentpasted1"/>
          <w:rFonts w:ascii="Garamond" w:hAnsi="Garamond" w:cs="Times New Roman"/>
          <w:color w:val="000000"/>
        </w:rPr>
        <w:t>–</w:t>
      </w:r>
      <w:r w:rsidRPr="00B457F5">
        <w:rPr>
          <w:rFonts w:ascii="Garamond" w:eastAsia="MS Mincho" w:hAnsi="Garamond" w:cs="Times New Roman"/>
          <w:szCs w:val="24"/>
          <w:lang w:eastAsia="fr-RE"/>
        </w:rPr>
        <w:t>2026.</w:t>
      </w:r>
    </w:p>
    <w:p w14:paraId="0CF2B3C8" w14:textId="374CEFD0" w:rsidR="0007734A" w:rsidRPr="00B457F5" w:rsidRDefault="0007734A" w:rsidP="002E693B">
      <w:pPr>
        <w:spacing w:before="0" w:after="0"/>
        <w:ind w:firstLine="284"/>
        <w:rPr>
          <w:rFonts w:ascii="Garamond" w:eastAsia="MS Mincho" w:hAnsi="Garamond" w:cs="Times New Roman"/>
          <w:szCs w:val="24"/>
          <w:lang w:eastAsia="fr-RE"/>
        </w:rPr>
      </w:pPr>
      <w:r w:rsidRPr="00B457F5">
        <w:rPr>
          <w:rFonts w:ascii="Garamond" w:eastAsia="MS Mincho" w:hAnsi="Garamond" w:cs="Times New Roman"/>
          <w:szCs w:val="24"/>
          <w:lang w:eastAsia="fr-RE"/>
        </w:rPr>
        <w:t>Zbatimi i strategjisë së mëparshme nxori në pah rëndësinë e përcaktimit të qartë të përgjegjësive të institucioneve</w:t>
      </w:r>
      <w:r w:rsidR="00900596" w:rsidRPr="00B457F5">
        <w:rPr>
          <w:rFonts w:ascii="Garamond" w:eastAsia="MS Mincho" w:hAnsi="Garamond" w:cs="Times New Roman"/>
          <w:szCs w:val="24"/>
          <w:lang w:eastAsia="fr-RE"/>
        </w:rPr>
        <w:t>,</w:t>
      </w:r>
      <w:r w:rsidRPr="00B457F5">
        <w:rPr>
          <w:rFonts w:ascii="Garamond" w:eastAsia="MS Mincho" w:hAnsi="Garamond" w:cs="Times New Roman"/>
          <w:szCs w:val="24"/>
          <w:lang w:eastAsia="fr-RE"/>
        </w:rPr>
        <w:t xml:space="preserve"> si në nivel qendror ashtu edhe në atë </w:t>
      </w:r>
      <w:r w:rsidR="00B61F1F" w:rsidRPr="00B457F5">
        <w:rPr>
          <w:rFonts w:ascii="Garamond" w:eastAsia="MS Mincho" w:hAnsi="Garamond" w:cs="Times New Roman"/>
          <w:szCs w:val="24"/>
          <w:lang w:eastAsia="fr-RE"/>
        </w:rPr>
        <w:t>vendor</w:t>
      </w:r>
      <w:r w:rsidRPr="00B457F5">
        <w:rPr>
          <w:rFonts w:ascii="Garamond" w:eastAsia="MS Mincho" w:hAnsi="Garamond" w:cs="Times New Roman"/>
          <w:szCs w:val="24"/>
          <w:lang w:eastAsia="fr-RE"/>
        </w:rPr>
        <w:t xml:space="preserve">, </w:t>
      </w:r>
      <w:r w:rsidR="00EC70E3" w:rsidRPr="00B457F5">
        <w:rPr>
          <w:rFonts w:ascii="Garamond" w:eastAsia="MS Mincho" w:hAnsi="Garamond" w:cs="Times New Roman"/>
          <w:szCs w:val="24"/>
          <w:lang w:eastAsia="fr-RE"/>
        </w:rPr>
        <w:t xml:space="preserve">gjë </w:t>
      </w:r>
      <w:r w:rsidRPr="00B457F5">
        <w:rPr>
          <w:rFonts w:ascii="Garamond" w:eastAsia="MS Mincho" w:hAnsi="Garamond" w:cs="Times New Roman"/>
          <w:szCs w:val="24"/>
          <w:lang w:eastAsia="fr-RE"/>
        </w:rPr>
        <w:t xml:space="preserve">që </w:t>
      </w:r>
      <w:r w:rsidR="00EC70E3" w:rsidRPr="00B457F5">
        <w:rPr>
          <w:rFonts w:ascii="Garamond" w:eastAsia="MS Mincho" w:hAnsi="Garamond" w:cs="Times New Roman"/>
          <w:szCs w:val="24"/>
          <w:lang w:eastAsia="fr-RE"/>
        </w:rPr>
        <w:t xml:space="preserve">është e nevojshme </w:t>
      </w:r>
      <w:r w:rsidRPr="00B457F5">
        <w:rPr>
          <w:rFonts w:ascii="Garamond" w:eastAsia="MS Mincho" w:hAnsi="Garamond" w:cs="Times New Roman"/>
          <w:szCs w:val="24"/>
          <w:lang w:eastAsia="fr-RE"/>
        </w:rPr>
        <w:t>për shpërndarjen optimale të burimeve të pakta, koordinimin efektiv të aktiviteteve të përbashkëta dhe monitorimin</w:t>
      </w:r>
      <w:r w:rsidR="00900596" w:rsidRPr="00B457F5">
        <w:rPr>
          <w:rFonts w:ascii="Garamond" w:eastAsia="MS Mincho" w:hAnsi="Garamond" w:cs="Times New Roman"/>
          <w:szCs w:val="24"/>
          <w:lang w:eastAsia="fr-RE"/>
        </w:rPr>
        <w:t>,</w:t>
      </w:r>
      <w:r w:rsidRPr="00B457F5">
        <w:rPr>
          <w:rFonts w:ascii="Garamond" w:eastAsia="MS Mincho" w:hAnsi="Garamond" w:cs="Times New Roman"/>
          <w:szCs w:val="24"/>
          <w:lang w:eastAsia="fr-RE"/>
        </w:rPr>
        <w:t xml:space="preserve"> dhe raportimin e duhur të progresit të të gjitha objektivave të caktuara për organet e ndryshme. Konsultimet institucionale zbuluan një nevojë prioritare për forcimin e rolit të strukturave bashkiake për migrimin dhe diasporën. Plani i Veprimit parashikon shprehimisht që procesi i krijimit dhe personelit të këtyre organeve të përfundojë deri në vitin 2026.</w:t>
      </w:r>
    </w:p>
    <w:p w14:paraId="3490B3DF" w14:textId="57C4F433" w:rsidR="0007734A" w:rsidRPr="00B457F5" w:rsidRDefault="0007734A" w:rsidP="002E693B">
      <w:pPr>
        <w:spacing w:before="0" w:after="0"/>
        <w:ind w:firstLine="284"/>
        <w:rPr>
          <w:rFonts w:ascii="Garamond" w:eastAsia="MS Mincho" w:hAnsi="Garamond" w:cs="Times New Roman"/>
          <w:szCs w:val="24"/>
          <w:lang w:eastAsia="fr-RE"/>
        </w:rPr>
      </w:pPr>
      <w:r w:rsidRPr="00B457F5">
        <w:rPr>
          <w:rFonts w:ascii="Garamond" w:eastAsia="MS Mincho" w:hAnsi="Garamond" w:cs="Times New Roman"/>
          <w:szCs w:val="24"/>
          <w:lang w:eastAsia="fr-RE"/>
        </w:rPr>
        <w:t xml:space="preserve">SKM-ja e re përfshin në objektivin e parë të fushës së parë një masë të dedikuar, e cila vendos mekanizma për zbatimin, koordinimin e aktiviteteve dhe monitorimin e progresit drejt arritjes së objektivave të Planit të Veprimit. Vlen të përmendet se deri në vitin 2026 do të </w:t>
      </w:r>
      <w:r w:rsidR="00080639" w:rsidRPr="00B457F5">
        <w:rPr>
          <w:rFonts w:ascii="Garamond" w:eastAsia="MS Mincho" w:hAnsi="Garamond" w:cs="Times New Roman"/>
          <w:szCs w:val="24"/>
          <w:lang w:eastAsia="fr-RE"/>
        </w:rPr>
        <w:t xml:space="preserve">hidhen </w:t>
      </w:r>
      <w:r w:rsidRPr="00B457F5">
        <w:rPr>
          <w:rFonts w:ascii="Garamond" w:eastAsia="MS Mincho" w:hAnsi="Garamond" w:cs="Times New Roman"/>
          <w:szCs w:val="24"/>
          <w:lang w:eastAsia="fr-RE"/>
        </w:rPr>
        <w:t xml:space="preserve">bazat për një </w:t>
      </w:r>
      <w:r w:rsidRPr="00B457F5">
        <w:rPr>
          <w:rFonts w:ascii="Garamond" w:eastAsia="MS Mincho" w:hAnsi="Garamond" w:cs="Times New Roman"/>
          <w:szCs w:val="24"/>
          <w:lang w:eastAsia="fr-RE"/>
        </w:rPr>
        <w:lastRenderedPageBreak/>
        <w:t xml:space="preserve">sistem koordinimi, monitorimi dhe raportimi. Ato janë parashikuar në nivele të ndryshme. </w:t>
      </w:r>
      <w:r w:rsidR="00080639" w:rsidRPr="00B457F5">
        <w:rPr>
          <w:rFonts w:ascii="Garamond" w:eastAsia="MS Mincho" w:hAnsi="Garamond" w:cs="Times New Roman"/>
          <w:szCs w:val="24"/>
          <w:lang w:eastAsia="fr-RE"/>
        </w:rPr>
        <w:t>Në nivelin strategjik</w:t>
      </w:r>
      <w:r w:rsidRPr="00B457F5">
        <w:rPr>
          <w:rFonts w:ascii="Garamond" w:eastAsia="MS Mincho" w:hAnsi="Garamond" w:cs="Times New Roman"/>
          <w:szCs w:val="24"/>
          <w:lang w:eastAsia="fr-RE"/>
        </w:rPr>
        <w:t xml:space="preserve">, duhet të hartohet një udhërrëfyes për koordinimin dhe raportimin e masave sipas Planit të Veprimit. Një instrument ligjor (një urdhër) </w:t>
      </w:r>
      <w:r w:rsidR="00080639" w:rsidRPr="00B457F5">
        <w:rPr>
          <w:rFonts w:ascii="Garamond" w:eastAsia="MS Mincho" w:hAnsi="Garamond" w:cs="Times New Roman"/>
          <w:szCs w:val="24"/>
          <w:lang w:eastAsia="fr-RE"/>
        </w:rPr>
        <w:t xml:space="preserve">do të </w:t>
      </w:r>
      <w:r w:rsidRPr="00B457F5">
        <w:rPr>
          <w:rFonts w:ascii="Garamond" w:eastAsia="MS Mincho" w:hAnsi="Garamond" w:cs="Times New Roman"/>
          <w:szCs w:val="24"/>
          <w:lang w:eastAsia="fr-RE"/>
        </w:rPr>
        <w:t>përcakto</w:t>
      </w:r>
      <w:r w:rsidR="00080639" w:rsidRPr="00B457F5">
        <w:rPr>
          <w:rFonts w:ascii="Garamond" w:eastAsia="MS Mincho" w:hAnsi="Garamond" w:cs="Times New Roman"/>
          <w:szCs w:val="24"/>
          <w:lang w:eastAsia="fr-RE"/>
        </w:rPr>
        <w:t>jë</w:t>
      </w:r>
      <w:r w:rsidRPr="00B457F5">
        <w:rPr>
          <w:rFonts w:ascii="Garamond" w:eastAsia="MS Mincho" w:hAnsi="Garamond" w:cs="Times New Roman"/>
          <w:szCs w:val="24"/>
          <w:lang w:eastAsia="fr-RE"/>
        </w:rPr>
        <w:t xml:space="preserve"> përbërjen, anëtarësimin dhe kompetencat e dy organeve koordinuese: Grupit Drejtues për Migracionin dhe Komitetit Teknik për Migracionin. SKM</w:t>
      </w:r>
      <w:r w:rsidR="006879DC" w:rsidRPr="00B457F5">
        <w:rPr>
          <w:rFonts w:ascii="Garamond" w:eastAsia="MS Mincho" w:hAnsi="Garamond" w:cs="Times New Roman"/>
          <w:szCs w:val="24"/>
          <w:lang w:eastAsia="fr-RE"/>
        </w:rPr>
        <w:t>-ja</w:t>
      </w:r>
      <w:r w:rsidRPr="00B457F5">
        <w:rPr>
          <w:rFonts w:ascii="Garamond" w:eastAsia="MS Mincho" w:hAnsi="Garamond" w:cs="Times New Roman"/>
          <w:szCs w:val="24"/>
          <w:lang w:eastAsia="fr-RE"/>
        </w:rPr>
        <w:t xml:space="preserve"> parashikon gjithashtu krijimin e një grupi pune, të mbikëqyrur nga Ministria e Financave dhe Ekonomisë, për të bashkuar të gjitha institucionet përgjegjëse për zbatimin e Planit të Veprimit. Zyrat </w:t>
      </w:r>
      <w:r w:rsidR="006879DC" w:rsidRPr="00B457F5">
        <w:rPr>
          <w:rFonts w:ascii="Garamond" w:eastAsia="MS Mincho" w:hAnsi="Garamond" w:cs="Times New Roman"/>
          <w:szCs w:val="24"/>
          <w:lang w:eastAsia="fr-RE"/>
        </w:rPr>
        <w:t xml:space="preserve">vendore </w:t>
      </w:r>
      <w:r w:rsidRPr="00B457F5">
        <w:rPr>
          <w:rFonts w:ascii="Garamond" w:eastAsia="MS Mincho" w:hAnsi="Garamond" w:cs="Times New Roman"/>
          <w:szCs w:val="24"/>
          <w:lang w:eastAsia="fr-RE"/>
        </w:rPr>
        <w:t>të migracionit dhe diasporës do të përfshihen më tej përmes shkëmbimit periodik të informacionit me Sekretariatin Teknik të Migracionit.</w:t>
      </w:r>
    </w:p>
    <w:p w14:paraId="7C1D66CD" w14:textId="17CBDEF8" w:rsidR="0007734A" w:rsidRPr="00B457F5" w:rsidRDefault="0007734A" w:rsidP="002E693B">
      <w:pPr>
        <w:spacing w:before="0" w:after="0"/>
        <w:ind w:firstLine="284"/>
        <w:rPr>
          <w:rFonts w:ascii="Garamond" w:eastAsia="MS Mincho" w:hAnsi="Garamond" w:cs="Times New Roman"/>
          <w:i/>
          <w:iCs/>
          <w:szCs w:val="24"/>
        </w:rPr>
      </w:pPr>
      <w:r w:rsidRPr="00B457F5">
        <w:rPr>
          <w:rFonts w:ascii="Garamond" w:eastAsia="MS Mincho" w:hAnsi="Garamond" w:cs="Times New Roman"/>
          <w:szCs w:val="24"/>
        </w:rPr>
        <w:t>Objektivi i dytë</w:t>
      </w:r>
      <w:r w:rsidRPr="00B457F5">
        <w:rPr>
          <w:rFonts w:ascii="Garamond" w:eastAsia="MS Mincho" w:hAnsi="Garamond" w:cs="Times New Roman"/>
          <w:i/>
          <w:iCs/>
          <w:szCs w:val="24"/>
        </w:rPr>
        <w:t xml:space="preserve"> </w:t>
      </w:r>
      <w:r w:rsidRPr="00B457F5">
        <w:rPr>
          <w:rFonts w:ascii="Garamond" w:eastAsia="MS Mincho" w:hAnsi="Garamond" w:cs="Times New Roman"/>
          <w:bCs/>
          <w:i/>
          <w:iCs/>
          <w:szCs w:val="24"/>
        </w:rPr>
        <w:t>(</w:t>
      </w:r>
      <w:r w:rsidR="009169FC" w:rsidRPr="00B457F5">
        <w:rPr>
          <w:rFonts w:ascii="Garamond" w:eastAsia="MS Mincho" w:hAnsi="Garamond" w:cs="Times New Roman"/>
          <w:bCs/>
          <w:i/>
          <w:iCs/>
          <w:szCs w:val="24"/>
        </w:rPr>
        <w:t>h</w:t>
      </w:r>
      <w:r w:rsidRPr="00B457F5">
        <w:rPr>
          <w:rFonts w:ascii="Garamond" w:eastAsia="MS Mincho" w:hAnsi="Garamond" w:cs="Times New Roman"/>
          <w:bCs/>
          <w:i/>
          <w:iCs/>
          <w:szCs w:val="24"/>
        </w:rPr>
        <w:t>artimi dhe rishikimi i politikave të migracionit bazuar në të dhëna të sakta dhe të koordinuara)</w:t>
      </w:r>
      <w:r w:rsidRPr="00B457F5">
        <w:rPr>
          <w:rFonts w:ascii="Garamond" w:eastAsia="MS Mincho" w:hAnsi="Garamond" w:cs="Times New Roman"/>
          <w:i/>
          <w:iCs/>
          <w:szCs w:val="24"/>
        </w:rPr>
        <w:t xml:space="preserve">, </w:t>
      </w:r>
      <w:r w:rsidRPr="00B457F5">
        <w:rPr>
          <w:rFonts w:ascii="Garamond" w:eastAsia="MS Mincho" w:hAnsi="Garamond" w:cs="Times New Roman"/>
          <w:szCs w:val="24"/>
        </w:rPr>
        <w:t>u bën thirrje të gjitha institucioneve të mbledhin, analizojnë dhe ndajnë të dhënat e</w:t>
      </w:r>
      <w:r w:rsidR="00F51E46" w:rsidRPr="00B457F5">
        <w:rPr>
          <w:rFonts w:ascii="Garamond" w:eastAsia="MS Mincho" w:hAnsi="Garamond" w:cs="Times New Roman"/>
          <w:szCs w:val="24"/>
        </w:rPr>
        <w:t xml:space="preserve"> lidhura me</w:t>
      </w:r>
      <w:r w:rsidRPr="00B457F5">
        <w:rPr>
          <w:rFonts w:ascii="Garamond" w:eastAsia="MS Mincho" w:hAnsi="Garamond" w:cs="Times New Roman"/>
          <w:szCs w:val="24"/>
        </w:rPr>
        <w:t xml:space="preserve"> migracioni</w:t>
      </w:r>
      <w:r w:rsidR="00F51E46" w:rsidRPr="00B457F5">
        <w:rPr>
          <w:rFonts w:ascii="Garamond" w:eastAsia="MS Mincho" w:hAnsi="Garamond" w:cs="Times New Roman"/>
          <w:szCs w:val="24"/>
        </w:rPr>
        <w:t>n</w:t>
      </w:r>
      <w:r w:rsidRPr="00B457F5">
        <w:rPr>
          <w:rFonts w:ascii="Garamond" w:eastAsia="MS Mincho" w:hAnsi="Garamond" w:cs="Times New Roman"/>
          <w:szCs w:val="24"/>
        </w:rPr>
        <w:t xml:space="preserve"> si themeli për krijimin e politikave të bazuara në </w:t>
      </w:r>
      <w:r w:rsidR="00F51E46" w:rsidRPr="00B457F5">
        <w:rPr>
          <w:rFonts w:ascii="Garamond" w:eastAsia="MS Mincho" w:hAnsi="Garamond" w:cs="Times New Roman"/>
          <w:szCs w:val="24"/>
        </w:rPr>
        <w:t>statistika.</w:t>
      </w:r>
      <w:r w:rsidR="00346ECC" w:rsidRPr="00B457F5">
        <w:rPr>
          <w:rFonts w:ascii="Garamond" w:eastAsia="MS Mincho" w:hAnsi="Garamond" w:cs="Times New Roman"/>
          <w:szCs w:val="24"/>
        </w:rPr>
        <w:t xml:space="preserve"> </w:t>
      </w:r>
      <w:r w:rsidR="00F51E46" w:rsidRPr="00B457F5">
        <w:rPr>
          <w:rFonts w:ascii="Garamond" w:eastAsia="MS Mincho" w:hAnsi="Garamond" w:cs="Times New Roman"/>
          <w:szCs w:val="24"/>
        </w:rPr>
        <w:t>Ai</w:t>
      </w:r>
      <w:r w:rsidRPr="00B457F5">
        <w:rPr>
          <w:rFonts w:ascii="Garamond" w:eastAsia="MS Mincho" w:hAnsi="Garamond" w:cs="Times New Roman"/>
          <w:szCs w:val="24"/>
        </w:rPr>
        <w:t xml:space="preserve"> i përgjigjet </w:t>
      </w:r>
      <w:r w:rsidR="009169FC" w:rsidRPr="00B457F5">
        <w:rPr>
          <w:rFonts w:ascii="Garamond" w:eastAsia="MS Mincho" w:hAnsi="Garamond" w:cs="Times New Roman"/>
          <w:szCs w:val="24"/>
        </w:rPr>
        <w:t>o</w:t>
      </w:r>
      <w:r w:rsidRPr="00B457F5">
        <w:rPr>
          <w:rFonts w:ascii="Garamond" w:eastAsia="MS Mincho" w:hAnsi="Garamond" w:cs="Times New Roman"/>
          <w:szCs w:val="24"/>
        </w:rPr>
        <w:t>bjektivit #1 të GCM</w:t>
      </w:r>
      <w:r w:rsidR="00346ECC" w:rsidRPr="00B457F5">
        <w:rPr>
          <w:rFonts w:ascii="Garamond" w:eastAsia="MS Mincho" w:hAnsi="Garamond" w:cs="Times New Roman"/>
          <w:szCs w:val="24"/>
        </w:rPr>
        <w:t>-së</w:t>
      </w:r>
      <w:r w:rsidRPr="00B457F5">
        <w:rPr>
          <w:rFonts w:ascii="Garamond" w:eastAsia="MS Mincho" w:hAnsi="Garamond" w:cs="Times New Roman"/>
          <w:szCs w:val="24"/>
        </w:rPr>
        <w:t xml:space="preserve"> dhe është një përgjigje e drejtpërdrejtë ndaj çështje</w:t>
      </w:r>
      <w:r w:rsidR="00346ECC" w:rsidRPr="00B457F5">
        <w:rPr>
          <w:rFonts w:ascii="Garamond" w:eastAsia="MS Mincho" w:hAnsi="Garamond" w:cs="Times New Roman"/>
          <w:szCs w:val="24"/>
        </w:rPr>
        <w:t>ve</w:t>
      </w:r>
      <w:r w:rsidRPr="00B457F5">
        <w:rPr>
          <w:rFonts w:ascii="Garamond" w:eastAsia="MS Mincho" w:hAnsi="Garamond" w:cs="Times New Roman"/>
          <w:szCs w:val="24"/>
        </w:rPr>
        <w:t xml:space="preserve"> që peng</w:t>
      </w:r>
      <w:r w:rsidR="00346ECC" w:rsidRPr="00B457F5">
        <w:rPr>
          <w:rFonts w:ascii="Garamond" w:eastAsia="MS Mincho" w:hAnsi="Garamond" w:cs="Times New Roman"/>
          <w:szCs w:val="24"/>
        </w:rPr>
        <w:t>ua</w:t>
      </w:r>
      <w:r w:rsidR="00E7587C" w:rsidRPr="00B457F5">
        <w:rPr>
          <w:rFonts w:ascii="Garamond" w:eastAsia="MS Mincho" w:hAnsi="Garamond" w:cs="Times New Roman"/>
          <w:szCs w:val="24"/>
        </w:rPr>
        <w:t>n</w:t>
      </w:r>
      <w:r w:rsidRPr="00B457F5">
        <w:rPr>
          <w:rFonts w:ascii="Garamond" w:eastAsia="MS Mincho" w:hAnsi="Garamond" w:cs="Times New Roman"/>
          <w:szCs w:val="24"/>
        </w:rPr>
        <w:t xml:space="preserve"> raportimin e progresit sipas </w:t>
      </w:r>
      <w:r w:rsidR="009169FC" w:rsidRPr="00B457F5">
        <w:rPr>
          <w:rFonts w:ascii="Garamond" w:eastAsia="MS Mincho" w:hAnsi="Garamond" w:cs="Times New Roman"/>
          <w:szCs w:val="24"/>
        </w:rPr>
        <w:t>s</w:t>
      </w:r>
      <w:r w:rsidRPr="00B457F5">
        <w:rPr>
          <w:rFonts w:ascii="Garamond" w:eastAsia="MS Mincho" w:hAnsi="Garamond" w:cs="Times New Roman"/>
          <w:szCs w:val="24"/>
        </w:rPr>
        <w:t>trategjisë së mëparshme: mungesa, fushëveprimi i pjesshëm dhe papërputhshmëria e të dhënave të migracionit.</w:t>
      </w:r>
    </w:p>
    <w:p w14:paraId="36BC039E" w14:textId="77777777" w:rsidR="0007734A" w:rsidRPr="00B457F5" w:rsidRDefault="0007734A" w:rsidP="002E693B">
      <w:pPr>
        <w:spacing w:before="0" w:after="0"/>
        <w:ind w:firstLine="284"/>
        <w:rPr>
          <w:rFonts w:ascii="Garamond" w:eastAsia="MS Mincho" w:hAnsi="Garamond" w:cs="Times New Roman"/>
          <w:szCs w:val="24"/>
        </w:rPr>
      </w:pPr>
      <w:r w:rsidRPr="00B457F5">
        <w:rPr>
          <w:rFonts w:ascii="Garamond" w:eastAsia="MS Mincho" w:hAnsi="Garamond" w:cs="Times New Roman"/>
          <w:bCs/>
          <w:i/>
          <w:szCs w:val="24"/>
        </w:rPr>
        <w:t>Objektivi specifik 1.2</w:t>
      </w:r>
      <w:r w:rsidRPr="00B457F5">
        <w:rPr>
          <w:rFonts w:ascii="Garamond" w:eastAsia="MS Mincho" w:hAnsi="Garamond" w:cs="Times New Roman"/>
          <w:szCs w:val="24"/>
        </w:rPr>
        <w:t xml:space="preserve"> parashikon masat e mëposhtme prioritare:</w:t>
      </w:r>
    </w:p>
    <w:p w14:paraId="5BFB4B71" w14:textId="6A0AD667" w:rsidR="00151C91" w:rsidRPr="00B457F5" w:rsidRDefault="00433841"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Wingdings"/>
          <w:color w:val="000000"/>
          <w:szCs w:val="24"/>
        </w:rPr>
        <w:t xml:space="preserve">- </w:t>
      </w:r>
      <w:r w:rsidR="00151C91" w:rsidRPr="00B457F5">
        <w:rPr>
          <w:rFonts w:ascii="Garamond" w:eastAsiaTheme="minorHAnsi" w:hAnsi="Garamond" w:cs="Times New Roman"/>
          <w:color w:val="000000"/>
          <w:szCs w:val="24"/>
        </w:rPr>
        <w:t>Krijimi i një metodologjie të koordinuar për mbledhjen e të dhënave në përputhje me Programin Zyrtar të Statistikave;</w:t>
      </w:r>
    </w:p>
    <w:p w14:paraId="528A1B38" w14:textId="2D000F0A" w:rsidR="00151C91" w:rsidRPr="00B457F5" w:rsidRDefault="00433841"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Wingdings"/>
          <w:color w:val="000000"/>
          <w:szCs w:val="24"/>
        </w:rPr>
        <w:t xml:space="preserve">- </w:t>
      </w:r>
      <w:r w:rsidR="00151C91" w:rsidRPr="00B457F5">
        <w:rPr>
          <w:rFonts w:ascii="Garamond" w:eastAsiaTheme="minorHAnsi" w:hAnsi="Garamond" w:cs="Times New Roman"/>
          <w:color w:val="000000"/>
          <w:szCs w:val="24"/>
        </w:rPr>
        <w:t>Shkëmbimi efektiv dhe ndërveprueshmëria e të dhënave të migracionit;</w:t>
      </w:r>
    </w:p>
    <w:p w14:paraId="17432623" w14:textId="0C8ADCC7" w:rsidR="00151C91" w:rsidRPr="00B457F5" w:rsidRDefault="00433841"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Wingdings"/>
          <w:color w:val="000000"/>
          <w:szCs w:val="24"/>
        </w:rPr>
        <w:t xml:space="preserve">- </w:t>
      </w:r>
      <w:r w:rsidR="00151C91" w:rsidRPr="00B457F5">
        <w:rPr>
          <w:rFonts w:ascii="Garamond" w:eastAsiaTheme="minorHAnsi" w:hAnsi="Garamond" w:cs="Times New Roman"/>
          <w:color w:val="000000"/>
          <w:szCs w:val="24"/>
        </w:rPr>
        <w:t>Vlerësimi dhe rishikimi i të dhënave të migracionit për hartimin e politikave dhe dokumenteve.</w:t>
      </w:r>
    </w:p>
    <w:p w14:paraId="1BE1A68E" w14:textId="0FEBBCA0" w:rsidR="0007734A" w:rsidRPr="00B457F5" w:rsidRDefault="0007734A" w:rsidP="002E693B">
      <w:pPr>
        <w:spacing w:before="0" w:after="0"/>
        <w:ind w:firstLine="284"/>
        <w:rPr>
          <w:rFonts w:ascii="Garamond" w:eastAsia="MS Mincho" w:hAnsi="Garamond" w:cs="Times New Roman"/>
          <w:szCs w:val="24"/>
          <w:lang w:eastAsia="fr-RE"/>
        </w:rPr>
      </w:pPr>
      <w:r w:rsidRPr="00B457F5">
        <w:rPr>
          <w:rFonts w:ascii="Garamond" w:eastAsia="MS Mincho" w:hAnsi="Garamond" w:cs="Times New Roman"/>
          <w:szCs w:val="24"/>
          <w:lang w:eastAsia="fr-RE"/>
        </w:rPr>
        <w:t>Programi Zyrtar i Statistikave të Shqipërisë</w:t>
      </w:r>
      <w:r w:rsidR="009169FC" w:rsidRPr="00B457F5">
        <w:rPr>
          <w:rFonts w:ascii="Garamond" w:eastAsia="MS Mincho" w:hAnsi="Garamond" w:cs="Times New Roman"/>
          <w:szCs w:val="24"/>
          <w:lang w:eastAsia="fr-RE"/>
        </w:rPr>
        <w:t>,</w:t>
      </w:r>
      <w:r w:rsidRPr="00B457F5">
        <w:rPr>
          <w:rFonts w:ascii="Garamond" w:eastAsia="MS Mincho" w:hAnsi="Garamond" w:cs="Times New Roman"/>
          <w:szCs w:val="24"/>
          <w:lang w:eastAsia="fr-RE"/>
        </w:rPr>
        <w:t xml:space="preserve"> deri në vitin 2026</w:t>
      </w:r>
      <w:r w:rsidR="009169FC" w:rsidRPr="00B457F5">
        <w:rPr>
          <w:rFonts w:ascii="Garamond" w:eastAsia="MS Mincho" w:hAnsi="Garamond" w:cs="Times New Roman"/>
          <w:szCs w:val="24"/>
          <w:lang w:eastAsia="fr-RE"/>
        </w:rPr>
        <w:t>,</w:t>
      </w:r>
      <w:r w:rsidRPr="00B457F5">
        <w:rPr>
          <w:rFonts w:ascii="Garamond" w:eastAsia="MS Mincho" w:hAnsi="Garamond" w:cs="Times New Roman"/>
          <w:szCs w:val="24"/>
          <w:lang w:eastAsia="fr-RE"/>
        </w:rPr>
        <w:t xml:space="preserve"> vëren disa mangësi të vazhdueshme </w:t>
      </w:r>
      <w:r w:rsidR="00E7587C" w:rsidRPr="00B457F5">
        <w:rPr>
          <w:rFonts w:ascii="Garamond" w:eastAsia="MS Mincho" w:hAnsi="Garamond" w:cs="Times New Roman"/>
          <w:szCs w:val="24"/>
          <w:lang w:eastAsia="fr-RE"/>
        </w:rPr>
        <w:t>lidhur me</w:t>
      </w:r>
      <w:r w:rsidRPr="00B457F5">
        <w:rPr>
          <w:rFonts w:ascii="Garamond" w:eastAsia="MS Mincho" w:hAnsi="Garamond" w:cs="Times New Roman"/>
          <w:szCs w:val="24"/>
          <w:lang w:eastAsia="fr-RE"/>
        </w:rPr>
        <w:t xml:space="preserve"> shtrirjen, harmonizimin dhe shpeshtësinë e mbledhjes së të dhënave në fushën e migracionit. </w:t>
      </w:r>
      <w:r w:rsidR="00E7587C" w:rsidRPr="00B457F5">
        <w:rPr>
          <w:rFonts w:ascii="Garamond" w:eastAsia="MS Mincho" w:hAnsi="Garamond" w:cs="Times New Roman"/>
          <w:szCs w:val="24"/>
          <w:lang w:eastAsia="fr-RE"/>
        </w:rPr>
        <w:t>Arrihet në përfundimin</w:t>
      </w:r>
      <w:r w:rsidRPr="00B457F5">
        <w:rPr>
          <w:rFonts w:ascii="Garamond" w:eastAsia="MS Mincho" w:hAnsi="Garamond" w:cs="Times New Roman"/>
          <w:szCs w:val="24"/>
          <w:lang w:eastAsia="fr-RE"/>
        </w:rPr>
        <w:t xml:space="preserve"> se mungesa e një regjistri statistikor të popullsisë e bën gjurmimin e lëvizjes së njerëzve që hyjnë dhe dalin nga vendi </w:t>
      </w:r>
      <w:r w:rsidR="00A313AE" w:rsidRPr="00B457F5">
        <w:rPr>
          <w:rFonts w:ascii="Garamond" w:eastAsia="MS Mincho" w:hAnsi="Garamond" w:cs="Times New Roman"/>
          <w:szCs w:val="24"/>
          <w:lang w:eastAsia="fr-RE"/>
        </w:rPr>
        <w:t>“</w:t>
      </w:r>
      <w:r w:rsidRPr="00B457F5">
        <w:rPr>
          <w:rFonts w:ascii="Garamond" w:eastAsia="MS Mincho" w:hAnsi="Garamond" w:cs="Times New Roman"/>
          <w:szCs w:val="24"/>
          <w:lang w:eastAsia="fr-RE"/>
        </w:rPr>
        <w:t>komponentin më të vështirë për</w:t>
      </w:r>
      <w:r w:rsidR="00A313AE" w:rsidRPr="00B457F5">
        <w:rPr>
          <w:rFonts w:ascii="Garamond" w:eastAsia="MS Mincho" w:hAnsi="Garamond" w:cs="Times New Roman"/>
          <w:szCs w:val="24"/>
          <w:lang w:eastAsia="fr-RE"/>
        </w:rPr>
        <w:t xml:space="preserve"> t’u </w:t>
      </w:r>
      <w:r w:rsidRPr="00B457F5">
        <w:rPr>
          <w:rFonts w:ascii="Garamond" w:eastAsia="MS Mincho" w:hAnsi="Garamond" w:cs="Times New Roman"/>
          <w:szCs w:val="24"/>
          <w:lang w:eastAsia="fr-RE"/>
        </w:rPr>
        <w:t>matur</w:t>
      </w:r>
      <w:r w:rsidR="00A313AE" w:rsidRPr="00B457F5">
        <w:rPr>
          <w:rFonts w:ascii="Garamond" w:eastAsia="MS Mincho" w:hAnsi="Garamond" w:cs="Times New Roman"/>
          <w:szCs w:val="24"/>
          <w:lang w:eastAsia="fr-RE"/>
        </w:rPr>
        <w:t>”</w:t>
      </w:r>
      <w:r w:rsidRPr="00B457F5">
        <w:rPr>
          <w:rFonts w:ascii="Garamond" w:eastAsia="MS Mincho" w:hAnsi="Garamond" w:cs="Times New Roman"/>
          <w:szCs w:val="24"/>
          <w:lang w:eastAsia="fr-RE"/>
        </w:rPr>
        <w:t xml:space="preserve">. Sipas Programit, treguesit për </w:t>
      </w:r>
      <w:r w:rsidR="00A313AE" w:rsidRPr="00B457F5">
        <w:rPr>
          <w:rFonts w:ascii="Garamond" w:eastAsia="MS Mincho" w:hAnsi="Garamond" w:cs="Times New Roman"/>
          <w:szCs w:val="24"/>
          <w:lang w:eastAsia="fr-RE"/>
        </w:rPr>
        <w:t>“</w:t>
      </w:r>
      <w:r w:rsidRPr="00B457F5">
        <w:rPr>
          <w:rFonts w:ascii="Garamond" w:eastAsia="MS Mincho" w:hAnsi="Garamond" w:cs="Times New Roman"/>
          <w:szCs w:val="24"/>
          <w:lang w:eastAsia="fr-RE"/>
        </w:rPr>
        <w:t>emigracionin ndërkombëtar, lëvizjet e brendshme, si dhe statistikat për të huajt dhe azilkërkuesit</w:t>
      </w:r>
      <w:r w:rsidR="00A313AE" w:rsidRPr="00B457F5">
        <w:rPr>
          <w:rFonts w:ascii="Garamond" w:eastAsia="MS Mincho" w:hAnsi="Garamond" w:cs="Times New Roman"/>
          <w:szCs w:val="24"/>
          <w:lang w:eastAsia="fr-RE"/>
        </w:rPr>
        <w:t>”</w:t>
      </w:r>
      <w:r w:rsidRPr="00B457F5">
        <w:rPr>
          <w:rFonts w:ascii="Garamond" w:eastAsia="MS Mincho" w:hAnsi="Garamond" w:cs="Times New Roman"/>
          <w:szCs w:val="24"/>
          <w:lang w:eastAsia="fr-RE"/>
        </w:rPr>
        <w:t xml:space="preserve"> duhet të publikohen çdo vit. Shtimi i treguesve dhe përmirësimi cilësor i variablave duhet të shoqërohet me harmonizimin e përkufizimeve me ato të aplikuara nga </w:t>
      </w:r>
      <w:r w:rsidR="000B7E4C" w:rsidRPr="00B457F5">
        <w:rPr>
          <w:rFonts w:ascii="Garamond" w:eastAsia="MS Mincho" w:hAnsi="Garamond" w:cs="Times New Roman"/>
          <w:szCs w:val="24"/>
          <w:lang w:eastAsia="fr-RE"/>
        </w:rPr>
        <w:t>EUROSTAT</w:t>
      </w:r>
      <w:r w:rsidR="009169FC" w:rsidRPr="00B457F5">
        <w:rPr>
          <w:rFonts w:ascii="Garamond" w:eastAsia="MS Mincho" w:hAnsi="Garamond" w:cs="Times New Roman"/>
          <w:szCs w:val="24"/>
          <w:lang w:eastAsia="fr-RE"/>
        </w:rPr>
        <w:t>-i</w:t>
      </w:r>
      <w:r w:rsidRPr="00B457F5">
        <w:rPr>
          <w:rFonts w:ascii="Garamond" w:eastAsia="MS Mincho" w:hAnsi="Garamond" w:cs="Times New Roman"/>
          <w:szCs w:val="24"/>
          <w:lang w:eastAsia="fr-RE"/>
        </w:rPr>
        <w:t>.</w:t>
      </w:r>
      <w:r w:rsidR="00E154DC" w:rsidRPr="00B457F5">
        <w:rPr>
          <w:rFonts w:ascii="Garamond" w:hAnsi="Garamond"/>
          <w:szCs w:val="24"/>
        </w:rPr>
        <w:t xml:space="preserve"> </w:t>
      </w:r>
      <w:r w:rsidR="00E154DC" w:rsidRPr="00B457F5">
        <w:rPr>
          <w:rFonts w:ascii="Garamond" w:eastAsia="MS Mincho" w:hAnsi="Garamond" w:cs="Times New Roman"/>
          <w:szCs w:val="24"/>
          <w:lang w:eastAsia="fr-RE"/>
        </w:rPr>
        <w:t>Në këtë kuadër, përdorimi i rregullt i të dhënave nga Censusi i Popullsisë dhe Banesave, i kombinuar me burimet administrative, është planifikuar për të adresuar sfidën e një monitorimi më efektiv të lëvizjes së njerëzve që hyjnë dhe dalin nga Shqipëria.</w:t>
      </w:r>
      <w:r w:rsidR="00E154DC" w:rsidRPr="00B457F5">
        <w:rPr>
          <w:rStyle w:val="FootnoteReference"/>
          <w:rFonts w:ascii="Garamond" w:eastAsia="MS Mincho" w:hAnsi="Garamond" w:cs="Times New Roman"/>
          <w:szCs w:val="24"/>
          <w:lang w:eastAsia="fr-RE"/>
        </w:rPr>
        <w:footnoteReference w:id="69"/>
      </w:r>
    </w:p>
    <w:p w14:paraId="5AE39422" w14:textId="6FBB238A" w:rsidR="0007734A" w:rsidRPr="00B457F5" w:rsidRDefault="0007734A" w:rsidP="002E693B">
      <w:pPr>
        <w:spacing w:before="0" w:after="0"/>
        <w:ind w:firstLine="284"/>
        <w:rPr>
          <w:rFonts w:ascii="Garamond" w:eastAsia="MS Mincho" w:hAnsi="Garamond" w:cs="Times New Roman"/>
          <w:szCs w:val="24"/>
          <w:lang w:eastAsia="fr-RE"/>
        </w:rPr>
      </w:pPr>
      <w:r w:rsidRPr="00B457F5">
        <w:rPr>
          <w:rFonts w:ascii="Garamond" w:eastAsia="MS Mincho" w:hAnsi="Garamond" w:cs="Times New Roman"/>
          <w:szCs w:val="24"/>
          <w:lang w:eastAsia="fr-RE"/>
        </w:rPr>
        <w:t>SKM</w:t>
      </w:r>
      <w:r w:rsidR="00E7587C" w:rsidRPr="00B457F5">
        <w:rPr>
          <w:rFonts w:ascii="Garamond" w:eastAsia="MS Mincho" w:hAnsi="Garamond" w:cs="Times New Roman"/>
          <w:szCs w:val="24"/>
          <w:lang w:eastAsia="fr-RE"/>
        </w:rPr>
        <w:t>-ja</w:t>
      </w:r>
      <w:r w:rsidRPr="00B457F5">
        <w:rPr>
          <w:rFonts w:ascii="Garamond" w:eastAsia="MS Mincho" w:hAnsi="Garamond" w:cs="Times New Roman"/>
          <w:szCs w:val="24"/>
          <w:lang w:eastAsia="fr-RE"/>
        </w:rPr>
        <w:t xml:space="preserve"> kërkon të përmirësojë të dhënat e migracionit në mënyrë sistematike përmes kombinimit të koncepteve (krijimi i një metodologjie të unifikuar për mbledhjen e të dhënave), operacionale (intensifikimi i shkëmbimit të të dhënave ndërinstitucionale) dhe përdorimi</w:t>
      </w:r>
      <w:r w:rsidR="00E7587C" w:rsidRPr="00B457F5">
        <w:rPr>
          <w:rFonts w:ascii="Garamond" w:eastAsia="MS Mincho" w:hAnsi="Garamond" w:cs="Times New Roman"/>
          <w:szCs w:val="24"/>
          <w:lang w:eastAsia="fr-RE"/>
        </w:rPr>
        <w:t>t</w:t>
      </w:r>
      <w:r w:rsidRPr="00B457F5">
        <w:rPr>
          <w:rFonts w:ascii="Garamond" w:eastAsia="MS Mincho" w:hAnsi="Garamond" w:cs="Times New Roman"/>
          <w:szCs w:val="24"/>
          <w:lang w:eastAsia="fr-RE"/>
        </w:rPr>
        <w:t xml:space="preserve"> </w:t>
      </w:r>
      <w:r w:rsidR="00E7587C" w:rsidRPr="00B457F5">
        <w:rPr>
          <w:rFonts w:ascii="Garamond" w:eastAsia="MS Mincho" w:hAnsi="Garamond" w:cs="Times New Roman"/>
          <w:szCs w:val="24"/>
          <w:lang w:eastAsia="fr-RE"/>
        </w:rPr>
        <w:t>të</w:t>
      </w:r>
      <w:r w:rsidRPr="00B457F5">
        <w:rPr>
          <w:rFonts w:ascii="Garamond" w:eastAsia="MS Mincho" w:hAnsi="Garamond" w:cs="Times New Roman"/>
          <w:szCs w:val="24"/>
          <w:lang w:eastAsia="fr-RE"/>
        </w:rPr>
        <w:t xml:space="preserve"> të dhënave për zhvillimin e politikave (</w:t>
      </w:r>
      <w:r w:rsidR="00CD5D27" w:rsidRPr="00B457F5">
        <w:rPr>
          <w:rFonts w:ascii="Garamond" w:eastAsia="MS Mincho" w:hAnsi="Garamond" w:cs="Times New Roman"/>
          <w:szCs w:val="24"/>
          <w:lang w:eastAsia="fr-RE"/>
        </w:rPr>
        <w:t xml:space="preserve">përmes </w:t>
      </w:r>
      <w:r w:rsidRPr="00B457F5">
        <w:rPr>
          <w:rFonts w:ascii="Garamond" w:eastAsia="MS Mincho" w:hAnsi="Garamond" w:cs="Times New Roman"/>
          <w:szCs w:val="24"/>
          <w:lang w:eastAsia="fr-RE"/>
        </w:rPr>
        <w:t>hartimi</w:t>
      </w:r>
      <w:r w:rsidR="00CD5D27" w:rsidRPr="00B457F5">
        <w:rPr>
          <w:rFonts w:ascii="Garamond" w:eastAsia="MS Mincho" w:hAnsi="Garamond" w:cs="Times New Roman"/>
          <w:szCs w:val="24"/>
          <w:lang w:eastAsia="fr-RE"/>
        </w:rPr>
        <w:t>t</w:t>
      </w:r>
      <w:r w:rsidRPr="00B457F5">
        <w:rPr>
          <w:rFonts w:ascii="Garamond" w:eastAsia="MS Mincho" w:hAnsi="Garamond" w:cs="Times New Roman"/>
          <w:szCs w:val="24"/>
          <w:lang w:eastAsia="fr-RE"/>
        </w:rPr>
        <w:t xml:space="preserve"> </w:t>
      </w:r>
      <w:r w:rsidR="00CD5D27" w:rsidRPr="00B457F5">
        <w:rPr>
          <w:rFonts w:ascii="Garamond" w:eastAsia="MS Mincho" w:hAnsi="Garamond" w:cs="Times New Roman"/>
          <w:szCs w:val="24"/>
          <w:lang w:eastAsia="fr-RE"/>
        </w:rPr>
        <w:t>të</w:t>
      </w:r>
      <w:r w:rsidRPr="00B457F5">
        <w:rPr>
          <w:rFonts w:ascii="Garamond" w:eastAsia="MS Mincho" w:hAnsi="Garamond" w:cs="Times New Roman"/>
          <w:szCs w:val="24"/>
          <w:lang w:eastAsia="fr-RE"/>
        </w:rPr>
        <w:t xml:space="preserve"> studimeve dhe vlerësimeve). Deri në vitin 2026, janë planifikuar ndërhyrje specifike për zhvillimin e standardeve dhe metodave të unifikuara për mbledhjen e të dhënave, duke përfshirë përpunimin dhe shpërndarjen e një udhëzuesi për mbledhjen e të dhënave në përputhje me BE-në, </w:t>
      </w:r>
      <w:r w:rsidR="00CD5D27" w:rsidRPr="00B457F5">
        <w:rPr>
          <w:rFonts w:ascii="Garamond" w:eastAsia="MS Mincho" w:hAnsi="Garamond" w:cs="Times New Roman"/>
          <w:szCs w:val="24"/>
          <w:lang w:eastAsia="fr-RE"/>
        </w:rPr>
        <w:t xml:space="preserve">dhe </w:t>
      </w:r>
      <w:r w:rsidRPr="00B457F5">
        <w:rPr>
          <w:rFonts w:ascii="Garamond" w:eastAsia="MS Mincho" w:hAnsi="Garamond" w:cs="Times New Roman"/>
          <w:szCs w:val="24"/>
          <w:lang w:eastAsia="fr-RE"/>
        </w:rPr>
        <w:t>zhvillimin e një praktike të rregullt të monitorimit të përpjekjeve për mbledhjen e të dhënave nga të gjitha institucionet shtetërore përgjegjëse. Përvoja fillestare me mbledhjen e të dhënave dhe identifikimin e mangësive duhet të merret parasysh për zhvillimin e kurrikulave dhe formateve të trajnimeve të dedikuara për ndërtimin e kapaciteteve për mbledhjen, analizën dhe ndarjen e të dhënave. Parashikohet përdorimi më i shpeshtë dhe efektiv i moduleve ekzistuese të bazës së të dhënave të të huajve, si dhe është planifikuar krijimi i grupeve shtesë të të dhënave (kërkuesit për viza me rrezik të lartë dhe ata të besueshëm) në vazhdim të strategjisë së mëparshme. Këto masa janë në referencë të drejtpërdrejtë me angazhimet sipas Planit të Veprimit për Qeverisjen e Qëndrueshme të Migracionit në Ballkanin Perëndimor 2023</w:t>
      </w:r>
      <w:r w:rsidR="004603C3" w:rsidRPr="00B457F5">
        <w:rPr>
          <w:rStyle w:val="contentpasted1"/>
          <w:rFonts w:ascii="Garamond" w:hAnsi="Garamond" w:cs="Times New Roman"/>
          <w:color w:val="000000"/>
        </w:rPr>
        <w:t>–</w:t>
      </w:r>
      <w:r w:rsidRPr="00B457F5">
        <w:rPr>
          <w:rFonts w:ascii="Garamond" w:eastAsia="MS Mincho" w:hAnsi="Garamond" w:cs="Times New Roman"/>
          <w:szCs w:val="24"/>
          <w:lang w:eastAsia="fr-RE"/>
        </w:rPr>
        <w:t>2035.</w:t>
      </w:r>
    </w:p>
    <w:p w14:paraId="7E6E5B72" w14:textId="165E8BD0" w:rsidR="008E41A1" w:rsidRPr="00B457F5" w:rsidRDefault="008E41A1" w:rsidP="002E693B">
      <w:pPr>
        <w:spacing w:before="0" w:after="0"/>
        <w:ind w:firstLine="284"/>
        <w:rPr>
          <w:rFonts w:ascii="Garamond" w:eastAsia="MS Mincho" w:hAnsi="Garamond" w:cs="Times New Roman"/>
          <w:szCs w:val="24"/>
          <w:lang w:eastAsia="fr-RE"/>
        </w:rPr>
      </w:pPr>
      <w:r w:rsidRPr="00B457F5">
        <w:rPr>
          <w:rFonts w:ascii="Garamond" w:eastAsia="MS Mincho" w:hAnsi="Garamond" w:cs="Times New Roman"/>
          <w:szCs w:val="24"/>
          <w:lang w:eastAsia="fr-RE"/>
        </w:rPr>
        <w:t>Ministria e Brendshme</w:t>
      </w:r>
      <w:r w:rsidR="009169FC" w:rsidRPr="00B457F5">
        <w:rPr>
          <w:rFonts w:ascii="Garamond" w:eastAsia="MS Mincho" w:hAnsi="Garamond" w:cs="Times New Roman"/>
          <w:szCs w:val="24"/>
          <w:lang w:eastAsia="fr-RE"/>
        </w:rPr>
        <w:t>,</w:t>
      </w:r>
      <w:r w:rsidRPr="00B457F5">
        <w:rPr>
          <w:rFonts w:ascii="Garamond" w:eastAsia="MS Mincho" w:hAnsi="Garamond" w:cs="Times New Roman"/>
          <w:szCs w:val="24"/>
          <w:lang w:eastAsia="fr-RE"/>
        </w:rPr>
        <w:t xml:space="preserve"> në vazhdim të reformave në sektorë të rëndësishëm si migracioni, azili dhe menaxhimi i kufijve, duke pasur parasysh d</w:t>
      </w:r>
      <w:r w:rsidR="00134564" w:rsidRPr="00B457F5">
        <w:rPr>
          <w:rFonts w:ascii="Garamond" w:eastAsia="MS Mincho" w:hAnsi="Garamond" w:cs="Times New Roman"/>
          <w:szCs w:val="24"/>
          <w:lang w:eastAsia="fr-RE"/>
        </w:rPr>
        <w:t xml:space="preserve">he dimensionin ndërkombëtar të </w:t>
      </w:r>
      <w:r w:rsidRPr="00B457F5">
        <w:rPr>
          <w:rFonts w:ascii="Garamond" w:eastAsia="MS Mincho" w:hAnsi="Garamond" w:cs="Times New Roman"/>
          <w:szCs w:val="24"/>
          <w:lang w:eastAsia="fr-RE"/>
        </w:rPr>
        <w:t>kërcënimeve ndaj shte</w:t>
      </w:r>
      <w:r w:rsidR="00134564" w:rsidRPr="00B457F5">
        <w:rPr>
          <w:rFonts w:ascii="Garamond" w:eastAsia="MS Mincho" w:hAnsi="Garamond" w:cs="Times New Roman"/>
          <w:szCs w:val="24"/>
          <w:lang w:eastAsia="fr-RE"/>
        </w:rPr>
        <w:t xml:space="preserve">tit të së drejtës dhe sigurisë, </w:t>
      </w:r>
      <w:r w:rsidRPr="00B457F5">
        <w:rPr>
          <w:rFonts w:ascii="Garamond" w:eastAsia="MS Mincho" w:hAnsi="Garamond" w:cs="Times New Roman"/>
          <w:szCs w:val="24"/>
          <w:lang w:eastAsia="fr-RE"/>
        </w:rPr>
        <w:t>që vijnë nga migracioni i parregullt dhe i pakontrolluar qëndron e gatshme që të bashkëpunojë me BE</w:t>
      </w:r>
      <w:r w:rsidR="00134564" w:rsidRPr="00B457F5">
        <w:rPr>
          <w:rFonts w:ascii="Garamond" w:eastAsia="MS Mincho" w:hAnsi="Garamond" w:cs="Times New Roman"/>
          <w:szCs w:val="24"/>
          <w:lang w:eastAsia="fr-RE"/>
        </w:rPr>
        <w:t>-në për të</w:t>
      </w:r>
      <w:r w:rsidRPr="00B457F5">
        <w:rPr>
          <w:rFonts w:ascii="Garamond" w:eastAsia="MS Mincho" w:hAnsi="Garamond" w:cs="Times New Roman"/>
          <w:szCs w:val="24"/>
          <w:lang w:eastAsia="fr-RE"/>
        </w:rPr>
        <w:t xml:space="preserve"> arritur standardet evropiane në realizimin e misioneve dhe operacionev</w:t>
      </w:r>
      <w:r w:rsidR="00134564" w:rsidRPr="00B457F5">
        <w:rPr>
          <w:rFonts w:ascii="Garamond" w:eastAsia="MS Mincho" w:hAnsi="Garamond" w:cs="Times New Roman"/>
          <w:szCs w:val="24"/>
          <w:lang w:eastAsia="fr-RE"/>
        </w:rPr>
        <w:t>e sipas nevojave. Konkretisht Ministria e Brendshme</w:t>
      </w:r>
      <w:r w:rsidRPr="00B457F5">
        <w:rPr>
          <w:rFonts w:ascii="Garamond" w:eastAsia="MS Mincho" w:hAnsi="Garamond" w:cs="Times New Roman"/>
          <w:szCs w:val="24"/>
          <w:lang w:eastAsia="fr-RE"/>
        </w:rPr>
        <w:t xml:space="preserve"> ka konfirmuar interesin e saj për të </w:t>
      </w:r>
      <w:r w:rsidRPr="00B457F5">
        <w:rPr>
          <w:rFonts w:ascii="Garamond" w:eastAsia="MS Mincho" w:hAnsi="Garamond" w:cs="Times New Roman"/>
          <w:szCs w:val="24"/>
          <w:lang w:eastAsia="fr-RE"/>
        </w:rPr>
        <w:lastRenderedPageBreak/>
        <w:t xml:space="preserve">zhvilluar një masterplan për Shqipërinë. </w:t>
      </w:r>
      <w:r w:rsidR="00134564" w:rsidRPr="00B457F5">
        <w:rPr>
          <w:rFonts w:ascii="Garamond" w:eastAsia="MS Mincho" w:hAnsi="Garamond" w:cs="Times New Roman"/>
          <w:szCs w:val="24"/>
          <w:lang w:eastAsia="fr-RE"/>
        </w:rPr>
        <w:t>Ky masterplan do të krijojë një sistem informatik</w:t>
      </w:r>
      <w:r w:rsidR="009169FC" w:rsidRPr="00B457F5">
        <w:rPr>
          <w:rFonts w:ascii="Garamond" w:eastAsia="MS Mincho" w:hAnsi="Garamond" w:cs="Times New Roman"/>
          <w:szCs w:val="24"/>
          <w:lang w:eastAsia="fr-RE"/>
        </w:rPr>
        <w:t>,</w:t>
      </w:r>
      <w:r w:rsidR="00134564" w:rsidRPr="00B457F5">
        <w:rPr>
          <w:rFonts w:ascii="Garamond" w:eastAsia="MS Mincho" w:hAnsi="Garamond" w:cs="Times New Roman"/>
          <w:szCs w:val="24"/>
          <w:lang w:eastAsia="fr-RE"/>
        </w:rPr>
        <w:t xml:space="preserve"> </w:t>
      </w:r>
      <w:r w:rsidRPr="00B457F5">
        <w:rPr>
          <w:rFonts w:ascii="Garamond" w:eastAsia="MS Mincho" w:hAnsi="Garamond" w:cs="Times New Roman"/>
          <w:szCs w:val="24"/>
          <w:lang w:eastAsia="fr-RE"/>
        </w:rPr>
        <w:t>në përputhje me standardet e BE</w:t>
      </w:r>
      <w:r w:rsidR="00134564" w:rsidRPr="00B457F5">
        <w:rPr>
          <w:rFonts w:ascii="Garamond" w:eastAsia="MS Mincho" w:hAnsi="Garamond" w:cs="Times New Roman"/>
          <w:szCs w:val="24"/>
          <w:lang w:eastAsia="fr-RE"/>
        </w:rPr>
        <w:t xml:space="preserve">-së, për identifikimin dhe </w:t>
      </w:r>
      <w:r w:rsidRPr="00B457F5">
        <w:rPr>
          <w:rFonts w:ascii="Garamond" w:eastAsia="MS Mincho" w:hAnsi="Garamond" w:cs="Times New Roman"/>
          <w:szCs w:val="24"/>
          <w:lang w:eastAsia="fr-RE"/>
        </w:rPr>
        <w:t xml:space="preserve">regjistrimin e </w:t>
      </w:r>
      <w:r w:rsidR="00134564" w:rsidRPr="00B457F5">
        <w:rPr>
          <w:rFonts w:ascii="Garamond" w:eastAsia="MS Mincho" w:hAnsi="Garamond" w:cs="Times New Roman"/>
          <w:szCs w:val="24"/>
          <w:lang w:eastAsia="fr-RE"/>
        </w:rPr>
        <w:t>flukseve të</w:t>
      </w:r>
      <w:r w:rsidRPr="00B457F5">
        <w:rPr>
          <w:rFonts w:ascii="Garamond" w:eastAsia="MS Mincho" w:hAnsi="Garamond" w:cs="Times New Roman"/>
          <w:szCs w:val="24"/>
          <w:lang w:eastAsia="fr-RE"/>
        </w:rPr>
        <w:t xml:space="preserve"> përziera migratore.</w:t>
      </w:r>
    </w:p>
    <w:p w14:paraId="6A2FE82C" w14:textId="428BFFAD" w:rsidR="0007734A" w:rsidRPr="00B457F5" w:rsidRDefault="0007734A" w:rsidP="002E693B">
      <w:pPr>
        <w:spacing w:before="0" w:after="0"/>
        <w:ind w:firstLine="284"/>
        <w:rPr>
          <w:rFonts w:ascii="Garamond" w:eastAsia="MS Mincho" w:hAnsi="Garamond" w:cs="Times New Roman"/>
          <w:szCs w:val="24"/>
          <w:lang w:eastAsia="fr-RE"/>
        </w:rPr>
      </w:pPr>
      <w:r w:rsidRPr="00B457F5">
        <w:rPr>
          <w:rFonts w:ascii="Garamond" w:eastAsia="MS Mincho" w:hAnsi="Garamond" w:cs="Times New Roman"/>
          <w:szCs w:val="24"/>
          <w:lang w:eastAsia="fr-RE"/>
        </w:rPr>
        <w:t xml:space="preserve">Duke pasur parasysh objektivin e zhvillimit të politikave afatgjata të migracionit bazuar në prova, </w:t>
      </w:r>
      <w:r w:rsidR="009169FC" w:rsidRPr="00B457F5">
        <w:rPr>
          <w:rFonts w:ascii="Garamond" w:eastAsia="MS Mincho" w:hAnsi="Garamond" w:cs="Times New Roman"/>
          <w:szCs w:val="24"/>
          <w:lang w:eastAsia="fr-RE"/>
        </w:rPr>
        <w:t xml:space="preserve">strategjia </w:t>
      </w:r>
      <w:r w:rsidRPr="00B457F5">
        <w:rPr>
          <w:rFonts w:ascii="Garamond" w:eastAsia="MS Mincho" w:hAnsi="Garamond" w:cs="Times New Roman"/>
          <w:szCs w:val="24"/>
          <w:lang w:eastAsia="fr-RE"/>
        </w:rPr>
        <w:t>parashikon përdorimin e mjeteve analitike gjithëpërfshirëse</w:t>
      </w:r>
      <w:r w:rsidR="00A21058" w:rsidRPr="00B457F5">
        <w:rPr>
          <w:rFonts w:ascii="Garamond" w:eastAsia="MS Mincho" w:hAnsi="Garamond" w:cs="Times New Roman"/>
          <w:szCs w:val="24"/>
          <w:lang w:eastAsia="fr-RE"/>
        </w:rPr>
        <w:t>, përkatësisht</w:t>
      </w:r>
      <w:r w:rsidRPr="00B457F5">
        <w:rPr>
          <w:rFonts w:ascii="Garamond" w:eastAsia="MS Mincho" w:hAnsi="Garamond" w:cs="Times New Roman"/>
          <w:szCs w:val="24"/>
          <w:lang w:eastAsia="fr-RE"/>
        </w:rPr>
        <w:t xml:space="preserve"> publikimin vjetor të një profili gjithëpërfshirës të migracionit dhe hartimin e një profili të zgjeruar çdo katër vjet. Përveç kësaj, duke marrë parasysh nevojën në rritje për aftësi specifike dhe profile arsimore</w:t>
      </w:r>
      <w:r w:rsidR="009169FC" w:rsidRPr="00B457F5">
        <w:rPr>
          <w:rFonts w:ascii="Garamond" w:eastAsia="MS Mincho" w:hAnsi="Garamond" w:cs="Times New Roman"/>
          <w:szCs w:val="24"/>
          <w:lang w:eastAsia="fr-RE"/>
        </w:rPr>
        <w:t>,</w:t>
      </w:r>
      <w:r w:rsidRPr="00B457F5">
        <w:rPr>
          <w:rFonts w:ascii="Garamond" w:eastAsia="MS Mincho" w:hAnsi="Garamond" w:cs="Times New Roman"/>
          <w:szCs w:val="24"/>
          <w:lang w:eastAsia="fr-RE"/>
        </w:rPr>
        <w:t xml:space="preserve"> dhe profesionale në tregun kombëtar të punës, nevojiten të dhëna për migracionin për motive punësimi për ofertën e punëtorëve</w:t>
      </w:r>
      <w:r w:rsidR="009169FC" w:rsidRPr="00B457F5">
        <w:rPr>
          <w:rFonts w:ascii="Garamond" w:eastAsia="MS Mincho" w:hAnsi="Garamond" w:cs="Times New Roman"/>
          <w:szCs w:val="24"/>
          <w:lang w:eastAsia="fr-RE"/>
        </w:rPr>
        <w:t>,</w:t>
      </w:r>
      <w:r w:rsidRPr="00B457F5">
        <w:rPr>
          <w:rFonts w:ascii="Garamond" w:eastAsia="MS Mincho" w:hAnsi="Garamond" w:cs="Times New Roman"/>
          <w:szCs w:val="24"/>
          <w:lang w:eastAsia="fr-RE"/>
        </w:rPr>
        <w:t xml:space="preserve"> si dhe për ndikimin më të gjerë soci</w:t>
      </w:r>
      <w:r w:rsidR="0038618F" w:rsidRPr="00B457F5">
        <w:rPr>
          <w:rFonts w:ascii="Garamond" w:eastAsia="MS Mincho" w:hAnsi="Garamond" w:cs="Times New Roman"/>
          <w:szCs w:val="24"/>
          <w:lang w:eastAsia="fr-RE"/>
        </w:rPr>
        <w:t>al</w:t>
      </w:r>
      <w:r w:rsidRPr="00B457F5">
        <w:rPr>
          <w:rFonts w:ascii="Garamond" w:eastAsia="MS Mincho" w:hAnsi="Garamond" w:cs="Times New Roman"/>
          <w:szCs w:val="24"/>
          <w:lang w:eastAsia="fr-RE"/>
        </w:rPr>
        <w:t xml:space="preserve">-ekonomik të emigrimit. Strategjia e re synon gjithashtu të plotësojë </w:t>
      </w:r>
      <w:r w:rsidR="008D17D5" w:rsidRPr="00B457F5">
        <w:rPr>
          <w:rFonts w:ascii="Garamond" w:eastAsia="MS Mincho" w:hAnsi="Garamond" w:cs="Times New Roman"/>
          <w:szCs w:val="24"/>
          <w:lang w:eastAsia="fr-RE"/>
        </w:rPr>
        <w:t>man</w:t>
      </w:r>
      <w:r w:rsidR="00865941" w:rsidRPr="00B457F5">
        <w:rPr>
          <w:rFonts w:ascii="Garamond" w:eastAsia="MS Mincho" w:hAnsi="Garamond" w:cs="Times New Roman"/>
          <w:szCs w:val="24"/>
          <w:lang w:eastAsia="fr-RE"/>
        </w:rPr>
        <w:t>gësitë</w:t>
      </w:r>
      <w:r w:rsidR="008D17D5" w:rsidRPr="00B457F5">
        <w:rPr>
          <w:rFonts w:ascii="Garamond" w:eastAsia="MS Mincho" w:hAnsi="Garamond" w:cs="Times New Roman"/>
          <w:szCs w:val="24"/>
          <w:lang w:eastAsia="fr-RE"/>
        </w:rPr>
        <w:t xml:space="preserve"> </w:t>
      </w:r>
      <w:r w:rsidRPr="00B457F5">
        <w:rPr>
          <w:rFonts w:ascii="Garamond" w:eastAsia="MS Mincho" w:hAnsi="Garamond" w:cs="Times New Roman"/>
          <w:szCs w:val="24"/>
          <w:lang w:eastAsia="fr-RE"/>
        </w:rPr>
        <w:t>në njohuri</w:t>
      </w:r>
      <w:r w:rsidR="009169FC" w:rsidRPr="00B457F5">
        <w:rPr>
          <w:rFonts w:ascii="Garamond" w:eastAsia="MS Mincho" w:hAnsi="Garamond" w:cs="Times New Roman"/>
          <w:szCs w:val="24"/>
          <w:lang w:eastAsia="fr-RE"/>
        </w:rPr>
        <w:t>,</w:t>
      </w:r>
      <w:r w:rsidRPr="00B457F5">
        <w:rPr>
          <w:rFonts w:ascii="Garamond" w:eastAsia="MS Mincho" w:hAnsi="Garamond" w:cs="Times New Roman"/>
          <w:szCs w:val="24"/>
          <w:lang w:eastAsia="fr-RE"/>
        </w:rPr>
        <w:t xml:space="preserve"> </w:t>
      </w:r>
      <w:r w:rsidR="00865941" w:rsidRPr="00B457F5">
        <w:rPr>
          <w:rFonts w:ascii="Garamond" w:eastAsia="MS Mincho" w:hAnsi="Garamond" w:cs="Times New Roman"/>
          <w:szCs w:val="24"/>
          <w:lang w:eastAsia="fr-RE"/>
        </w:rPr>
        <w:t>lidhur me masën</w:t>
      </w:r>
      <w:r w:rsidR="0006016F" w:rsidRPr="00B457F5">
        <w:rPr>
          <w:rFonts w:ascii="Garamond" w:eastAsia="MS Mincho" w:hAnsi="Garamond" w:cs="Times New Roman"/>
          <w:szCs w:val="24"/>
          <w:lang w:eastAsia="fr-RE"/>
        </w:rPr>
        <w:t xml:space="preserve"> </w:t>
      </w:r>
      <w:r w:rsidRPr="00B457F5">
        <w:rPr>
          <w:rFonts w:ascii="Garamond" w:eastAsia="MS Mincho" w:hAnsi="Garamond" w:cs="Times New Roman"/>
          <w:szCs w:val="24"/>
          <w:lang w:eastAsia="fr-RE"/>
        </w:rPr>
        <w:t>dhe përbërjen e stokut të emigrantëve shqiptarë jashtë vendit</w:t>
      </w:r>
      <w:r w:rsidR="00865941" w:rsidRPr="00B457F5">
        <w:rPr>
          <w:rFonts w:ascii="Garamond" w:eastAsia="MS Mincho" w:hAnsi="Garamond" w:cs="Times New Roman"/>
          <w:szCs w:val="24"/>
          <w:lang w:eastAsia="fr-RE"/>
        </w:rPr>
        <w:t>.</w:t>
      </w:r>
      <w:r w:rsidRPr="00B457F5">
        <w:rPr>
          <w:rFonts w:ascii="Garamond" w:eastAsia="MS Mincho" w:hAnsi="Garamond" w:cs="Times New Roman"/>
          <w:szCs w:val="24"/>
          <w:lang w:eastAsia="fr-RE"/>
        </w:rPr>
        <w:t xml:space="preserve"> MEPJ</w:t>
      </w:r>
      <w:r w:rsidR="009169FC" w:rsidRPr="00B457F5">
        <w:rPr>
          <w:rFonts w:ascii="Garamond" w:eastAsia="MS Mincho" w:hAnsi="Garamond" w:cs="Times New Roman"/>
          <w:szCs w:val="24"/>
          <w:lang w:eastAsia="fr-RE"/>
        </w:rPr>
        <w:t>-ja</w:t>
      </w:r>
      <w:r w:rsidRPr="00B457F5">
        <w:rPr>
          <w:rFonts w:ascii="Garamond" w:eastAsia="MS Mincho" w:hAnsi="Garamond" w:cs="Times New Roman"/>
          <w:szCs w:val="24"/>
          <w:lang w:eastAsia="fr-RE"/>
        </w:rPr>
        <w:t xml:space="preserve"> do të ngarkohet </w:t>
      </w:r>
      <w:r w:rsidR="00865941" w:rsidRPr="00B457F5">
        <w:rPr>
          <w:rFonts w:ascii="Garamond" w:eastAsia="MS Mincho" w:hAnsi="Garamond" w:cs="Times New Roman"/>
          <w:szCs w:val="24"/>
          <w:lang w:eastAsia="fr-RE"/>
        </w:rPr>
        <w:t>me detyrën e</w:t>
      </w:r>
      <w:r w:rsidR="0006016F" w:rsidRPr="00B457F5">
        <w:rPr>
          <w:rFonts w:ascii="Garamond" w:eastAsia="MS Mincho" w:hAnsi="Garamond" w:cs="Times New Roman"/>
          <w:szCs w:val="24"/>
          <w:lang w:eastAsia="fr-RE"/>
        </w:rPr>
        <w:t xml:space="preserve"> </w:t>
      </w:r>
      <w:r w:rsidRPr="00B457F5">
        <w:rPr>
          <w:rFonts w:ascii="Garamond" w:eastAsia="MS Mincho" w:hAnsi="Garamond" w:cs="Times New Roman"/>
          <w:szCs w:val="24"/>
          <w:lang w:eastAsia="fr-RE"/>
        </w:rPr>
        <w:t>mbledh</w:t>
      </w:r>
      <w:r w:rsidR="00865941" w:rsidRPr="00B457F5">
        <w:rPr>
          <w:rFonts w:ascii="Garamond" w:eastAsia="MS Mincho" w:hAnsi="Garamond" w:cs="Times New Roman"/>
          <w:szCs w:val="24"/>
          <w:lang w:eastAsia="fr-RE"/>
        </w:rPr>
        <w:t>jes së</w:t>
      </w:r>
      <w:r w:rsidRPr="00B457F5">
        <w:rPr>
          <w:rFonts w:ascii="Garamond" w:eastAsia="MS Mincho" w:hAnsi="Garamond" w:cs="Times New Roman"/>
          <w:szCs w:val="24"/>
          <w:lang w:eastAsia="fr-RE"/>
        </w:rPr>
        <w:t xml:space="preserve"> të dhëna</w:t>
      </w:r>
      <w:r w:rsidR="00C23882" w:rsidRPr="00B457F5">
        <w:rPr>
          <w:rFonts w:ascii="Garamond" w:eastAsia="MS Mincho" w:hAnsi="Garamond" w:cs="Times New Roman"/>
          <w:szCs w:val="24"/>
          <w:lang w:eastAsia="fr-RE"/>
        </w:rPr>
        <w:t>ve</w:t>
      </w:r>
      <w:r w:rsidRPr="00B457F5">
        <w:rPr>
          <w:rFonts w:ascii="Garamond" w:eastAsia="MS Mincho" w:hAnsi="Garamond" w:cs="Times New Roman"/>
          <w:szCs w:val="24"/>
          <w:lang w:eastAsia="fr-RE"/>
        </w:rPr>
        <w:t xml:space="preserve"> për shtetasit me status të rregullt dhe të parregullt, fëmijët e pashoqëruar dhe shtetasit shqiptarë të dënuar ose të ndaluar për rihyrje.</w:t>
      </w:r>
    </w:p>
    <w:p w14:paraId="2F9BE3A1" w14:textId="7DEC2050" w:rsidR="0007734A" w:rsidRPr="00B457F5" w:rsidRDefault="0007734A"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Objektivi i tretë</w:t>
      </w:r>
      <w:r w:rsidRPr="00B457F5">
        <w:rPr>
          <w:rFonts w:ascii="Garamond" w:eastAsia="MS Mincho" w:hAnsi="Garamond" w:cs="Times New Roman"/>
          <w:i/>
          <w:iCs/>
          <w:szCs w:val="24"/>
        </w:rPr>
        <w:t xml:space="preserve"> </w:t>
      </w:r>
      <w:r w:rsidRPr="00B457F5">
        <w:rPr>
          <w:rFonts w:ascii="Garamond" w:eastAsia="MS Mincho" w:hAnsi="Garamond" w:cs="Times New Roman"/>
          <w:bCs/>
          <w:i/>
          <w:iCs/>
          <w:szCs w:val="24"/>
        </w:rPr>
        <w:t>(</w:t>
      </w:r>
      <w:r w:rsidR="009169FC" w:rsidRPr="00B457F5">
        <w:rPr>
          <w:rFonts w:ascii="Garamond" w:eastAsia="MS Mincho" w:hAnsi="Garamond" w:cs="Times New Roman"/>
          <w:bCs/>
          <w:i/>
          <w:iCs/>
          <w:szCs w:val="24"/>
        </w:rPr>
        <w:t>f</w:t>
      </w:r>
      <w:r w:rsidRPr="00B457F5">
        <w:rPr>
          <w:rFonts w:ascii="Garamond" w:eastAsia="MS Mincho" w:hAnsi="Garamond" w:cs="Times New Roman"/>
          <w:bCs/>
          <w:i/>
          <w:iCs/>
          <w:szCs w:val="24"/>
        </w:rPr>
        <w:t>orcimi i bashkëpunimit ndërkombëtar dhe partneriteteve globale për migrimin e sigurt dhe të rregullt)</w:t>
      </w:r>
      <w:r w:rsidRPr="00B457F5">
        <w:rPr>
          <w:rFonts w:ascii="Garamond" w:eastAsia="MS Mincho" w:hAnsi="Garamond" w:cs="Times New Roman"/>
          <w:i/>
          <w:iCs/>
          <w:szCs w:val="24"/>
        </w:rPr>
        <w:t xml:space="preserve"> </w:t>
      </w:r>
      <w:r w:rsidRPr="00B457F5">
        <w:rPr>
          <w:rFonts w:ascii="Garamond" w:eastAsia="MS Mincho" w:hAnsi="Garamond" w:cs="Times New Roman"/>
          <w:szCs w:val="24"/>
        </w:rPr>
        <w:t>thekson rëndësinë e nxitjes së bashkëpunimit ndërkombëtar dhe pjesëmarrjen e Shqipërisë në partneritetet globale</w:t>
      </w:r>
      <w:r w:rsidR="009169FC" w:rsidRPr="00B457F5">
        <w:rPr>
          <w:rFonts w:ascii="Garamond" w:eastAsia="MS Mincho" w:hAnsi="Garamond" w:cs="Times New Roman"/>
          <w:szCs w:val="24"/>
        </w:rPr>
        <w:t>,</w:t>
      </w:r>
      <w:r w:rsidRPr="00B457F5">
        <w:rPr>
          <w:rFonts w:ascii="Garamond" w:eastAsia="MS Mincho" w:hAnsi="Garamond" w:cs="Times New Roman"/>
          <w:szCs w:val="24"/>
        </w:rPr>
        <w:t xml:space="preserve"> për të garantuar që </w:t>
      </w:r>
      <w:r w:rsidRPr="007814B4">
        <w:rPr>
          <w:rFonts w:ascii="Garamond" w:eastAsia="MS Mincho" w:hAnsi="Garamond" w:cs="Times New Roman"/>
          <w:szCs w:val="24"/>
        </w:rPr>
        <w:t>migrimi të jetë i sigurt, i rregullt dhe i rregullt</w:t>
      </w:r>
      <w:r w:rsidR="00A21058" w:rsidRPr="007814B4">
        <w:rPr>
          <w:rFonts w:ascii="Garamond" w:eastAsia="MS Mincho" w:hAnsi="Garamond" w:cs="Times New Roman"/>
          <w:szCs w:val="24"/>
        </w:rPr>
        <w:t xml:space="preserve">. </w:t>
      </w:r>
      <w:r w:rsidRPr="007814B4">
        <w:rPr>
          <w:rFonts w:ascii="Garamond" w:eastAsia="MS Mincho" w:hAnsi="Garamond" w:cs="Times New Roman"/>
          <w:szCs w:val="24"/>
        </w:rPr>
        <w:t>Ky objektiv</w:t>
      </w:r>
      <w:r w:rsidRPr="00B457F5">
        <w:rPr>
          <w:rFonts w:ascii="Garamond" w:eastAsia="MS Mincho" w:hAnsi="Garamond" w:cs="Times New Roman"/>
          <w:szCs w:val="24"/>
        </w:rPr>
        <w:t xml:space="preserve"> është në thelb të GCM-së</w:t>
      </w:r>
      <w:r w:rsidR="009169FC" w:rsidRPr="00B457F5">
        <w:rPr>
          <w:rFonts w:ascii="Garamond" w:eastAsia="MS Mincho" w:hAnsi="Garamond" w:cs="Times New Roman"/>
          <w:szCs w:val="24"/>
        </w:rPr>
        <w:t>,</w:t>
      </w:r>
      <w:r w:rsidRPr="00B457F5">
        <w:rPr>
          <w:rFonts w:ascii="Garamond" w:eastAsia="MS Mincho" w:hAnsi="Garamond" w:cs="Times New Roman"/>
          <w:szCs w:val="24"/>
        </w:rPr>
        <w:t xml:space="preserve"> si dhe mbështet detyrimet e vendit në kuadër të proceseve rajonale dhe ndërkombëtare, interesin për zbatimin e mëtejshëm dhe përfundimin e aranzhimeve të punës për kthimin dhe ripranimin (siç përcaktohet në Strategjinë e BE-së për Kthimin Vullnetar dhe Riintegrimin).</w:t>
      </w:r>
    </w:p>
    <w:p w14:paraId="4647DBBA" w14:textId="6BA5A361" w:rsidR="0007734A" w:rsidRPr="00B457F5" w:rsidRDefault="004A6BB7"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Në </w:t>
      </w:r>
      <w:r w:rsidR="0007734A" w:rsidRPr="00B457F5">
        <w:rPr>
          <w:rFonts w:ascii="Garamond" w:eastAsia="MS Mincho" w:hAnsi="Garamond" w:cs="Times New Roman"/>
          <w:szCs w:val="24"/>
        </w:rPr>
        <w:t xml:space="preserve">kuadër të </w:t>
      </w:r>
      <w:r w:rsidRPr="00B457F5">
        <w:rPr>
          <w:rFonts w:ascii="Garamond" w:eastAsia="MS Mincho" w:hAnsi="Garamond" w:cs="Times New Roman"/>
          <w:bCs/>
          <w:i/>
          <w:szCs w:val="24"/>
        </w:rPr>
        <w:t xml:space="preserve">objektivit specifik </w:t>
      </w:r>
      <w:r w:rsidR="0007734A" w:rsidRPr="00B457F5">
        <w:rPr>
          <w:rFonts w:ascii="Garamond" w:eastAsia="MS Mincho" w:hAnsi="Garamond" w:cs="Times New Roman"/>
          <w:bCs/>
          <w:i/>
          <w:szCs w:val="24"/>
        </w:rPr>
        <w:t>1.3</w:t>
      </w:r>
      <w:r w:rsidR="0007734A" w:rsidRPr="00B457F5">
        <w:rPr>
          <w:rFonts w:ascii="Garamond" w:eastAsia="MS Mincho" w:hAnsi="Garamond" w:cs="Times New Roman"/>
          <w:i/>
          <w:szCs w:val="24"/>
        </w:rPr>
        <w:t>,</w:t>
      </w:r>
      <w:r w:rsidR="0007734A" w:rsidRPr="00B457F5">
        <w:rPr>
          <w:rFonts w:ascii="Garamond" w:eastAsia="MS Mincho" w:hAnsi="Garamond" w:cs="Times New Roman"/>
          <w:szCs w:val="24"/>
        </w:rPr>
        <w:t xml:space="preserve"> janë planifikuar masat e mëposhtme prioritare:</w:t>
      </w:r>
    </w:p>
    <w:p w14:paraId="69DDA6EF" w14:textId="6F56A71A" w:rsidR="00151C91" w:rsidRPr="00B457F5" w:rsidRDefault="00433841" w:rsidP="002E693B">
      <w:pPr>
        <w:autoSpaceDE w:val="0"/>
        <w:autoSpaceDN w:val="0"/>
        <w:adjustRightInd w:val="0"/>
        <w:spacing w:before="0" w:after="0"/>
        <w:ind w:firstLine="284"/>
        <w:jc w:val="left"/>
        <w:rPr>
          <w:rFonts w:ascii="Garamond" w:eastAsiaTheme="minorHAnsi" w:hAnsi="Garamond" w:cs="Times New Roman"/>
          <w:color w:val="000000"/>
          <w:szCs w:val="24"/>
        </w:rPr>
      </w:pPr>
      <w:r w:rsidRPr="00B457F5">
        <w:rPr>
          <w:rFonts w:ascii="Garamond" w:eastAsiaTheme="minorHAnsi" w:hAnsi="Garamond" w:cs="Wingdings"/>
          <w:color w:val="000000"/>
          <w:szCs w:val="24"/>
        </w:rPr>
        <w:t xml:space="preserve">- </w:t>
      </w:r>
      <w:r w:rsidR="00151C91" w:rsidRPr="00B457F5">
        <w:rPr>
          <w:rFonts w:ascii="Garamond" w:eastAsiaTheme="minorHAnsi" w:hAnsi="Garamond" w:cs="Times New Roman"/>
          <w:color w:val="000000"/>
          <w:szCs w:val="24"/>
        </w:rPr>
        <w:t>Pjesëmarrja në proceset rajonale dhe ndërkombëtare;</w:t>
      </w:r>
    </w:p>
    <w:p w14:paraId="775A1728" w14:textId="5E5D6833" w:rsidR="00151C91" w:rsidRPr="00B457F5" w:rsidRDefault="00433841" w:rsidP="002E693B">
      <w:pPr>
        <w:autoSpaceDE w:val="0"/>
        <w:autoSpaceDN w:val="0"/>
        <w:adjustRightInd w:val="0"/>
        <w:spacing w:before="0" w:after="0"/>
        <w:ind w:firstLine="284"/>
        <w:jc w:val="left"/>
        <w:rPr>
          <w:rFonts w:ascii="Garamond" w:eastAsiaTheme="minorHAnsi" w:hAnsi="Garamond" w:cs="Times New Roman"/>
          <w:color w:val="000000"/>
          <w:szCs w:val="24"/>
        </w:rPr>
      </w:pPr>
      <w:r w:rsidRPr="00B457F5">
        <w:rPr>
          <w:rFonts w:ascii="Garamond" w:eastAsiaTheme="minorHAnsi" w:hAnsi="Garamond" w:cs="Wingdings"/>
          <w:color w:val="000000"/>
          <w:szCs w:val="24"/>
        </w:rPr>
        <w:t xml:space="preserve">- </w:t>
      </w:r>
      <w:r w:rsidR="00151C91" w:rsidRPr="00B457F5">
        <w:rPr>
          <w:rFonts w:ascii="Garamond" w:eastAsiaTheme="minorHAnsi" w:hAnsi="Garamond" w:cs="Times New Roman"/>
          <w:color w:val="000000"/>
          <w:szCs w:val="24"/>
        </w:rPr>
        <w:t>Krijimi i partneriteteve të reja për migracionin për motive punësimi.</w:t>
      </w:r>
    </w:p>
    <w:p w14:paraId="1624ADA7" w14:textId="66A08848" w:rsidR="0007734A" w:rsidRPr="00B457F5" w:rsidRDefault="0007734A"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Objektivi 23 i GCM</w:t>
      </w:r>
      <w:r w:rsidR="00186D70" w:rsidRPr="00B457F5">
        <w:rPr>
          <w:rFonts w:ascii="Garamond" w:eastAsia="MS Mincho" w:hAnsi="Garamond" w:cs="Times New Roman"/>
          <w:szCs w:val="24"/>
        </w:rPr>
        <w:t>-së</w:t>
      </w:r>
      <w:r w:rsidRPr="00B457F5">
        <w:rPr>
          <w:rFonts w:ascii="Garamond" w:eastAsia="MS Mincho" w:hAnsi="Garamond" w:cs="Times New Roman"/>
          <w:szCs w:val="24"/>
        </w:rPr>
        <w:t xml:space="preserve"> thekson solidaritetin midis vendeve të origjinës, tranzitit dhe destinacionit të migrantëve</w:t>
      </w:r>
      <w:r w:rsidR="009169FC" w:rsidRPr="00B457F5">
        <w:rPr>
          <w:rFonts w:ascii="Garamond" w:eastAsia="MS Mincho" w:hAnsi="Garamond" w:cs="Times New Roman"/>
          <w:szCs w:val="24"/>
        </w:rPr>
        <w:t>,</w:t>
      </w:r>
      <w:r w:rsidRPr="00B457F5">
        <w:rPr>
          <w:rFonts w:ascii="Garamond" w:eastAsia="MS Mincho" w:hAnsi="Garamond" w:cs="Times New Roman"/>
          <w:szCs w:val="24"/>
        </w:rPr>
        <w:t xml:space="preserve"> dhe bën thirrje për </w:t>
      </w:r>
      <w:r w:rsidR="00A313AE" w:rsidRPr="00B457F5">
        <w:rPr>
          <w:rFonts w:ascii="Garamond" w:eastAsia="MS Mincho" w:hAnsi="Garamond" w:cs="Times New Roman"/>
          <w:szCs w:val="24"/>
        </w:rPr>
        <w:t>“</w:t>
      </w:r>
      <w:r w:rsidRPr="00B457F5">
        <w:rPr>
          <w:rFonts w:ascii="Garamond" w:eastAsia="MS Mincho" w:hAnsi="Garamond" w:cs="Times New Roman"/>
          <w:szCs w:val="24"/>
        </w:rPr>
        <w:t>përfshirjen e të gjithë aktorëve përkatës</w:t>
      </w:r>
      <w:r w:rsidR="00A313AE" w:rsidRPr="00B457F5">
        <w:rPr>
          <w:rFonts w:ascii="Garamond" w:eastAsia="MS Mincho" w:hAnsi="Garamond" w:cs="Times New Roman"/>
          <w:szCs w:val="24"/>
        </w:rPr>
        <w:t>”</w:t>
      </w:r>
      <w:r w:rsidRPr="00B457F5">
        <w:rPr>
          <w:rFonts w:ascii="Garamond" w:eastAsia="MS Mincho" w:hAnsi="Garamond" w:cs="Times New Roman"/>
          <w:szCs w:val="24"/>
        </w:rPr>
        <w:t xml:space="preserve">, duke theksuar veçanërisht rolin e autoriteteve </w:t>
      </w:r>
      <w:r w:rsidR="00DD4590" w:rsidRPr="00B457F5">
        <w:rPr>
          <w:rFonts w:ascii="Garamond" w:eastAsia="MS Mincho" w:hAnsi="Garamond" w:cs="Times New Roman"/>
          <w:szCs w:val="24"/>
        </w:rPr>
        <w:t xml:space="preserve">vendore </w:t>
      </w:r>
      <w:r w:rsidRPr="00B457F5">
        <w:rPr>
          <w:rFonts w:ascii="Garamond" w:eastAsia="MS Mincho" w:hAnsi="Garamond" w:cs="Times New Roman"/>
          <w:szCs w:val="24"/>
        </w:rPr>
        <w:t>për të lidhur</w:t>
      </w:r>
      <w:r w:rsidR="0006016F" w:rsidRPr="00B457F5">
        <w:rPr>
          <w:rFonts w:ascii="Garamond" w:eastAsia="MS Mincho" w:hAnsi="Garamond" w:cs="Times New Roman"/>
          <w:szCs w:val="24"/>
        </w:rPr>
        <w:t xml:space="preserve"> </w:t>
      </w:r>
      <w:r w:rsidRPr="00B457F5">
        <w:rPr>
          <w:rFonts w:ascii="Garamond" w:eastAsia="MS Mincho" w:hAnsi="Garamond" w:cs="Times New Roman"/>
          <w:szCs w:val="24"/>
        </w:rPr>
        <w:t>migrimin me zhvillimin. Për më tepër, ai nënvizon se vetëm përmes përfundimit dhe zbatimit të partneriteteve dypalëshe, rajonale dhe shumëpalëshe mund të zhvillohen zgjidhje për sfidat e përbashkëta të migracionit. Arritjet e fundit në bashkëpunimin rajonal të Ballkanit Perëndimor përfshijnë Deklaratën e Shkupit të vitit 2022 dhe Dialogun e Migracionit të Sarajevës të vitit 2023. Këto dokumente strategjike riafirmojnë përkushtimin e vendeve të rajonit për të trajtuar së bashku sfidat e migracionit të parregullt, rritjen e aksesit në rrugët ligjore për migrantët dhe bashkëpunimin drejt zhvillimit të një qasjeje gjithëpërfshirëse të menaxhimit të kthimit.</w:t>
      </w:r>
    </w:p>
    <w:p w14:paraId="1E8B1A37" w14:textId="0AC649C1" w:rsidR="0007734A" w:rsidRPr="00B457F5" w:rsidRDefault="0007734A"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Palët e </w:t>
      </w:r>
      <w:r w:rsidR="00BB5D69" w:rsidRPr="00B457F5">
        <w:rPr>
          <w:rFonts w:ascii="Garamond" w:eastAsia="MS Mincho" w:hAnsi="Garamond" w:cs="Times New Roman"/>
          <w:szCs w:val="24"/>
        </w:rPr>
        <w:t xml:space="preserve">interesit </w:t>
      </w:r>
      <w:r w:rsidR="00186D70" w:rsidRPr="00B457F5">
        <w:rPr>
          <w:rFonts w:ascii="Garamond" w:eastAsia="MS Mincho" w:hAnsi="Garamond" w:cs="Times New Roman"/>
          <w:szCs w:val="24"/>
        </w:rPr>
        <w:t>në Shqipëri</w:t>
      </w:r>
      <w:r w:rsidRPr="00B457F5">
        <w:rPr>
          <w:rFonts w:ascii="Garamond" w:eastAsia="MS Mincho" w:hAnsi="Garamond" w:cs="Times New Roman"/>
          <w:szCs w:val="24"/>
        </w:rPr>
        <w:t xml:space="preserve"> kanë vendosur</w:t>
      </w:r>
      <w:r w:rsidR="009169FC" w:rsidRPr="00B457F5">
        <w:rPr>
          <w:rFonts w:ascii="Garamond" w:eastAsia="MS Mincho" w:hAnsi="Garamond" w:cs="Times New Roman"/>
          <w:szCs w:val="24"/>
        </w:rPr>
        <w:t>,</w:t>
      </w:r>
      <w:r w:rsidRPr="00B457F5">
        <w:rPr>
          <w:rFonts w:ascii="Garamond" w:eastAsia="MS Mincho" w:hAnsi="Garamond" w:cs="Times New Roman"/>
          <w:szCs w:val="24"/>
        </w:rPr>
        <w:t xml:space="preserve"> në kuadër të objektivit të tretë</w:t>
      </w:r>
      <w:r w:rsidR="00D040A8" w:rsidRPr="00B457F5">
        <w:rPr>
          <w:rFonts w:ascii="Garamond" w:eastAsia="MS Mincho" w:hAnsi="Garamond" w:cs="Times New Roman"/>
          <w:szCs w:val="24"/>
        </w:rPr>
        <w:t xml:space="preserve"> të që</w:t>
      </w:r>
      <w:r w:rsidRPr="00B457F5">
        <w:rPr>
          <w:rFonts w:ascii="Garamond" w:eastAsia="MS Mincho" w:hAnsi="Garamond" w:cs="Times New Roman"/>
          <w:szCs w:val="24"/>
        </w:rPr>
        <w:t>llimit t</w:t>
      </w:r>
      <w:r w:rsidR="00186D70" w:rsidRPr="00B457F5">
        <w:rPr>
          <w:rFonts w:ascii="Garamond" w:eastAsia="MS Mincho" w:hAnsi="Garamond" w:cs="Times New Roman"/>
          <w:szCs w:val="24"/>
        </w:rPr>
        <w:t>ë</w:t>
      </w:r>
      <w:r w:rsidRPr="00B457F5">
        <w:rPr>
          <w:rFonts w:ascii="Garamond" w:eastAsia="MS Mincho" w:hAnsi="Garamond" w:cs="Times New Roman"/>
          <w:szCs w:val="24"/>
        </w:rPr>
        <w:t xml:space="preserve"> par</w:t>
      </w:r>
      <w:r w:rsidR="00186D70" w:rsidRPr="00B457F5">
        <w:rPr>
          <w:rFonts w:ascii="Garamond" w:eastAsia="MS Mincho" w:hAnsi="Garamond" w:cs="Times New Roman"/>
          <w:szCs w:val="24"/>
        </w:rPr>
        <w:t>ë</w:t>
      </w:r>
      <w:r w:rsidRPr="00B457F5">
        <w:rPr>
          <w:rFonts w:ascii="Garamond" w:eastAsia="MS Mincho" w:hAnsi="Garamond" w:cs="Times New Roman"/>
          <w:szCs w:val="24"/>
        </w:rPr>
        <w:t xml:space="preserve"> t</w:t>
      </w:r>
      <w:r w:rsidR="00186D70" w:rsidRPr="00B457F5">
        <w:rPr>
          <w:rFonts w:ascii="Garamond" w:eastAsia="MS Mincho" w:hAnsi="Garamond" w:cs="Times New Roman"/>
          <w:szCs w:val="24"/>
        </w:rPr>
        <w:t>ë</w:t>
      </w:r>
      <w:r w:rsidRPr="00B457F5">
        <w:rPr>
          <w:rFonts w:ascii="Garamond" w:eastAsia="MS Mincho" w:hAnsi="Garamond" w:cs="Times New Roman"/>
          <w:szCs w:val="24"/>
        </w:rPr>
        <w:t xml:space="preserve"> politik</w:t>
      </w:r>
      <w:r w:rsidR="00186D70" w:rsidRPr="00B457F5">
        <w:rPr>
          <w:rFonts w:ascii="Garamond" w:eastAsia="MS Mincho" w:hAnsi="Garamond" w:cs="Times New Roman"/>
          <w:szCs w:val="24"/>
        </w:rPr>
        <w:t>ë</w:t>
      </w:r>
      <w:r w:rsidRPr="00B457F5">
        <w:rPr>
          <w:rFonts w:ascii="Garamond" w:eastAsia="MS Mincho" w:hAnsi="Garamond" w:cs="Times New Roman"/>
          <w:szCs w:val="24"/>
        </w:rPr>
        <w:t>s, të vazhdojnë të marrin pjesë aktive dhe të intensifikojnë përfshirjen e tyre në proceset rajonale dhe ndërkombëtare për të forcuar partneritetet për migrim të sigurt dhe të rregullt. Ndër aktivitetet e parashikuara janë raportimi i zgjeruar për pjesëmarrjen e Shqipërisë në proceset rajonale dhe ndërkombëtare për çështjet e migracionit në nivel teknik dhe menaxherial. Kontributi i këtyre proceseve drejt përmirësimit të politikës kombëtare të migracionit dhe kuadrit ligjor</w:t>
      </w:r>
      <w:r w:rsidR="009169FC" w:rsidRPr="00B457F5">
        <w:rPr>
          <w:rFonts w:ascii="Garamond" w:eastAsia="MS Mincho" w:hAnsi="Garamond" w:cs="Times New Roman"/>
          <w:szCs w:val="24"/>
        </w:rPr>
        <w:t>,</w:t>
      </w:r>
      <w:r w:rsidRPr="00B457F5">
        <w:rPr>
          <w:rFonts w:ascii="Garamond" w:eastAsia="MS Mincho" w:hAnsi="Garamond" w:cs="Times New Roman"/>
          <w:szCs w:val="24"/>
        </w:rPr>
        <w:t xml:space="preserve"> duhet të vlerësohet dhe pas një rishikimi të partneriteteve aktuale, mund të bëhen plane për ndërmjetësimin e lidhjeve të reja institucionale.</w:t>
      </w:r>
    </w:p>
    <w:p w14:paraId="21F78505" w14:textId="05140543" w:rsidR="0007734A" w:rsidRPr="00B457F5" w:rsidRDefault="0007734A"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Një fushë me </w:t>
      </w:r>
      <w:r w:rsidR="00A16BD7" w:rsidRPr="00B457F5">
        <w:rPr>
          <w:rFonts w:ascii="Garamond" w:eastAsia="MS Mincho" w:hAnsi="Garamond" w:cs="Times New Roman"/>
          <w:szCs w:val="24"/>
        </w:rPr>
        <w:t xml:space="preserve">rëndësi </w:t>
      </w:r>
      <w:r w:rsidRPr="00B457F5">
        <w:rPr>
          <w:rFonts w:ascii="Garamond" w:eastAsia="MS Mincho" w:hAnsi="Garamond" w:cs="Times New Roman"/>
          <w:szCs w:val="24"/>
        </w:rPr>
        <w:t>të veçantë për zbatimin e partneriteteve dypalëshe, rajonale dhe ndërkombëtare është bashkëpunimi drejt kthimit dhe ripranimit të sigurt dhe dinjitoz. Në përputhje me objektivin 21 të GCM</w:t>
      </w:r>
      <w:r w:rsidR="009169FC" w:rsidRPr="00B457F5">
        <w:rPr>
          <w:rFonts w:ascii="Garamond" w:eastAsia="MS Mincho" w:hAnsi="Garamond" w:cs="Times New Roman"/>
          <w:szCs w:val="24"/>
        </w:rPr>
        <w:t>-së</w:t>
      </w:r>
      <w:r w:rsidRPr="00B457F5">
        <w:rPr>
          <w:rFonts w:ascii="Garamond" w:eastAsia="MS Mincho" w:hAnsi="Garamond" w:cs="Times New Roman"/>
          <w:szCs w:val="24"/>
        </w:rPr>
        <w:t>, korniza të tilla bashkëpunimi mund të rrisin mbrojtjen e të drejtave të migrantëve,</w:t>
      </w:r>
      <w:r w:rsidR="00A313AE" w:rsidRPr="00B457F5">
        <w:rPr>
          <w:rFonts w:ascii="Garamond" w:eastAsia="MS Mincho" w:hAnsi="Garamond" w:cs="Times New Roman"/>
          <w:szCs w:val="24"/>
        </w:rPr>
        <w:t xml:space="preserve"> t’u </w:t>
      </w:r>
      <w:r w:rsidRPr="00B457F5">
        <w:rPr>
          <w:rFonts w:ascii="Garamond" w:eastAsia="MS Mincho" w:hAnsi="Garamond" w:cs="Times New Roman"/>
          <w:szCs w:val="24"/>
        </w:rPr>
        <w:t>përgjigjen nevojave specifike dhe të ofrojnë ndihmën e nevojshme konsullore, ligjore dhe riintegruese.</w:t>
      </w:r>
    </w:p>
    <w:p w14:paraId="16B407F3" w14:textId="6C1A7F61" w:rsidR="0007734A" w:rsidRPr="00B457F5" w:rsidRDefault="0007734A"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Masat e parashikuara në këtë fushë janë të lidhura ngushtë me objektivin e garantimit të migrimit të sigurt, të menaxhuar dhe të rregullt të shtetasve shqiptarë për qëllime pune. Së pari, partneritetet aktuale duhet të vlerësohen rregullisht</w:t>
      </w:r>
      <w:r w:rsidR="009169FC" w:rsidRPr="00B457F5">
        <w:rPr>
          <w:rFonts w:ascii="Garamond" w:eastAsia="MS Mincho" w:hAnsi="Garamond" w:cs="Times New Roman"/>
          <w:szCs w:val="24"/>
        </w:rPr>
        <w:t>,</w:t>
      </w:r>
      <w:r w:rsidRPr="00B457F5">
        <w:rPr>
          <w:rFonts w:ascii="Garamond" w:eastAsia="MS Mincho" w:hAnsi="Garamond" w:cs="Times New Roman"/>
          <w:szCs w:val="24"/>
        </w:rPr>
        <w:t xml:space="preserve"> në lidhje me ndikimin e tyre në aftësinë e vendit për të menaxhuar migracionin. Së dyti, parashikohet intensifikimi i bashkëpunimit me institucionet përgjegjëse të vendeve të tjera, si brenda rajonit të Ballkanit Perëndimor, ashtu edhe më gjerë, për të identifikuar mundësitë për akses në tregjet e punës. Së fundi, një sërë aktivitetesh janë planifikuar për përgatitjen, negocimin dhe lidhjen e marrëveshjeve dypalëshe për migracionin për motive punësimi, </w:t>
      </w:r>
      <w:r w:rsidRPr="00B457F5">
        <w:rPr>
          <w:rFonts w:ascii="Garamond" w:eastAsia="MS Mincho" w:hAnsi="Garamond" w:cs="Times New Roman"/>
          <w:szCs w:val="24"/>
        </w:rPr>
        <w:lastRenderedPageBreak/>
        <w:t>duke filluar me një vlerësim bazë të nevojave përmes identifikimit të vendeve prioritare (duke realizuar angazhimin nga strategjia e mëparshme) dhe përfundimin e marrëveshjeve në periudhën deri në vitin 2030.</w:t>
      </w:r>
    </w:p>
    <w:p w14:paraId="17CDDE7E" w14:textId="4F95943D" w:rsidR="006948C0" w:rsidRPr="00B457F5" w:rsidRDefault="0007734A" w:rsidP="002E693B">
      <w:pPr>
        <w:spacing w:before="0" w:after="0"/>
        <w:ind w:firstLine="284"/>
        <w:rPr>
          <w:rFonts w:ascii="Garamond" w:eastAsia="MS Mincho" w:hAnsi="Garamond" w:cs="Times New Roman"/>
          <w:szCs w:val="24"/>
        </w:rPr>
      </w:pPr>
      <w:r w:rsidRPr="00B457F5">
        <w:rPr>
          <w:rFonts w:ascii="Garamond" w:eastAsia="MS Mincho" w:hAnsi="Garamond" w:cs="Times New Roman"/>
          <w:i/>
          <w:iCs/>
          <w:szCs w:val="24"/>
        </w:rPr>
        <w:t xml:space="preserve">Objektivi i katërt </w:t>
      </w:r>
      <w:r w:rsidRPr="00B457F5">
        <w:rPr>
          <w:rFonts w:ascii="Garamond" w:eastAsia="MS Mincho" w:hAnsi="Garamond" w:cs="Times New Roman"/>
          <w:bCs/>
          <w:i/>
          <w:iCs/>
          <w:szCs w:val="24"/>
        </w:rPr>
        <w:t>(</w:t>
      </w:r>
      <w:r w:rsidR="004603C3" w:rsidRPr="00B457F5">
        <w:rPr>
          <w:rFonts w:ascii="Garamond" w:eastAsia="MS Mincho" w:hAnsi="Garamond" w:cs="Times New Roman"/>
          <w:bCs/>
          <w:i/>
          <w:iCs/>
          <w:szCs w:val="24"/>
        </w:rPr>
        <w:t>p</w:t>
      </w:r>
      <w:r w:rsidRPr="00B457F5">
        <w:rPr>
          <w:rFonts w:ascii="Garamond" w:eastAsia="MS Mincho" w:hAnsi="Garamond" w:cs="Times New Roman"/>
          <w:bCs/>
          <w:i/>
          <w:iCs/>
          <w:szCs w:val="24"/>
        </w:rPr>
        <w:t>arandalimi i fenomenit të migrimit të parregullt drejt dhe nga Shqipëria)</w:t>
      </w:r>
      <w:r w:rsidRPr="00B457F5">
        <w:rPr>
          <w:rFonts w:ascii="Garamond" w:eastAsia="MS Mincho" w:hAnsi="Garamond" w:cs="Times New Roman"/>
          <w:i/>
          <w:iCs/>
          <w:szCs w:val="24"/>
        </w:rPr>
        <w:t xml:space="preserve"> </w:t>
      </w:r>
      <w:r w:rsidR="00075FE6" w:rsidRPr="00B457F5">
        <w:rPr>
          <w:rFonts w:ascii="Garamond" w:eastAsia="MS Mincho" w:hAnsi="Garamond" w:cs="Times New Roman"/>
          <w:szCs w:val="24"/>
        </w:rPr>
        <w:t>është një aspekt thelbësor i pajtueshmërisë së vazhdueshme me kushtet e liberalizimit të vizave me BE-në.</w:t>
      </w:r>
    </w:p>
    <w:p w14:paraId="7A9014A0" w14:textId="0D1FC3EA" w:rsidR="006948C0" w:rsidRPr="00B457F5" w:rsidRDefault="00075FE6"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Në këtë kontekst, nevojiten përpjekje të vazhdueshme që Shqipëria të përmbushë kërkesat e përjashtimit nga vizat dhe </w:t>
      </w:r>
      <w:r w:rsidR="004A6BB7" w:rsidRPr="00B457F5">
        <w:rPr>
          <w:rFonts w:ascii="Garamond" w:eastAsia="MS Mincho" w:hAnsi="Garamond" w:cs="Times New Roman"/>
          <w:szCs w:val="24"/>
        </w:rPr>
        <w:t>q</w:t>
      </w:r>
      <w:r w:rsidRPr="00B457F5">
        <w:rPr>
          <w:rFonts w:ascii="Garamond" w:eastAsia="MS Mincho" w:hAnsi="Garamond" w:cs="Times New Roman"/>
          <w:szCs w:val="24"/>
        </w:rPr>
        <w:t>everia e Shqipërisë është e përkushtuar ndaj politikës afatgjatë të promovimit të migracionit të rregullt si i dobishëm</w:t>
      </w:r>
      <w:r w:rsidR="009169FC" w:rsidRPr="00B457F5">
        <w:rPr>
          <w:rFonts w:ascii="Garamond" w:eastAsia="MS Mincho" w:hAnsi="Garamond" w:cs="Times New Roman"/>
          <w:szCs w:val="24"/>
        </w:rPr>
        <w:t>,</w:t>
      </w:r>
      <w:r w:rsidRPr="00B457F5">
        <w:rPr>
          <w:rFonts w:ascii="Garamond" w:eastAsia="MS Mincho" w:hAnsi="Garamond" w:cs="Times New Roman"/>
          <w:szCs w:val="24"/>
        </w:rPr>
        <w:t xml:space="preserve"> si për migrantët, ashtu edhe për vendet e tyre të origjinës dhe destinacionit.</w:t>
      </w:r>
    </w:p>
    <w:p w14:paraId="3BD98587" w14:textId="02572AD7" w:rsidR="0007734A" w:rsidRPr="00B457F5" w:rsidRDefault="00075FE6"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Sipas raportit të fundit të monitorimit të pezullimit të vizave të Komisionit Evropian, në vitin 2021, u vunë re reduktime të mëtejshme të lëvizjeve të parregullta, pasi vendet anëtare të BE</w:t>
      </w:r>
      <w:r w:rsidR="009169FC" w:rsidRPr="00B457F5">
        <w:rPr>
          <w:rFonts w:ascii="Garamond" w:eastAsia="MS Mincho" w:hAnsi="Garamond" w:cs="Times New Roman"/>
          <w:szCs w:val="24"/>
        </w:rPr>
        <w:t>-së</w:t>
      </w:r>
      <w:r w:rsidRPr="00B457F5">
        <w:rPr>
          <w:rFonts w:ascii="Garamond" w:eastAsia="MS Mincho" w:hAnsi="Garamond" w:cs="Times New Roman"/>
          <w:szCs w:val="24"/>
        </w:rPr>
        <w:t xml:space="preserve"> raportuan 19% më pak kalime të parregullta kufitare dhe një rënie prej 8% në kthimet e shtetasve shqiptarë. Në të njëjtën kohë, mbetet shumë punë për</w:t>
      </w:r>
      <w:r w:rsidR="00A313AE" w:rsidRPr="00B457F5">
        <w:rPr>
          <w:rFonts w:ascii="Garamond" w:eastAsia="MS Mincho" w:hAnsi="Garamond" w:cs="Times New Roman"/>
          <w:szCs w:val="24"/>
        </w:rPr>
        <w:t xml:space="preserve"> t’u </w:t>
      </w:r>
      <w:r w:rsidRPr="00B457F5">
        <w:rPr>
          <w:rFonts w:ascii="Garamond" w:eastAsia="MS Mincho" w:hAnsi="Garamond" w:cs="Times New Roman"/>
          <w:szCs w:val="24"/>
        </w:rPr>
        <w:t>bërë, pasi në vitin 2021 u raportua një rritje e ndjeshme e numrit të shqiptarëve që qëndrojnë në mënyrë të parregullt në BE (21% më shumë se në 2020) dhe në refuzimet e hyrjes (një rritje prej 39%) në shtetet anëtare të BE-së.</w:t>
      </w:r>
    </w:p>
    <w:p w14:paraId="373A28A2" w14:textId="76A9E774" w:rsidR="002B3BE7" w:rsidRPr="00B457F5" w:rsidRDefault="006948C0"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Ndërkohë, s</w:t>
      </w:r>
      <w:r w:rsidR="00BE2256" w:rsidRPr="00B457F5">
        <w:rPr>
          <w:rFonts w:ascii="Garamond" w:eastAsia="MS Mincho" w:hAnsi="Garamond" w:cs="Times New Roman"/>
          <w:szCs w:val="24"/>
        </w:rPr>
        <w:t xml:space="preserve">ipas raportit të 6-të të monitorimit të pezullimit të vizave të Komisionit Evropian (2023), në vitin 2022, </w:t>
      </w:r>
      <w:r w:rsidR="009169FC" w:rsidRPr="00B457F5">
        <w:rPr>
          <w:rFonts w:ascii="Garamond" w:eastAsia="MS Mincho" w:hAnsi="Garamond" w:cs="Times New Roman"/>
          <w:szCs w:val="24"/>
        </w:rPr>
        <w:t xml:space="preserve">shtetet anëtare </w:t>
      </w:r>
      <w:r w:rsidR="00BE2256" w:rsidRPr="00B457F5">
        <w:rPr>
          <w:rFonts w:ascii="Garamond" w:eastAsia="MS Mincho" w:hAnsi="Garamond" w:cs="Times New Roman"/>
          <w:szCs w:val="24"/>
        </w:rPr>
        <w:t xml:space="preserve">raportuan 746 kalime të parregullta kufitare nga shtetas shqiptarë, 36% më pak se në vitin 2021 (1 160), ndërsa numri i shtetasve shqiptarë që u zbulua se qëndronin në mënyrë të parregullt në </w:t>
      </w:r>
      <w:r w:rsidR="009169FC" w:rsidRPr="00B457F5">
        <w:rPr>
          <w:rFonts w:ascii="Garamond" w:eastAsia="MS Mincho" w:hAnsi="Garamond" w:cs="Times New Roman"/>
          <w:szCs w:val="24"/>
        </w:rPr>
        <w:t xml:space="preserve">shtetet anëtare </w:t>
      </w:r>
      <w:r w:rsidR="00BE2256" w:rsidRPr="00B457F5">
        <w:rPr>
          <w:rFonts w:ascii="Garamond" w:eastAsia="MS Mincho" w:hAnsi="Garamond" w:cs="Times New Roman"/>
          <w:szCs w:val="24"/>
        </w:rPr>
        <w:t xml:space="preserve">u rrit me 11.5% krahasuar me vitin 2021 (nga 34 840 në 2021 në 38 865 në 2022). Numri i refuzimeve të hyrjes për shtetasit shqiptarë në </w:t>
      </w:r>
      <w:r w:rsidR="009169FC" w:rsidRPr="00B457F5">
        <w:rPr>
          <w:rFonts w:ascii="Garamond" w:eastAsia="MS Mincho" w:hAnsi="Garamond" w:cs="Times New Roman"/>
          <w:szCs w:val="24"/>
        </w:rPr>
        <w:t xml:space="preserve">shtetet anëtare </w:t>
      </w:r>
      <w:r w:rsidR="00BE2256" w:rsidRPr="00B457F5">
        <w:rPr>
          <w:rFonts w:ascii="Garamond" w:eastAsia="MS Mincho" w:hAnsi="Garamond" w:cs="Times New Roman"/>
          <w:szCs w:val="24"/>
        </w:rPr>
        <w:t>ra me 18,5% në vitin 2022 (nga 18 850 në 2021 në 15 350 në 2022). Numri i vendimeve të kthimit të lëshuara në vitin 2022 (24 180) u rrit me 8% krahasuar me vitin 2021 (22 445). Në vitin 2022 u raportuan 9 745 kthime të shtetasve shqiptarë, krahasuar me 8 610 në 2021 (një rritje prej 13%). Norma e kthimit u rrit pak nga 38% në 2021 në 40% në 2022 duke shënuar një ndryshim pozitiv të trendit nga vitet e kaluara.</w:t>
      </w:r>
    </w:p>
    <w:p w14:paraId="20C5C965" w14:textId="5F94966A" w:rsidR="002B3BE7" w:rsidRPr="00B457F5" w:rsidRDefault="00C22B96"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Gjithashtu raporti thekson se n</w:t>
      </w:r>
      <w:r w:rsidR="002B3BE7" w:rsidRPr="00B457F5">
        <w:rPr>
          <w:rFonts w:ascii="Garamond" w:eastAsia="MS Mincho" w:hAnsi="Garamond" w:cs="Times New Roman"/>
          <w:szCs w:val="24"/>
        </w:rPr>
        <w:t>umri i aplikimeve për mbrojtje ndërkombëtare të paraqitura në shtetet anëtare nga shtetas shqiptarë u rrit me 14% midis 2021 dhe 2022, me 12 955 aplikime të depozituara në 2022. Norma e njohjes prej 9% në 2022 mbeti e pandryshuar nga viti 2021.</w:t>
      </w:r>
      <w:r w:rsidR="00057FCD" w:rsidRPr="00B457F5">
        <w:rPr>
          <w:rFonts w:ascii="Garamond" w:eastAsia="MS Mincho" w:hAnsi="Garamond" w:cs="Times New Roman"/>
          <w:szCs w:val="24"/>
        </w:rPr>
        <w:t xml:space="preserve"> </w:t>
      </w:r>
      <w:r w:rsidR="002B3BE7" w:rsidRPr="00B457F5">
        <w:rPr>
          <w:rFonts w:ascii="Garamond" w:eastAsia="MS Mincho" w:hAnsi="Garamond" w:cs="Times New Roman"/>
          <w:szCs w:val="24"/>
        </w:rPr>
        <w:t>Sipas raportit të vitit 2023, Shqipëria ka ndërmarrë veprime për të adresuar shumicën e rekomandimeve të mëparshme të Komisionit. Megjithatë, nevojitet përparim i mëtejshëm me fokus te përafrimi i mëtejshëm i politikës së vizave të Shqipërisë me listën e vendeve të kërkuara për viza të BE-së, veçanërisht në lidhje me vendet që paraqesin migracion të parregullt ose rreziqe sigurie për BE-në dhe vazhdimi i bashkëpunimit me shtetet anëtare më të prekura nga kërkesat e pabazuara për azil nga shtetasit shqiptarë</w:t>
      </w:r>
      <w:r w:rsidR="00A045D2" w:rsidRPr="00B457F5">
        <w:rPr>
          <w:rFonts w:ascii="Garamond" w:eastAsia="MS Mincho" w:hAnsi="Garamond" w:cs="Times New Roman"/>
          <w:szCs w:val="24"/>
        </w:rPr>
        <w:t>,</w:t>
      </w:r>
      <w:r w:rsidR="002B3BE7" w:rsidRPr="00B457F5">
        <w:rPr>
          <w:rFonts w:ascii="Garamond" w:eastAsia="MS Mincho" w:hAnsi="Garamond" w:cs="Times New Roman"/>
          <w:szCs w:val="24"/>
        </w:rPr>
        <w:t xml:space="preserve"> dhe zbatimi i fushatave informuese të përshtatura për regjimin pa viza.</w:t>
      </w:r>
    </w:p>
    <w:p w14:paraId="3439467E" w14:textId="33067A35" w:rsidR="00075FE6" w:rsidRPr="00B457F5" w:rsidRDefault="00075FE6"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Ky objektiv bashkon veprimet parandaluese në të gjitha fazat e migracionit, duke lidhur, në rastin e emigrimit të shtetasve shqiptarë, stimujt për të hyrë në tregun kombëtar të punës, duke ofruar informacion mbi rreziqet që lidhen me migrimin e parregullt dhe duke mbrojtur të drejtat e grupeve vulnerabël.</w:t>
      </w:r>
    </w:p>
    <w:p w14:paraId="2DD7EFC7" w14:textId="16118890" w:rsidR="0007734A" w:rsidRPr="00B457F5" w:rsidRDefault="0007734A"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Si pjesë e objektivit specifik 1.4, palët e </w:t>
      </w:r>
      <w:r w:rsidR="00BB5D69" w:rsidRPr="00B457F5">
        <w:rPr>
          <w:rFonts w:ascii="Garamond" w:eastAsia="MS Mincho" w:hAnsi="Garamond" w:cs="Times New Roman"/>
          <w:szCs w:val="24"/>
        </w:rPr>
        <w:t xml:space="preserve">interesit </w:t>
      </w:r>
      <w:r w:rsidRPr="00B457F5">
        <w:rPr>
          <w:rFonts w:ascii="Garamond" w:eastAsia="MS Mincho" w:hAnsi="Garamond" w:cs="Times New Roman"/>
          <w:szCs w:val="24"/>
        </w:rPr>
        <w:t>kanë vendosur të ndërmarrin veprime, me synim:</w:t>
      </w:r>
    </w:p>
    <w:p w14:paraId="3486DD8A" w14:textId="503E1FB1" w:rsidR="00151C91" w:rsidRPr="00B457F5" w:rsidRDefault="00433841" w:rsidP="00A045D2">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Wingdings"/>
          <w:color w:val="000000"/>
          <w:szCs w:val="24"/>
        </w:rPr>
        <w:t xml:space="preserve">- </w:t>
      </w:r>
      <w:r w:rsidR="00151C91" w:rsidRPr="00B457F5">
        <w:rPr>
          <w:rFonts w:ascii="Garamond" w:eastAsiaTheme="minorHAnsi" w:hAnsi="Garamond" w:cs="Times New Roman"/>
          <w:color w:val="000000"/>
          <w:szCs w:val="24"/>
        </w:rPr>
        <w:t>Ulj</w:t>
      </w:r>
      <w:r w:rsidR="00A045D2" w:rsidRPr="00B457F5">
        <w:rPr>
          <w:rFonts w:ascii="Garamond" w:eastAsiaTheme="minorHAnsi" w:hAnsi="Garamond" w:cs="Times New Roman"/>
          <w:color w:val="000000"/>
          <w:szCs w:val="24"/>
        </w:rPr>
        <w:t>en</w:t>
      </w:r>
      <w:r w:rsidR="00151C91" w:rsidRPr="00B457F5">
        <w:rPr>
          <w:rFonts w:ascii="Garamond" w:eastAsiaTheme="minorHAnsi" w:hAnsi="Garamond" w:cs="Times New Roman"/>
          <w:color w:val="000000"/>
          <w:szCs w:val="24"/>
        </w:rPr>
        <w:t xml:space="preserve"> e nivelit të emigrimit të parregullt të qytetarëve shqiptarë nëpërmjet informimit dhe ndërgjegjësimit;</w:t>
      </w:r>
      <w:r w:rsidR="00151C91" w:rsidRPr="00B457F5">
        <w:rPr>
          <w:rFonts w:ascii="Garamond" w:eastAsiaTheme="minorHAnsi" w:hAnsi="Garamond" w:cs="Calibri"/>
          <w:color w:val="000000"/>
          <w:szCs w:val="24"/>
        </w:rPr>
        <w:t xml:space="preserve"> </w:t>
      </w:r>
    </w:p>
    <w:p w14:paraId="34EDC97B" w14:textId="30E860DE" w:rsidR="00151C91" w:rsidRPr="00B457F5" w:rsidRDefault="00433841" w:rsidP="00A045D2">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Wingdings"/>
          <w:color w:val="000000"/>
          <w:szCs w:val="24"/>
        </w:rPr>
        <w:t xml:space="preserve">- </w:t>
      </w:r>
      <w:r w:rsidR="00151C91" w:rsidRPr="00B457F5">
        <w:rPr>
          <w:rFonts w:ascii="Garamond" w:eastAsiaTheme="minorHAnsi" w:hAnsi="Garamond" w:cs="Times New Roman"/>
          <w:color w:val="000000"/>
          <w:szCs w:val="24"/>
        </w:rPr>
        <w:t>Ulj</w:t>
      </w:r>
      <w:r w:rsidR="00A045D2" w:rsidRPr="00B457F5">
        <w:rPr>
          <w:rFonts w:ascii="Garamond" w:eastAsiaTheme="minorHAnsi" w:hAnsi="Garamond" w:cs="Times New Roman"/>
          <w:color w:val="000000"/>
          <w:szCs w:val="24"/>
        </w:rPr>
        <w:t>en</w:t>
      </w:r>
      <w:r w:rsidR="00151C91" w:rsidRPr="00B457F5">
        <w:rPr>
          <w:rFonts w:ascii="Garamond" w:eastAsiaTheme="minorHAnsi" w:hAnsi="Garamond" w:cs="Times New Roman"/>
          <w:color w:val="000000"/>
          <w:szCs w:val="24"/>
        </w:rPr>
        <w:t xml:space="preserve"> e nivelit të imigrimit të parregullt të shtetasve të huaj falë forcimit të kontrollit të kufirit dhe territorit.</w:t>
      </w:r>
    </w:p>
    <w:p w14:paraId="38E5EE16" w14:textId="5DD8F904" w:rsidR="0007734A" w:rsidRPr="00B457F5" w:rsidRDefault="0007734A"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Shqipëria është e përkushtuar ndaj vizionit të </w:t>
      </w:r>
      <w:r w:rsidR="00D040A8" w:rsidRPr="00B457F5">
        <w:rPr>
          <w:rFonts w:ascii="Garamond" w:eastAsia="MS Mincho" w:hAnsi="Garamond" w:cs="Times New Roman"/>
          <w:szCs w:val="24"/>
        </w:rPr>
        <w:t>Kompaktit Global, i cili kërkon që</w:t>
      </w:r>
      <w:r w:rsidRPr="00B457F5">
        <w:rPr>
          <w:rFonts w:ascii="Garamond" w:eastAsia="MS Mincho" w:hAnsi="Garamond" w:cs="Times New Roman"/>
          <w:szCs w:val="24"/>
        </w:rPr>
        <w:t xml:space="preserve"> shtetet të </w:t>
      </w:r>
      <w:r w:rsidR="00A313AE" w:rsidRPr="00B457F5">
        <w:rPr>
          <w:rFonts w:ascii="Garamond" w:eastAsia="MS Mincho" w:hAnsi="Garamond" w:cs="Times New Roman"/>
          <w:szCs w:val="24"/>
        </w:rPr>
        <w:t>“</w:t>
      </w:r>
      <w:r w:rsidRPr="00B457F5">
        <w:rPr>
          <w:rFonts w:ascii="Garamond" w:eastAsia="MS Mincho" w:hAnsi="Garamond" w:cs="Times New Roman"/>
          <w:szCs w:val="24"/>
        </w:rPr>
        <w:t xml:space="preserve">sigurojnë që migrantët aktualë dhe potencialë të jenë plotësisht të informuar për të drejtat, detyrimet dhe opsionet e tyre për migrim të sigurt dhe të rregullt, si dhe të jenë të vetëdijshëm për rreziqet e migrimit të parregullt. Ky angazhim është përforcuar në dialogun ndërmjet BE-së dhe Shqipërisë, i cili </w:t>
      </w:r>
      <w:r w:rsidR="00A16BD7" w:rsidRPr="00B457F5">
        <w:rPr>
          <w:rFonts w:ascii="Garamond" w:eastAsia="MS Mincho" w:hAnsi="Garamond" w:cs="Times New Roman"/>
          <w:szCs w:val="24"/>
        </w:rPr>
        <w:t>përqendrohet te</w:t>
      </w:r>
      <w:r w:rsidR="00CB45DD" w:rsidRPr="00B457F5">
        <w:rPr>
          <w:rFonts w:ascii="Garamond" w:eastAsia="MS Mincho" w:hAnsi="Garamond" w:cs="Times New Roman"/>
          <w:szCs w:val="24"/>
        </w:rPr>
        <w:t xml:space="preserve"> zgjerimi i</w:t>
      </w:r>
      <w:r w:rsidRPr="00B457F5">
        <w:rPr>
          <w:rFonts w:ascii="Garamond" w:eastAsia="MS Mincho" w:hAnsi="Garamond" w:cs="Times New Roman"/>
          <w:szCs w:val="24"/>
        </w:rPr>
        <w:t xml:space="preserve"> mundësive për migrim të rregullt (më së shumti, nëpërmjet lëvizjes afatshkurtër pa viza për qëllime turistike, por edhe përmes iniciativave që lehtësojnë migracionin cirkular) dhe </w:t>
      </w:r>
      <w:r w:rsidR="00292FD8" w:rsidRPr="00B457F5">
        <w:rPr>
          <w:rFonts w:ascii="Garamond" w:eastAsia="MS Mincho" w:hAnsi="Garamond" w:cs="Times New Roman"/>
          <w:szCs w:val="24"/>
        </w:rPr>
        <w:t>zvogëlimit të</w:t>
      </w:r>
      <w:r w:rsidRPr="00B457F5">
        <w:rPr>
          <w:rFonts w:ascii="Garamond" w:eastAsia="MS Mincho" w:hAnsi="Garamond" w:cs="Times New Roman"/>
          <w:szCs w:val="24"/>
        </w:rPr>
        <w:t xml:space="preserve"> shkallës së lëvizjes së parregullt</w:t>
      </w:r>
      <w:r w:rsidR="00A045D2" w:rsidRPr="00B457F5">
        <w:rPr>
          <w:rFonts w:ascii="Garamond" w:eastAsia="MS Mincho" w:hAnsi="Garamond" w:cs="Times New Roman"/>
          <w:szCs w:val="24"/>
        </w:rPr>
        <w:t>,</w:t>
      </w:r>
      <w:r w:rsidRPr="00B457F5">
        <w:rPr>
          <w:rFonts w:ascii="Garamond" w:eastAsia="MS Mincho" w:hAnsi="Garamond" w:cs="Times New Roman"/>
          <w:szCs w:val="24"/>
        </w:rPr>
        <w:t xml:space="preserve"> si dhe minimizimin e rreziqeve të lidhura me të. </w:t>
      </w:r>
    </w:p>
    <w:p w14:paraId="5202EBDD" w14:textId="252D6F00" w:rsidR="0007734A" w:rsidRPr="00B457F5" w:rsidRDefault="0007734A"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lastRenderedPageBreak/>
        <w:t xml:space="preserve">Strategjia aktuale synon të kapitalizojë suksesin e aktiviteteve të tilla parandaluese afatgjata, duke synuar qytetarët shqiptarë në shpërndarjen e informacionit mbi pasojat e shkeljes së kushteve të hyrjes dhe qëndrimit si në kufi (që synojnë udhëtarët) ashtu edhe brenda vendit (informimi </w:t>
      </w:r>
      <w:r w:rsidR="007943EA" w:rsidRPr="00B457F5">
        <w:rPr>
          <w:rFonts w:ascii="Garamond" w:eastAsia="MS Mincho" w:hAnsi="Garamond" w:cs="Times New Roman"/>
          <w:szCs w:val="24"/>
        </w:rPr>
        <w:t xml:space="preserve">i </w:t>
      </w:r>
      <w:r w:rsidRPr="00B457F5">
        <w:rPr>
          <w:rFonts w:ascii="Garamond" w:eastAsia="MS Mincho" w:hAnsi="Garamond" w:cs="Times New Roman"/>
          <w:szCs w:val="24"/>
        </w:rPr>
        <w:t>migrantë</w:t>
      </w:r>
      <w:r w:rsidR="007943EA" w:rsidRPr="00B457F5">
        <w:rPr>
          <w:rFonts w:ascii="Garamond" w:eastAsia="MS Mincho" w:hAnsi="Garamond" w:cs="Times New Roman"/>
          <w:szCs w:val="24"/>
        </w:rPr>
        <w:t>ve</w:t>
      </w:r>
      <w:r w:rsidRPr="00B457F5">
        <w:rPr>
          <w:rFonts w:ascii="Garamond" w:eastAsia="MS Mincho" w:hAnsi="Garamond" w:cs="Times New Roman"/>
          <w:szCs w:val="24"/>
        </w:rPr>
        <w:t xml:space="preserve"> </w:t>
      </w:r>
      <w:r w:rsidR="007943EA" w:rsidRPr="00B457F5">
        <w:rPr>
          <w:rFonts w:ascii="Garamond" w:eastAsia="MS Mincho" w:hAnsi="Garamond" w:cs="Times New Roman"/>
          <w:szCs w:val="24"/>
        </w:rPr>
        <w:t>të</w:t>
      </w:r>
      <w:r w:rsidRPr="00B457F5">
        <w:rPr>
          <w:rFonts w:ascii="Garamond" w:eastAsia="MS Mincho" w:hAnsi="Garamond" w:cs="Times New Roman"/>
          <w:szCs w:val="24"/>
        </w:rPr>
        <w:t xml:space="preserve"> mundshëm). Rëndësia e shpërndarjes së informacionit dhe ndërgjegjësimit për rreziqet e migrimit të parregullt dhe përfitimet nga pajtueshmëria me kushtet ligjore të migracionit theksohet në një masë prioritare të dedikuar. Në masën 1.4.1 </w:t>
      </w:r>
      <w:r w:rsidR="00A313AE" w:rsidRPr="00B457F5">
        <w:rPr>
          <w:rFonts w:ascii="Garamond" w:eastAsia="MS Mincho" w:hAnsi="Garamond" w:cs="Times New Roman"/>
          <w:szCs w:val="24"/>
        </w:rPr>
        <w:t>“</w:t>
      </w:r>
      <w:r w:rsidRPr="00B457F5">
        <w:rPr>
          <w:rFonts w:ascii="Garamond" w:eastAsia="MS Mincho" w:hAnsi="Garamond" w:cs="Times New Roman"/>
          <w:szCs w:val="24"/>
        </w:rPr>
        <w:t>Informimi dhe ndërgjegjësimi</w:t>
      </w:r>
      <w:r w:rsidR="00A313AE" w:rsidRPr="00B457F5">
        <w:rPr>
          <w:rFonts w:ascii="Garamond" w:eastAsia="MS Mincho" w:hAnsi="Garamond" w:cs="Times New Roman"/>
          <w:szCs w:val="24"/>
        </w:rPr>
        <w:t>”</w:t>
      </w:r>
      <w:r w:rsidRPr="00B457F5">
        <w:rPr>
          <w:rFonts w:ascii="Garamond" w:eastAsia="MS Mincho" w:hAnsi="Garamond" w:cs="Times New Roman"/>
          <w:szCs w:val="24"/>
        </w:rPr>
        <w:t xml:space="preserve">, parashikohet një kombinim aktivitetesh, duke përfshirë një fushatë kombëtare informuese, aktivitete sensibilizuese të synuara në shkollat e mesme dhe shkollat e mesme profesionale të shoqëruara me trajnime të mësuesve. Në përputhje me prioritetet e tjera, theksohet roli i njësive të qeverisjes vendore të cilat do të jenë përgjegjëse për shpërndarjen e materialeve informative mbi mundësitë e migrimit të rregullt. Veprime të tjera në nivel </w:t>
      </w:r>
      <w:r w:rsidR="00DD4590" w:rsidRPr="00B457F5">
        <w:rPr>
          <w:rFonts w:ascii="Garamond" w:eastAsia="MS Mincho" w:hAnsi="Garamond" w:cs="Times New Roman"/>
          <w:szCs w:val="24"/>
        </w:rPr>
        <w:t xml:space="preserve">vendor </w:t>
      </w:r>
      <w:r w:rsidRPr="00B457F5">
        <w:rPr>
          <w:rFonts w:ascii="Garamond" w:eastAsia="MS Mincho" w:hAnsi="Garamond" w:cs="Times New Roman"/>
          <w:szCs w:val="24"/>
        </w:rPr>
        <w:t>paraqesin zgjidhje të qëndrueshme për nxitësit e migracionit ekonomik në zonat më të prekura, si nxitja e punësimit, vetëpunësimi dhe trajnimi për punë mes të rinjve.</w:t>
      </w:r>
    </w:p>
    <w:p w14:paraId="31D9916E" w14:textId="5B08221F" w:rsidR="00BD0F10" w:rsidRPr="00B457F5" w:rsidRDefault="0007734A"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Strategjia është gjithashtu e ndërlidhur me përpjekjet e DKM-së për parandalimin e migracionit të parregullt, të </w:t>
      </w:r>
      <w:r w:rsidR="00A16BD7" w:rsidRPr="00B457F5">
        <w:rPr>
          <w:rFonts w:ascii="Garamond" w:eastAsia="MS Mincho" w:hAnsi="Garamond" w:cs="Times New Roman"/>
          <w:szCs w:val="24"/>
        </w:rPr>
        <w:t>përqendruar te</w:t>
      </w:r>
      <w:r w:rsidRPr="00B457F5">
        <w:rPr>
          <w:rFonts w:ascii="Garamond" w:eastAsia="MS Mincho" w:hAnsi="Garamond" w:cs="Times New Roman"/>
          <w:szCs w:val="24"/>
        </w:rPr>
        <w:t xml:space="preserve"> kontrolli</w:t>
      </w:r>
      <w:r w:rsidR="00A16BD7" w:rsidRPr="00B457F5">
        <w:rPr>
          <w:rFonts w:ascii="Garamond" w:eastAsia="MS Mincho" w:hAnsi="Garamond" w:cs="Times New Roman"/>
          <w:szCs w:val="24"/>
        </w:rPr>
        <w:t xml:space="preserve"> i</w:t>
      </w:r>
      <w:r w:rsidRPr="00B457F5">
        <w:rPr>
          <w:rFonts w:ascii="Garamond" w:eastAsia="MS Mincho" w:hAnsi="Garamond" w:cs="Times New Roman"/>
          <w:szCs w:val="24"/>
        </w:rPr>
        <w:t xml:space="preserve"> statusit të qëndrimit të shtetasve të huaj në Shqipëri. Vlen të përmendet verifikimi i planifikuar i bazave për marrjen e vizave dhe lejeve të qëndrimit nga shtetas të vendeve me rrezikshmëri të lartë, që do të bëhet në bashkëpunim me Ministrinë e Jashtme.</w:t>
      </w:r>
    </w:p>
    <w:p w14:paraId="380E4F10" w14:textId="77777777" w:rsidR="00433841" w:rsidRPr="00B457F5" w:rsidRDefault="0007734A" w:rsidP="00433841">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Përpjekje shtesë janë planifikuar për verifikimin e arsyeve për largim dhe rregullsinë e lëvizjes për të mbrojtur të drejtat e grupeve </w:t>
      </w:r>
      <w:r w:rsidR="00280ED8" w:rsidRPr="00B457F5">
        <w:rPr>
          <w:rFonts w:ascii="Garamond" w:eastAsia="MS Mincho" w:hAnsi="Garamond" w:cs="Times New Roman"/>
          <w:szCs w:val="24"/>
        </w:rPr>
        <w:t xml:space="preserve">të cenueshme </w:t>
      </w:r>
      <w:r w:rsidRPr="00B457F5">
        <w:rPr>
          <w:rFonts w:ascii="Garamond" w:eastAsia="MS Mincho" w:hAnsi="Garamond" w:cs="Times New Roman"/>
          <w:szCs w:val="24"/>
        </w:rPr>
        <w:t>(si fëmijët e pashoqëruar). DKM-ja gjithashtu ka për detyrë të vazhdojë përpjekjet, të njohura në procesin e anëtarësimit në BE, për parandalimin e migracionit të parregullt nëpërmjet ofrimit të materialeve informative në pikat e kalimit kufitar në gjuhën kryesore të migrantëve për kushtet e migrimit të rregullt në, përmes dhe nga Shqipëria.</w:t>
      </w:r>
      <w:bookmarkStart w:id="52" w:name="_Toc155620733"/>
    </w:p>
    <w:p w14:paraId="6DF14D06" w14:textId="6B018706" w:rsidR="00233C0E" w:rsidRPr="00B457F5" w:rsidRDefault="0007734A" w:rsidP="00433841">
      <w:pPr>
        <w:spacing w:before="0" w:after="0"/>
        <w:ind w:firstLine="284"/>
        <w:rPr>
          <w:rFonts w:ascii="Garamond" w:eastAsia="MS Gothic" w:hAnsi="Garamond" w:cs="Times New Roman"/>
          <w:b/>
          <w:iCs/>
          <w:szCs w:val="24"/>
          <w:lang w:eastAsia="fr-FR"/>
        </w:rPr>
      </w:pPr>
      <w:r w:rsidRPr="00B457F5">
        <w:rPr>
          <w:rFonts w:ascii="Garamond" w:eastAsia="MS Gothic" w:hAnsi="Garamond" w:cs="Times New Roman"/>
          <w:b/>
          <w:iCs/>
          <w:szCs w:val="24"/>
          <w:lang w:eastAsia="fr-FR"/>
        </w:rPr>
        <w:t xml:space="preserve">Qëllimi i </w:t>
      </w:r>
      <w:r w:rsidR="004A6BB7" w:rsidRPr="00B457F5">
        <w:rPr>
          <w:rFonts w:ascii="Garamond" w:eastAsia="MS Gothic" w:hAnsi="Garamond" w:cs="Times New Roman"/>
          <w:b/>
          <w:iCs/>
          <w:szCs w:val="24"/>
          <w:lang w:eastAsia="fr-FR"/>
        </w:rPr>
        <w:t>p</w:t>
      </w:r>
      <w:r w:rsidRPr="00B457F5">
        <w:rPr>
          <w:rFonts w:ascii="Garamond" w:eastAsia="MS Gothic" w:hAnsi="Garamond" w:cs="Times New Roman"/>
          <w:b/>
          <w:iCs/>
          <w:szCs w:val="24"/>
          <w:lang w:eastAsia="fr-FR"/>
        </w:rPr>
        <w:t>olitikës II: Zhvillimi i politikave efektive për migracionin për arsye punësimi, duke rritur ndikimin pozitiv të migracionit në zhvillimin soci</w:t>
      </w:r>
      <w:r w:rsidR="000C73B7" w:rsidRPr="00B457F5">
        <w:rPr>
          <w:rFonts w:ascii="Garamond" w:eastAsia="MS Gothic" w:hAnsi="Garamond" w:cs="Times New Roman"/>
          <w:b/>
          <w:iCs/>
          <w:szCs w:val="24"/>
          <w:lang w:eastAsia="fr-FR"/>
        </w:rPr>
        <w:t>al</w:t>
      </w:r>
      <w:r w:rsidRPr="00B457F5">
        <w:rPr>
          <w:rFonts w:ascii="Garamond" w:eastAsia="MS Gothic" w:hAnsi="Garamond" w:cs="Times New Roman"/>
          <w:b/>
          <w:iCs/>
          <w:szCs w:val="24"/>
          <w:lang w:eastAsia="fr-FR"/>
        </w:rPr>
        <w:t>-ekonomik kombëtar/</w:t>
      </w:r>
      <w:r w:rsidR="000C73B7" w:rsidRPr="00B457F5">
        <w:rPr>
          <w:rFonts w:ascii="Garamond" w:eastAsia="MS Gothic" w:hAnsi="Garamond" w:cs="Times New Roman"/>
          <w:b/>
          <w:iCs/>
          <w:szCs w:val="24"/>
          <w:lang w:eastAsia="fr-FR"/>
        </w:rPr>
        <w:t>vendor</w:t>
      </w:r>
      <w:r w:rsidRPr="00B457F5">
        <w:rPr>
          <w:rFonts w:ascii="Garamond" w:eastAsia="MS Gothic" w:hAnsi="Garamond" w:cs="Times New Roman"/>
          <w:b/>
          <w:iCs/>
          <w:szCs w:val="24"/>
          <w:lang w:eastAsia="fr-FR"/>
        </w:rPr>
        <w:t>.</w:t>
      </w:r>
      <w:bookmarkEnd w:id="52"/>
    </w:p>
    <w:p w14:paraId="237BAB1E" w14:textId="7A95D10D" w:rsidR="0007734A" w:rsidRPr="00B457F5" w:rsidRDefault="0007734A"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lang w:eastAsia="fr-RE"/>
        </w:rPr>
        <w:t>Punësimi mbetet motivi kryesor për migrimin e shtetasve shqiptarë, i nxitur</w:t>
      </w:r>
      <w:r w:rsidR="000C73B7" w:rsidRPr="00B457F5">
        <w:rPr>
          <w:rFonts w:ascii="Garamond" w:eastAsia="MS Mincho" w:hAnsi="Garamond" w:cs="Times New Roman"/>
          <w:szCs w:val="24"/>
          <w:lang w:eastAsia="fr-RE"/>
        </w:rPr>
        <w:t>,</w:t>
      </w:r>
      <w:r w:rsidRPr="00B457F5">
        <w:rPr>
          <w:rFonts w:ascii="Garamond" w:eastAsia="MS Mincho" w:hAnsi="Garamond" w:cs="Times New Roman"/>
          <w:szCs w:val="24"/>
          <w:lang w:eastAsia="fr-RE"/>
        </w:rPr>
        <w:t xml:space="preserve"> së pari</w:t>
      </w:r>
      <w:r w:rsidR="000C73B7" w:rsidRPr="00B457F5">
        <w:rPr>
          <w:rFonts w:ascii="Garamond" w:eastAsia="MS Mincho" w:hAnsi="Garamond" w:cs="Times New Roman"/>
          <w:szCs w:val="24"/>
          <w:lang w:eastAsia="fr-RE"/>
        </w:rPr>
        <w:t>,</w:t>
      </w:r>
      <w:r w:rsidRPr="00B457F5">
        <w:rPr>
          <w:rFonts w:ascii="Garamond" w:eastAsia="MS Mincho" w:hAnsi="Garamond" w:cs="Times New Roman"/>
          <w:szCs w:val="24"/>
          <w:lang w:eastAsia="fr-RE"/>
        </w:rPr>
        <w:t xml:space="preserve"> nga një diferencë e konsiderueshme e pagave midis tregjeve të punës në Shqipëri dhe atyre të destinacioneve kryesore (tradicionale, si Italia dhe Greqia dhe në zhvillim: Gjermania, Mbretëria e Bashkuar ose Shtetet e Bashkuara) dhe</w:t>
      </w:r>
      <w:r w:rsidR="000C73B7" w:rsidRPr="00B457F5">
        <w:rPr>
          <w:rFonts w:ascii="Garamond" w:eastAsia="MS Mincho" w:hAnsi="Garamond" w:cs="Times New Roman"/>
          <w:szCs w:val="24"/>
          <w:lang w:eastAsia="fr-RE"/>
        </w:rPr>
        <w:t>,</w:t>
      </w:r>
      <w:r w:rsidRPr="00B457F5">
        <w:rPr>
          <w:rFonts w:ascii="Garamond" w:eastAsia="MS Mincho" w:hAnsi="Garamond" w:cs="Times New Roman"/>
          <w:szCs w:val="24"/>
          <w:lang w:eastAsia="fr-RE"/>
        </w:rPr>
        <w:t xml:space="preserve"> së dyti</w:t>
      </w:r>
      <w:r w:rsidR="000C73B7" w:rsidRPr="00B457F5">
        <w:rPr>
          <w:rFonts w:ascii="Garamond" w:eastAsia="MS Mincho" w:hAnsi="Garamond" w:cs="Times New Roman"/>
          <w:szCs w:val="24"/>
          <w:lang w:eastAsia="fr-RE"/>
        </w:rPr>
        <w:t>,</w:t>
      </w:r>
      <w:r w:rsidRPr="00B457F5">
        <w:rPr>
          <w:rFonts w:ascii="Garamond" w:eastAsia="MS Mincho" w:hAnsi="Garamond" w:cs="Times New Roman"/>
          <w:szCs w:val="24"/>
          <w:lang w:eastAsia="fr-RE"/>
        </w:rPr>
        <w:t xml:space="preserve"> nga mundësitë e kufizuara për punësim në vendin e origjinës. Në tremujorin e parë të vitit 2022, shkalla zyrtare e papunësisë në Shqipëri për popullsinë 15 vjeç e </w:t>
      </w:r>
      <w:r w:rsidR="000C73B7" w:rsidRPr="00B457F5">
        <w:rPr>
          <w:rFonts w:ascii="Garamond" w:eastAsia="MS Mincho" w:hAnsi="Garamond" w:cs="Times New Roman"/>
          <w:szCs w:val="24"/>
          <w:lang w:eastAsia="fr-RE"/>
        </w:rPr>
        <w:t>sipër</w:t>
      </w:r>
      <w:r w:rsidRPr="00B457F5">
        <w:rPr>
          <w:rFonts w:ascii="Garamond" w:eastAsia="MS Mincho" w:hAnsi="Garamond" w:cs="Times New Roman"/>
          <w:szCs w:val="24"/>
          <w:lang w:eastAsia="fr-RE"/>
        </w:rPr>
        <w:t>, është 11.3%. Shkalla e papunësisë është ulur me 2.1%, krahasuar me të njëjtin tremujor të vitit 2021, dhe është ulur me 0.4%, krahasuar me tremujorin paraardhës.</w:t>
      </w:r>
      <w:r w:rsidRPr="00B457F5">
        <w:rPr>
          <w:rFonts w:ascii="Garamond" w:eastAsia="MS Mincho" w:hAnsi="Garamond" w:cs="Times New Roman"/>
          <w:szCs w:val="24"/>
          <w:vertAlign w:val="superscript"/>
        </w:rPr>
        <w:t xml:space="preserve"> </w:t>
      </w:r>
      <w:r w:rsidRPr="00B457F5">
        <w:rPr>
          <w:rFonts w:ascii="Garamond" w:eastAsia="MS Mincho" w:hAnsi="Garamond" w:cs="Times New Roman"/>
          <w:szCs w:val="24"/>
          <w:vertAlign w:val="superscript"/>
        </w:rPr>
        <w:footnoteReference w:id="70"/>
      </w:r>
      <w:r w:rsidRPr="00B457F5">
        <w:rPr>
          <w:rFonts w:ascii="Garamond" w:eastAsia="MS Mincho" w:hAnsi="Garamond" w:cs="Times New Roman"/>
          <w:szCs w:val="24"/>
        </w:rPr>
        <w:t xml:space="preserve"> Një çështje kryesore, që kërkon vëmendje, është papunësia e lartë në mesin e emigrantëve të kthyer.</w:t>
      </w:r>
    </w:p>
    <w:p w14:paraId="5A6066CD" w14:textId="1577A937" w:rsidR="0007734A" w:rsidRPr="00B457F5" w:rsidRDefault="0007734A" w:rsidP="002E693B">
      <w:pPr>
        <w:spacing w:before="0" w:after="0"/>
        <w:ind w:firstLine="284"/>
        <w:rPr>
          <w:rFonts w:ascii="Garamond" w:eastAsia="MS Mincho" w:hAnsi="Garamond" w:cs="Times New Roman"/>
          <w:szCs w:val="24"/>
          <w:lang w:eastAsia="fr-RE"/>
        </w:rPr>
      </w:pPr>
      <w:r w:rsidRPr="00B457F5">
        <w:rPr>
          <w:rFonts w:ascii="Garamond" w:eastAsia="MS Mincho" w:hAnsi="Garamond" w:cs="Times New Roman"/>
          <w:szCs w:val="24"/>
        </w:rPr>
        <w:t xml:space="preserve">Ndikimi i lëvizjeve migratore të popullsisë shqiptare </w:t>
      </w:r>
      <w:r w:rsidR="00804F83" w:rsidRPr="00B457F5">
        <w:rPr>
          <w:rFonts w:ascii="Garamond" w:eastAsia="MS Mincho" w:hAnsi="Garamond" w:cs="Times New Roman"/>
          <w:szCs w:val="24"/>
        </w:rPr>
        <w:t xml:space="preserve">mbi </w:t>
      </w:r>
      <w:r w:rsidRPr="00B457F5">
        <w:rPr>
          <w:rFonts w:ascii="Garamond" w:eastAsia="MS Mincho" w:hAnsi="Garamond" w:cs="Times New Roman"/>
          <w:szCs w:val="24"/>
        </w:rPr>
        <w:t>zhvillimin social dhe ekonomik të vendit ka qenë i rëndësishëm. Për shumë vite, remitancat ndihmuan për të kapërcyer varfërinë e ardhur si pasojë e regjimit komunist. Si të tilla, ato vazhdojnë të japin një kontribut të rëndësishëm në ekonominë e vendit. Megjithëse Shqipëria vazhdon të jetë e varur nga remitancat, flukset hyrëse ranë në tremujorin e dytë të 2020</w:t>
      </w:r>
      <w:r w:rsidR="008238C0" w:rsidRPr="00B457F5">
        <w:rPr>
          <w:rFonts w:ascii="Garamond" w:eastAsia="MS Mincho" w:hAnsi="Garamond" w:cs="Times New Roman"/>
          <w:szCs w:val="24"/>
        </w:rPr>
        <w:t>-s</w:t>
      </w:r>
      <w:r w:rsidRPr="00B457F5">
        <w:rPr>
          <w:rFonts w:ascii="Garamond" w:eastAsia="MS Mincho" w:hAnsi="Garamond" w:cs="Times New Roman"/>
          <w:szCs w:val="24"/>
        </w:rPr>
        <w:t>, me një humbje vjetore prej afro 35% (rreth 65 milionë euro). Në periudhën janar</w:t>
      </w:r>
      <w:r w:rsidR="008238C0" w:rsidRPr="00B457F5">
        <w:rPr>
          <w:rFonts w:ascii="Garamond" w:eastAsia="MS Mincho" w:hAnsi="Garamond" w:cs="Times New Roman"/>
          <w:szCs w:val="24"/>
        </w:rPr>
        <w:t>–</w:t>
      </w:r>
      <w:r w:rsidRPr="00B457F5">
        <w:rPr>
          <w:rFonts w:ascii="Garamond" w:eastAsia="MS Mincho" w:hAnsi="Garamond" w:cs="Times New Roman"/>
          <w:szCs w:val="24"/>
        </w:rPr>
        <w:t>shtator 2020, vlera e remitancave arriti në 471 milionë euro ose rreth 50 milionë euro (rreth 10%) më pak se në vitin 2019.</w:t>
      </w:r>
      <w:r w:rsidRPr="00B457F5">
        <w:rPr>
          <w:rFonts w:ascii="Garamond" w:eastAsia="MS Mincho" w:hAnsi="Garamond" w:cs="Times New Roman"/>
          <w:szCs w:val="24"/>
          <w:vertAlign w:val="superscript"/>
        </w:rPr>
        <w:footnoteReference w:id="71"/>
      </w:r>
      <w:r w:rsidRPr="00B457F5">
        <w:rPr>
          <w:rFonts w:ascii="Garamond" w:eastAsia="MS Mincho" w:hAnsi="Garamond" w:cs="Times New Roman"/>
          <w:szCs w:val="24"/>
        </w:rPr>
        <w:t xml:space="preserve"> </w:t>
      </w:r>
      <w:r w:rsidRPr="00B457F5">
        <w:rPr>
          <w:rFonts w:ascii="Garamond" w:eastAsia="MS Mincho" w:hAnsi="Garamond" w:cs="Times New Roman"/>
          <w:szCs w:val="24"/>
          <w:lang w:eastAsia="fr-RE"/>
        </w:rPr>
        <w:t xml:space="preserve">Dërgesat e emigrantëve janë rritur me rreth 14.6% në terma vjetorë gjatë tre tremujorëve të parë të vitit 2021. Remitancat vjetore kanë shfaqur prirje rritëse gjatë tre viteve të fundit. Nga viti 2020 (1,276.38 milionë euro) në vitin 2022 (1,662.64 milionë euro). Për më tepër, për vitin 2021, shuma e remitancave ishte 1,455.49 milionë euro, që është më e lartë se në vitin 2020 dhe më e vogël se në vitin 2022, duke treguar </w:t>
      </w:r>
      <w:r w:rsidR="00804F83" w:rsidRPr="00B457F5">
        <w:rPr>
          <w:rFonts w:ascii="Garamond" w:eastAsia="MS Mincho" w:hAnsi="Garamond" w:cs="Times New Roman"/>
          <w:szCs w:val="24"/>
          <w:lang w:eastAsia="fr-RE"/>
        </w:rPr>
        <w:t xml:space="preserve">tendencë </w:t>
      </w:r>
      <w:r w:rsidRPr="00B457F5">
        <w:rPr>
          <w:rFonts w:ascii="Garamond" w:eastAsia="MS Mincho" w:hAnsi="Garamond" w:cs="Times New Roman"/>
          <w:szCs w:val="24"/>
          <w:lang w:eastAsia="fr-RE"/>
        </w:rPr>
        <w:t>në rritje të sasisë së remitancave vjetore.</w:t>
      </w:r>
      <w:r w:rsidRPr="00B457F5">
        <w:rPr>
          <w:rFonts w:ascii="Garamond" w:eastAsia="MS Mincho" w:hAnsi="Garamond" w:cs="Times New Roman"/>
          <w:szCs w:val="24"/>
          <w:vertAlign w:val="superscript"/>
        </w:rPr>
        <w:footnoteReference w:id="72"/>
      </w:r>
    </w:p>
    <w:p w14:paraId="30D29DFB" w14:textId="6FCAB1E1" w:rsidR="0007734A" w:rsidRPr="00B457F5" w:rsidRDefault="0007734A" w:rsidP="002E693B">
      <w:pPr>
        <w:spacing w:before="0" w:after="0"/>
        <w:ind w:firstLine="284"/>
        <w:rPr>
          <w:rFonts w:ascii="Garamond" w:eastAsia="MS Mincho" w:hAnsi="Garamond" w:cs="Times New Roman"/>
          <w:szCs w:val="24"/>
          <w:lang w:eastAsia="fr-RE"/>
        </w:rPr>
      </w:pPr>
      <w:r w:rsidRPr="00B457F5">
        <w:rPr>
          <w:rFonts w:ascii="Garamond" w:eastAsia="MS Mincho" w:hAnsi="Garamond" w:cs="Times New Roman"/>
          <w:szCs w:val="24"/>
          <w:lang w:eastAsia="fr-RE"/>
        </w:rPr>
        <w:t xml:space="preserve">Pandemia e COVID-19 uli përkohësisht emigracionin dhe zvogëloi përqindjet e pjesëmarrjes në tregun kombëtar të punës, duke çuar në një rritje të shkallës së papunësisë për një periudhë afatshkurtër. Kthimi i punëtorëve migrantë nga vendet kryesore të destinacionit nxori në pah sfidën e përdorimit sa më të mirë të aftësive të tyre dhe integrimin e tyre në tregun shqiptar të punës. Megjithëse rimëkëmbja ekonomike pas COVID 19 në tregjet e huaja të punës ka sjellë një </w:t>
      </w:r>
      <w:r w:rsidR="00577ACD" w:rsidRPr="00B457F5">
        <w:rPr>
          <w:rFonts w:ascii="Garamond" w:eastAsia="MS Mincho" w:hAnsi="Garamond" w:cs="Times New Roman"/>
          <w:szCs w:val="24"/>
          <w:lang w:eastAsia="fr-RE"/>
        </w:rPr>
        <w:t xml:space="preserve">zbehje </w:t>
      </w:r>
      <w:r w:rsidRPr="00B457F5">
        <w:rPr>
          <w:rFonts w:ascii="Garamond" w:eastAsia="MS Mincho" w:hAnsi="Garamond" w:cs="Times New Roman"/>
          <w:szCs w:val="24"/>
          <w:lang w:eastAsia="fr-RE"/>
        </w:rPr>
        <w:t xml:space="preserve">të </w:t>
      </w:r>
      <w:r w:rsidRPr="00B457F5">
        <w:rPr>
          <w:rFonts w:ascii="Garamond" w:eastAsia="MS Mincho" w:hAnsi="Garamond" w:cs="Times New Roman"/>
          <w:szCs w:val="24"/>
          <w:lang w:eastAsia="fr-RE"/>
        </w:rPr>
        <w:lastRenderedPageBreak/>
        <w:t xml:space="preserve">lehtë të </w:t>
      </w:r>
      <w:r w:rsidR="00577ACD" w:rsidRPr="00B457F5">
        <w:rPr>
          <w:rFonts w:ascii="Garamond" w:eastAsia="MS Mincho" w:hAnsi="Garamond" w:cs="Times New Roman"/>
          <w:szCs w:val="24"/>
          <w:lang w:eastAsia="fr-RE"/>
        </w:rPr>
        <w:t>seriozitetit të</w:t>
      </w:r>
      <w:r w:rsidRPr="00B457F5">
        <w:rPr>
          <w:rFonts w:ascii="Garamond" w:eastAsia="MS Mincho" w:hAnsi="Garamond" w:cs="Times New Roman"/>
          <w:szCs w:val="24"/>
          <w:lang w:eastAsia="fr-RE"/>
        </w:rPr>
        <w:t xml:space="preserve"> çështjes, nevoja për përpjekje riintegruese, duke synuar të kthyerit, në mënyrë që të shfrytëzohen asetet e tyre arsimore, njohuritë dhe aftësitë për zhvillimin e qëndrueshëm të rajoneve të vendit, mbetet prioritet.</w:t>
      </w:r>
    </w:p>
    <w:p w14:paraId="6D64F99A" w14:textId="5022705A" w:rsidR="0007734A" w:rsidRPr="00B457F5" w:rsidRDefault="0007734A" w:rsidP="002E693B">
      <w:pPr>
        <w:spacing w:before="0" w:after="0"/>
        <w:ind w:firstLine="284"/>
        <w:rPr>
          <w:rFonts w:ascii="Garamond" w:eastAsia="MS Mincho" w:hAnsi="Garamond" w:cs="Times New Roman"/>
          <w:i/>
          <w:iCs/>
          <w:szCs w:val="24"/>
        </w:rPr>
      </w:pPr>
      <w:r w:rsidRPr="00B457F5">
        <w:rPr>
          <w:rFonts w:ascii="Garamond" w:eastAsia="MS Mincho" w:hAnsi="Garamond" w:cs="Times New Roman"/>
          <w:i/>
          <w:iCs/>
          <w:szCs w:val="24"/>
        </w:rPr>
        <w:t xml:space="preserve">Objektivat </w:t>
      </w:r>
      <w:r w:rsidR="00854EBC" w:rsidRPr="00B457F5">
        <w:rPr>
          <w:rFonts w:ascii="Garamond" w:eastAsia="MS Mincho" w:hAnsi="Garamond" w:cs="Times New Roman"/>
          <w:i/>
          <w:iCs/>
          <w:szCs w:val="24"/>
        </w:rPr>
        <w:t>s</w:t>
      </w:r>
      <w:r w:rsidRPr="00B457F5">
        <w:rPr>
          <w:rFonts w:ascii="Garamond" w:eastAsia="MS Mincho" w:hAnsi="Garamond" w:cs="Times New Roman"/>
          <w:i/>
          <w:iCs/>
          <w:szCs w:val="24"/>
        </w:rPr>
        <w:t>pecifik</w:t>
      </w:r>
      <w:r w:rsidR="004603C3" w:rsidRPr="00B457F5">
        <w:rPr>
          <w:rFonts w:ascii="Garamond" w:eastAsia="MS Mincho" w:hAnsi="Garamond" w:cs="Times New Roman"/>
          <w:i/>
          <w:iCs/>
          <w:szCs w:val="24"/>
        </w:rPr>
        <w:t>ë</w:t>
      </w:r>
    </w:p>
    <w:p w14:paraId="1EE22D11" w14:textId="7F12E16C" w:rsidR="00433841" w:rsidRPr="00B457F5" w:rsidRDefault="0007734A" w:rsidP="00433841">
      <w:pPr>
        <w:spacing w:before="0" w:after="0"/>
        <w:ind w:firstLine="284"/>
        <w:rPr>
          <w:rFonts w:ascii="Garamond" w:eastAsia="MS Mincho" w:hAnsi="Garamond" w:cs="Times New Roman"/>
          <w:szCs w:val="24"/>
        </w:rPr>
      </w:pPr>
      <w:r w:rsidRPr="00B457F5">
        <w:rPr>
          <w:rFonts w:ascii="Garamond" w:eastAsia="MS Mincho" w:hAnsi="Garamond" w:cs="Times New Roman"/>
          <w:szCs w:val="24"/>
        </w:rPr>
        <w:t>Qëllimi i dytë (</w:t>
      </w:r>
      <w:r w:rsidR="008238C0" w:rsidRPr="00B457F5">
        <w:rPr>
          <w:rFonts w:ascii="Garamond" w:eastAsia="MS Mincho" w:hAnsi="Garamond" w:cs="Times New Roman"/>
          <w:szCs w:val="24"/>
        </w:rPr>
        <w:t>h</w:t>
      </w:r>
      <w:r w:rsidRPr="00B457F5">
        <w:rPr>
          <w:rFonts w:ascii="Garamond" w:eastAsia="MS Mincho" w:hAnsi="Garamond" w:cs="Times New Roman"/>
          <w:szCs w:val="24"/>
        </w:rPr>
        <w:t>artimi i politikave efektive për migracionin për arsye punësimi, rritja e ndikimit pozitiv të migracionit në zhvillimin social-ekonomik kombëtar/</w:t>
      </w:r>
      <w:r w:rsidR="00DD4590" w:rsidRPr="00B457F5">
        <w:rPr>
          <w:rFonts w:ascii="Garamond" w:eastAsia="MS Mincho" w:hAnsi="Garamond" w:cs="Times New Roman"/>
          <w:szCs w:val="24"/>
        </w:rPr>
        <w:t>vendor</w:t>
      </w:r>
      <w:r w:rsidRPr="00B457F5">
        <w:rPr>
          <w:rFonts w:ascii="Garamond" w:eastAsia="MS Mincho" w:hAnsi="Garamond" w:cs="Times New Roman"/>
          <w:szCs w:val="24"/>
        </w:rPr>
        <w:t xml:space="preserve">) parashikohet të realizohet përmes ndjekjes </w:t>
      </w:r>
      <w:r w:rsidRPr="00B457F5">
        <w:rPr>
          <w:rFonts w:ascii="Garamond" w:eastAsia="MS Mincho" w:hAnsi="Garamond" w:cs="Times New Roman"/>
          <w:i/>
          <w:iCs/>
          <w:szCs w:val="24"/>
        </w:rPr>
        <w:t>së tre objektivave specifikë</w:t>
      </w:r>
      <w:r w:rsidRPr="00B457F5">
        <w:rPr>
          <w:rFonts w:ascii="Garamond" w:eastAsia="MS Mincho" w:hAnsi="Garamond" w:cs="Times New Roman"/>
          <w:szCs w:val="24"/>
        </w:rPr>
        <w:t xml:space="preserve"> </w:t>
      </w:r>
      <w:r w:rsidR="00B95279" w:rsidRPr="00B457F5">
        <w:rPr>
          <w:rFonts w:ascii="Garamond" w:eastAsia="MS Mincho" w:hAnsi="Garamond" w:cs="Times New Roman"/>
          <w:bCs/>
          <w:szCs w:val="24"/>
        </w:rPr>
        <w:t>(fig. 3).</w:t>
      </w:r>
      <w:r w:rsidR="00B95279" w:rsidRPr="00B457F5">
        <w:rPr>
          <w:rFonts w:ascii="Garamond" w:eastAsia="MS Mincho" w:hAnsi="Garamond" w:cs="Times New Roman"/>
          <w:szCs w:val="24"/>
        </w:rPr>
        <w:t xml:space="preserve"> </w:t>
      </w:r>
      <w:r w:rsidRPr="00B457F5">
        <w:rPr>
          <w:rFonts w:ascii="Garamond" w:eastAsia="MS Mincho" w:hAnsi="Garamond" w:cs="Times New Roman"/>
          <w:szCs w:val="24"/>
        </w:rPr>
        <w:t xml:space="preserve">Disa nga këto kërkojnë zgjidhje efektive, të ngritura nga </w:t>
      </w:r>
      <w:r w:rsidR="008238C0" w:rsidRPr="00B457F5">
        <w:rPr>
          <w:rFonts w:ascii="Garamond" w:eastAsia="MS Mincho" w:hAnsi="Garamond" w:cs="Times New Roman"/>
          <w:szCs w:val="24"/>
        </w:rPr>
        <w:t>s</w:t>
      </w:r>
      <w:r w:rsidRPr="00B457F5">
        <w:rPr>
          <w:rFonts w:ascii="Garamond" w:eastAsia="MS Mincho" w:hAnsi="Garamond" w:cs="Times New Roman"/>
          <w:szCs w:val="24"/>
        </w:rPr>
        <w:t>trategjia e mëparshme (në veçanti, nevoja për migrim efektiv të fuqisë punëtore dhe lehtësim i lëvizjes së rregullt) ndërsa të tjerat u përgjigjen çështjeve afatgjata përmes përafrimi</w:t>
      </w:r>
      <w:r w:rsidR="008238C0" w:rsidRPr="00B457F5">
        <w:rPr>
          <w:rFonts w:ascii="Garamond" w:eastAsia="MS Mincho" w:hAnsi="Garamond" w:cs="Times New Roman"/>
          <w:szCs w:val="24"/>
        </w:rPr>
        <w:t>t</w:t>
      </w:r>
      <w:r w:rsidRPr="00B457F5">
        <w:rPr>
          <w:rFonts w:ascii="Garamond" w:eastAsia="MS Mincho" w:hAnsi="Garamond" w:cs="Times New Roman"/>
          <w:szCs w:val="24"/>
        </w:rPr>
        <w:t xml:space="preserve"> më të ngushtë me kuadrin GCM (rritja e kontributit të emigrantëve në zhvillimin e qëndrueshëm dhe sigurimi i riintegrimit të qëndrueshëm të migrantëve shqiptarë) </w:t>
      </w:r>
      <w:r w:rsidR="00B95279" w:rsidRPr="00B457F5">
        <w:rPr>
          <w:rFonts w:ascii="Garamond" w:eastAsia="MS Mincho" w:hAnsi="Garamond" w:cs="Times New Roman"/>
          <w:bCs/>
          <w:szCs w:val="24"/>
        </w:rPr>
        <w:t>(tabela 6).</w:t>
      </w:r>
      <w:r w:rsidR="00B95279" w:rsidRPr="00B457F5">
        <w:rPr>
          <w:rFonts w:ascii="Garamond" w:eastAsia="MS Mincho" w:hAnsi="Garamond" w:cs="Times New Roman"/>
          <w:szCs w:val="24"/>
        </w:rPr>
        <w:t xml:space="preserve"> </w:t>
      </w:r>
      <w:r w:rsidRPr="00B457F5">
        <w:rPr>
          <w:rFonts w:ascii="Garamond" w:eastAsia="MS Mincho" w:hAnsi="Garamond" w:cs="Times New Roman"/>
          <w:szCs w:val="24"/>
        </w:rPr>
        <w:t xml:space="preserve">Të tre objektivat unifikohen duke u </w:t>
      </w:r>
      <w:r w:rsidR="008238C0" w:rsidRPr="00B457F5">
        <w:rPr>
          <w:rFonts w:ascii="Garamond" w:eastAsia="MS Mincho" w:hAnsi="Garamond" w:cs="Times New Roman"/>
          <w:szCs w:val="24"/>
        </w:rPr>
        <w:t>përqendruar</w:t>
      </w:r>
      <w:r w:rsidRPr="00B457F5">
        <w:rPr>
          <w:rFonts w:ascii="Garamond" w:eastAsia="MS Mincho" w:hAnsi="Garamond" w:cs="Times New Roman"/>
          <w:szCs w:val="24"/>
        </w:rPr>
        <w:t xml:space="preserve"> në kategorinë kryesore të migrantëve</w:t>
      </w:r>
      <w:r w:rsidR="00003475" w:rsidRPr="00B457F5">
        <w:rPr>
          <w:rFonts w:ascii="Garamond" w:eastAsia="MS Mincho" w:hAnsi="Garamond" w:cs="Times New Roman"/>
          <w:szCs w:val="24"/>
        </w:rPr>
        <w:t>,</w:t>
      </w:r>
      <w:r w:rsidRPr="00B457F5">
        <w:rPr>
          <w:rFonts w:ascii="Garamond" w:eastAsia="MS Mincho" w:hAnsi="Garamond" w:cs="Times New Roman"/>
          <w:szCs w:val="24"/>
        </w:rPr>
        <w:t xml:space="preserve"> shqiptarët që jetojnë jashtë vendit</w:t>
      </w:r>
      <w:r w:rsidR="00003475" w:rsidRPr="00B457F5">
        <w:rPr>
          <w:rFonts w:ascii="Garamond" w:eastAsia="MS Mincho" w:hAnsi="Garamond" w:cs="Times New Roman"/>
          <w:szCs w:val="24"/>
        </w:rPr>
        <w:t>,</w:t>
      </w:r>
      <w:r w:rsidRPr="00B457F5">
        <w:rPr>
          <w:rFonts w:ascii="Garamond" w:eastAsia="MS Mincho" w:hAnsi="Garamond" w:cs="Times New Roman"/>
          <w:szCs w:val="24"/>
        </w:rPr>
        <w:t xml:space="preserve"> dhe mbulojnë faza të ndryshme të migrimit. Ato përfshijnë arritjen e emigrantëve, rritjen e ndërgjegjësimit të tyre për mundësitë e kthimit dhe riintegrimit, heqjen e </w:t>
      </w:r>
      <w:r w:rsidR="00003475" w:rsidRPr="00B457F5">
        <w:rPr>
          <w:rFonts w:ascii="Garamond" w:eastAsia="MS Mincho" w:hAnsi="Garamond" w:cs="Times New Roman"/>
          <w:szCs w:val="24"/>
        </w:rPr>
        <w:t xml:space="preserve">pengesave </w:t>
      </w:r>
      <w:r w:rsidRPr="00B457F5">
        <w:rPr>
          <w:rFonts w:ascii="Garamond" w:eastAsia="MS Mincho" w:hAnsi="Garamond" w:cs="Times New Roman"/>
          <w:szCs w:val="24"/>
        </w:rPr>
        <w:t>për transferimin e remitancave, aftësive, kualifikimeve dhe kompetencave</w:t>
      </w:r>
      <w:r w:rsidR="008238C0" w:rsidRPr="00B457F5">
        <w:rPr>
          <w:rFonts w:ascii="Garamond" w:eastAsia="MS Mincho" w:hAnsi="Garamond" w:cs="Times New Roman"/>
          <w:szCs w:val="24"/>
        </w:rPr>
        <w:t>,</w:t>
      </w:r>
      <w:r w:rsidRPr="00B457F5">
        <w:rPr>
          <w:rFonts w:ascii="Garamond" w:eastAsia="MS Mincho" w:hAnsi="Garamond" w:cs="Times New Roman"/>
          <w:szCs w:val="24"/>
        </w:rPr>
        <w:t xml:space="preserve"> si dhe zbatimin e aktiviteteve riintegruese dhe monitorimin e sfidave me të cilat përballen të kthyerit dhe nevojat e tyre të shfaqura për mbështetje.</w:t>
      </w:r>
      <w:bookmarkStart w:id="53" w:name="_Toc141272986"/>
    </w:p>
    <w:p w14:paraId="2B6FABFB" w14:textId="125EE70C" w:rsidR="0007734A" w:rsidRPr="00B457F5" w:rsidRDefault="0007734A" w:rsidP="00433841">
      <w:pPr>
        <w:spacing w:before="0" w:after="0"/>
        <w:ind w:firstLine="284"/>
        <w:rPr>
          <w:rFonts w:ascii="Garamond" w:eastAsia="Calibri" w:hAnsi="Garamond" w:cs="Times New Roman"/>
          <w:bCs/>
          <w:i/>
          <w:szCs w:val="24"/>
        </w:rPr>
      </w:pPr>
      <w:r w:rsidRPr="00B457F5">
        <w:rPr>
          <w:rFonts w:ascii="Garamond" w:eastAsia="Calibri" w:hAnsi="Garamond" w:cs="Times New Roman"/>
          <w:bCs/>
          <w:i/>
          <w:szCs w:val="24"/>
        </w:rPr>
        <w:t>Fig. 3</w:t>
      </w:r>
      <w:r w:rsidR="004603C3" w:rsidRPr="00B457F5">
        <w:rPr>
          <w:rFonts w:ascii="Garamond" w:eastAsia="Calibri" w:hAnsi="Garamond" w:cs="Times New Roman"/>
          <w:bCs/>
          <w:i/>
          <w:szCs w:val="24"/>
        </w:rPr>
        <w:t>:</w:t>
      </w:r>
      <w:r w:rsidRPr="00B457F5">
        <w:rPr>
          <w:rFonts w:ascii="Garamond" w:eastAsia="Calibri" w:hAnsi="Garamond" w:cs="Times New Roman"/>
          <w:bCs/>
          <w:i/>
          <w:szCs w:val="24"/>
        </w:rPr>
        <w:t xml:space="preserve"> </w:t>
      </w:r>
      <w:bookmarkEnd w:id="53"/>
      <w:r w:rsidRPr="00B457F5">
        <w:rPr>
          <w:rFonts w:ascii="Garamond" w:eastAsia="Calibri" w:hAnsi="Garamond" w:cs="Times New Roman"/>
          <w:bCs/>
          <w:i/>
          <w:szCs w:val="24"/>
        </w:rPr>
        <w:t>Qëllimi i politikës II</w:t>
      </w:r>
      <w:r w:rsidR="008238C0" w:rsidRPr="00B457F5">
        <w:rPr>
          <w:rFonts w:ascii="Garamond" w:eastAsia="Calibri" w:hAnsi="Garamond" w:cs="Times New Roman"/>
          <w:bCs/>
          <w:i/>
          <w:szCs w:val="24"/>
        </w:rPr>
        <w:t>.</w:t>
      </w:r>
      <w:r w:rsidRPr="00B457F5">
        <w:rPr>
          <w:rFonts w:ascii="Garamond" w:eastAsia="Calibri" w:hAnsi="Garamond" w:cs="Times New Roman"/>
          <w:bCs/>
          <w:i/>
          <w:szCs w:val="24"/>
        </w:rPr>
        <w:t xml:space="preserve"> Objektivat specifik</w:t>
      </w:r>
      <w:r w:rsidR="004603C3" w:rsidRPr="00B457F5">
        <w:rPr>
          <w:rFonts w:ascii="Garamond" w:eastAsia="Calibri" w:hAnsi="Garamond" w:cs="Times New Roman"/>
          <w:bCs/>
          <w:i/>
          <w:szCs w:val="24"/>
        </w:rPr>
        <w:t>ë</w:t>
      </w:r>
    </w:p>
    <w:p w14:paraId="76258084" w14:textId="77777777" w:rsidR="0007734A" w:rsidRPr="00B457F5" w:rsidRDefault="0007734A" w:rsidP="002E693B">
      <w:pPr>
        <w:spacing w:before="0" w:after="0"/>
        <w:ind w:firstLine="284"/>
        <w:jc w:val="left"/>
        <w:rPr>
          <w:rFonts w:ascii="Garamond" w:eastAsia="MS Mincho" w:hAnsi="Garamond" w:cs="Times New Roman"/>
          <w:szCs w:val="24"/>
        </w:rPr>
      </w:pPr>
    </w:p>
    <w:p w14:paraId="17C03AF9" w14:textId="77777777" w:rsidR="0007734A" w:rsidRPr="00B457F5" w:rsidRDefault="0007734A" w:rsidP="002E693B">
      <w:pPr>
        <w:spacing w:before="0" w:after="0"/>
        <w:ind w:firstLine="284"/>
        <w:jc w:val="left"/>
        <w:rPr>
          <w:rFonts w:ascii="Garamond" w:eastAsia="MS Mincho" w:hAnsi="Garamond" w:cs="Times New Roman"/>
          <w:b/>
          <w:bCs/>
          <w:szCs w:val="24"/>
        </w:rPr>
      </w:pPr>
      <w:r w:rsidRPr="00B457F5">
        <w:rPr>
          <w:rFonts w:ascii="Garamond" w:eastAsia="MS Mincho" w:hAnsi="Garamond" w:cs="Times New Roman"/>
          <w:b/>
          <w:bCs/>
          <w:noProof/>
          <w:szCs w:val="24"/>
        </w:rPr>
        <w:drawing>
          <wp:inline distT="0" distB="0" distL="0" distR="0" wp14:anchorId="5F685D27" wp14:editId="1083D5D2">
            <wp:extent cx="5017008" cy="1870456"/>
            <wp:effectExtent l="0" t="0" r="0" b="15875"/>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44A30F0A" w14:textId="77777777" w:rsidR="0007734A" w:rsidRPr="00B457F5" w:rsidRDefault="0007734A" w:rsidP="002E693B">
      <w:pPr>
        <w:spacing w:before="0" w:after="0"/>
        <w:ind w:firstLine="284"/>
        <w:jc w:val="left"/>
        <w:rPr>
          <w:rFonts w:ascii="Garamond" w:eastAsia="MS Mincho" w:hAnsi="Garamond" w:cs="Times New Roman"/>
          <w:szCs w:val="24"/>
        </w:rPr>
      </w:pPr>
    </w:p>
    <w:p w14:paraId="2F0F8E9D" w14:textId="27C577D9" w:rsidR="0007734A" w:rsidRPr="00B457F5" w:rsidRDefault="0007734A" w:rsidP="002E693B">
      <w:pPr>
        <w:spacing w:before="0" w:after="0"/>
        <w:ind w:firstLine="284"/>
        <w:jc w:val="left"/>
        <w:rPr>
          <w:rFonts w:ascii="Garamond" w:eastAsia="Calibri" w:hAnsi="Garamond" w:cs="Times New Roman"/>
          <w:bCs/>
          <w:i/>
          <w:szCs w:val="24"/>
        </w:rPr>
      </w:pPr>
      <w:r w:rsidRPr="00B457F5">
        <w:rPr>
          <w:rFonts w:ascii="Garamond" w:eastAsia="Calibri" w:hAnsi="Garamond" w:cs="Times New Roman"/>
          <w:bCs/>
          <w:i/>
          <w:szCs w:val="24"/>
        </w:rPr>
        <w:t xml:space="preserve">Tabela </w:t>
      </w:r>
      <w:r w:rsidR="00CF218E" w:rsidRPr="00B457F5">
        <w:rPr>
          <w:rFonts w:ascii="Garamond" w:eastAsia="Calibri" w:hAnsi="Garamond" w:cs="Times New Roman"/>
          <w:bCs/>
          <w:i/>
          <w:szCs w:val="24"/>
        </w:rPr>
        <w:t>6</w:t>
      </w:r>
      <w:r w:rsidR="00B95279" w:rsidRPr="00B457F5">
        <w:rPr>
          <w:rFonts w:ascii="Garamond" w:eastAsia="Calibri" w:hAnsi="Garamond" w:cs="Times New Roman"/>
          <w:bCs/>
          <w:i/>
          <w:szCs w:val="24"/>
        </w:rPr>
        <w:t>.</w:t>
      </w:r>
      <w:r w:rsidRPr="00B457F5">
        <w:rPr>
          <w:rFonts w:ascii="Garamond" w:eastAsia="Calibri" w:hAnsi="Garamond" w:cs="Times New Roman"/>
          <w:bCs/>
          <w:i/>
          <w:szCs w:val="24"/>
        </w:rPr>
        <w:t xml:space="preserve"> Përafrimi i </w:t>
      </w:r>
      <w:r w:rsidR="00B95279" w:rsidRPr="00B457F5">
        <w:rPr>
          <w:rFonts w:ascii="Garamond" w:eastAsia="Calibri" w:hAnsi="Garamond" w:cs="Times New Roman"/>
          <w:bCs/>
          <w:i/>
          <w:szCs w:val="24"/>
        </w:rPr>
        <w:t>p</w:t>
      </w:r>
      <w:r w:rsidRPr="00B457F5">
        <w:rPr>
          <w:rFonts w:ascii="Garamond" w:eastAsia="Calibri" w:hAnsi="Garamond" w:cs="Times New Roman"/>
          <w:bCs/>
          <w:i/>
          <w:szCs w:val="24"/>
        </w:rPr>
        <w:t>olitikës II me GCM</w:t>
      </w:r>
      <w:r w:rsidR="00003475" w:rsidRPr="00B457F5">
        <w:rPr>
          <w:rFonts w:ascii="Garamond" w:eastAsia="Calibri" w:hAnsi="Garamond" w:cs="Times New Roman"/>
          <w:bCs/>
          <w:i/>
          <w:szCs w:val="24"/>
        </w:rPr>
        <w:t>-në</w:t>
      </w:r>
      <w:r w:rsidRPr="00B457F5">
        <w:rPr>
          <w:rFonts w:ascii="Garamond" w:eastAsia="Calibri" w:hAnsi="Garamond" w:cs="Times New Roman"/>
          <w:bCs/>
          <w:i/>
          <w:szCs w:val="24"/>
        </w:rPr>
        <w:t xml:space="preserve"> </w:t>
      </w:r>
    </w:p>
    <w:p w14:paraId="02DEF9E0" w14:textId="77777777" w:rsidR="0007734A" w:rsidRPr="00B457F5" w:rsidRDefault="0007734A" w:rsidP="002E693B">
      <w:pPr>
        <w:spacing w:before="0" w:after="0"/>
        <w:ind w:firstLine="284"/>
        <w:jc w:val="left"/>
        <w:rPr>
          <w:rFonts w:ascii="Garamond" w:eastAsia="MS Mincho" w:hAnsi="Garamond" w:cs="Times New Roman"/>
          <w:b/>
          <w:bCs/>
          <w:szCs w:val="24"/>
        </w:rPr>
      </w:pPr>
    </w:p>
    <w:tbl>
      <w:tblPr>
        <w:tblStyle w:val="TableGrid1"/>
        <w:tblW w:w="0" w:type="auto"/>
        <w:tblLook w:val="04A0" w:firstRow="1" w:lastRow="0" w:firstColumn="1" w:lastColumn="0" w:noHBand="0" w:noVBand="1"/>
      </w:tblPr>
      <w:tblGrid>
        <w:gridCol w:w="3760"/>
        <w:gridCol w:w="5529"/>
      </w:tblGrid>
      <w:tr w:rsidR="0007734A" w:rsidRPr="00B457F5" w14:paraId="13F3AD18" w14:textId="77777777" w:rsidTr="008238C0">
        <w:trPr>
          <w:trHeight w:val="171"/>
        </w:trPr>
        <w:tc>
          <w:tcPr>
            <w:tcW w:w="0" w:type="auto"/>
          </w:tcPr>
          <w:p w14:paraId="3F24BBE0" w14:textId="0813CB6E" w:rsidR="0007734A" w:rsidRPr="00B457F5" w:rsidRDefault="0007734A" w:rsidP="004A6BB7">
            <w:pPr>
              <w:jc w:val="center"/>
              <w:rPr>
                <w:rFonts w:ascii="Garamond" w:eastAsia="MS Mincho" w:hAnsi="Garamond" w:cs="Times New Roman"/>
                <w:b/>
                <w:bCs/>
                <w:sz w:val="12"/>
                <w:szCs w:val="8"/>
              </w:rPr>
            </w:pPr>
            <w:r w:rsidRPr="00B457F5">
              <w:rPr>
                <w:rFonts w:ascii="Garamond" w:eastAsia="MS Mincho" w:hAnsi="Garamond" w:cs="Times New Roman"/>
                <w:b/>
                <w:bCs/>
                <w:sz w:val="12"/>
                <w:szCs w:val="8"/>
              </w:rPr>
              <w:t>Politika II</w:t>
            </w:r>
            <w:r w:rsidR="004603C3" w:rsidRPr="00B457F5">
              <w:rPr>
                <w:rFonts w:ascii="Garamond" w:eastAsia="MS Mincho" w:hAnsi="Garamond" w:cs="Times New Roman"/>
                <w:b/>
                <w:bCs/>
                <w:sz w:val="12"/>
                <w:szCs w:val="8"/>
              </w:rPr>
              <w:t>:</w:t>
            </w:r>
            <w:r w:rsidRPr="00B457F5">
              <w:rPr>
                <w:rFonts w:ascii="Garamond" w:eastAsia="MS Mincho" w:hAnsi="Garamond" w:cs="Times New Roman"/>
                <w:b/>
                <w:bCs/>
                <w:sz w:val="12"/>
                <w:szCs w:val="8"/>
              </w:rPr>
              <w:t xml:space="preserve"> Objektivat </w:t>
            </w:r>
            <w:r w:rsidR="00AF4731" w:rsidRPr="00B457F5">
              <w:rPr>
                <w:rFonts w:ascii="Garamond" w:eastAsia="MS Mincho" w:hAnsi="Garamond" w:cs="Times New Roman"/>
                <w:b/>
                <w:bCs/>
                <w:sz w:val="12"/>
                <w:szCs w:val="8"/>
              </w:rPr>
              <w:t>s</w:t>
            </w:r>
            <w:r w:rsidRPr="00B457F5">
              <w:rPr>
                <w:rFonts w:ascii="Garamond" w:eastAsia="MS Mincho" w:hAnsi="Garamond" w:cs="Times New Roman"/>
                <w:b/>
                <w:bCs/>
                <w:sz w:val="12"/>
                <w:szCs w:val="8"/>
              </w:rPr>
              <w:t>pecifik</w:t>
            </w:r>
            <w:r w:rsidR="004603C3" w:rsidRPr="00B457F5">
              <w:rPr>
                <w:rFonts w:ascii="Garamond" w:eastAsia="MS Mincho" w:hAnsi="Garamond" w:cs="Times New Roman"/>
                <w:b/>
                <w:bCs/>
                <w:sz w:val="12"/>
                <w:szCs w:val="8"/>
              </w:rPr>
              <w:t>ë</w:t>
            </w:r>
          </w:p>
        </w:tc>
        <w:tc>
          <w:tcPr>
            <w:tcW w:w="0" w:type="auto"/>
          </w:tcPr>
          <w:p w14:paraId="7F484E60" w14:textId="4E9FCCEB" w:rsidR="0007734A" w:rsidRPr="00B457F5" w:rsidRDefault="0007734A" w:rsidP="004A6BB7">
            <w:pPr>
              <w:jc w:val="center"/>
              <w:rPr>
                <w:rFonts w:ascii="Garamond" w:eastAsia="MS Mincho" w:hAnsi="Garamond" w:cs="Times New Roman"/>
                <w:b/>
                <w:bCs/>
                <w:sz w:val="12"/>
                <w:szCs w:val="8"/>
              </w:rPr>
            </w:pPr>
            <w:r w:rsidRPr="00B457F5">
              <w:rPr>
                <w:rFonts w:ascii="Garamond" w:eastAsia="MS Mincho" w:hAnsi="Garamond" w:cs="Times New Roman"/>
                <w:b/>
                <w:bCs/>
                <w:sz w:val="12"/>
                <w:szCs w:val="8"/>
              </w:rPr>
              <w:t>Objektivat përkatës të GCM</w:t>
            </w:r>
            <w:r w:rsidR="00003475" w:rsidRPr="00B457F5">
              <w:rPr>
                <w:rFonts w:ascii="Garamond" w:eastAsia="MS Mincho" w:hAnsi="Garamond" w:cs="Times New Roman"/>
                <w:b/>
                <w:bCs/>
                <w:sz w:val="12"/>
                <w:szCs w:val="8"/>
              </w:rPr>
              <w:t>-së</w:t>
            </w:r>
          </w:p>
        </w:tc>
      </w:tr>
      <w:tr w:rsidR="0007734A" w:rsidRPr="00B457F5" w14:paraId="7C97C26F" w14:textId="77777777" w:rsidTr="008238C0">
        <w:trPr>
          <w:trHeight w:val="369"/>
        </w:trPr>
        <w:tc>
          <w:tcPr>
            <w:tcW w:w="0" w:type="auto"/>
          </w:tcPr>
          <w:p w14:paraId="06441AB5" w14:textId="59B2E0B7" w:rsidR="0007734A" w:rsidRPr="00B457F5" w:rsidRDefault="0007734A" w:rsidP="00433841">
            <w:pPr>
              <w:rPr>
                <w:rFonts w:ascii="Garamond" w:eastAsia="MS Mincho" w:hAnsi="Garamond" w:cs="Times New Roman"/>
                <w:sz w:val="12"/>
                <w:szCs w:val="8"/>
              </w:rPr>
            </w:pPr>
            <w:r w:rsidRPr="00B457F5">
              <w:rPr>
                <w:rFonts w:ascii="Garamond" w:eastAsia="MS Mincho" w:hAnsi="Garamond" w:cs="Times New Roman"/>
                <w:sz w:val="12"/>
                <w:szCs w:val="8"/>
              </w:rPr>
              <w:t xml:space="preserve">2.1 </w:t>
            </w:r>
            <w:r w:rsidR="00CF218E" w:rsidRPr="00B457F5">
              <w:rPr>
                <w:rFonts w:ascii="Garamond" w:eastAsia="MS Mincho" w:hAnsi="Garamond" w:cs="Times New Roman"/>
                <w:sz w:val="12"/>
                <w:szCs w:val="8"/>
              </w:rPr>
              <w:t>Krijimi i mundësive ligjore dhe institucionale për migrimin për motive punësimi drejt dhe nga Shqipëria</w:t>
            </w:r>
          </w:p>
        </w:tc>
        <w:tc>
          <w:tcPr>
            <w:tcW w:w="0" w:type="auto"/>
          </w:tcPr>
          <w:p w14:paraId="2FB99EF6" w14:textId="77777777" w:rsidR="00CF218E" w:rsidRPr="00B457F5" w:rsidRDefault="00CF218E" w:rsidP="00433841">
            <w:pPr>
              <w:rPr>
                <w:rFonts w:ascii="Garamond" w:eastAsia="MS Mincho" w:hAnsi="Garamond" w:cs="Times New Roman"/>
                <w:sz w:val="12"/>
                <w:szCs w:val="8"/>
              </w:rPr>
            </w:pPr>
            <w:r w:rsidRPr="00B457F5">
              <w:rPr>
                <w:rFonts w:ascii="Garamond" w:eastAsia="MS Mincho" w:hAnsi="Garamond" w:cs="Times New Roman"/>
                <w:sz w:val="12"/>
                <w:szCs w:val="8"/>
              </w:rPr>
              <w:t>5: Rritja e disponueshmërisë dhe fleksibilitetit të rrugëve për migrim të rregullt;</w:t>
            </w:r>
          </w:p>
          <w:p w14:paraId="7DC152F0" w14:textId="471B0257" w:rsidR="0007734A" w:rsidRPr="00B457F5" w:rsidRDefault="00CF218E" w:rsidP="00433841">
            <w:pPr>
              <w:rPr>
                <w:rFonts w:ascii="Garamond" w:eastAsia="MS Mincho" w:hAnsi="Garamond" w:cs="Times New Roman"/>
                <w:b/>
                <w:bCs/>
                <w:sz w:val="12"/>
                <w:szCs w:val="8"/>
              </w:rPr>
            </w:pPr>
            <w:r w:rsidRPr="00B457F5">
              <w:rPr>
                <w:rFonts w:ascii="Garamond" w:eastAsia="MS Mincho" w:hAnsi="Garamond" w:cs="Times New Roman"/>
                <w:sz w:val="12"/>
                <w:szCs w:val="8"/>
              </w:rPr>
              <w:t>6: Lehtësimi i rekrutimit të drejtë dhe etik</w:t>
            </w:r>
            <w:r w:rsidR="008238C0" w:rsidRPr="00B457F5">
              <w:rPr>
                <w:rFonts w:ascii="Garamond" w:eastAsia="MS Mincho" w:hAnsi="Garamond" w:cs="Times New Roman"/>
                <w:sz w:val="12"/>
                <w:szCs w:val="8"/>
              </w:rPr>
              <w:t>,</w:t>
            </w:r>
            <w:r w:rsidRPr="00B457F5">
              <w:rPr>
                <w:rFonts w:ascii="Garamond" w:eastAsia="MS Mincho" w:hAnsi="Garamond" w:cs="Times New Roman"/>
                <w:sz w:val="12"/>
                <w:szCs w:val="8"/>
              </w:rPr>
              <w:t xml:space="preserve"> dhe ruajtja e kushteve që sigurojnë punë të denjë</w:t>
            </w:r>
            <w:r w:rsidR="008238C0" w:rsidRPr="00B457F5">
              <w:rPr>
                <w:rFonts w:ascii="Garamond" w:eastAsia="MS Mincho" w:hAnsi="Garamond" w:cs="Times New Roman"/>
                <w:sz w:val="12"/>
                <w:szCs w:val="8"/>
              </w:rPr>
              <w:t>.</w:t>
            </w:r>
          </w:p>
        </w:tc>
      </w:tr>
      <w:tr w:rsidR="0007734A" w:rsidRPr="00B457F5" w14:paraId="73E6EE98" w14:textId="77777777" w:rsidTr="008238C0">
        <w:trPr>
          <w:trHeight w:val="450"/>
        </w:trPr>
        <w:tc>
          <w:tcPr>
            <w:tcW w:w="0" w:type="auto"/>
          </w:tcPr>
          <w:p w14:paraId="650B2943" w14:textId="12743FC3" w:rsidR="0007734A" w:rsidRPr="00B457F5" w:rsidRDefault="0007734A" w:rsidP="00433841">
            <w:pPr>
              <w:rPr>
                <w:rFonts w:ascii="Garamond" w:eastAsia="MS Mincho" w:hAnsi="Garamond" w:cs="Times New Roman"/>
                <w:sz w:val="12"/>
                <w:szCs w:val="8"/>
              </w:rPr>
            </w:pPr>
            <w:r w:rsidRPr="00B457F5">
              <w:rPr>
                <w:rFonts w:ascii="Garamond" w:eastAsia="MS Mincho" w:hAnsi="Garamond" w:cs="Times New Roman"/>
                <w:sz w:val="12"/>
                <w:szCs w:val="8"/>
              </w:rPr>
              <w:t xml:space="preserve">2.2 </w:t>
            </w:r>
            <w:r w:rsidR="00CF218E" w:rsidRPr="00B457F5">
              <w:rPr>
                <w:rFonts w:ascii="Garamond" w:eastAsia="MS Mincho" w:hAnsi="Garamond" w:cs="Times New Roman"/>
                <w:sz w:val="12"/>
                <w:szCs w:val="8"/>
              </w:rPr>
              <w:t>Krijimi i mundësive dhe stimujve për migrantët për të kontribuar në zhvillimin e qëndrueshëm</w:t>
            </w:r>
          </w:p>
        </w:tc>
        <w:tc>
          <w:tcPr>
            <w:tcW w:w="0" w:type="auto"/>
          </w:tcPr>
          <w:p w14:paraId="783AE2CD" w14:textId="77777777" w:rsidR="0007734A" w:rsidRPr="00B457F5" w:rsidRDefault="0007734A" w:rsidP="00433841">
            <w:pPr>
              <w:rPr>
                <w:rFonts w:ascii="Garamond" w:eastAsia="MS Mincho" w:hAnsi="Garamond" w:cs="Times New Roman"/>
                <w:sz w:val="12"/>
                <w:szCs w:val="8"/>
              </w:rPr>
            </w:pPr>
            <w:r w:rsidRPr="00B457F5">
              <w:rPr>
                <w:rFonts w:ascii="Garamond" w:eastAsia="MS Mincho" w:hAnsi="Garamond" w:cs="Times New Roman"/>
                <w:sz w:val="12"/>
                <w:szCs w:val="8"/>
              </w:rPr>
              <w:t>19: Krijimi i kushteve për migrantët dhe diasporën që të kontribuojnë plotësisht në zhvillimin e qëndrueshëm në të gjitha kualifikimet dhe kompetencat e vendit;</w:t>
            </w:r>
          </w:p>
          <w:p w14:paraId="061BCF28" w14:textId="7235AAEE" w:rsidR="0007734A" w:rsidRPr="00B457F5" w:rsidRDefault="0007734A" w:rsidP="00433841">
            <w:pPr>
              <w:rPr>
                <w:rFonts w:ascii="Garamond" w:eastAsia="MS Mincho" w:hAnsi="Garamond" w:cs="Times New Roman"/>
                <w:sz w:val="12"/>
                <w:szCs w:val="8"/>
              </w:rPr>
            </w:pPr>
            <w:r w:rsidRPr="00B457F5">
              <w:rPr>
                <w:rFonts w:ascii="Garamond" w:eastAsia="MS Mincho" w:hAnsi="Garamond" w:cs="Times New Roman"/>
                <w:sz w:val="12"/>
                <w:szCs w:val="8"/>
              </w:rPr>
              <w:t>20: Promovimi i transferimit më të shpejtë, më të sigurt dhe më të lirë të remitancave</w:t>
            </w:r>
            <w:r w:rsidR="008238C0" w:rsidRPr="00B457F5">
              <w:rPr>
                <w:rFonts w:ascii="Garamond" w:eastAsia="MS Mincho" w:hAnsi="Garamond" w:cs="Times New Roman"/>
                <w:sz w:val="12"/>
                <w:szCs w:val="8"/>
              </w:rPr>
              <w:t>,</w:t>
            </w:r>
            <w:r w:rsidRPr="00B457F5">
              <w:rPr>
                <w:rFonts w:ascii="Garamond" w:eastAsia="MS Mincho" w:hAnsi="Garamond" w:cs="Times New Roman"/>
                <w:sz w:val="12"/>
                <w:szCs w:val="8"/>
              </w:rPr>
              <w:t xml:space="preserve"> dhe nxitja e përfshirjes financiare të migrantëve.</w:t>
            </w:r>
          </w:p>
        </w:tc>
      </w:tr>
      <w:tr w:rsidR="0007734A" w:rsidRPr="00B457F5" w14:paraId="0BA7EE55" w14:textId="77777777" w:rsidTr="008238C0">
        <w:trPr>
          <w:trHeight w:val="531"/>
        </w:trPr>
        <w:tc>
          <w:tcPr>
            <w:tcW w:w="0" w:type="auto"/>
          </w:tcPr>
          <w:p w14:paraId="7D5C3ED7" w14:textId="17732726" w:rsidR="0007734A" w:rsidRPr="00B457F5" w:rsidRDefault="00BD0F10" w:rsidP="00433841">
            <w:pPr>
              <w:rPr>
                <w:rFonts w:ascii="Garamond" w:eastAsia="MS Mincho" w:hAnsi="Garamond" w:cs="Times New Roman"/>
                <w:sz w:val="12"/>
                <w:szCs w:val="8"/>
              </w:rPr>
            </w:pPr>
            <w:r w:rsidRPr="00B457F5">
              <w:rPr>
                <w:rFonts w:ascii="Garamond" w:eastAsia="MS Mincho" w:hAnsi="Garamond" w:cs="Times New Roman"/>
                <w:sz w:val="12"/>
                <w:szCs w:val="8"/>
              </w:rPr>
              <w:t>2.3</w:t>
            </w:r>
            <w:r w:rsidR="004603C3" w:rsidRPr="00B457F5">
              <w:rPr>
                <w:rFonts w:ascii="Garamond" w:eastAsia="MS Mincho" w:hAnsi="Garamond" w:cs="Times New Roman"/>
                <w:sz w:val="12"/>
                <w:szCs w:val="8"/>
              </w:rPr>
              <w:t xml:space="preserve"> </w:t>
            </w:r>
            <w:r w:rsidR="00CF218E" w:rsidRPr="00B457F5">
              <w:rPr>
                <w:rFonts w:ascii="Garamond" w:eastAsia="MS Mincho" w:hAnsi="Garamond" w:cs="Times New Roman"/>
                <w:sz w:val="12"/>
                <w:szCs w:val="8"/>
              </w:rPr>
              <w:t>Garantimi i integrimit të qëndrueshëm të qytetarëve shqiptarë që kthehen nga emigracioni</w:t>
            </w:r>
          </w:p>
        </w:tc>
        <w:tc>
          <w:tcPr>
            <w:tcW w:w="0" w:type="auto"/>
          </w:tcPr>
          <w:p w14:paraId="56E3C799" w14:textId="0F42B460" w:rsidR="0007734A" w:rsidRPr="00B457F5" w:rsidRDefault="006A7620" w:rsidP="00433841">
            <w:pPr>
              <w:rPr>
                <w:rFonts w:ascii="Garamond" w:eastAsia="MS Mincho" w:hAnsi="Garamond" w:cs="Times New Roman"/>
                <w:sz w:val="12"/>
                <w:szCs w:val="8"/>
              </w:rPr>
            </w:pPr>
            <w:r w:rsidRPr="00B457F5">
              <w:rPr>
                <w:rFonts w:ascii="Garamond" w:eastAsia="MS Mincho" w:hAnsi="Garamond" w:cs="Times New Roman"/>
                <w:sz w:val="12"/>
                <w:szCs w:val="8"/>
              </w:rPr>
              <w:t>18:</w:t>
            </w:r>
            <w:r w:rsidR="0007734A" w:rsidRPr="00B457F5">
              <w:rPr>
                <w:rFonts w:ascii="Garamond" w:eastAsia="MS Mincho" w:hAnsi="Garamond" w:cs="Times New Roman"/>
                <w:sz w:val="12"/>
                <w:szCs w:val="8"/>
              </w:rPr>
              <w:t xml:space="preserve"> Investimi në zhvillimin e aftësive dhe lehtësimi i njohjes reciproke të aftësive, kualifikimeve dhe kompetencave; </w:t>
            </w:r>
          </w:p>
          <w:p w14:paraId="7B6D1E68" w14:textId="6B1A50E7" w:rsidR="0007734A" w:rsidRPr="00B457F5" w:rsidRDefault="003E01D8" w:rsidP="00433841">
            <w:pPr>
              <w:rPr>
                <w:rFonts w:ascii="Garamond" w:eastAsia="MS Mincho" w:hAnsi="Garamond" w:cs="Times New Roman"/>
                <w:sz w:val="12"/>
                <w:szCs w:val="8"/>
              </w:rPr>
            </w:pPr>
            <w:r w:rsidRPr="00B457F5">
              <w:rPr>
                <w:rFonts w:ascii="Garamond" w:eastAsia="MS Mincho" w:hAnsi="Garamond" w:cs="Times New Roman"/>
                <w:sz w:val="12"/>
                <w:szCs w:val="8"/>
              </w:rPr>
              <w:t>21:</w:t>
            </w:r>
            <w:r w:rsidR="004A6BB7" w:rsidRPr="00B457F5">
              <w:rPr>
                <w:rFonts w:ascii="Garamond" w:eastAsia="MS Mincho" w:hAnsi="Garamond" w:cs="Times New Roman"/>
                <w:sz w:val="12"/>
                <w:szCs w:val="8"/>
              </w:rPr>
              <w:t xml:space="preserve"> </w:t>
            </w:r>
            <w:r w:rsidR="0007734A" w:rsidRPr="00B457F5">
              <w:rPr>
                <w:rFonts w:ascii="Garamond" w:eastAsia="MS Mincho" w:hAnsi="Garamond" w:cs="Times New Roman"/>
                <w:sz w:val="12"/>
                <w:szCs w:val="8"/>
              </w:rPr>
              <w:t xml:space="preserve">Bashkëpunimi për lehtësimin e kthimit dhe ripranimit të sigurt dhe dinjitoz, si dhe riintegrimin e qëndrueshëm; </w:t>
            </w:r>
          </w:p>
          <w:p w14:paraId="24347637" w14:textId="35B4908D" w:rsidR="0007734A" w:rsidRPr="00B457F5" w:rsidRDefault="003E01D8" w:rsidP="00433841">
            <w:pPr>
              <w:rPr>
                <w:rFonts w:ascii="Garamond" w:eastAsia="MS Mincho" w:hAnsi="Garamond" w:cs="Times New Roman"/>
                <w:sz w:val="12"/>
                <w:szCs w:val="8"/>
              </w:rPr>
            </w:pPr>
            <w:r w:rsidRPr="00B457F5">
              <w:rPr>
                <w:rFonts w:ascii="Garamond" w:eastAsia="MS Mincho" w:hAnsi="Garamond" w:cs="Times New Roman"/>
                <w:sz w:val="12"/>
                <w:szCs w:val="8"/>
              </w:rPr>
              <w:t>22:</w:t>
            </w:r>
            <w:r w:rsidR="004A6BB7" w:rsidRPr="00B457F5">
              <w:rPr>
                <w:rFonts w:ascii="Garamond" w:eastAsia="MS Mincho" w:hAnsi="Garamond" w:cs="Times New Roman"/>
                <w:sz w:val="12"/>
                <w:szCs w:val="8"/>
              </w:rPr>
              <w:t xml:space="preserve"> </w:t>
            </w:r>
            <w:r w:rsidR="0007734A" w:rsidRPr="00B457F5">
              <w:rPr>
                <w:rFonts w:ascii="Garamond" w:eastAsia="MS Mincho" w:hAnsi="Garamond" w:cs="Times New Roman"/>
                <w:sz w:val="12"/>
                <w:szCs w:val="8"/>
              </w:rPr>
              <w:t>Krijimi i mekanizmave për transportueshmërinë e të drejtave të sigurimeve shoqërore dhe përfitimeve të fituara.</w:t>
            </w:r>
          </w:p>
        </w:tc>
      </w:tr>
    </w:tbl>
    <w:p w14:paraId="446ED7E5" w14:textId="77777777" w:rsidR="0007734A" w:rsidRPr="00B457F5" w:rsidRDefault="0007734A" w:rsidP="002E693B">
      <w:pPr>
        <w:spacing w:before="0" w:after="0"/>
        <w:ind w:firstLine="284"/>
        <w:jc w:val="left"/>
        <w:rPr>
          <w:rFonts w:ascii="Garamond" w:eastAsia="MS Mincho" w:hAnsi="Garamond" w:cs="Times New Roman"/>
          <w:b/>
          <w:bCs/>
          <w:szCs w:val="24"/>
        </w:rPr>
      </w:pPr>
    </w:p>
    <w:p w14:paraId="72C7C46C" w14:textId="62DE8310" w:rsidR="0007734A" w:rsidRPr="00B457F5" w:rsidRDefault="0007734A" w:rsidP="002E693B">
      <w:pPr>
        <w:spacing w:before="0" w:after="0"/>
        <w:ind w:firstLine="284"/>
        <w:rPr>
          <w:rFonts w:ascii="Garamond" w:eastAsia="MS Mincho" w:hAnsi="Garamond" w:cs="Times New Roman"/>
          <w:szCs w:val="24"/>
        </w:rPr>
      </w:pPr>
      <w:r w:rsidRPr="00B457F5">
        <w:rPr>
          <w:rFonts w:ascii="Garamond" w:eastAsia="MS Mincho" w:hAnsi="Garamond" w:cs="Times New Roman"/>
          <w:i/>
          <w:iCs/>
          <w:szCs w:val="24"/>
        </w:rPr>
        <w:t>Objektivi i parë specifik</w:t>
      </w:r>
      <w:r w:rsidRPr="00B457F5">
        <w:rPr>
          <w:rFonts w:ascii="Garamond" w:eastAsia="MS Mincho" w:hAnsi="Garamond" w:cs="Times New Roman"/>
          <w:szCs w:val="24"/>
        </w:rPr>
        <w:t xml:space="preserve"> </w:t>
      </w:r>
      <w:r w:rsidRPr="00B457F5">
        <w:rPr>
          <w:rFonts w:ascii="Garamond" w:eastAsia="MS Mincho" w:hAnsi="Garamond" w:cs="Times New Roman"/>
          <w:bCs/>
          <w:i/>
          <w:iCs/>
          <w:szCs w:val="24"/>
        </w:rPr>
        <w:t>(</w:t>
      </w:r>
      <w:r w:rsidR="004603C3" w:rsidRPr="00B457F5">
        <w:rPr>
          <w:rFonts w:ascii="Garamond" w:eastAsia="MS Mincho" w:hAnsi="Garamond" w:cs="Times New Roman"/>
          <w:bCs/>
          <w:i/>
          <w:iCs/>
          <w:szCs w:val="24"/>
        </w:rPr>
        <w:t>k</w:t>
      </w:r>
      <w:r w:rsidR="00CF218E" w:rsidRPr="00B457F5">
        <w:rPr>
          <w:rFonts w:ascii="Garamond" w:eastAsia="MS Mincho" w:hAnsi="Garamond" w:cs="Times New Roman"/>
          <w:bCs/>
          <w:i/>
          <w:iCs/>
          <w:szCs w:val="24"/>
        </w:rPr>
        <w:t>rijimi i mundësive ligjore dhe institucionale për migrimin për motive punësimi drejt dhe nga Shqipëria</w:t>
      </w:r>
      <w:r w:rsidRPr="00B457F5">
        <w:rPr>
          <w:rFonts w:ascii="Garamond" w:eastAsia="MS Mincho" w:hAnsi="Garamond" w:cs="Times New Roman"/>
          <w:bCs/>
          <w:i/>
          <w:iCs/>
          <w:szCs w:val="24"/>
        </w:rPr>
        <w:t>)</w:t>
      </w:r>
      <w:r w:rsidRPr="00B457F5">
        <w:rPr>
          <w:rFonts w:ascii="Garamond" w:eastAsia="MS Mincho" w:hAnsi="Garamond" w:cs="Times New Roman"/>
          <w:szCs w:val="24"/>
        </w:rPr>
        <w:t xml:space="preserve"> bashkon disa masa prioritare nën një kuadër të vetëm politikash që rregullojnë migracionin</w:t>
      </w:r>
      <w:r w:rsidR="008238C0" w:rsidRPr="00B457F5">
        <w:rPr>
          <w:rFonts w:ascii="Garamond" w:eastAsia="MS Mincho" w:hAnsi="Garamond" w:cs="Times New Roman"/>
          <w:szCs w:val="24"/>
        </w:rPr>
        <w:t>,</w:t>
      </w:r>
      <w:r w:rsidRPr="00B457F5">
        <w:rPr>
          <w:rFonts w:ascii="Garamond" w:eastAsia="MS Mincho" w:hAnsi="Garamond" w:cs="Times New Roman"/>
          <w:szCs w:val="24"/>
        </w:rPr>
        <w:t xml:space="preserve"> për punësim duke kombinuar reformat legjislative (përmirësimi i kuadrit ligjor), përmirësimin e aksesit të migrantëve në informacionin mbi migrimin e rregullt</w:t>
      </w:r>
      <w:r w:rsidR="008238C0" w:rsidRPr="00B457F5">
        <w:rPr>
          <w:rFonts w:ascii="Garamond" w:eastAsia="MS Mincho" w:hAnsi="Garamond" w:cs="Times New Roman"/>
          <w:szCs w:val="24"/>
        </w:rPr>
        <w:t>,</w:t>
      </w:r>
      <w:r w:rsidRPr="00B457F5">
        <w:rPr>
          <w:rFonts w:ascii="Garamond" w:eastAsia="MS Mincho" w:hAnsi="Garamond" w:cs="Times New Roman"/>
          <w:szCs w:val="24"/>
        </w:rPr>
        <w:t xml:space="preserve"> për qëllime punësimi dhe sigurimin e një mjedisi etik të sigurt dhe jodiskriminues rekrutimi përmes rregullimit të agjencive private të punësimit.</w:t>
      </w:r>
    </w:p>
    <w:p w14:paraId="6F602710" w14:textId="6384E713" w:rsidR="001B43F4" w:rsidRPr="00B457F5" w:rsidRDefault="001B43F4"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Në përputhje me detyrimet në kuadër të zbatimit të </w:t>
      </w:r>
      <w:r w:rsidR="004603C3" w:rsidRPr="00B457F5">
        <w:rPr>
          <w:rFonts w:ascii="Garamond" w:eastAsia="MS Mincho" w:hAnsi="Garamond" w:cs="Times New Roman"/>
          <w:szCs w:val="24"/>
        </w:rPr>
        <w:t>v</w:t>
      </w:r>
      <w:r w:rsidRPr="00B457F5">
        <w:rPr>
          <w:rFonts w:ascii="Garamond" w:eastAsia="MS Mincho" w:hAnsi="Garamond" w:cs="Times New Roman"/>
          <w:szCs w:val="24"/>
        </w:rPr>
        <w:t>endimit të Këshillit të Ministrave nr.</w:t>
      </w:r>
      <w:r w:rsidR="004603C3" w:rsidRPr="00B457F5">
        <w:rPr>
          <w:rFonts w:ascii="Garamond" w:eastAsia="MS Mincho" w:hAnsi="Garamond" w:cs="Times New Roman"/>
          <w:szCs w:val="24"/>
        </w:rPr>
        <w:t xml:space="preserve"> </w:t>
      </w:r>
      <w:r w:rsidRPr="00B457F5">
        <w:rPr>
          <w:rFonts w:ascii="Garamond" w:eastAsia="MS Mincho" w:hAnsi="Garamond" w:cs="Times New Roman"/>
          <w:szCs w:val="24"/>
        </w:rPr>
        <w:t>736, datë 13.12.2023</w:t>
      </w:r>
      <w:r w:rsidR="004603C3" w:rsidRPr="00B457F5">
        <w:rPr>
          <w:rFonts w:ascii="Garamond" w:eastAsia="MS Mincho" w:hAnsi="Garamond" w:cs="Times New Roman"/>
          <w:szCs w:val="24"/>
        </w:rPr>
        <w:t>,</w:t>
      </w:r>
      <w:r w:rsidRPr="00B457F5">
        <w:rPr>
          <w:rFonts w:ascii="Garamond" w:eastAsia="MS Mincho" w:hAnsi="Garamond" w:cs="Times New Roman"/>
          <w:szCs w:val="24"/>
        </w:rPr>
        <w:t xml:space="preserve"> </w:t>
      </w:r>
      <w:r w:rsidR="00A313AE" w:rsidRPr="00B457F5">
        <w:rPr>
          <w:rFonts w:ascii="Garamond" w:eastAsia="MS Mincho" w:hAnsi="Garamond" w:cs="Times New Roman"/>
          <w:szCs w:val="24"/>
        </w:rPr>
        <w:t>“</w:t>
      </w:r>
      <w:r w:rsidRPr="00B457F5">
        <w:rPr>
          <w:rFonts w:ascii="Garamond" w:eastAsia="MS Mincho" w:hAnsi="Garamond" w:cs="Times New Roman"/>
          <w:szCs w:val="24"/>
        </w:rPr>
        <w:t>Për miratimin e udhërrëfyesit për shtetin e së drejtës</w:t>
      </w:r>
      <w:r w:rsidR="00A313AE" w:rsidRPr="00B457F5">
        <w:rPr>
          <w:rFonts w:ascii="Garamond" w:eastAsia="MS Mincho" w:hAnsi="Garamond" w:cs="Times New Roman"/>
          <w:szCs w:val="24"/>
        </w:rPr>
        <w:t>”</w:t>
      </w:r>
      <w:r w:rsidRPr="00B457F5">
        <w:rPr>
          <w:rFonts w:ascii="Garamond" w:eastAsia="MS Mincho" w:hAnsi="Garamond" w:cs="Times New Roman"/>
          <w:szCs w:val="24"/>
        </w:rPr>
        <w:t xml:space="preserve">, do të përmirësohen sistemet </w:t>
      </w:r>
      <w:r w:rsidRPr="00B457F5">
        <w:rPr>
          <w:rFonts w:ascii="Garamond" w:eastAsia="MS Mincho" w:hAnsi="Garamond" w:cs="Times New Roman"/>
          <w:i/>
          <w:szCs w:val="24"/>
        </w:rPr>
        <w:t>online</w:t>
      </w:r>
      <w:r w:rsidRPr="00B457F5">
        <w:rPr>
          <w:rFonts w:ascii="Garamond" w:eastAsia="MS Mincho" w:hAnsi="Garamond" w:cs="Times New Roman"/>
          <w:szCs w:val="24"/>
        </w:rPr>
        <w:t xml:space="preserve"> për krijimin e lehtësive në aplikim dhe akses të drejtpërdrejtë në tregun e punës.</w:t>
      </w:r>
    </w:p>
    <w:p w14:paraId="1F2A9DDA" w14:textId="134C4DB9" w:rsidR="0007734A" w:rsidRPr="00B457F5" w:rsidRDefault="0007734A"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lastRenderedPageBreak/>
        <w:t xml:space="preserve">Fushëveprimi i </w:t>
      </w:r>
      <w:r w:rsidR="004603C3" w:rsidRPr="00B457F5">
        <w:rPr>
          <w:rFonts w:ascii="Garamond" w:eastAsia="MS Mincho" w:hAnsi="Garamond" w:cs="Times New Roman"/>
          <w:bCs/>
          <w:i/>
          <w:szCs w:val="24"/>
        </w:rPr>
        <w:t>objektivit specifik 2.1</w:t>
      </w:r>
      <w:r w:rsidR="004603C3" w:rsidRPr="00B457F5">
        <w:rPr>
          <w:rFonts w:ascii="Garamond" w:eastAsia="MS Mincho" w:hAnsi="Garamond" w:cs="Times New Roman"/>
          <w:szCs w:val="24"/>
        </w:rPr>
        <w:t xml:space="preserve"> </w:t>
      </w:r>
      <w:r w:rsidRPr="00B457F5">
        <w:rPr>
          <w:rFonts w:ascii="Garamond" w:eastAsia="MS Mincho" w:hAnsi="Garamond" w:cs="Times New Roman"/>
          <w:szCs w:val="24"/>
        </w:rPr>
        <w:t>mbulon masat prioritare</w:t>
      </w:r>
      <w:r w:rsidR="004603C3" w:rsidRPr="00B457F5">
        <w:rPr>
          <w:rFonts w:ascii="Garamond" w:eastAsia="MS Mincho" w:hAnsi="Garamond" w:cs="Times New Roman"/>
          <w:szCs w:val="24"/>
        </w:rPr>
        <w:t>,</w:t>
      </w:r>
      <w:r w:rsidRPr="00B457F5">
        <w:rPr>
          <w:rFonts w:ascii="Garamond" w:eastAsia="MS Mincho" w:hAnsi="Garamond" w:cs="Times New Roman"/>
          <w:szCs w:val="24"/>
        </w:rPr>
        <w:t xml:space="preserve"> si më poshtë:</w:t>
      </w:r>
    </w:p>
    <w:p w14:paraId="35CF562F" w14:textId="42B1AC74" w:rsidR="00151C91" w:rsidRPr="00B457F5" w:rsidRDefault="00433841" w:rsidP="008238C0">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Wingdings"/>
          <w:color w:val="000000"/>
          <w:szCs w:val="24"/>
        </w:rPr>
        <w:t xml:space="preserve">- </w:t>
      </w:r>
      <w:r w:rsidR="00151C91" w:rsidRPr="00B457F5">
        <w:rPr>
          <w:rFonts w:ascii="Garamond" w:eastAsiaTheme="minorHAnsi" w:hAnsi="Garamond" w:cs="Times New Roman"/>
          <w:color w:val="000000"/>
          <w:szCs w:val="24"/>
        </w:rPr>
        <w:t>Përmirësimi i kuadrit ligjor për migracionin për motive punësimi;</w:t>
      </w:r>
    </w:p>
    <w:p w14:paraId="6E2A25C2" w14:textId="43D51B1F" w:rsidR="00151C91" w:rsidRPr="00B457F5" w:rsidRDefault="00433841" w:rsidP="008238C0">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Wingdings"/>
          <w:color w:val="000000"/>
          <w:szCs w:val="24"/>
        </w:rPr>
        <w:t xml:space="preserve">- </w:t>
      </w:r>
      <w:r w:rsidR="00151C91" w:rsidRPr="00B457F5">
        <w:rPr>
          <w:rFonts w:ascii="Garamond" w:eastAsiaTheme="minorHAnsi" w:hAnsi="Garamond" w:cs="Times New Roman"/>
          <w:color w:val="000000"/>
          <w:szCs w:val="24"/>
        </w:rPr>
        <w:t>Shpërndarja e informacionit mbi mënyrat, mundësitë dhe procedurat e migrimit për motive punësimi drejt dhe nga Shqipëria;</w:t>
      </w:r>
    </w:p>
    <w:p w14:paraId="61F777C3" w14:textId="39B61842" w:rsidR="00151C91" w:rsidRPr="00B457F5" w:rsidRDefault="00433841" w:rsidP="008238C0">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Wingdings"/>
          <w:color w:val="000000"/>
          <w:szCs w:val="24"/>
        </w:rPr>
        <w:t xml:space="preserve">- </w:t>
      </w:r>
      <w:r w:rsidR="00151C91" w:rsidRPr="00B457F5">
        <w:rPr>
          <w:rFonts w:ascii="Garamond" w:eastAsiaTheme="minorHAnsi" w:hAnsi="Garamond" w:cs="Times New Roman"/>
          <w:color w:val="000000"/>
          <w:szCs w:val="24"/>
        </w:rPr>
        <w:t>Përmirësimi i veprimtarisë së agjencive private të punësimit.</w:t>
      </w:r>
    </w:p>
    <w:p w14:paraId="3B951009" w14:textId="5398754B" w:rsidR="0007734A" w:rsidRPr="00B457F5" w:rsidRDefault="0007734A"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Në mënyrë domethënëse, </w:t>
      </w:r>
      <w:r w:rsidR="008238C0" w:rsidRPr="00B457F5">
        <w:rPr>
          <w:rFonts w:ascii="Garamond" w:eastAsia="MS Mincho" w:hAnsi="Garamond" w:cs="Times New Roman"/>
          <w:szCs w:val="24"/>
        </w:rPr>
        <w:t xml:space="preserve">strategjia </w:t>
      </w:r>
      <w:r w:rsidRPr="00B457F5">
        <w:rPr>
          <w:rFonts w:ascii="Garamond" w:eastAsia="MS Mincho" w:hAnsi="Garamond" w:cs="Times New Roman"/>
          <w:szCs w:val="24"/>
        </w:rPr>
        <w:t>synon të përfshijë çështjet e migracionit në politikat dhe programet kombëtare të punësimit dhe mbrojtjen e të drejtave të migrantëve në të gjitha fazat e migrimit (</w:t>
      </w:r>
      <w:r w:rsidR="004603C3" w:rsidRPr="00B457F5">
        <w:rPr>
          <w:rFonts w:ascii="Garamond" w:eastAsia="MS Mincho" w:hAnsi="Garamond" w:cs="Times New Roman"/>
          <w:szCs w:val="24"/>
        </w:rPr>
        <w:t>o</w:t>
      </w:r>
      <w:r w:rsidRPr="00B457F5">
        <w:rPr>
          <w:rFonts w:ascii="Garamond" w:eastAsia="MS Mincho" w:hAnsi="Garamond" w:cs="Times New Roman"/>
          <w:szCs w:val="24"/>
        </w:rPr>
        <w:t>bjektivi #6 i GCM</w:t>
      </w:r>
      <w:r w:rsidR="008238C0" w:rsidRPr="00B457F5">
        <w:rPr>
          <w:rFonts w:ascii="Garamond" w:eastAsia="MS Mincho" w:hAnsi="Garamond" w:cs="Times New Roman"/>
          <w:szCs w:val="24"/>
        </w:rPr>
        <w:t>-së</w:t>
      </w:r>
      <w:r w:rsidRPr="00B457F5">
        <w:rPr>
          <w:rFonts w:ascii="Garamond" w:eastAsia="MS Mincho" w:hAnsi="Garamond" w:cs="Times New Roman"/>
          <w:szCs w:val="24"/>
        </w:rPr>
        <w:t xml:space="preserve">). Si pjesë e qasjes </w:t>
      </w:r>
      <w:r w:rsidR="00A313AE" w:rsidRPr="00B457F5">
        <w:rPr>
          <w:rFonts w:ascii="Garamond" w:eastAsia="MS Mincho" w:hAnsi="Garamond" w:cs="Times New Roman"/>
          <w:szCs w:val="24"/>
        </w:rPr>
        <w:t>“</w:t>
      </w:r>
      <w:r w:rsidR="00980F4A" w:rsidRPr="00B457F5">
        <w:rPr>
          <w:rFonts w:ascii="Garamond" w:eastAsia="MS Mincho" w:hAnsi="Garamond" w:cs="Times New Roman"/>
          <w:szCs w:val="24"/>
        </w:rPr>
        <w:t>e</w:t>
      </w:r>
      <w:r w:rsidRPr="00B457F5">
        <w:rPr>
          <w:rFonts w:ascii="Garamond" w:eastAsia="MS Mincho" w:hAnsi="Garamond" w:cs="Times New Roman"/>
          <w:szCs w:val="24"/>
        </w:rPr>
        <w:t xml:space="preserve"> gjithë shoqërinë</w:t>
      </w:r>
      <w:r w:rsidR="00A313AE" w:rsidRPr="00B457F5">
        <w:rPr>
          <w:rFonts w:ascii="Garamond" w:eastAsia="MS Mincho" w:hAnsi="Garamond" w:cs="Times New Roman"/>
          <w:szCs w:val="24"/>
        </w:rPr>
        <w:t>”</w:t>
      </w:r>
      <w:r w:rsidRPr="00B457F5">
        <w:rPr>
          <w:rFonts w:ascii="Garamond" w:eastAsia="MS Mincho" w:hAnsi="Garamond" w:cs="Times New Roman"/>
          <w:szCs w:val="24"/>
        </w:rPr>
        <w:t xml:space="preserve">, </w:t>
      </w:r>
      <w:r w:rsidR="008238C0" w:rsidRPr="00B457F5">
        <w:rPr>
          <w:rFonts w:ascii="Garamond" w:eastAsia="MS Mincho" w:hAnsi="Garamond" w:cs="Times New Roman"/>
          <w:szCs w:val="24"/>
        </w:rPr>
        <w:t>s</w:t>
      </w:r>
      <w:r w:rsidRPr="00B457F5">
        <w:rPr>
          <w:rFonts w:ascii="Garamond" w:eastAsia="MS Mincho" w:hAnsi="Garamond" w:cs="Times New Roman"/>
          <w:szCs w:val="24"/>
        </w:rPr>
        <w:t>trategjia prezanton konsultime të rregullta publike në fushën e imigrimit për motive punësimi, të cilat jo vetëm që duhet të ndihmojnë në vlerësimin e politikave aktuale, por edhe në identifikimin e nevojave të mëtejshme për përshtatje.</w:t>
      </w:r>
    </w:p>
    <w:p w14:paraId="51544772" w14:textId="02E806C3" w:rsidR="0007734A" w:rsidRPr="00B457F5" w:rsidRDefault="0007734A"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Përafrimi ligjor dhe institucional i normave dhe standardeve kombëtare</w:t>
      </w:r>
      <w:r w:rsidR="008238C0" w:rsidRPr="00B457F5">
        <w:rPr>
          <w:rFonts w:ascii="Garamond" w:eastAsia="MS Mincho" w:hAnsi="Garamond" w:cs="Times New Roman"/>
          <w:szCs w:val="24"/>
        </w:rPr>
        <w:t>,</w:t>
      </w:r>
      <w:r w:rsidRPr="00B457F5">
        <w:rPr>
          <w:rFonts w:ascii="Garamond" w:eastAsia="MS Mincho" w:hAnsi="Garamond" w:cs="Times New Roman"/>
          <w:szCs w:val="24"/>
        </w:rPr>
        <w:t xml:space="preserve"> që rregullojnë migracionin për motive punësimi me</w:t>
      </w:r>
      <w:r w:rsidRPr="00B457F5">
        <w:rPr>
          <w:rFonts w:ascii="Garamond" w:eastAsia="MS Mincho" w:hAnsi="Garamond" w:cs="Times New Roman"/>
          <w:i/>
          <w:iCs/>
          <w:szCs w:val="24"/>
        </w:rPr>
        <w:t xml:space="preserve"> acquis</w:t>
      </w:r>
      <w:r w:rsidR="00980F4A" w:rsidRPr="00B457F5">
        <w:rPr>
          <w:rFonts w:ascii="Garamond" w:eastAsia="MS Mincho" w:hAnsi="Garamond" w:cs="Times New Roman"/>
          <w:szCs w:val="24"/>
        </w:rPr>
        <w:t xml:space="preserve"> </w:t>
      </w:r>
      <w:r w:rsidR="008238C0" w:rsidRPr="00B457F5">
        <w:rPr>
          <w:rFonts w:ascii="Garamond" w:eastAsia="MS Mincho" w:hAnsi="Garamond" w:cs="Times New Roman"/>
          <w:szCs w:val="24"/>
        </w:rPr>
        <w:t>të</w:t>
      </w:r>
      <w:r w:rsidRPr="00B457F5">
        <w:rPr>
          <w:rFonts w:ascii="Garamond" w:eastAsia="MS Mincho" w:hAnsi="Garamond" w:cs="Times New Roman"/>
          <w:szCs w:val="24"/>
        </w:rPr>
        <w:t xml:space="preserve"> BE-së</w:t>
      </w:r>
      <w:r w:rsidR="008238C0" w:rsidRPr="00B457F5">
        <w:rPr>
          <w:rFonts w:ascii="Garamond" w:eastAsia="MS Mincho" w:hAnsi="Garamond" w:cs="Times New Roman"/>
          <w:szCs w:val="24"/>
        </w:rPr>
        <w:t>,</w:t>
      </w:r>
      <w:r w:rsidRPr="00B457F5">
        <w:rPr>
          <w:rFonts w:ascii="Garamond" w:eastAsia="MS Mincho" w:hAnsi="Garamond" w:cs="Times New Roman"/>
          <w:szCs w:val="24"/>
        </w:rPr>
        <w:t xml:space="preserve"> synon të përmbushë kërkesat sipas katër kapitujve të negociatave të anëtarësimit.</w:t>
      </w:r>
      <w:r w:rsidRPr="00B457F5">
        <w:rPr>
          <w:rFonts w:ascii="Garamond" w:eastAsia="MS Mincho" w:hAnsi="Garamond" w:cs="Times New Roman"/>
          <w:szCs w:val="24"/>
          <w:vertAlign w:val="superscript"/>
        </w:rPr>
        <w:footnoteReference w:id="73"/>
      </w:r>
      <w:r w:rsidRPr="00B457F5">
        <w:rPr>
          <w:rFonts w:ascii="Garamond" w:eastAsia="MS Mincho" w:hAnsi="Garamond" w:cs="Times New Roman"/>
          <w:szCs w:val="24"/>
        </w:rPr>
        <w:t xml:space="preserve"> Gjatë periudhës së zbatimit, Ministria e Financave dhe Ekonomisë do të mbledhë raporte periodike analitike nga një sërë institucionesh përgjegjëse</w:t>
      </w:r>
      <w:r w:rsidR="008238C0" w:rsidRPr="00B457F5">
        <w:rPr>
          <w:rFonts w:ascii="Garamond" w:eastAsia="MS Mincho" w:hAnsi="Garamond" w:cs="Times New Roman"/>
          <w:szCs w:val="24"/>
        </w:rPr>
        <w:t>,</w:t>
      </w:r>
      <w:r w:rsidRPr="00B457F5">
        <w:rPr>
          <w:rFonts w:ascii="Garamond" w:eastAsia="MS Mincho" w:hAnsi="Garamond" w:cs="Times New Roman"/>
          <w:szCs w:val="24"/>
        </w:rPr>
        <w:t xml:space="preserve"> si për mangësitë ashtu edhe për ndërhyrjet e planifikuara drejt përafrimit të legjislacionit dhe kuadrit institucional.</w:t>
      </w:r>
    </w:p>
    <w:p w14:paraId="724F298F" w14:textId="1A58196B" w:rsidR="0007734A" w:rsidRPr="00B457F5" w:rsidRDefault="0007734A"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Gjithashtu, janë planifikuar ndryshime në ligjin </w:t>
      </w:r>
      <w:r w:rsidR="00A313AE" w:rsidRPr="00B457F5">
        <w:rPr>
          <w:rFonts w:ascii="Garamond" w:eastAsia="MS Mincho" w:hAnsi="Garamond" w:cs="Times New Roman"/>
          <w:szCs w:val="24"/>
        </w:rPr>
        <w:t>“</w:t>
      </w:r>
      <w:r w:rsidRPr="00B457F5">
        <w:rPr>
          <w:rFonts w:ascii="Garamond" w:eastAsia="MS Mincho" w:hAnsi="Garamond" w:cs="Times New Roman"/>
          <w:szCs w:val="24"/>
        </w:rPr>
        <w:t>Për inspektimin e punës</w:t>
      </w:r>
      <w:r w:rsidR="00A313AE" w:rsidRPr="00B457F5">
        <w:rPr>
          <w:rFonts w:ascii="Garamond" w:eastAsia="MS Mincho" w:hAnsi="Garamond" w:cs="Times New Roman"/>
          <w:szCs w:val="24"/>
        </w:rPr>
        <w:t>”</w:t>
      </w:r>
      <w:r w:rsidRPr="00B457F5">
        <w:rPr>
          <w:rFonts w:ascii="Garamond" w:eastAsia="MS Mincho" w:hAnsi="Garamond" w:cs="Times New Roman"/>
          <w:szCs w:val="24"/>
        </w:rPr>
        <w:t xml:space="preserve"> për të forcuar standardet e rekrutimit të drejtë dhe etik</w:t>
      </w:r>
      <w:r w:rsidR="008238C0" w:rsidRPr="00B457F5">
        <w:rPr>
          <w:rFonts w:ascii="Garamond" w:eastAsia="MS Mincho" w:hAnsi="Garamond" w:cs="Times New Roman"/>
          <w:szCs w:val="24"/>
        </w:rPr>
        <w:t>,</w:t>
      </w:r>
      <w:r w:rsidRPr="00B457F5">
        <w:rPr>
          <w:rFonts w:ascii="Garamond" w:eastAsia="MS Mincho" w:hAnsi="Garamond" w:cs="Times New Roman"/>
          <w:szCs w:val="24"/>
        </w:rPr>
        <w:t xml:space="preserve"> dhe mbrojtjen e kushteve për sigurimin e punës së denjë, në veçanti përforcimin e mekanizmave kundër punësimit informal, përfshirë atë të shtetasve të huaj në Shqipëri. Këto ndryshime do të rezultojnë gjithashtu në monitorimin e rregullt të procesit të punësimit të punëtorëve migrantë nga punëdhënësit shqiptarë. Duhet të bëhen ndryshime në aktet ekzekutive që rregullojnë funksionimin e agjencive private të </w:t>
      </w:r>
      <w:r w:rsidR="007D0D77" w:rsidRPr="00B457F5">
        <w:rPr>
          <w:rFonts w:ascii="Garamond" w:eastAsia="MS Mincho" w:hAnsi="Garamond" w:cs="Times New Roman"/>
          <w:szCs w:val="24"/>
        </w:rPr>
        <w:t xml:space="preserve">punësimit </w:t>
      </w:r>
      <w:r w:rsidRPr="00B457F5">
        <w:rPr>
          <w:rFonts w:ascii="Garamond" w:eastAsia="MS Mincho" w:hAnsi="Garamond" w:cs="Times New Roman"/>
          <w:szCs w:val="24"/>
        </w:rPr>
        <w:t xml:space="preserve">dhe agjencive të punësimit të përkohshëm, si dhe informacioni mbi rregulloret e reja do të shpërndahet në formën e udhëzimeve. Paralelisht, do të zhvillohen konsultime me agjencitë private të </w:t>
      </w:r>
      <w:r w:rsidR="000D52D2" w:rsidRPr="00B457F5">
        <w:rPr>
          <w:rFonts w:ascii="Garamond" w:eastAsia="MS Mincho" w:hAnsi="Garamond" w:cs="Times New Roman"/>
          <w:szCs w:val="24"/>
        </w:rPr>
        <w:t xml:space="preserve">punësimit </w:t>
      </w:r>
      <w:r w:rsidRPr="00B457F5">
        <w:rPr>
          <w:rFonts w:ascii="Garamond" w:eastAsia="MS Mincho" w:hAnsi="Garamond" w:cs="Times New Roman"/>
          <w:szCs w:val="24"/>
        </w:rPr>
        <w:t xml:space="preserve">për të përpunuar dhe shpërndarë standardet etike të </w:t>
      </w:r>
      <w:r w:rsidR="000D52D2" w:rsidRPr="00B457F5">
        <w:rPr>
          <w:rFonts w:ascii="Garamond" w:eastAsia="MS Mincho" w:hAnsi="Garamond" w:cs="Times New Roman"/>
          <w:szCs w:val="24"/>
        </w:rPr>
        <w:t>punësimit</w:t>
      </w:r>
      <w:r w:rsidRPr="00B457F5">
        <w:rPr>
          <w:rFonts w:ascii="Garamond" w:eastAsia="MS Mincho" w:hAnsi="Garamond" w:cs="Times New Roman"/>
          <w:szCs w:val="24"/>
        </w:rPr>
        <w:t>.</w:t>
      </w:r>
    </w:p>
    <w:p w14:paraId="5A8B99F7" w14:textId="0E5F45D6" w:rsidR="0007734A" w:rsidRPr="00B457F5" w:rsidRDefault="0007734A"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Një fushë tjetër e </w:t>
      </w:r>
      <w:r w:rsidR="00B87DD6" w:rsidRPr="00B457F5">
        <w:rPr>
          <w:rFonts w:ascii="Garamond" w:eastAsia="MS Mincho" w:hAnsi="Garamond" w:cs="Times New Roman"/>
          <w:szCs w:val="24"/>
        </w:rPr>
        <w:t xml:space="preserve">rëndësishme </w:t>
      </w:r>
      <w:r w:rsidRPr="00B457F5">
        <w:rPr>
          <w:rFonts w:ascii="Garamond" w:eastAsia="MS Mincho" w:hAnsi="Garamond" w:cs="Times New Roman"/>
          <w:szCs w:val="24"/>
        </w:rPr>
        <w:t>është promovimi i bashkëpunimit ndërkombëtar për migracionin për motive punësimi. Ndërhyrjet specifike përfshijnë përfundimin e marrëveshjeve dypalëshe për sigurimet shoqërore, të cil</w:t>
      </w:r>
      <w:r w:rsidR="003F63B9" w:rsidRPr="00B457F5">
        <w:rPr>
          <w:rFonts w:ascii="Garamond" w:eastAsia="MS Mincho" w:hAnsi="Garamond" w:cs="Times New Roman"/>
          <w:szCs w:val="24"/>
        </w:rPr>
        <w:t xml:space="preserve">at do të mundësonin </w:t>
      </w:r>
      <w:r w:rsidR="008238C0" w:rsidRPr="00B457F5">
        <w:rPr>
          <w:rFonts w:ascii="Garamond" w:eastAsia="MS Mincho" w:hAnsi="Garamond" w:cs="Times New Roman"/>
          <w:szCs w:val="24"/>
        </w:rPr>
        <w:t>nj</w:t>
      </w:r>
      <w:r w:rsidR="003F63B9" w:rsidRPr="00B457F5">
        <w:rPr>
          <w:rFonts w:ascii="Garamond" w:eastAsia="MS Mincho" w:hAnsi="Garamond" w:cs="Times New Roman"/>
          <w:szCs w:val="24"/>
        </w:rPr>
        <w:t>ë llogaritje të</w:t>
      </w:r>
      <w:r w:rsidRPr="00B457F5">
        <w:rPr>
          <w:rFonts w:ascii="Garamond" w:eastAsia="MS Mincho" w:hAnsi="Garamond" w:cs="Times New Roman"/>
          <w:szCs w:val="24"/>
        </w:rPr>
        <w:t xml:space="preserve"> plotë të kontributeve në pagesat e pensioneve për punëtorët migrantë shqiptarë, si dhe negocimin e marrëveshjeve dypalëshe me BE-në dhe vendet e Ballkanit Perëndimor</w:t>
      </w:r>
      <w:r w:rsidR="008238C0" w:rsidRPr="00B457F5">
        <w:rPr>
          <w:rFonts w:ascii="Garamond" w:eastAsia="MS Mincho" w:hAnsi="Garamond" w:cs="Times New Roman"/>
          <w:szCs w:val="24"/>
        </w:rPr>
        <w:t>,</w:t>
      </w:r>
      <w:r w:rsidRPr="00B457F5">
        <w:rPr>
          <w:rFonts w:ascii="Garamond" w:eastAsia="MS Mincho" w:hAnsi="Garamond" w:cs="Times New Roman"/>
          <w:szCs w:val="24"/>
        </w:rPr>
        <w:t xml:space="preserve"> për ndarjen e informacionit dhe pajisjen e migrantëve me dokumentacionin e nevojshëm të punës. </w:t>
      </w:r>
      <w:r w:rsidR="00075FE6" w:rsidRPr="00B457F5">
        <w:rPr>
          <w:rFonts w:ascii="Garamond" w:eastAsia="MS Mincho" w:hAnsi="Garamond" w:cs="Times New Roman"/>
          <w:szCs w:val="24"/>
        </w:rPr>
        <w:t>Do të përdoret më tej dialogu në nivel nënrajonal për promovimin e rrugëve të rregullta dhe adresimin e mungesës së aftësive në të gjithë zonën e Ballkanit Perëndimor.</w:t>
      </w:r>
    </w:p>
    <w:p w14:paraId="3594CF0F" w14:textId="0F0AFA34" w:rsidR="0007734A" w:rsidRPr="00B457F5" w:rsidRDefault="0007734A" w:rsidP="002E693B">
      <w:pPr>
        <w:spacing w:before="0" w:after="0"/>
        <w:ind w:firstLine="284"/>
        <w:rPr>
          <w:rFonts w:ascii="Garamond" w:eastAsia="MS Mincho" w:hAnsi="Garamond" w:cs="Times New Roman"/>
          <w:szCs w:val="24"/>
        </w:rPr>
      </w:pPr>
      <w:r w:rsidRPr="00B457F5">
        <w:rPr>
          <w:rFonts w:ascii="Garamond" w:eastAsia="MS Mincho" w:hAnsi="Garamond" w:cs="Times New Roman"/>
          <w:i/>
          <w:iCs/>
          <w:szCs w:val="24"/>
        </w:rPr>
        <w:t>Objektivi i dytë specifik</w:t>
      </w:r>
      <w:r w:rsidRPr="00B457F5">
        <w:rPr>
          <w:rFonts w:ascii="Garamond" w:eastAsia="MS Mincho" w:hAnsi="Garamond" w:cs="Times New Roman"/>
          <w:szCs w:val="24"/>
        </w:rPr>
        <w:t xml:space="preserve"> </w:t>
      </w:r>
      <w:r w:rsidR="004A6BB7" w:rsidRPr="00B457F5">
        <w:rPr>
          <w:rFonts w:ascii="Garamond" w:eastAsia="MS Mincho" w:hAnsi="Garamond" w:cs="Times New Roman"/>
          <w:bCs/>
          <w:i/>
          <w:iCs/>
          <w:szCs w:val="24"/>
        </w:rPr>
        <w:t>(krijimi i mundësive dhe stimujve për migrantët</w:t>
      </w:r>
      <w:r w:rsidR="008238C0" w:rsidRPr="00B457F5">
        <w:rPr>
          <w:rFonts w:ascii="Garamond" w:eastAsia="MS Mincho" w:hAnsi="Garamond" w:cs="Times New Roman"/>
          <w:bCs/>
          <w:i/>
          <w:iCs/>
          <w:szCs w:val="24"/>
        </w:rPr>
        <w:t>,</w:t>
      </w:r>
      <w:r w:rsidR="004A6BB7" w:rsidRPr="00B457F5">
        <w:rPr>
          <w:rFonts w:ascii="Garamond" w:eastAsia="MS Mincho" w:hAnsi="Garamond" w:cs="Times New Roman"/>
          <w:bCs/>
          <w:i/>
          <w:iCs/>
          <w:szCs w:val="24"/>
        </w:rPr>
        <w:t xml:space="preserve"> për të kontribuar në zhvillimin e qëndrueshëm),</w:t>
      </w:r>
      <w:r w:rsidR="004A6BB7" w:rsidRPr="00B457F5">
        <w:rPr>
          <w:rFonts w:ascii="Garamond" w:eastAsia="MS Mincho" w:hAnsi="Garamond" w:cs="Times New Roman"/>
          <w:szCs w:val="24"/>
        </w:rPr>
        <w:t xml:space="preserve"> </w:t>
      </w:r>
      <w:r w:rsidRPr="00B457F5">
        <w:rPr>
          <w:rFonts w:ascii="Garamond" w:eastAsia="MS Mincho" w:hAnsi="Garamond" w:cs="Times New Roman"/>
          <w:szCs w:val="24"/>
        </w:rPr>
        <w:t xml:space="preserve">i përgjigjet </w:t>
      </w:r>
      <w:r w:rsidR="008238C0" w:rsidRPr="00B457F5">
        <w:rPr>
          <w:rFonts w:ascii="Garamond" w:eastAsia="MS Mincho" w:hAnsi="Garamond" w:cs="Times New Roman"/>
          <w:szCs w:val="24"/>
        </w:rPr>
        <w:t>o</w:t>
      </w:r>
      <w:r w:rsidRPr="00B457F5">
        <w:rPr>
          <w:rFonts w:ascii="Garamond" w:eastAsia="MS Mincho" w:hAnsi="Garamond" w:cs="Times New Roman"/>
          <w:szCs w:val="24"/>
        </w:rPr>
        <w:t>bjektivave #19 dhe #20 të GCM</w:t>
      </w:r>
      <w:r w:rsidR="008238C0" w:rsidRPr="00B457F5">
        <w:rPr>
          <w:rFonts w:ascii="Garamond" w:eastAsia="MS Mincho" w:hAnsi="Garamond" w:cs="Times New Roman"/>
          <w:szCs w:val="24"/>
        </w:rPr>
        <w:t>-së</w:t>
      </w:r>
      <w:r w:rsidRPr="00B457F5">
        <w:rPr>
          <w:rFonts w:ascii="Garamond" w:eastAsia="MS Mincho" w:hAnsi="Garamond" w:cs="Times New Roman"/>
          <w:szCs w:val="24"/>
        </w:rPr>
        <w:t xml:space="preserve"> në zhvil</w:t>
      </w:r>
      <w:r w:rsidR="008238C0" w:rsidRPr="00B457F5">
        <w:rPr>
          <w:rFonts w:ascii="Garamond" w:eastAsia="MS Mincho" w:hAnsi="Garamond" w:cs="Times New Roman"/>
          <w:szCs w:val="24"/>
        </w:rPr>
        <w:t>l</w:t>
      </w:r>
      <w:r w:rsidRPr="00B457F5">
        <w:rPr>
          <w:rFonts w:ascii="Garamond" w:eastAsia="MS Mincho" w:hAnsi="Garamond" w:cs="Times New Roman"/>
          <w:szCs w:val="24"/>
        </w:rPr>
        <w:t xml:space="preserve">imin e mënyrave se si emigrantët mund të kontribuojnë </w:t>
      </w:r>
      <w:r w:rsidR="00933FA7" w:rsidRPr="00B457F5">
        <w:rPr>
          <w:rFonts w:ascii="Garamond" w:eastAsia="MS Mincho" w:hAnsi="Garamond" w:cs="Times New Roman"/>
          <w:szCs w:val="24"/>
        </w:rPr>
        <w:t>për</w:t>
      </w:r>
      <w:r w:rsidRPr="00B457F5">
        <w:rPr>
          <w:rFonts w:ascii="Garamond" w:eastAsia="MS Mincho" w:hAnsi="Garamond" w:cs="Times New Roman"/>
          <w:szCs w:val="24"/>
        </w:rPr>
        <w:t xml:space="preserve"> zhvillimin e qëndrueshëm të vendit, gjë që do të kërkojë ndërlidhje me investimet </w:t>
      </w:r>
      <w:r w:rsidR="00964B30" w:rsidRPr="00B457F5">
        <w:rPr>
          <w:rFonts w:ascii="Garamond" w:eastAsia="MS Mincho" w:hAnsi="Garamond" w:cs="Times New Roman"/>
          <w:szCs w:val="24"/>
        </w:rPr>
        <w:t>në nivel</w:t>
      </w:r>
      <w:r w:rsidR="00933FA7" w:rsidRPr="00B457F5">
        <w:rPr>
          <w:rFonts w:ascii="Garamond" w:eastAsia="MS Mincho" w:hAnsi="Garamond" w:cs="Times New Roman"/>
          <w:szCs w:val="24"/>
        </w:rPr>
        <w:t xml:space="preserve"> vend</w:t>
      </w:r>
      <w:r w:rsidR="00964B30" w:rsidRPr="00B457F5">
        <w:rPr>
          <w:rFonts w:ascii="Garamond" w:eastAsia="MS Mincho" w:hAnsi="Garamond" w:cs="Times New Roman"/>
          <w:szCs w:val="24"/>
        </w:rPr>
        <w:t>i</w:t>
      </w:r>
      <w:r w:rsidRPr="00B457F5">
        <w:rPr>
          <w:rFonts w:ascii="Garamond" w:eastAsia="MS Mincho" w:hAnsi="Garamond" w:cs="Times New Roman"/>
          <w:szCs w:val="24"/>
        </w:rPr>
        <w:t>, gjithashtu planifikimin dhe lehtësimin e transferimit të remitancave dhe përfshirjen financiare të migrantëve.</w:t>
      </w:r>
    </w:p>
    <w:p w14:paraId="0D582008" w14:textId="4150390F" w:rsidR="0007734A" w:rsidRPr="00B457F5" w:rsidRDefault="0007734A"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Si pjesë e </w:t>
      </w:r>
      <w:r w:rsidR="004A6BB7" w:rsidRPr="00B457F5">
        <w:rPr>
          <w:rFonts w:ascii="Garamond" w:eastAsia="MS Mincho" w:hAnsi="Garamond" w:cs="Times New Roman"/>
          <w:bCs/>
          <w:i/>
          <w:szCs w:val="24"/>
        </w:rPr>
        <w:t>objektivit specifik 2.2</w:t>
      </w:r>
      <w:r w:rsidR="004A6BB7" w:rsidRPr="00B457F5">
        <w:rPr>
          <w:rFonts w:ascii="Garamond" w:eastAsia="MS Mincho" w:hAnsi="Garamond" w:cs="Times New Roman"/>
          <w:i/>
          <w:szCs w:val="24"/>
        </w:rPr>
        <w:t>,</w:t>
      </w:r>
      <w:r w:rsidR="004A6BB7" w:rsidRPr="00B457F5">
        <w:rPr>
          <w:rFonts w:ascii="Garamond" w:eastAsia="MS Mincho" w:hAnsi="Garamond" w:cs="Times New Roman"/>
          <w:szCs w:val="24"/>
        </w:rPr>
        <w:t xml:space="preserve"> </w:t>
      </w:r>
      <w:r w:rsidRPr="00B457F5">
        <w:rPr>
          <w:rFonts w:ascii="Garamond" w:eastAsia="MS Mincho" w:hAnsi="Garamond" w:cs="Times New Roman"/>
          <w:szCs w:val="24"/>
        </w:rPr>
        <w:t>parashikohen masat e mëposhtme prioritare:</w:t>
      </w:r>
    </w:p>
    <w:p w14:paraId="19116DD9" w14:textId="7146A53D" w:rsidR="00151C91" w:rsidRPr="00B457F5" w:rsidRDefault="00433841"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Wingdings"/>
          <w:color w:val="000000"/>
          <w:szCs w:val="24"/>
        </w:rPr>
        <w:t xml:space="preserve">- </w:t>
      </w:r>
      <w:r w:rsidR="00151C91" w:rsidRPr="00B457F5">
        <w:rPr>
          <w:rFonts w:ascii="Garamond" w:eastAsiaTheme="minorHAnsi" w:hAnsi="Garamond" w:cs="Times New Roman"/>
          <w:color w:val="000000"/>
          <w:szCs w:val="24"/>
        </w:rPr>
        <w:t>Identifikimi dhe regjistrimi i adresave të shtetasve shqiptarë që janë shtetas të përhershëm jashtë Shqipërisë;</w:t>
      </w:r>
    </w:p>
    <w:p w14:paraId="4CAFCC70" w14:textId="3FCE74F0" w:rsidR="00151C91" w:rsidRPr="00B457F5" w:rsidRDefault="00433841"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Wingdings"/>
          <w:color w:val="000000"/>
          <w:szCs w:val="24"/>
        </w:rPr>
        <w:t xml:space="preserve">- </w:t>
      </w:r>
      <w:r w:rsidR="00151C91" w:rsidRPr="00B457F5">
        <w:rPr>
          <w:rFonts w:ascii="Garamond" w:eastAsiaTheme="minorHAnsi" w:hAnsi="Garamond" w:cs="Times New Roman"/>
          <w:color w:val="000000"/>
          <w:szCs w:val="24"/>
        </w:rPr>
        <w:t>Promovimi i një transferimi më të shpejtë, më të sigurt dhe më të lirë të remitancave dhe përfshirja financiare e migrantëve;</w:t>
      </w:r>
    </w:p>
    <w:p w14:paraId="0F42C948" w14:textId="05D17519" w:rsidR="00151C91" w:rsidRPr="00B457F5" w:rsidRDefault="00433841"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Wingdings"/>
          <w:color w:val="000000"/>
          <w:szCs w:val="24"/>
        </w:rPr>
        <w:t xml:space="preserve">- </w:t>
      </w:r>
      <w:r w:rsidR="00151C91" w:rsidRPr="00B457F5">
        <w:rPr>
          <w:rFonts w:ascii="Garamond" w:eastAsiaTheme="minorHAnsi" w:hAnsi="Garamond" w:cs="Times New Roman"/>
          <w:color w:val="000000"/>
          <w:szCs w:val="24"/>
        </w:rPr>
        <w:t>Tërheqja e shtetasve shqiptarë, të kthyerve potencialë, duke i informuar ata për mundësitë e punësimit dhe tregun e punës në vend;</w:t>
      </w:r>
    </w:p>
    <w:p w14:paraId="10309032" w14:textId="29573BB4" w:rsidR="00151C91" w:rsidRPr="00B457F5" w:rsidRDefault="00433841"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Wingdings"/>
          <w:color w:val="000000"/>
          <w:szCs w:val="24"/>
        </w:rPr>
        <w:t xml:space="preserve">- </w:t>
      </w:r>
      <w:r w:rsidR="00151C91" w:rsidRPr="00B457F5">
        <w:rPr>
          <w:rFonts w:ascii="Garamond" w:eastAsiaTheme="minorHAnsi" w:hAnsi="Garamond" w:cs="Times New Roman"/>
          <w:color w:val="000000"/>
          <w:szCs w:val="24"/>
        </w:rPr>
        <w:t>Promovimi i investimeve.</w:t>
      </w:r>
    </w:p>
    <w:p w14:paraId="355DE9C9" w14:textId="6FCC7126" w:rsidR="0007734A" w:rsidRPr="00B457F5" w:rsidRDefault="0007734A"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Institucionet shtetërore shqiptare kanë identifikuar pamundësinë për të vlerësuar shkallën dhe vendosjen e linjave të komunikimit me shtetasit e vendit që banojnë jashtë vendit</w:t>
      </w:r>
      <w:r w:rsidR="008238C0" w:rsidRPr="00B457F5">
        <w:rPr>
          <w:rFonts w:ascii="Garamond" w:eastAsia="MS Mincho" w:hAnsi="Garamond" w:cs="Times New Roman"/>
          <w:szCs w:val="24"/>
        </w:rPr>
        <w:t>,</w:t>
      </w:r>
      <w:r w:rsidRPr="00B457F5">
        <w:rPr>
          <w:rFonts w:ascii="Garamond" w:eastAsia="MS Mincho" w:hAnsi="Garamond" w:cs="Times New Roman"/>
          <w:szCs w:val="24"/>
        </w:rPr>
        <w:t xml:space="preserve"> si një pengesë kryesore që duhet kapërcyer</w:t>
      </w:r>
      <w:r w:rsidR="008238C0" w:rsidRPr="00B457F5">
        <w:rPr>
          <w:rFonts w:ascii="Garamond" w:eastAsia="MS Mincho" w:hAnsi="Garamond" w:cs="Times New Roman"/>
          <w:szCs w:val="24"/>
        </w:rPr>
        <w:t>,</w:t>
      </w:r>
      <w:r w:rsidRPr="00B457F5">
        <w:rPr>
          <w:rFonts w:ascii="Garamond" w:eastAsia="MS Mincho" w:hAnsi="Garamond" w:cs="Times New Roman"/>
          <w:szCs w:val="24"/>
        </w:rPr>
        <w:t xml:space="preserve"> për të siguruar që emigrantët shqiptarë të kontribuojnë </w:t>
      </w:r>
      <w:r w:rsidR="00C212ED" w:rsidRPr="00B457F5">
        <w:rPr>
          <w:rFonts w:ascii="Garamond" w:eastAsia="MS Mincho" w:hAnsi="Garamond" w:cs="Times New Roman"/>
          <w:szCs w:val="24"/>
        </w:rPr>
        <w:t xml:space="preserve">për </w:t>
      </w:r>
      <w:r w:rsidRPr="00B457F5">
        <w:rPr>
          <w:rFonts w:ascii="Garamond" w:eastAsia="MS Mincho" w:hAnsi="Garamond" w:cs="Times New Roman"/>
          <w:szCs w:val="24"/>
        </w:rPr>
        <w:t xml:space="preserve">zhvillimin e </w:t>
      </w:r>
      <w:r w:rsidRPr="00B457F5">
        <w:rPr>
          <w:rFonts w:ascii="Garamond" w:eastAsia="MS Mincho" w:hAnsi="Garamond" w:cs="Times New Roman"/>
          <w:szCs w:val="24"/>
        </w:rPr>
        <w:lastRenderedPageBreak/>
        <w:t xml:space="preserve">vendit. Një masë prioritare, e planifikuar për vitin 2024, është zbatimi i një skeme vetëdeklarimi, sipas së cilës shqiptarët me banim të përhershëm jashtë vendit </w:t>
      </w:r>
      <w:r w:rsidR="00C212ED" w:rsidRPr="00B457F5">
        <w:rPr>
          <w:rFonts w:ascii="Garamond" w:eastAsia="MS Mincho" w:hAnsi="Garamond" w:cs="Times New Roman"/>
          <w:szCs w:val="24"/>
        </w:rPr>
        <w:t xml:space="preserve">mund të </w:t>
      </w:r>
      <w:r w:rsidRPr="00B457F5">
        <w:rPr>
          <w:rFonts w:ascii="Garamond" w:eastAsia="MS Mincho" w:hAnsi="Garamond" w:cs="Times New Roman"/>
          <w:szCs w:val="24"/>
        </w:rPr>
        <w:t xml:space="preserve">regjistrohen </w:t>
      </w:r>
      <w:r w:rsidRPr="00B457F5">
        <w:rPr>
          <w:rFonts w:ascii="Garamond" w:eastAsia="MS Mincho" w:hAnsi="Garamond" w:cs="Times New Roman"/>
          <w:i/>
          <w:szCs w:val="24"/>
        </w:rPr>
        <w:t>online</w:t>
      </w:r>
      <w:r w:rsidRPr="00B457F5">
        <w:rPr>
          <w:rFonts w:ascii="Garamond" w:eastAsia="MS Mincho" w:hAnsi="Garamond" w:cs="Times New Roman"/>
          <w:szCs w:val="24"/>
        </w:rPr>
        <w:t xml:space="preserve">. </w:t>
      </w:r>
      <w:r w:rsidR="00101380" w:rsidRPr="00B457F5">
        <w:rPr>
          <w:rFonts w:ascii="Garamond" w:eastAsia="MS Mincho" w:hAnsi="Garamond" w:cs="Times New Roman"/>
          <w:szCs w:val="24"/>
        </w:rPr>
        <w:t xml:space="preserve">Do të përdoren </w:t>
      </w:r>
      <w:r w:rsidRPr="00B457F5">
        <w:rPr>
          <w:rFonts w:ascii="Garamond" w:eastAsia="MS Mincho" w:hAnsi="Garamond" w:cs="Times New Roman"/>
          <w:szCs w:val="24"/>
        </w:rPr>
        <w:t>kanale</w:t>
      </w:r>
      <w:r w:rsidR="00101380" w:rsidRPr="00B457F5">
        <w:rPr>
          <w:rFonts w:ascii="Garamond" w:eastAsia="MS Mincho" w:hAnsi="Garamond" w:cs="Times New Roman"/>
          <w:szCs w:val="24"/>
        </w:rPr>
        <w:t xml:space="preserve"> të ndryshme</w:t>
      </w:r>
      <w:r w:rsidRPr="00B457F5">
        <w:rPr>
          <w:rFonts w:ascii="Garamond" w:eastAsia="MS Mincho" w:hAnsi="Garamond" w:cs="Times New Roman"/>
          <w:szCs w:val="24"/>
        </w:rPr>
        <w:t xml:space="preserve"> për të ndërgjegjësuar grupin e synuar për sistemin dhe përfitimet </w:t>
      </w:r>
      <w:r w:rsidR="00101380" w:rsidRPr="00B457F5">
        <w:rPr>
          <w:rFonts w:ascii="Garamond" w:eastAsia="MS Mincho" w:hAnsi="Garamond" w:cs="Times New Roman"/>
          <w:szCs w:val="24"/>
        </w:rPr>
        <w:t>që sjell ai</w:t>
      </w:r>
      <w:r w:rsidRPr="00B457F5">
        <w:rPr>
          <w:rFonts w:ascii="Garamond" w:eastAsia="MS Mincho" w:hAnsi="Garamond" w:cs="Times New Roman"/>
          <w:szCs w:val="24"/>
        </w:rPr>
        <w:t xml:space="preserve">, si shërbimet e dedikuara për emigrantët, duke përfshirë </w:t>
      </w:r>
      <w:r w:rsidR="00B1273D" w:rsidRPr="00B457F5">
        <w:rPr>
          <w:rFonts w:ascii="Garamond" w:eastAsia="MS Mincho" w:hAnsi="Garamond" w:cs="Times New Roman"/>
          <w:szCs w:val="24"/>
        </w:rPr>
        <w:t xml:space="preserve">zyrat </w:t>
      </w:r>
      <w:r w:rsidRPr="00B457F5">
        <w:rPr>
          <w:rFonts w:ascii="Garamond" w:eastAsia="MS Mincho" w:hAnsi="Garamond" w:cs="Times New Roman"/>
          <w:szCs w:val="24"/>
        </w:rPr>
        <w:t>konsullore, shoqatat e emigrantëve dhe diasporës dhe rrjetet sociale.</w:t>
      </w:r>
      <w:r w:rsidR="00075FE6" w:rsidRPr="00B457F5">
        <w:rPr>
          <w:rFonts w:ascii="Garamond" w:eastAsia="MS Mincho" w:hAnsi="Garamond" w:cs="Times New Roman"/>
          <w:szCs w:val="24"/>
        </w:rPr>
        <w:t xml:space="preserve"> Këto masa ekonomike do të jenë plotësuese me aktivitetet më të gjera sociale dhe kulturore të parashikuara në Strategjinë Kombëtare të Diasporës 2021</w:t>
      </w:r>
      <w:r w:rsidR="004603C3" w:rsidRPr="00B457F5">
        <w:rPr>
          <w:rStyle w:val="contentpasted1"/>
          <w:rFonts w:ascii="Garamond" w:hAnsi="Garamond" w:cs="Times New Roman"/>
          <w:color w:val="000000"/>
        </w:rPr>
        <w:t>–</w:t>
      </w:r>
      <w:r w:rsidR="00075FE6" w:rsidRPr="00B457F5">
        <w:rPr>
          <w:rFonts w:ascii="Garamond" w:eastAsia="MS Mincho" w:hAnsi="Garamond" w:cs="Times New Roman"/>
          <w:szCs w:val="24"/>
        </w:rPr>
        <w:t>2025.</w:t>
      </w:r>
    </w:p>
    <w:p w14:paraId="6CC27972" w14:textId="57ECED9F" w:rsidR="0007734A" w:rsidRPr="00B457F5" w:rsidRDefault="0007734A"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Banka e Shqipërisë është ngarkuar me ndërhyrje specifike, duke synuar uljen e kostove të transaksioneve të remitancav</w:t>
      </w:r>
      <w:r w:rsidR="008416EE" w:rsidRPr="00B457F5">
        <w:rPr>
          <w:rFonts w:ascii="Garamond" w:eastAsia="MS Mincho" w:hAnsi="Garamond" w:cs="Times New Roman"/>
          <w:szCs w:val="24"/>
        </w:rPr>
        <w:t>,</w:t>
      </w:r>
      <w:r w:rsidRPr="00B457F5">
        <w:rPr>
          <w:rFonts w:ascii="Garamond" w:eastAsia="MS Mincho" w:hAnsi="Garamond" w:cs="Times New Roman"/>
          <w:szCs w:val="24"/>
        </w:rPr>
        <w:t>e në përputhje me A</w:t>
      </w:r>
      <w:r w:rsidR="00B1273D" w:rsidRPr="00B457F5">
        <w:rPr>
          <w:rFonts w:ascii="Garamond" w:eastAsia="MS Mincho" w:hAnsi="Garamond" w:cs="Times New Roman"/>
          <w:szCs w:val="24"/>
        </w:rPr>
        <w:t>gj</w:t>
      </w:r>
      <w:r w:rsidRPr="00B457F5">
        <w:rPr>
          <w:rFonts w:ascii="Garamond" w:eastAsia="MS Mincho" w:hAnsi="Garamond" w:cs="Times New Roman"/>
          <w:szCs w:val="24"/>
        </w:rPr>
        <w:t xml:space="preserve">endën për Zhvillim të Qëndrueshëm 2030 dhe </w:t>
      </w:r>
      <w:r w:rsidR="008416EE" w:rsidRPr="00B457F5">
        <w:rPr>
          <w:rFonts w:ascii="Garamond" w:eastAsia="MS Mincho" w:hAnsi="Garamond" w:cs="Times New Roman"/>
          <w:szCs w:val="24"/>
        </w:rPr>
        <w:t>o</w:t>
      </w:r>
      <w:r w:rsidRPr="00B457F5">
        <w:rPr>
          <w:rFonts w:ascii="Garamond" w:eastAsia="MS Mincho" w:hAnsi="Garamond" w:cs="Times New Roman"/>
          <w:szCs w:val="24"/>
        </w:rPr>
        <w:t xml:space="preserve">bjektivin nr. 20 të GCM-së, si dhe ofrimin e informacionit </w:t>
      </w:r>
      <w:r w:rsidRPr="00B457F5">
        <w:rPr>
          <w:rFonts w:ascii="Garamond" w:eastAsia="MS Mincho" w:hAnsi="Garamond" w:cs="Times New Roman"/>
          <w:i/>
          <w:szCs w:val="24"/>
        </w:rPr>
        <w:t>online</w:t>
      </w:r>
      <w:r w:rsidRPr="00B457F5">
        <w:rPr>
          <w:rFonts w:ascii="Garamond" w:eastAsia="MS Mincho" w:hAnsi="Garamond" w:cs="Times New Roman"/>
          <w:szCs w:val="24"/>
        </w:rPr>
        <w:t xml:space="preserve"> për këto kosto. Veprime shtesë synojnë të mbrojnë migrantët nga praktikat e padrejta ose diskriminuese</w:t>
      </w:r>
      <w:r w:rsidR="008416EE" w:rsidRPr="00B457F5">
        <w:rPr>
          <w:rFonts w:ascii="Garamond" w:eastAsia="MS Mincho" w:hAnsi="Garamond" w:cs="Times New Roman"/>
          <w:szCs w:val="24"/>
        </w:rPr>
        <w:t>,</w:t>
      </w:r>
      <w:r w:rsidRPr="00B457F5">
        <w:rPr>
          <w:rFonts w:ascii="Garamond" w:eastAsia="MS Mincho" w:hAnsi="Garamond" w:cs="Times New Roman"/>
          <w:szCs w:val="24"/>
        </w:rPr>
        <w:t xml:space="preserve"> duke vazhduar të luftojnë flukset e paligjshme financiare, duke u zhvilluar në bashkëpunim me sektorin bankar dhe duke bërë instrumente financiare të aksesueshme, të dedikuara për familjet me të ardhura të ulëta dhe gratë kryefamiljare.</w:t>
      </w:r>
    </w:p>
    <w:p w14:paraId="29647619" w14:textId="2F0FE009" w:rsidR="0007734A" w:rsidRPr="00B457F5" w:rsidRDefault="0007734A"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Një sërë ndërhyrjesh nën këtë objektiv nënvizon rolin që mund të luajë migrimi i kthimit në përmbushjen e nevojave të tregut kombëtar të punës. Strategjia </w:t>
      </w:r>
      <w:r w:rsidR="00B87DD6" w:rsidRPr="00B457F5">
        <w:rPr>
          <w:rFonts w:ascii="Garamond" w:eastAsia="MS Mincho" w:hAnsi="Garamond" w:cs="Times New Roman"/>
          <w:szCs w:val="24"/>
        </w:rPr>
        <w:t xml:space="preserve">përqendrohet </w:t>
      </w:r>
      <w:r w:rsidRPr="00B457F5">
        <w:rPr>
          <w:rFonts w:ascii="Garamond" w:eastAsia="MS Mincho" w:hAnsi="Garamond" w:cs="Times New Roman"/>
          <w:szCs w:val="24"/>
        </w:rPr>
        <w:t>në lloje të ndryshme burimesh informacioni, të cilat mund</w:t>
      </w:r>
      <w:r w:rsidR="00A313AE" w:rsidRPr="00B457F5">
        <w:rPr>
          <w:rFonts w:ascii="Garamond" w:eastAsia="MS Mincho" w:hAnsi="Garamond" w:cs="Times New Roman"/>
          <w:szCs w:val="24"/>
        </w:rPr>
        <w:t xml:space="preserve"> t’u </w:t>
      </w:r>
      <w:r w:rsidRPr="00B457F5">
        <w:rPr>
          <w:rFonts w:ascii="Garamond" w:eastAsia="MS Mincho" w:hAnsi="Garamond" w:cs="Times New Roman"/>
          <w:szCs w:val="24"/>
        </w:rPr>
        <w:t>shërbejnë të kthyerve potencialë, duke lehtësuar rihyrjen e tyre në tregun shqiptar të punës. AKPA</w:t>
      </w:r>
      <w:r w:rsidR="00B1273D" w:rsidRPr="00B457F5">
        <w:rPr>
          <w:rFonts w:ascii="Garamond" w:eastAsia="MS Mincho" w:hAnsi="Garamond" w:cs="Times New Roman"/>
          <w:szCs w:val="24"/>
        </w:rPr>
        <w:t>-ja</w:t>
      </w:r>
      <w:r w:rsidRPr="00B457F5">
        <w:rPr>
          <w:rFonts w:ascii="Garamond" w:eastAsia="MS Mincho" w:hAnsi="Garamond" w:cs="Times New Roman"/>
          <w:szCs w:val="24"/>
        </w:rPr>
        <w:t xml:space="preserve"> dhe Ministria e Financave dhe Ekonomisë cilësohen si institucionet kyçe për ofrimin e informacionit aktual dhe gjithëpërfshirës për procesin e kthimit dhe riintegrimit</w:t>
      </w:r>
      <w:r w:rsidR="008416EE" w:rsidRPr="00B457F5">
        <w:rPr>
          <w:rFonts w:ascii="Garamond" w:eastAsia="MS Mincho" w:hAnsi="Garamond" w:cs="Times New Roman"/>
          <w:szCs w:val="24"/>
        </w:rPr>
        <w:t>,</w:t>
      </w:r>
      <w:r w:rsidRPr="00B457F5">
        <w:rPr>
          <w:rFonts w:ascii="Garamond" w:eastAsia="MS Mincho" w:hAnsi="Garamond" w:cs="Times New Roman"/>
          <w:szCs w:val="24"/>
        </w:rPr>
        <w:t xml:space="preserve"> dhe për kushtet e punësimit, përpunimin e materialeve informative dhe fushatat e zhvillimit, si dhe ofrimin e shërbimeve të referimit, krijimin e kanaleve të komunikimit ndërmjet të kthyerve potencialë dhe institucioneve shtetërore</w:t>
      </w:r>
      <w:r w:rsidR="008416EE" w:rsidRPr="00B457F5">
        <w:rPr>
          <w:rFonts w:ascii="Garamond" w:eastAsia="MS Mincho" w:hAnsi="Garamond" w:cs="Times New Roman"/>
          <w:szCs w:val="24"/>
        </w:rPr>
        <w:t>,</w:t>
      </w:r>
      <w:r w:rsidRPr="00B457F5">
        <w:rPr>
          <w:rFonts w:ascii="Garamond" w:eastAsia="MS Mincho" w:hAnsi="Garamond" w:cs="Times New Roman"/>
          <w:szCs w:val="24"/>
        </w:rPr>
        <w:t xml:space="preserve"> dhe organizatave joqeveritare. Një hap i madh drejt bërjes më të aksesueshme të aseteve të ndryshme të informacionit do të jetë zhvillimi i një </w:t>
      </w:r>
      <w:r w:rsidR="00B1273D" w:rsidRPr="00B457F5">
        <w:rPr>
          <w:rFonts w:ascii="Garamond" w:eastAsia="MS Mincho" w:hAnsi="Garamond" w:cs="Times New Roman"/>
          <w:szCs w:val="24"/>
        </w:rPr>
        <w:t xml:space="preserve">faqeje </w:t>
      </w:r>
      <w:r w:rsidRPr="00B457F5">
        <w:rPr>
          <w:rFonts w:ascii="Garamond" w:eastAsia="MS Mincho" w:hAnsi="Garamond" w:cs="Times New Roman"/>
          <w:szCs w:val="24"/>
        </w:rPr>
        <w:t xml:space="preserve">të dedikuar </w:t>
      </w:r>
      <w:r w:rsidR="00B1273D" w:rsidRPr="00B457F5">
        <w:rPr>
          <w:rFonts w:ascii="Garamond" w:eastAsia="MS Mincho" w:hAnsi="Garamond" w:cs="Times New Roman"/>
          <w:szCs w:val="24"/>
        </w:rPr>
        <w:t xml:space="preserve">interneti </w:t>
      </w:r>
      <w:r w:rsidRPr="00B457F5">
        <w:rPr>
          <w:rFonts w:ascii="Garamond" w:eastAsia="MS Mincho" w:hAnsi="Garamond" w:cs="Times New Roman"/>
          <w:szCs w:val="24"/>
        </w:rPr>
        <w:t>për riintegrim, shërbime dhe iniciativa hartografike në fushën e punësimit, arsimit dhe formimit profesional, si dhe strehimit dhe investimeve. Paralelisht, informacioni që synon të kthyerit duhet të shpërndahet vazhdimisht përmes mediave masive dhe sociale.</w:t>
      </w:r>
    </w:p>
    <w:p w14:paraId="1953699A" w14:textId="77777777" w:rsidR="0007734A" w:rsidRPr="00B457F5" w:rsidRDefault="0007734A"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Strategjia përmban gjithashtu disa ndërhyrje që janë thelbësore për krijimin e një programi riintegrimi afatgjatë dhe menaxhimin fleksibël të migracionit për motive punësimi të bazuar në evidenca. Për të vlerësuar se si të kthyerit mund të kontribuojnë në tregun kombëtar të punës dhe cilat nevoja të mëtejshme për fuqi punëtore ka të ngjarë të vazhdojnë, janë planifikuar disa aktivitete diagnostikuese. Së pari, do të bëhet një auditim i kapaciteteve intelektuale dhe profesionale të emigrantëve shqiptarë. Së dyti, politikat e migracionit për motive punësimi duhet të marrin në konsideratë ndryshimin e kërkesës sektoriale për punën e migrantëve nëpërmjet konsultimeve të rregullta me organizatat e punëdhënësve dhe të punonjësve.</w:t>
      </w:r>
    </w:p>
    <w:p w14:paraId="16FEA202" w14:textId="0F12784A" w:rsidR="0007734A" w:rsidRPr="00B457F5" w:rsidRDefault="0007734A"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Strategjia njeh gjithashtu kontributin më të gjerë që shqiptarët që jetojnë jashtë vendit kanë dhënë në ekonominë e vendit dhe synon të promovojë lloje të ndryshme investimesh që do të kryhen nga kategori të ndryshme shtetasish që banojnë jashtë kufijve të Shqipërisë. Aktivitetet e parashikuara deri në vitin 2030 janë të natyrës themelore, duke synuar identifikimin e aseteve (financiare, intelektuale, aftësitë), nivelin e interesit</w:t>
      </w:r>
      <w:r w:rsidR="008416EE" w:rsidRPr="00B457F5">
        <w:rPr>
          <w:rFonts w:ascii="Garamond" w:eastAsia="MS Mincho" w:hAnsi="Garamond" w:cs="Times New Roman"/>
          <w:szCs w:val="24"/>
        </w:rPr>
        <w:t>,</w:t>
      </w:r>
      <w:r w:rsidRPr="00B457F5">
        <w:rPr>
          <w:rFonts w:ascii="Garamond" w:eastAsia="MS Mincho" w:hAnsi="Garamond" w:cs="Times New Roman"/>
          <w:szCs w:val="24"/>
        </w:rPr>
        <w:t xml:space="preserve"> si dhe pengesat për investimet në Shqipëri. Në të njëjtën kohë, pranohet se për përmirësimin e klimës së investimeve, angazhimi i grupeve dhe institucioneve të diasporës, përfshirë dhomat e biznesit është thelbësor.</w:t>
      </w:r>
    </w:p>
    <w:p w14:paraId="4A0963E2" w14:textId="4E32F14C" w:rsidR="0007734A" w:rsidRPr="00B457F5" w:rsidRDefault="0007734A" w:rsidP="002E693B">
      <w:pPr>
        <w:spacing w:before="0" w:after="0"/>
        <w:ind w:firstLine="284"/>
        <w:rPr>
          <w:rFonts w:ascii="Garamond" w:eastAsia="MS Mincho" w:hAnsi="Garamond" w:cs="Times New Roman"/>
          <w:szCs w:val="24"/>
        </w:rPr>
      </w:pPr>
      <w:r w:rsidRPr="00B457F5">
        <w:rPr>
          <w:rFonts w:ascii="Garamond" w:eastAsia="MS Mincho" w:hAnsi="Garamond" w:cs="Times New Roman"/>
          <w:i/>
          <w:iCs/>
          <w:szCs w:val="24"/>
        </w:rPr>
        <w:t>Objektivi i tretë specifik</w:t>
      </w:r>
      <w:r w:rsidRPr="00B457F5">
        <w:rPr>
          <w:rFonts w:ascii="Garamond" w:eastAsia="MS Mincho" w:hAnsi="Garamond" w:cs="Times New Roman"/>
          <w:szCs w:val="24"/>
        </w:rPr>
        <w:t xml:space="preserve"> </w:t>
      </w:r>
      <w:r w:rsidR="004603C3" w:rsidRPr="00B457F5">
        <w:rPr>
          <w:rFonts w:ascii="Garamond" w:eastAsia="MS Mincho" w:hAnsi="Garamond" w:cs="Times New Roman"/>
          <w:bCs/>
          <w:i/>
          <w:iCs/>
          <w:szCs w:val="24"/>
        </w:rPr>
        <w:t>(garantimi i riintegrimit të qëndrueshëm të qytetarëve shqiptarë që kthehen nga emigracioni)</w:t>
      </w:r>
      <w:r w:rsidR="004603C3" w:rsidRPr="00B457F5">
        <w:rPr>
          <w:rFonts w:ascii="Garamond" w:eastAsia="MS Mincho" w:hAnsi="Garamond" w:cs="Times New Roman"/>
          <w:szCs w:val="24"/>
        </w:rPr>
        <w:t xml:space="preserve">, </w:t>
      </w:r>
      <w:r w:rsidRPr="00B457F5">
        <w:rPr>
          <w:rFonts w:ascii="Garamond" w:eastAsia="MS Mincho" w:hAnsi="Garamond" w:cs="Times New Roman"/>
          <w:szCs w:val="24"/>
        </w:rPr>
        <w:t>synon shfrytëzimin e potencialit të të kthyerve shqiptarë nga emigracioni. Duke pasur parasysh se të kthyerit përbëjnë një shumicë dërrmuese të emigrantëve dhe kanë lidhje të forta me rajonet e origjinës, kjo kategori emigrantësh është përzgjedhur si prioritet. Për të zhvilluar një mekanizëm gjithëpërfshirës për kthimin dhe riintegrimin, është planifikuar që roli kyç i AKPA-së të plotësohet me një qasje ndërinstitucionale, duke përfshirë grupin nd</w:t>
      </w:r>
      <w:r w:rsidR="00994216" w:rsidRPr="00B457F5">
        <w:rPr>
          <w:rFonts w:ascii="Garamond" w:eastAsia="MS Mincho" w:hAnsi="Garamond" w:cs="Times New Roman"/>
          <w:szCs w:val="24"/>
        </w:rPr>
        <w:t>ë</w:t>
      </w:r>
      <w:r w:rsidRPr="00B457F5">
        <w:rPr>
          <w:rFonts w:ascii="Garamond" w:eastAsia="MS Mincho" w:hAnsi="Garamond" w:cs="Times New Roman"/>
          <w:szCs w:val="24"/>
        </w:rPr>
        <w:t>rinstitucional t</w:t>
      </w:r>
      <w:r w:rsidR="00994216" w:rsidRPr="00B457F5">
        <w:rPr>
          <w:rFonts w:ascii="Garamond" w:eastAsia="MS Mincho" w:hAnsi="Garamond" w:cs="Times New Roman"/>
          <w:szCs w:val="24"/>
        </w:rPr>
        <w:t>ë</w:t>
      </w:r>
      <w:r w:rsidRPr="00B457F5">
        <w:rPr>
          <w:rFonts w:ascii="Garamond" w:eastAsia="MS Mincho" w:hAnsi="Garamond" w:cs="Times New Roman"/>
          <w:szCs w:val="24"/>
        </w:rPr>
        <w:t xml:space="preserve"> pun</w:t>
      </w:r>
      <w:r w:rsidR="00994216" w:rsidRPr="00B457F5">
        <w:rPr>
          <w:rFonts w:ascii="Garamond" w:eastAsia="MS Mincho" w:hAnsi="Garamond" w:cs="Times New Roman"/>
          <w:szCs w:val="24"/>
        </w:rPr>
        <w:t>ë</w:t>
      </w:r>
      <w:r w:rsidRPr="00B457F5">
        <w:rPr>
          <w:rFonts w:ascii="Garamond" w:eastAsia="MS Mincho" w:hAnsi="Garamond" w:cs="Times New Roman"/>
          <w:szCs w:val="24"/>
        </w:rPr>
        <w:t>s.</w:t>
      </w:r>
    </w:p>
    <w:p w14:paraId="59E28187" w14:textId="72F6E7EF" w:rsidR="0007734A" w:rsidRPr="00B457F5" w:rsidRDefault="0007734A" w:rsidP="002E693B">
      <w:pPr>
        <w:spacing w:before="0" w:after="0"/>
        <w:ind w:firstLine="284"/>
        <w:rPr>
          <w:rFonts w:ascii="Garamond" w:eastAsia="MS Mincho" w:hAnsi="Garamond" w:cs="Times New Roman"/>
          <w:szCs w:val="24"/>
        </w:rPr>
      </w:pPr>
      <w:r w:rsidRPr="00B457F5">
        <w:rPr>
          <w:rFonts w:ascii="Garamond" w:eastAsia="MS Mincho" w:hAnsi="Garamond" w:cs="Times New Roman"/>
          <w:szCs w:val="24"/>
        </w:rPr>
        <w:t xml:space="preserve">Si pjesë e </w:t>
      </w:r>
      <w:r w:rsidR="004A6BB7" w:rsidRPr="00B457F5">
        <w:rPr>
          <w:rFonts w:ascii="Garamond" w:eastAsia="MS Mincho" w:hAnsi="Garamond" w:cs="Times New Roman"/>
          <w:bCs/>
          <w:i/>
          <w:szCs w:val="24"/>
        </w:rPr>
        <w:t>objektivit specifik 2.3</w:t>
      </w:r>
      <w:r w:rsidR="004A6BB7" w:rsidRPr="00B457F5">
        <w:rPr>
          <w:rFonts w:ascii="Garamond" w:eastAsia="MS Mincho" w:hAnsi="Garamond" w:cs="Times New Roman"/>
          <w:i/>
          <w:szCs w:val="24"/>
        </w:rPr>
        <w:t>:</w:t>
      </w:r>
      <w:r w:rsidR="004A6BB7" w:rsidRPr="00B457F5">
        <w:rPr>
          <w:rFonts w:ascii="Garamond" w:eastAsia="MS Mincho" w:hAnsi="Garamond" w:cs="Times New Roman"/>
          <w:szCs w:val="24"/>
        </w:rPr>
        <w:t xml:space="preserve"> </w:t>
      </w:r>
      <w:r w:rsidRPr="00B457F5">
        <w:rPr>
          <w:rFonts w:ascii="Garamond" w:eastAsia="MS Mincho" w:hAnsi="Garamond" w:cs="Times New Roman"/>
          <w:szCs w:val="24"/>
        </w:rPr>
        <w:t>këto masa prioritare janë planifikuar:</w:t>
      </w:r>
    </w:p>
    <w:p w14:paraId="0126DAA3" w14:textId="7E8F99E1" w:rsidR="00151C91" w:rsidRPr="00B457F5" w:rsidRDefault="00433841"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Wingdings"/>
          <w:color w:val="000000"/>
          <w:szCs w:val="24"/>
        </w:rPr>
        <w:t xml:space="preserve">- </w:t>
      </w:r>
      <w:r w:rsidR="00151C91" w:rsidRPr="00B457F5">
        <w:rPr>
          <w:rFonts w:ascii="Garamond" w:eastAsiaTheme="minorHAnsi" w:hAnsi="Garamond" w:cs="Times New Roman"/>
          <w:color w:val="000000"/>
          <w:szCs w:val="24"/>
        </w:rPr>
        <w:t>Hartimi dhe miratimi i programeve të dedikuara për riintegrimin e të kthyerve nga emigracioni;</w:t>
      </w:r>
    </w:p>
    <w:p w14:paraId="4A9E49EC" w14:textId="42E6B72A" w:rsidR="00151C91" w:rsidRPr="00B457F5" w:rsidRDefault="00433841"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Wingdings"/>
          <w:color w:val="000000"/>
          <w:szCs w:val="24"/>
        </w:rPr>
        <w:t xml:space="preserve">- </w:t>
      </w:r>
      <w:r w:rsidR="00151C91" w:rsidRPr="00B457F5">
        <w:rPr>
          <w:rFonts w:ascii="Garamond" w:eastAsiaTheme="minorHAnsi" w:hAnsi="Garamond" w:cs="Times New Roman"/>
          <w:color w:val="000000"/>
          <w:szCs w:val="24"/>
        </w:rPr>
        <w:t>Investimi në zhvillimin e aftësive dhe lehtësimi i njohjes reciproke të aftësive, kualifikimeve dhe kompetencave;</w:t>
      </w:r>
    </w:p>
    <w:p w14:paraId="3586D11B" w14:textId="4598EE8C" w:rsidR="00151C91" w:rsidRPr="00B457F5" w:rsidRDefault="00433841"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Wingdings"/>
          <w:color w:val="000000"/>
          <w:szCs w:val="24"/>
        </w:rPr>
        <w:t xml:space="preserve">- </w:t>
      </w:r>
      <w:r w:rsidR="00151C91" w:rsidRPr="00B457F5">
        <w:rPr>
          <w:rFonts w:ascii="Garamond" w:eastAsiaTheme="minorHAnsi" w:hAnsi="Garamond" w:cs="Times New Roman"/>
          <w:color w:val="000000"/>
          <w:szCs w:val="24"/>
        </w:rPr>
        <w:t>Përmirësimi i ofertës për arsim dhe trajnim profesional;</w:t>
      </w:r>
    </w:p>
    <w:p w14:paraId="1010CD1B" w14:textId="0D31229A" w:rsidR="00151C91" w:rsidRPr="00B457F5" w:rsidRDefault="00433841"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Wingdings"/>
          <w:color w:val="000000"/>
          <w:szCs w:val="24"/>
        </w:rPr>
        <w:lastRenderedPageBreak/>
        <w:t xml:space="preserve">- </w:t>
      </w:r>
      <w:r w:rsidR="00151C91" w:rsidRPr="00B457F5">
        <w:rPr>
          <w:rFonts w:ascii="Garamond" w:eastAsiaTheme="minorHAnsi" w:hAnsi="Garamond" w:cs="Times New Roman"/>
          <w:color w:val="000000"/>
          <w:szCs w:val="24"/>
        </w:rPr>
        <w:t>Krijimi i mekanizmave për transportueshmërinë e të drejtave të sigurimeve shoqërore dhe përfitimeve të fituara.</w:t>
      </w:r>
    </w:p>
    <w:p w14:paraId="52A4BED7" w14:textId="630F740C" w:rsidR="0007734A" w:rsidRPr="00B457F5" w:rsidRDefault="0007734A" w:rsidP="002E693B">
      <w:pPr>
        <w:spacing w:before="0" w:after="0"/>
        <w:ind w:firstLine="284"/>
        <w:rPr>
          <w:rFonts w:ascii="Garamond" w:eastAsia="MS Mincho" w:hAnsi="Garamond" w:cs="Times New Roman"/>
          <w:szCs w:val="24"/>
          <w:lang w:eastAsia="fr-FR"/>
        </w:rPr>
      </w:pPr>
      <w:r w:rsidRPr="00B457F5">
        <w:rPr>
          <w:rFonts w:ascii="Garamond" w:eastAsia="MS Mincho" w:hAnsi="Garamond" w:cs="Times New Roman"/>
          <w:szCs w:val="24"/>
          <w:lang w:eastAsia="fr-FR"/>
        </w:rPr>
        <w:t xml:space="preserve">Objektivi specifik plotëson objektivat e mëparshëm, duke mbuluar fazën e kthimit të emigrantëve shqiptarë dhe duke kërkuar të </w:t>
      </w:r>
      <w:r w:rsidR="007221CD" w:rsidRPr="00B457F5">
        <w:rPr>
          <w:rFonts w:ascii="Garamond" w:eastAsia="MS Mincho" w:hAnsi="Garamond" w:cs="Times New Roman"/>
          <w:szCs w:val="24"/>
          <w:lang w:eastAsia="fr-FR"/>
        </w:rPr>
        <w:t xml:space="preserve">trajtojë </w:t>
      </w:r>
      <w:r w:rsidRPr="00B457F5">
        <w:rPr>
          <w:rFonts w:ascii="Garamond" w:eastAsia="MS Mincho" w:hAnsi="Garamond" w:cs="Times New Roman"/>
          <w:szCs w:val="24"/>
          <w:lang w:eastAsia="fr-FR"/>
        </w:rPr>
        <w:t xml:space="preserve">nevojat e tyre për riintegrim. E rëndësishme është se hartimi dhe modifikimi i aktiviteteve të dedikuara riintegruese, </w:t>
      </w:r>
      <w:r w:rsidR="00023E0D" w:rsidRPr="00B457F5">
        <w:rPr>
          <w:rFonts w:ascii="Garamond" w:eastAsia="MS Mincho" w:hAnsi="Garamond" w:cs="Times New Roman"/>
          <w:szCs w:val="24"/>
          <w:lang w:eastAsia="fr-FR"/>
        </w:rPr>
        <w:t>të përqendruara te</w:t>
      </w:r>
      <w:r w:rsidRPr="00B457F5">
        <w:rPr>
          <w:rFonts w:ascii="Garamond" w:eastAsia="MS Mincho" w:hAnsi="Garamond" w:cs="Times New Roman"/>
          <w:szCs w:val="24"/>
          <w:lang w:eastAsia="fr-FR"/>
        </w:rPr>
        <w:t xml:space="preserve"> punësimi aktiv </w:t>
      </w:r>
      <w:r w:rsidR="00023E0D" w:rsidRPr="00B457F5">
        <w:rPr>
          <w:rFonts w:ascii="Garamond" w:eastAsia="MS Mincho" w:hAnsi="Garamond" w:cs="Times New Roman"/>
          <w:szCs w:val="24"/>
          <w:lang w:eastAsia="fr-FR"/>
        </w:rPr>
        <w:t>i</w:t>
      </w:r>
      <w:r w:rsidRPr="00B457F5">
        <w:rPr>
          <w:rFonts w:ascii="Garamond" w:eastAsia="MS Mincho" w:hAnsi="Garamond" w:cs="Times New Roman"/>
          <w:szCs w:val="24"/>
          <w:lang w:eastAsia="fr-FR"/>
        </w:rPr>
        <w:t xml:space="preserve"> të kthyerve, duhet të bazohet në monitorimin e vazhdueshëm të nevojave të përfituesve të programit. Raportimi periodik nga ofruesit e shërbimeve duhet</w:t>
      </w:r>
      <w:r w:rsidR="004603C3" w:rsidRPr="00B457F5">
        <w:rPr>
          <w:rFonts w:ascii="Garamond" w:eastAsia="MS Mincho" w:hAnsi="Garamond" w:cs="Times New Roman"/>
          <w:szCs w:val="24"/>
          <w:lang w:eastAsia="fr-FR"/>
        </w:rPr>
        <w:t xml:space="preserve"> t’i </w:t>
      </w:r>
      <w:r w:rsidRPr="00B457F5">
        <w:rPr>
          <w:rFonts w:ascii="Garamond" w:eastAsia="MS Mincho" w:hAnsi="Garamond" w:cs="Times New Roman"/>
          <w:szCs w:val="24"/>
          <w:lang w:eastAsia="fr-FR"/>
        </w:rPr>
        <w:t xml:space="preserve">mundësojë </w:t>
      </w:r>
      <w:r w:rsidR="00272570" w:rsidRPr="00B457F5">
        <w:rPr>
          <w:rFonts w:ascii="Garamond" w:eastAsia="MS Mincho" w:hAnsi="Garamond" w:cs="Times New Roman"/>
          <w:szCs w:val="24"/>
          <w:lang w:eastAsia="fr-FR"/>
        </w:rPr>
        <w:t>MEKI</w:t>
      </w:r>
      <w:r w:rsidRPr="00B457F5">
        <w:rPr>
          <w:rFonts w:ascii="Garamond" w:eastAsia="MS Mincho" w:hAnsi="Garamond" w:cs="Times New Roman"/>
          <w:szCs w:val="24"/>
          <w:lang w:eastAsia="fr-FR"/>
        </w:rPr>
        <w:t>-</w:t>
      </w:r>
      <w:r w:rsidR="00272570" w:rsidRPr="00B457F5">
        <w:rPr>
          <w:rFonts w:ascii="Garamond" w:eastAsia="MS Mincho" w:hAnsi="Garamond" w:cs="Times New Roman"/>
          <w:szCs w:val="24"/>
          <w:lang w:eastAsia="fr-FR"/>
        </w:rPr>
        <w:t>t</w:t>
      </w:r>
      <w:r w:rsidRPr="00B457F5">
        <w:rPr>
          <w:rFonts w:ascii="Garamond" w:eastAsia="MS Mincho" w:hAnsi="Garamond" w:cs="Times New Roman"/>
          <w:szCs w:val="24"/>
          <w:lang w:eastAsia="fr-FR"/>
        </w:rPr>
        <w:t xml:space="preserve"> një shënjestrim dhe përshtatje më të mirë të mbështetjes së ofruar. Një faktor tjetër që synon</w:t>
      </w:r>
      <w:r w:rsidR="00A313AE" w:rsidRPr="00B457F5">
        <w:rPr>
          <w:rFonts w:ascii="Garamond" w:eastAsia="MS Mincho" w:hAnsi="Garamond" w:cs="Times New Roman"/>
          <w:szCs w:val="24"/>
          <w:lang w:eastAsia="fr-FR"/>
        </w:rPr>
        <w:t xml:space="preserve"> t’u </w:t>
      </w:r>
      <w:r w:rsidRPr="00B457F5">
        <w:rPr>
          <w:rFonts w:ascii="Garamond" w:eastAsia="MS Mincho" w:hAnsi="Garamond" w:cs="Times New Roman"/>
          <w:szCs w:val="24"/>
          <w:lang w:eastAsia="fr-FR"/>
        </w:rPr>
        <w:t xml:space="preserve">përgjigjet nevojave të veçanta të të kthyerve në mënyrë gjithëpërfshirëse dhe efektive është përfshirja më e ngushtë e planifikuar e zyrave vendore të punës, zyrave </w:t>
      </w:r>
      <w:r w:rsidR="00997B44" w:rsidRPr="00B457F5">
        <w:rPr>
          <w:rFonts w:ascii="Garamond" w:eastAsia="MS Mincho" w:hAnsi="Garamond" w:cs="Times New Roman"/>
          <w:szCs w:val="24"/>
          <w:lang w:eastAsia="fr-FR"/>
        </w:rPr>
        <w:t xml:space="preserve">vendore </w:t>
      </w:r>
      <w:r w:rsidRPr="00B457F5">
        <w:rPr>
          <w:rFonts w:ascii="Garamond" w:eastAsia="MS Mincho" w:hAnsi="Garamond" w:cs="Times New Roman"/>
          <w:szCs w:val="24"/>
          <w:lang w:eastAsia="fr-FR"/>
        </w:rPr>
        <w:t>të zhvillimit ekonomik dhe qendrave të formimit profesional në hartimin e programeve për lehtësimin e punësimit. Të gjitha këto aktivitete paraprake duhet të vendosin themelet për objektivin përfundimtar të krijimit të një mekanizmi të përhershëm ndërinstitucional për kthim dhe riintegrim.</w:t>
      </w:r>
    </w:p>
    <w:p w14:paraId="74AC22EE" w14:textId="34417E9C" w:rsidR="0007734A" w:rsidRPr="00B457F5" w:rsidRDefault="0007734A" w:rsidP="002E693B">
      <w:pPr>
        <w:spacing w:before="0" w:after="0"/>
        <w:ind w:firstLine="284"/>
        <w:rPr>
          <w:rFonts w:ascii="Garamond" w:eastAsia="MS Mincho" w:hAnsi="Garamond" w:cs="Times New Roman"/>
          <w:szCs w:val="24"/>
          <w:lang w:eastAsia="fr-FR"/>
        </w:rPr>
      </w:pPr>
      <w:r w:rsidRPr="00B457F5">
        <w:rPr>
          <w:rFonts w:ascii="Garamond" w:eastAsia="MS Mincho" w:hAnsi="Garamond" w:cs="Times New Roman"/>
          <w:szCs w:val="24"/>
          <w:lang w:eastAsia="fr-FR"/>
        </w:rPr>
        <w:t xml:space="preserve">Një grup veçanërisht </w:t>
      </w:r>
      <w:r w:rsidR="00280ED8" w:rsidRPr="00B457F5">
        <w:rPr>
          <w:rFonts w:ascii="Garamond" w:eastAsia="MS Mincho" w:hAnsi="Garamond" w:cs="Times New Roman"/>
          <w:szCs w:val="24"/>
          <w:lang w:eastAsia="fr-FR"/>
        </w:rPr>
        <w:t xml:space="preserve">i cenueshëm </w:t>
      </w:r>
      <w:r w:rsidRPr="00B457F5">
        <w:rPr>
          <w:rFonts w:ascii="Garamond" w:eastAsia="MS Mincho" w:hAnsi="Garamond" w:cs="Times New Roman"/>
          <w:szCs w:val="24"/>
          <w:lang w:eastAsia="fr-FR"/>
        </w:rPr>
        <w:t>është ai i shtetasve shqiptarë të ripranuar nga BE</w:t>
      </w:r>
      <w:r w:rsidR="008416EE" w:rsidRPr="00B457F5">
        <w:rPr>
          <w:rFonts w:ascii="Garamond" w:eastAsia="MS Mincho" w:hAnsi="Garamond" w:cs="Times New Roman"/>
          <w:szCs w:val="24"/>
          <w:lang w:eastAsia="fr-FR"/>
        </w:rPr>
        <w:t>-ja</w:t>
      </w:r>
      <w:r w:rsidRPr="00B457F5">
        <w:rPr>
          <w:rFonts w:ascii="Garamond" w:eastAsia="MS Mincho" w:hAnsi="Garamond" w:cs="Times New Roman"/>
          <w:szCs w:val="24"/>
          <w:lang w:eastAsia="fr-FR"/>
        </w:rPr>
        <w:t>. Për</w:t>
      </w:r>
      <w:r w:rsidR="0009653B" w:rsidRPr="00B457F5">
        <w:rPr>
          <w:rFonts w:ascii="Garamond" w:eastAsia="MS Mincho" w:hAnsi="Garamond" w:cs="Times New Roman"/>
          <w:szCs w:val="24"/>
          <w:lang w:eastAsia="fr-FR"/>
        </w:rPr>
        <w:t xml:space="preserve"> t’iu </w:t>
      </w:r>
      <w:r w:rsidRPr="00B457F5">
        <w:rPr>
          <w:rFonts w:ascii="Garamond" w:eastAsia="MS Mincho" w:hAnsi="Garamond" w:cs="Times New Roman"/>
          <w:szCs w:val="24"/>
          <w:lang w:eastAsia="fr-FR"/>
        </w:rPr>
        <w:t>përgjigjur nevojave të tyre të veçanta dhe për të lehtësuar procesin e ripranimit dhe riintegrimit pas kthimit, janë planifikuar ndërhyrje të dedikuara. Së pari, strukturat përgjegjëse për zbatimin e marrëveshjeve të ripranimit do të lidhin marrëveshje, duke rregulluar bashkëpunimin operacional me organet përgjegjëse për rihyrjen e personave të ripranuar në tregun e punës, trajnimin profesional dhe ndihmën ekonomike e sociale. Së dyti, personat e ripranuar do të sigurohen nga një sërë organesh shtetërore të nivelit qendror dhe vendor</w:t>
      </w:r>
      <w:r w:rsidR="008416EE"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xml:space="preserve"> si dhe nga IOM</w:t>
      </w:r>
      <w:r w:rsidR="008336AA" w:rsidRPr="00B457F5">
        <w:rPr>
          <w:rFonts w:ascii="Garamond" w:eastAsia="MS Mincho" w:hAnsi="Garamond" w:cs="Times New Roman"/>
          <w:szCs w:val="24"/>
          <w:lang w:eastAsia="fr-FR"/>
        </w:rPr>
        <w:t>-i lidhur me</w:t>
      </w:r>
      <w:r w:rsidRPr="00B457F5">
        <w:rPr>
          <w:rFonts w:ascii="Garamond" w:eastAsia="MS Mincho" w:hAnsi="Garamond" w:cs="Times New Roman"/>
          <w:szCs w:val="24"/>
          <w:lang w:eastAsia="fr-FR"/>
        </w:rPr>
        <w:t xml:space="preserve"> shërbimet e disponueshme të riintegrimit. Të dyja ndërhyrjet janë thelbësore për sigurimin e orientimit të qetë të të kthyerve dhe përmirësimin e aftësive të tyre për akses dhe përfitim nga një sërë shërbimesh publike dhe jopublike.</w:t>
      </w:r>
    </w:p>
    <w:p w14:paraId="30BBE291" w14:textId="60295CF6" w:rsidR="00433841" w:rsidRPr="00B457F5" w:rsidRDefault="0007734A" w:rsidP="00433841">
      <w:pPr>
        <w:spacing w:before="0" w:after="0"/>
        <w:ind w:firstLine="284"/>
        <w:rPr>
          <w:rFonts w:ascii="Garamond" w:eastAsia="MS Mincho" w:hAnsi="Garamond" w:cs="Times New Roman"/>
          <w:szCs w:val="24"/>
          <w:lang w:eastAsia="fr-FR"/>
        </w:rPr>
      </w:pPr>
      <w:r w:rsidRPr="00B457F5">
        <w:rPr>
          <w:rFonts w:ascii="Garamond" w:eastAsia="MS Mincho" w:hAnsi="Garamond" w:cs="Times New Roman"/>
          <w:szCs w:val="24"/>
          <w:lang w:eastAsia="fr-FR"/>
        </w:rPr>
        <w:t>Dy masa janë krijuar në mënyrë që migrantët e kthyer të mund të kapitalizojnë aftësitë e fituara gjatë punës së tyre jashtë vendit dhe</w:t>
      </w:r>
      <w:r w:rsidR="004603C3" w:rsidRPr="00B457F5">
        <w:rPr>
          <w:rFonts w:ascii="Garamond" w:eastAsia="MS Mincho" w:hAnsi="Garamond" w:cs="Times New Roman"/>
          <w:szCs w:val="24"/>
          <w:lang w:eastAsia="fr-FR"/>
        </w:rPr>
        <w:t xml:space="preserve"> t’i </w:t>
      </w:r>
      <w:r w:rsidRPr="00B457F5">
        <w:rPr>
          <w:rFonts w:ascii="Garamond" w:eastAsia="MS Mincho" w:hAnsi="Garamond" w:cs="Times New Roman"/>
          <w:szCs w:val="24"/>
          <w:lang w:eastAsia="fr-FR"/>
        </w:rPr>
        <w:t>zbatojnë ato për të kontribuar në zhvillimin social dhe ekonomik të Shqipërisë. Bazuar në masat</w:t>
      </w:r>
      <w:r w:rsidR="008336AA" w:rsidRPr="00B457F5">
        <w:rPr>
          <w:rFonts w:ascii="Garamond" w:eastAsia="MS Mincho" w:hAnsi="Garamond" w:cs="Times New Roman"/>
          <w:szCs w:val="24"/>
          <w:lang w:eastAsia="fr-FR"/>
        </w:rPr>
        <w:t xml:space="preserve"> që </w:t>
      </w:r>
      <w:r w:rsidRPr="00B457F5">
        <w:rPr>
          <w:rFonts w:ascii="Garamond" w:eastAsia="MS Mincho" w:hAnsi="Garamond" w:cs="Times New Roman"/>
          <w:szCs w:val="24"/>
          <w:lang w:eastAsia="fr-FR"/>
        </w:rPr>
        <w:t xml:space="preserve">inkurajojnë migrimin e rregullt për punësim, dhe duke njohur një kërkesë në rritje për aftësitë dhe kualifikimet e migrantëve në tregun shqiptar të punës, </w:t>
      </w:r>
      <w:r w:rsidR="008416EE" w:rsidRPr="00B457F5">
        <w:rPr>
          <w:rFonts w:ascii="Garamond" w:eastAsia="MS Mincho" w:hAnsi="Garamond" w:cs="Times New Roman"/>
          <w:szCs w:val="24"/>
          <w:lang w:eastAsia="fr-FR"/>
        </w:rPr>
        <w:t>s</w:t>
      </w:r>
      <w:r w:rsidRPr="00B457F5">
        <w:rPr>
          <w:rFonts w:ascii="Garamond" w:eastAsia="MS Mincho" w:hAnsi="Garamond" w:cs="Times New Roman"/>
          <w:szCs w:val="24"/>
          <w:lang w:eastAsia="fr-FR"/>
        </w:rPr>
        <w:t>trategjia synon të lehtësojë transferimin dhe njohjen formale të arritjeve arsimore dhe profesionale, të fituara jashtë vendit. Vëmendje i kushtohet mësimit joformal dhe informal dhe kurseve afatshkurtra, si nëpërmjet certifikimit ashtu edhe njohjes së dokumenteve të certifikimit të lëshuara jashtë vendit. Një grup tjetër ndërhyrjesh (që do të koordinohen nga AKPA</w:t>
      </w:r>
      <w:r w:rsidR="008416EE" w:rsidRPr="00B457F5">
        <w:rPr>
          <w:rFonts w:ascii="Garamond" w:eastAsia="MS Mincho" w:hAnsi="Garamond" w:cs="Times New Roman"/>
          <w:szCs w:val="24"/>
          <w:lang w:eastAsia="fr-FR"/>
        </w:rPr>
        <w:t>-ja</w:t>
      </w:r>
      <w:r w:rsidRPr="00B457F5">
        <w:rPr>
          <w:rFonts w:ascii="Garamond" w:eastAsia="MS Mincho" w:hAnsi="Garamond" w:cs="Times New Roman"/>
          <w:szCs w:val="24"/>
          <w:lang w:eastAsia="fr-FR"/>
        </w:rPr>
        <w:t xml:space="preserve">) synon të përmirësojë aftësitë e migrantëve aktualë dhe të mundshëm në mënyrë që të rrisë punësueshmërinë e tyre. Në veçanti, </w:t>
      </w:r>
      <w:r w:rsidR="00E029F8" w:rsidRPr="00B457F5">
        <w:rPr>
          <w:rFonts w:ascii="Garamond" w:eastAsia="MS Mincho" w:hAnsi="Garamond" w:cs="Times New Roman"/>
          <w:szCs w:val="24"/>
          <w:lang w:eastAsia="fr-FR"/>
        </w:rPr>
        <w:t>vëmendje i kushtohet</w:t>
      </w:r>
      <w:r w:rsidRPr="00B457F5">
        <w:rPr>
          <w:rFonts w:ascii="Garamond" w:eastAsia="MS Mincho" w:hAnsi="Garamond" w:cs="Times New Roman"/>
          <w:szCs w:val="24"/>
          <w:lang w:eastAsia="fr-FR"/>
        </w:rPr>
        <w:t xml:space="preserve"> </w:t>
      </w:r>
      <w:r w:rsidR="00E029F8" w:rsidRPr="00B457F5">
        <w:rPr>
          <w:rFonts w:ascii="Garamond" w:eastAsia="MS Mincho" w:hAnsi="Garamond" w:cs="Times New Roman"/>
          <w:szCs w:val="24"/>
          <w:lang w:eastAsia="fr-FR"/>
        </w:rPr>
        <w:t>si</w:t>
      </w:r>
      <w:r w:rsidRPr="00B457F5">
        <w:rPr>
          <w:rFonts w:ascii="Garamond" w:eastAsia="MS Mincho" w:hAnsi="Garamond" w:cs="Times New Roman"/>
          <w:szCs w:val="24"/>
          <w:lang w:eastAsia="fr-FR"/>
        </w:rPr>
        <w:t xml:space="preserve"> aftësi</w:t>
      </w:r>
      <w:r w:rsidR="00E029F8" w:rsidRPr="00B457F5">
        <w:rPr>
          <w:rFonts w:ascii="Garamond" w:eastAsia="MS Mincho" w:hAnsi="Garamond" w:cs="Times New Roman"/>
          <w:szCs w:val="24"/>
          <w:lang w:eastAsia="fr-FR"/>
        </w:rPr>
        <w:t>ve</w:t>
      </w:r>
      <w:r w:rsidRPr="00B457F5">
        <w:rPr>
          <w:rFonts w:ascii="Garamond" w:eastAsia="MS Mincho" w:hAnsi="Garamond" w:cs="Times New Roman"/>
          <w:szCs w:val="24"/>
          <w:lang w:eastAsia="fr-FR"/>
        </w:rPr>
        <w:t xml:space="preserve"> bazë, thelbësore dhe teknike (të rëndësishme për marrjen e posteve, që kërkojnë kompetenca teknike të certifikuara)</w:t>
      </w:r>
      <w:r w:rsidR="00E029F8"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xml:space="preserve"> </w:t>
      </w:r>
      <w:r w:rsidR="00E029F8" w:rsidRPr="00B457F5">
        <w:rPr>
          <w:rFonts w:ascii="Garamond" w:eastAsia="MS Mincho" w:hAnsi="Garamond" w:cs="Times New Roman"/>
          <w:szCs w:val="24"/>
          <w:lang w:eastAsia="fr-FR"/>
        </w:rPr>
        <w:t>e</w:t>
      </w:r>
      <w:r w:rsidRPr="00B457F5">
        <w:rPr>
          <w:rFonts w:ascii="Garamond" w:eastAsia="MS Mincho" w:hAnsi="Garamond" w:cs="Times New Roman"/>
          <w:szCs w:val="24"/>
          <w:lang w:eastAsia="fr-FR"/>
        </w:rPr>
        <w:t>dhe aftësitë di</w:t>
      </w:r>
      <w:r w:rsidR="00E029F8" w:rsidRPr="00B457F5">
        <w:rPr>
          <w:rFonts w:ascii="Garamond" w:eastAsia="MS Mincho" w:hAnsi="Garamond" w:cs="Times New Roman"/>
          <w:szCs w:val="24"/>
          <w:lang w:eastAsia="fr-FR"/>
        </w:rPr>
        <w:t>gj</w:t>
      </w:r>
      <w:r w:rsidRPr="00B457F5">
        <w:rPr>
          <w:rFonts w:ascii="Garamond" w:eastAsia="MS Mincho" w:hAnsi="Garamond" w:cs="Times New Roman"/>
          <w:szCs w:val="24"/>
          <w:lang w:eastAsia="fr-FR"/>
        </w:rPr>
        <w:t xml:space="preserve">itale, jetike për zhvillimin e punëve </w:t>
      </w:r>
      <w:r w:rsidRPr="00B457F5">
        <w:rPr>
          <w:rFonts w:ascii="Garamond" w:eastAsia="MS Mincho" w:hAnsi="Garamond" w:cs="Times New Roman"/>
          <w:i/>
          <w:szCs w:val="24"/>
          <w:lang w:eastAsia="fr-FR"/>
        </w:rPr>
        <w:t>online</w:t>
      </w:r>
      <w:r w:rsidRPr="00B457F5">
        <w:rPr>
          <w:rFonts w:ascii="Garamond" w:eastAsia="MS Mincho" w:hAnsi="Garamond" w:cs="Times New Roman"/>
          <w:szCs w:val="24"/>
          <w:lang w:eastAsia="fr-FR"/>
        </w:rPr>
        <w:t xml:space="preserve"> dhe të largëta, si dhe për pjesëmarrjen në sektorin në rritje të shërbimeve. Masa tjetër synon mbrojtjen e të drejtave dhe përfitimeve të të kthyerve në fushën e sigurimeve shoqërore me anë të marrëveshjeve dypalëshe dhe partneriteteve me vendet e rezidencës së emigrantëve. Një rishikim i marrëveshjeve aktuale për njohjen e periudhave të kontributeve do të përdoret për vlerësimin e nevojës për lidhjen e marrëveshjeve të reja.</w:t>
      </w:r>
      <w:bookmarkStart w:id="54" w:name="_Toc155620734"/>
    </w:p>
    <w:p w14:paraId="7D0B9CE2" w14:textId="2DE03D6F" w:rsidR="00727323" w:rsidRPr="00B457F5" w:rsidRDefault="00727323" w:rsidP="00433841">
      <w:pPr>
        <w:spacing w:before="0" w:after="0"/>
        <w:ind w:firstLine="284"/>
        <w:rPr>
          <w:rFonts w:ascii="Garamond" w:eastAsia="MS Mincho" w:hAnsi="Garamond" w:cs="Times New Roman"/>
          <w:b/>
          <w:iCs/>
          <w:szCs w:val="24"/>
          <w:lang w:eastAsia="fr-FR"/>
        </w:rPr>
      </w:pPr>
      <w:r w:rsidRPr="00B457F5">
        <w:rPr>
          <w:rFonts w:ascii="Garamond" w:eastAsia="MS Mincho" w:hAnsi="Garamond" w:cs="Times New Roman"/>
          <w:b/>
          <w:iCs/>
          <w:szCs w:val="24"/>
          <w:lang w:eastAsia="fr-FR"/>
        </w:rPr>
        <w:t xml:space="preserve">Qëllimi i </w:t>
      </w:r>
      <w:r w:rsidR="004A6BB7" w:rsidRPr="00B457F5">
        <w:rPr>
          <w:rFonts w:ascii="Garamond" w:eastAsia="MS Mincho" w:hAnsi="Garamond" w:cs="Times New Roman"/>
          <w:b/>
          <w:iCs/>
          <w:szCs w:val="24"/>
          <w:lang w:eastAsia="fr-FR"/>
        </w:rPr>
        <w:t xml:space="preserve">politikës </w:t>
      </w:r>
      <w:r w:rsidRPr="00B457F5">
        <w:rPr>
          <w:rFonts w:ascii="Garamond" w:eastAsia="MS Mincho" w:hAnsi="Garamond" w:cs="Times New Roman"/>
          <w:b/>
          <w:iCs/>
          <w:szCs w:val="24"/>
          <w:lang w:eastAsia="fr-FR"/>
        </w:rPr>
        <w:t>III: Promovimi i migracionit të rregullt, mbrojtja e të drejtave të migrantëve dhe integrimi i tyre në shoqërinë shqiptare</w:t>
      </w:r>
      <w:bookmarkEnd w:id="54"/>
      <w:r w:rsidR="008416EE" w:rsidRPr="00B457F5">
        <w:rPr>
          <w:rFonts w:ascii="Garamond" w:eastAsia="MS Mincho" w:hAnsi="Garamond" w:cs="Times New Roman"/>
          <w:b/>
          <w:iCs/>
          <w:szCs w:val="24"/>
          <w:lang w:eastAsia="fr-FR"/>
        </w:rPr>
        <w:t>.</w:t>
      </w:r>
    </w:p>
    <w:p w14:paraId="418E8B6E" w14:textId="4B81D31E" w:rsidR="00727323" w:rsidRPr="00B457F5" w:rsidRDefault="00BE273A" w:rsidP="002E693B">
      <w:pPr>
        <w:spacing w:before="0" w:after="0"/>
        <w:ind w:firstLine="284"/>
        <w:rPr>
          <w:rFonts w:ascii="Garamond" w:eastAsia="MS Mincho" w:hAnsi="Garamond" w:cs="Times New Roman"/>
          <w:szCs w:val="24"/>
          <w:lang w:eastAsia="fr-FR"/>
        </w:rPr>
      </w:pPr>
      <w:r w:rsidRPr="00B457F5">
        <w:rPr>
          <w:rFonts w:ascii="Garamond" w:eastAsia="MS Mincho" w:hAnsi="Garamond" w:cs="Times New Roman"/>
          <w:szCs w:val="24"/>
          <w:lang w:eastAsia="fr-FR"/>
        </w:rPr>
        <w:t>N</w:t>
      </w:r>
      <w:r w:rsidR="001957C5" w:rsidRPr="00B457F5">
        <w:rPr>
          <w:rFonts w:ascii="Garamond" w:eastAsia="MS Mincho" w:hAnsi="Garamond" w:cs="Times New Roman"/>
          <w:szCs w:val="24"/>
          <w:lang w:eastAsia="fr-FR"/>
        </w:rPr>
        <w:t>ë</w:t>
      </w:r>
      <w:r w:rsidRPr="00B457F5">
        <w:rPr>
          <w:rFonts w:ascii="Garamond" w:eastAsia="MS Mincho" w:hAnsi="Garamond" w:cs="Times New Roman"/>
          <w:szCs w:val="24"/>
          <w:lang w:eastAsia="fr-FR"/>
        </w:rPr>
        <w:t>n termat e</w:t>
      </w:r>
      <w:r w:rsidR="00727323" w:rsidRPr="00B457F5">
        <w:rPr>
          <w:rFonts w:ascii="Garamond" w:eastAsia="MS Mincho" w:hAnsi="Garamond" w:cs="Times New Roman"/>
          <w:szCs w:val="24"/>
          <w:lang w:eastAsia="fr-FR"/>
        </w:rPr>
        <w:t xml:space="preserve"> liberalizimit të vizave me BE-në, nevojiten përpjekje të vazhdueshme që Shqipëria të p</w:t>
      </w:r>
      <w:r w:rsidR="001957C5" w:rsidRPr="00B457F5">
        <w:rPr>
          <w:rFonts w:ascii="Garamond" w:eastAsia="MS Mincho" w:hAnsi="Garamond" w:cs="Times New Roman"/>
          <w:szCs w:val="24"/>
          <w:lang w:eastAsia="fr-FR"/>
        </w:rPr>
        <w:t>ërmbushë kërkesat për heqjen e</w:t>
      </w:r>
      <w:r w:rsidR="00727323" w:rsidRPr="00B457F5">
        <w:rPr>
          <w:rFonts w:ascii="Garamond" w:eastAsia="MS Mincho" w:hAnsi="Garamond" w:cs="Times New Roman"/>
          <w:szCs w:val="24"/>
          <w:lang w:eastAsia="fr-FR"/>
        </w:rPr>
        <w:t xml:space="preserve"> vizave</w:t>
      </w:r>
      <w:r w:rsidR="001957C5" w:rsidRPr="00B457F5">
        <w:rPr>
          <w:rFonts w:ascii="Garamond" w:eastAsia="MS Mincho" w:hAnsi="Garamond" w:cs="Times New Roman"/>
          <w:szCs w:val="24"/>
          <w:lang w:eastAsia="fr-FR"/>
        </w:rPr>
        <w:t xml:space="preserve">. </w:t>
      </w:r>
      <w:r w:rsidR="00727323" w:rsidRPr="00B457F5">
        <w:rPr>
          <w:rFonts w:ascii="Garamond" w:eastAsia="MS Mincho" w:hAnsi="Garamond" w:cs="Times New Roman"/>
          <w:szCs w:val="24"/>
          <w:lang w:eastAsia="fr-FR"/>
        </w:rPr>
        <w:t>Qeveria e Shqipërisë është e përkushtuar ndaj politikës afatgjatë të promovimit të migracionit të rregullt</w:t>
      </w:r>
      <w:r w:rsidR="001957C5" w:rsidRPr="00B457F5">
        <w:rPr>
          <w:rFonts w:ascii="Garamond" w:eastAsia="MS Mincho" w:hAnsi="Garamond" w:cs="Times New Roman"/>
          <w:szCs w:val="24"/>
          <w:lang w:eastAsia="fr-FR"/>
        </w:rPr>
        <w:t>,</w:t>
      </w:r>
      <w:r w:rsidR="00727323" w:rsidRPr="00B457F5">
        <w:rPr>
          <w:rFonts w:ascii="Garamond" w:eastAsia="MS Mincho" w:hAnsi="Garamond" w:cs="Times New Roman"/>
          <w:szCs w:val="24"/>
          <w:lang w:eastAsia="fr-FR"/>
        </w:rPr>
        <w:t xml:space="preserve"> si i dobishëm për migrantët, si dhe për vendet e tyre të origjinës dhe destinacionit. Sipas raportit më të fundit të monitorimit të pezullimit të vizave të Komisionit Evropian, në vitin 2021, u vu re ulje e mëtejshme e lëvizjeve të parregullta pasi shtetet anëtare të BE</w:t>
      </w:r>
      <w:r w:rsidR="008416EE" w:rsidRPr="00B457F5">
        <w:rPr>
          <w:rFonts w:ascii="Garamond" w:eastAsia="MS Mincho" w:hAnsi="Garamond" w:cs="Times New Roman"/>
          <w:szCs w:val="24"/>
          <w:lang w:eastAsia="fr-FR"/>
        </w:rPr>
        <w:t>-së</w:t>
      </w:r>
      <w:r w:rsidR="00727323" w:rsidRPr="00B457F5">
        <w:rPr>
          <w:rFonts w:ascii="Garamond" w:eastAsia="MS Mincho" w:hAnsi="Garamond" w:cs="Times New Roman"/>
          <w:szCs w:val="24"/>
          <w:lang w:eastAsia="fr-FR"/>
        </w:rPr>
        <w:t xml:space="preserve"> raportuan 19% më pak kalime të parregullta kufitare dhe u vu re një rënie prej 8% në numrin e kthimeve të shtetasve shqiptarë. Në të njëjtën kohë, mbetet shumë punë për</w:t>
      </w:r>
      <w:r w:rsidR="00A313AE" w:rsidRPr="00B457F5">
        <w:rPr>
          <w:rFonts w:ascii="Garamond" w:eastAsia="MS Mincho" w:hAnsi="Garamond" w:cs="Times New Roman"/>
          <w:szCs w:val="24"/>
          <w:lang w:eastAsia="fr-FR"/>
        </w:rPr>
        <w:t xml:space="preserve"> t’u </w:t>
      </w:r>
      <w:r w:rsidR="00727323" w:rsidRPr="00B457F5">
        <w:rPr>
          <w:rFonts w:ascii="Garamond" w:eastAsia="MS Mincho" w:hAnsi="Garamond" w:cs="Times New Roman"/>
          <w:szCs w:val="24"/>
          <w:lang w:eastAsia="fr-FR"/>
        </w:rPr>
        <w:t>bërë pasi në vitin 2021 u raportuan rritje të ndjeshme të numrit të shtetasve shqiptarë që qëndrojnë në mënyrë të parregullt në BE (21% më shumë se në 2020) dhe në refuzimet e hyrjes (një rritje prej 39%) në shtetet anëtare të BE-së.</w:t>
      </w:r>
    </w:p>
    <w:p w14:paraId="3732AE38" w14:textId="2246D761" w:rsidR="00727323" w:rsidRPr="00B457F5" w:rsidRDefault="00727323" w:rsidP="002E693B">
      <w:pPr>
        <w:spacing w:before="0" w:after="0"/>
        <w:ind w:firstLine="284"/>
        <w:rPr>
          <w:rFonts w:ascii="Garamond" w:eastAsia="MS Mincho" w:hAnsi="Garamond" w:cs="Times New Roman"/>
          <w:szCs w:val="24"/>
          <w:lang w:eastAsia="fr-FR"/>
        </w:rPr>
      </w:pPr>
      <w:r w:rsidRPr="00B457F5">
        <w:rPr>
          <w:rFonts w:ascii="Garamond" w:eastAsia="MS Mincho" w:hAnsi="Garamond" w:cs="Times New Roman"/>
          <w:szCs w:val="24"/>
          <w:lang w:eastAsia="fr-FR"/>
        </w:rPr>
        <w:t xml:space="preserve">Zvogëlimi i shkallës së migracionit të parregullt tranzit dhe lufta kundër trafikimit dhe kontrabandës së migrantëve mbetet një prioritet, dhe Komisioni i BE-së pranon përparimin në këtë </w:t>
      </w:r>
      <w:r w:rsidRPr="00B457F5">
        <w:rPr>
          <w:rFonts w:ascii="Garamond" w:eastAsia="MS Mincho" w:hAnsi="Garamond" w:cs="Times New Roman"/>
          <w:szCs w:val="24"/>
          <w:lang w:eastAsia="fr-FR"/>
        </w:rPr>
        <w:lastRenderedPageBreak/>
        <w:t xml:space="preserve">fushë. Departamenti për Kufijtë dhe Migracionin raportoi për vitin 2022 një rënie me 17% të numrit të kapjes për herë të parë të migrantëve të parregullt në Shqipëri (8,335 krahasuar me 10,062 në 2021). Vlen të theksohet se Shqipëria zbaton rregullisht procedurat për trajtimin e të miturve të pashoqëruar. Konkretisht, udhëzimi i </w:t>
      </w:r>
      <w:r w:rsidR="004603C3" w:rsidRPr="00B457F5">
        <w:rPr>
          <w:rFonts w:ascii="Garamond" w:eastAsia="MS Mincho" w:hAnsi="Garamond" w:cs="Times New Roman"/>
          <w:szCs w:val="24"/>
          <w:lang w:eastAsia="fr-FR"/>
        </w:rPr>
        <w:t>m</w:t>
      </w:r>
      <w:r w:rsidRPr="00B457F5">
        <w:rPr>
          <w:rFonts w:ascii="Garamond" w:eastAsia="MS Mincho" w:hAnsi="Garamond" w:cs="Times New Roman"/>
          <w:szCs w:val="24"/>
          <w:lang w:eastAsia="fr-FR"/>
        </w:rPr>
        <w:t>inistrit të Brendshëm nr. 640, datë 20.12.2019</w:t>
      </w:r>
      <w:r w:rsidR="004603C3"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xml:space="preserve"> </w:t>
      </w:r>
      <w:r w:rsidR="00A313AE"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Për përcaktimin e rregullave të veçanta për kalimin në kufi të shtetasve të mitur shqiptarë</w:t>
      </w:r>
      <w:r w:rsidR="00A313AE"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zbatohet me qëllim minimizimin dhe zbulimin e rasteve të braktisjes dhe abuzimit nga trafikantët dhe përfituesit e tjerë. Gjithashtu është përmirësuar mekanizimi i kthimit të fëmijëve shqiptarë dhe të huaj të pashoqëruar, duke forcuar bashkëpunimin ndërinstitucional për të qenë sa më i koordinua</w:t>
      </w:r>
      <w:r w:rsidR="00D3398A" w:rsidRPr="00B457F5">
        <w:rPr>
          <w:rFonts w:ascii="Garamond" w:eastAsia="MS Mincho" w:hAnsi="Garamond" w:cs="Times New Roman"/>
          <w:szCs w:val="24"/>
          <w:lang w:eastAsia="fr-FR"/>
        </w:rPr>
        <w:t>r ndërmjet Ministrisë së Shëndetësisë dhe Mbrojtjes Sociale</w:t>
      </w:r>
      <w:r w:rsidRPr="00B457F5">
        <w:rPr>
          <w:rFonts w:ascii="Garamond" w:eastAsia="MS Mincho" w:hAnsi="Garamond" w:cs="Times New Roman"/>
          <w:szCs w:val="24"/>
          <w:lang w:eastAsia="fr-FR"/>
        </w:rPr>
        <w:t xml:space="preserve"> dhe Policisë së Shtetit.</w:t>
      </w:r>
    </w:p>
    <w:p w14:paraId="2A1DD952" w14:textId="7F1ED6D6" w:rsidR="00727323" w:rsidRPr="00B457F5" w:rsidRDefault="00727323" w:rsidP="002E693B">
      <w:pPr>
        <w:spacing w:before="0" w:after="0"/>
        <w:ind w:firstLine="284"/>
        <w:rPr>
          <w:rFonts w:ascii="Garamond" w:eastAsia="MS Mincho" w:hAnsi="Garamond" w:cs="Times New Roman"/>
          <w:szCs w:val="24"/>
          <w:lang w:eastAsia="fr-FR"/>
        </w:rPr>
      </w:pPr>
      <w:r w:rsidRPr="00B457F5">
        <w:rPr>
          <w:rFonts w:ascii="Garamond" w:eastAsia="MS Mincho" w:hAnsi="Garamond" w:cs="Times New Roman"/>
          <w:szCs w:val="24"/>
          <w:lang w:eastAsia="fr-FR"/>
        </w:rPr>
        <w:t>Analiza e trendeve të migracionit zbulon zhvendosjen graduale të Shqipërisë nga një vend i origjinës së migrantëve në atë të tranzitit dhe destinacionit. Si pjesë e procesit të anëtarësimit në BE dhe përafrimi i politikës së saj të migracionit me kuadrin e GCM</w:t>
      </w:r>
      <w:r w:rsidR="008416EE" w:rsidRPr="00B457F5">
        <w:rPr>
          <w:rFonts w:ascii="Garamond" w:eastAsia="MS Mincho" w:hAnsi="Garamond" w:cs="Times New Roman"/>
          <w:szCs w:val="24"/>
          <w:lang w:eastAsia="fr-FR"/>
        </w:rPr>
        <w:t>-së</w:t>
      </w:r>
      <w:r w:rsidRPr="00B457F5">
        <w:rPr>
          <w:rFonts w:ascii="Garamond" w:eastAsia="MS Mincho" w:hAnsi="Garamond" w:cs="Times New Roman"/>
          <w:szCs w:val="24"/>
          <w:lang w:eastAsia="fr-FR"/>
        </w:rPr>
        <w:t>, Shqipëria është e angazhuar të garantojë të drejta të barabarta për të huajt që banojnë në territorin e saj. Parimi i mosdiskriminimit duhet të mbahet përmes një kombinimi të ndërhyrjeve (monitorimi, dispozitat e informacionit, shkëmbimi i të dhënave). Përpjekje shtesë janë parashikuar për të plotësuar nevojat specifike të fëmijëve, të rinjve dhe kategorive të tjera të migrantëve në situata të cenueshme.</w:t>
      </w:r>
    </w:p>
    <w:p w14:paraId="2CA7B1FE" w14:textId="06372F23" w:rsidR="00727323" w:rsidRPr="00B457F5" w:rsidRDefault="00727323" w:rsidP="002E693B">
      <w:pPr>
        <w:spacing w:before="0" w:after="0"/>
        <w:ind w:firstLine="284"/>
        <w:rPr>
          <w:rFonts w:ascii="Garamond" w:eastAsia="MS Mincho" w:hAnsi="Garamond" w:cs="Times New Roman"/>
          <w:i/>
          <w:iCs/>
          <w:szCs w:val="24"/>
          <w:lang w:eastAsia="fr-FR"/>
        </w:rPr>
      </w:pPr>
      <w:r w:rsidRPr="00B457F5">
        <w:rPr>
          <w:rFonts w:ascii="Garamond" w:eastAsia="MS Mincho" w:hAnsi="Garamond" w:cs="Times New Roman"/>
          <w:i/>
          <w:iCs/>
          <w:szCs w:val="24"/>
          <w:lang w:eastAsia="fr-FR"/>
        </w:rPr>
        <w:t xml:space="preserve">Objektivat </w:t>
      </w:r>
      <w:r w:rsidR="004603C3" w:rsidRPr="00B457F5">
        <w:rPr>
          <w:rFonts w:ascii="Garamond" w:eastAsia="MS Mincho" w:hAnsi="Garamond" w:cs="Times New Roman"/>
          <w:i/>
          <w:iCs/>
          <w:szCs w:val="24"/>
          <w:lang w:eastAsia="fr-FR"/>
        </w:rPr>
        <w:t>s</w:t>
      </w:r>
      <w:r w:rsidRPr="00B457F5">
        <w:rPr>
          <w:rFonts w:ascii="Garamond" w:eastAsia="MS Mincho" w:hAnsi="Garamond" w:cs="Times New Roman"/>
          <w:i/>
          <w:iCs/>
          <w:szCs w:val="24"/>
          <w:lang w:eastAsia="fr-FR"/>
        </w:rPr>
        <w:t>pecifik</w:t>
      </w:r>
      <w:r w:rsidR="004603C3" w:rsidRPr="00B457F5">
        <w:rPr>
          <w:rFonts w:ascii="Garamond" w:eastAsia="MS Mincho" w:hAnsi="Garamond" w:cs="Times New Roman"/>
          <w:i/>
          <w:iCs/>
          <w:szCs w:val="24"/>
          <w:lang w:eastAsia="fr-FR"/>
        </w:rPr>
        <w:t>ë</w:t>
      </w:r>
    </w:p>
    <w:p w14:paraId="7810604A" w14:textId="15E03BD9" w:rsidR="00727323" w:rsidRPr="00B457F5" w:rsidRDefault="00727323" w:rsidP="002E693B">
      <w:pPr>
        <w:spacing w:before="0" w:after="0"/>
        <w:ind w:firstLine="284"/>
        <w:rPr>
          <w:rFonts w:ascii="Garamond" w:eastAsia="MS Mincho" w:hAnsi="Garamond" w:cs="Times New Roman"/>
          <w:szCs w:val="24"/>
          <w:lang w:eastAsia="fr-FR"/>
        </w:rPr>
      </w:pPr>
      <w:r w:rsidRPr="00B457F5">
        <w:rPr>
          <w:rFonts w:ascii="Garamond" w:eastAsia="MS Mincho" w:hAnsi="Garamond" w:cs="Times New Roman"/>
          <w:szCs w:val="24"/>
          <w:lang w:eastAsia="fr-FR"/>
        </w:rPr>
        <w:t xml:space="preserve">Qëllimi i tretë </w:t>
      </w:r>
      <w:r w:rsidR="004603C3" w:rsidRPr="00B457F5">
        <w:rPr>
          <w:rFonts w:ascii="Garamond" w:eastAsia="MS Mincho" w:hAnsi="Garamond" w:cs="Times New Roman"/>
          <w:bCs/>
          <w:i/>
          <w:szCs w:val="24"/>
          <w:lang w:eastAsia="fr-FR"/>
        </w:rPr>
        <w:t>(promovimi i migracionit të rregullt, mbrojtja e të drejtave të migrantëve dhe integrimi i tyre në shoqërinë shqiptare)</w:t>
      </w:r>
      <w:r w:rsidR="004603C3" w:rsidRPr="00B457F5">
        <w:rPr>
          <w:rFonts w:ascii="Garamond" w:eastAsia="MS Mincho" w:hAnsi="Garamond" w:cs="Times New Roman"/>
          <w:b/>
          <w:bCs/>
          <w:szCs w:val="24"/>
          <w:lang w:eastAsia="fr-FR"/>
        </w:rPr>
        <w:t xml:space="preserve"> </w:t>
      </w:r>
      <w:r w:rsidRPr="00B457F5">
        <w:rPr>
          <w:rFonts w:ascii="Garamond" w:eastAsia="MS Mincho" w:hAnsi="Garamond" w:cs="Times New Roman"/>
          <w:szCs w:val="24"/>
          <w:lang w:eastAsia="fr-FR"/>
        </w:rPr>
        <w:t>parashikohet të realizohet nëpërmjet ndjekjes së një objektiv</w:t>
      </w:r>
      <w:r w:rsidR="008416EE" w:rsidRPr="00B457F5">
        <w:rPr>
          <w:rFonts w:ascii="Garamond" w:eastAsia="MS Mincho" w:hAnsi="Garamond" w:cs="Times New Roman"/>
          <w:szCs w:val="24"/>
          <w:lang w:eastAsia="fr-FR"/>
        </w:rPr>
        <w:t>i</w:t>
      </w:r>
      <w:r w:rsidRPr="00B457F5">
        <w:rPr>
          <w:rFonts w:ascii="Garamond" w:eastAsia="MS Mincho" w:hAnsi="Garamond" w:cs="Times New Roman"/>
          <w:szCs w:val="24"/>
          <w:lang w:eastAsia="fr-FR"/>
        </w:rPr>
        <w:t xml:space="preserve"> specifik. A</w:t>
      </w:r>
      <w:r w:rsidR="008416EE" w:rsidRPr="00B457F5">
        <w:rPr>
          <w:rFonts w:ascii="Garamond" w:eastAsia="MS Mincho" w:hAnsi="Garamond" w:cs="Times New Roman"/>
          <w:szCs w:val="24"/>
          <w:lang w:eastAsia="fr-FR"/>
        </w:rPr>
        <w:t>i</w:t>
      </w:r>
      <w:r w:rsidRPr="00B457F5">
        <w:rPr>
          <w:rFonts w:ascii="Garamond" w:eastAsia="MS Mincho" w:hAnsi="Garamond" w:cs="Times New Roman"/>
          <w:szCs w:val="24"/>
          <w:lang w:eastAsia="fr-FR"/>
        </w:rPr>
        <w:t xml:space="preserve"> është plotësues në natyrë, duke hedhur themelet për një politikë gjithëpërfshirëse afatgjatë të integrimit të migrantëve, e cila është me rëndësi thelbësore për përmbushjen nga Shqipëria të një sërë objektivash të GCM-së (në veçanti objektivat 3 7, 15, 16 dhe 17).</w:t>
      </w:r>
    </w:p>
    <w:p w14:paraId="016BDEF3" w14:textId="30A58CAF" w:rsidR="00727323" w:rsidRPr="00B457F5" w:rsidRDefault="00727323" w:rsidP="002E693B">
      <w:pPr>
        <w:spacing w:before="0" w:after="0"/>
        <w:ind w:firstLine="284"/>
        <w:rPr>
          <w:rFonts w:ascii="Garamond" w:eastAsia="MS Mincho" w:hAnsi="Garamond" w:cs="Times New Roman"/>
          <w:i/>
          <w:szCs w:val="24"/>
          <w:lang w:eastAsia="fr-FR"/>
        </w:rPr>
      </w:pPr>
      <w:r w:rsidRPr="00B457F5">
        <w:rPr>
          <w:rFonts w:ascii="Garamond" w:eastAsia="MS Mincho" w:hAnsi="Garamond" w:cs="Times New Roman"/>
          <w:i/>
          <w:szCs w:val="24"/>
          <w:lang w:eastAsia="fr-FR"/>
        </w:rPr>
        <w:t>Fig. 4</w:t>
      </w:r>
      <w:r w:rsidR="004603C3" w:rsidRPr="00B457F5">
        <w:rPr>
          <w:rFonts w:ascii="Garamond" w:eastAsia="MS Mincho" w:hAnsi="Garamond" w:cs="Times New Roman"/>
          <w:i/>
          <w:szCs w:val="24"/>
          <w:lang w:eastAsia="fr-FR"/>
        </w:rPr>
        <w:t>:</w:t>
      </w:r>
      <w:r w:rsidRPr="00B457F5">
        <w:rPr>
          <w:rFonts w:ascii="Garamond" w:eastAsia="MS Mincho" w:hAnsi="Garamond" w:cs="Times New Roman"/>
          <w:i/>
          <w:szCs w:val="24"/>
          <w:lang w:eastAsia="fr-FR"/>
        </w:rPr>
        <w:t xml:space="preserve"> Qëllimi i </w:t>
      </w:r>
      <w:r w:rsidR="004603C3" w:rsidRPr="00B457F5">
        <w:rPr>
          <w:rFonts w:ascii="Garamond" w:eastAsia="MS Mincho" w:hAnsi="Garamond" w:cs="Times New Roman"/>
          <w:i/>
          <w:szCs w:val="24"/>
          <w:lang w:eastAsia="fr-FR"/>
        </w:rPr>
        <w:t>p</w:t>
      </w:r>
      <w:r w:rsidRPr="00B457F5">
        <w:rPr>
          <w:rFonts w:ascii="Garamond" w:eastAsia="MS Mincho" w:hAnsi="Garamond" w:cs="Times New Roman"/>
          <w:i/>
          <w:szCs w:val="24"/>
          <w:lang w:eastAsia="fr-FR"/>
        </w:rPr>
        <w:t>olitikës III</w:t>
      </w:r>
      <w:r w:rsidR="004603C3" w:rsidRPr="00B457F5">
        <w:rPr>
          <w:rFonts w:ascii="Garamond" w:eastAsia="MS Mincho" w:hAnsi="Garamond" w:cs="Times New Roman"/>
          <w:i/>
          <w:szCs w:val="24"/>
          <w:lang w:eastAsia="fr-FR"/>
        </w:rPr>
        <w:t>.</w:t>
      </w:r>
      <w:r w:rsidRPr="00B457F5">
        <w:rPr>
          <w:rFonts w:ascii="Garamond" w:eastAsia="MS Mincho" w:hAnsi="Garamond" w:cs="Times New Roman"/>
          <w:i/>
          <w:szCs w:val="24"/>
          <w:lang w:eastAsia="fr-FR"/>
        </w:rPr>
        <w:t xml:space="preserve"> Objektivat </w:t>
      </w:r>
      <w:r w:rsidR="00AF4731" w:rsidRPr="00B457F5">
        <w:rPr>
          <w:rFonts w:ascii="Garamond" w:eastAsia="MS Mincho" w:hAnsi="Garamond" w:cs="Times New Roman"/>
          <w:i/>
          <w:szCs w:val="24"/>
          <w:lang w:eastAsia="fr-FR"/>
        </w:rPr>
        <w:t>s</w:t>
      </w:r>
      <w:r w:rsidRPr="00B457F5">
        <w:rPr>
          <w:rFonts w:ascii="Garamond" w:eastAsia="MS Mincho" w:hAnsi="Garamond" w:cs="Times New Roman"/>
          <w:i/>
          <w:szCs w:val="24"/>
          <w:lang w:eastAsia="fr-FR"/>
        </w:rPr>
        <w:t>pecifik</w:t>
      </w:r>
      <w:r w:rsidR="004603C3" w:rsidRPr="00B457F5">
        <w:rPr>
          <w:rFonts w:ascii="Garamond" w:eastAsia="MS Mincho" w:hAnsi="Garamond" w:cs="Times New Roman"/>
          <w:i/>
          <w:szCs w:val="24"/>
          <w:lang w:eastAsia="fr-FR"/>
        </w:rPr>
        <w:t>ë</w:t>
      </w:r>
    </w:p>
    <w:p w14:paraId="2FC79279" w14:textId="77777777" w:rsidR="00433841" w:rsidRPr="00B457F5" w:rsidRDefault="00433841" w:rsidP="002E693B">
      <w:pPr>
        <w:spacing w:before="0" w:after="0"/>
        <w:ind w:firstLine="284"/>
        <w:rPr>
          <w:rFonts w:ascii="Garamond" w:eastAsia="MS Mincho" w:hAnsi="Garamond" w:cs="Times New Roman"/>
          <w:szCs w:val="24"/>
          <w:lang w:eastAsia="fr-FR"/>
        </w:rPr>
      </w:pPr>
    </w:p>
    <w:p w14:paraId="53152530" w14:textId="1465A63D" w:rsidR="005C5C68" w:rsidRPr="00B457F5" w:rsidRDefault="005C5C68" w:rsidP="002E693B">
      <w:pPr>
        <w:spacing w:before="0" w:after="0"/>
        <w:ind w:firstLine="284"/>
        <w:rPr>
          <w:rFonts w:ascii="Garamond" w:eastAsia="MS Mincho" w:hAnsi="Garamond" w:cs="Times New Roman"/>
          <w:szCs w:val="24"/>
          <w:lang w:eastAsia="fr-FR"/>
        </w:rPr>
      </w:pPr>
      <w:r w:rsidRPr="00B457F5">
        <w:rPr>
          <w:rFonts w:ascii="Garamond" w:eastAsia="MS Mincho" w:hAnsi="Garamond" w:cs="Times New Roman"/>
          <w:b/>
          <w:noProof/>
          <w:szCs w:val="24"/>
        </w:rPr>
        <w:drawing>
          <wp:inline distT="0" distB="0" distL="0" distR="0" wp14:anchorId="1E2A04F4" wp14:editId="6E7D96B2">
            <wp:extent cx="4686300" cy="567266"/>
            <wp:effectExtent l="0" t="0" r="0" b="23495"/>
            <wp:docPr id="4" name="Diagram 4"/>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2254D045" w14:textId="77777777" w:rsidR="00727323" w:rsidRPr="00B457F5" w:rsidRDefault="00727323" w:rsidP="002E693B">
      <w:pPr>
        <w:spacing w:before="0" w:after="0"/>
        <w:ind w:firstLine="284"/>
        <w:rPr>
          <w:rFonts w:ascii="Garamond" w:eastAsia="MS Mincho" w:hAnsi="Garamond" w:cs="Times New Roman"/>
          <w:szCs w:val="24"/>
          <w:lang w:eastAsia="fr-FR"/>
        </w:rPr>
      </w:pPr>
    </w:p>
    <w:p w14:paraId="47586461" w14:textId="7EAF98DD" w:rsidR="00727323" w:rsidRPr="00B457F5" w:rsidRDefault="00727323" w:rsidP="002E693B">
      <w:pPr>
        <w:spacing w:before="0" w:after="0"/>
        <w:ind w:firstLine="284"/>
        <w:rPr>
          <w:rFonts w:ascii="Garamond" w:eastAsia="MS Mincho" w:hAnsi="Garamond" w:cs="Times New Roman"/>
          <w:i/>
          <w:szCs w:val="24"/>
          <w:lang w:eastAsia="fr-FR"/>
        </w:rPr>
      </w:pPr>
      <w:r w:rsidRPr="00B457F5">
        <w:rPr>
          <w:rFonts w:ascii="Garamond" w:eastAsia="MS Mincho" w:hAnsi="Garamond" w:cs="Times New Roman"/>
          <w:i/>
          <w:szCs w:val="24"/>
          <w:lang w:eastAsia="fr-FR"/>
        </w:rPr>
        <w:t xml:space="preserve"> Tabela </w:t>
      </w:r>
      <w:r w:rsidR="007207B6" w:rsidRPr="00B457F5">
        <w:rPr>
          <w:rFonts w:ascii="Garamond" w:eastAsia="MS Mincho" w:hAnsi="Garamond" w:cs="Times New Roman"/>
          <w:i/>
          <w:szCs w:val="24"/>
          <w:lang w:eastAsia="fr-FR"/>
        </w:rPr>
        <w:t>7</w:t>
      </w:r>
      <w:r w:rsidRPr="00B457F5">
        <w:rPr>
          <w:rFonts w:ascii="Garamond" w:eastAsia="MS Mincho" w:hAnsi="Garamond" w:cs="Times New Roman"/>
          <w:i/>
          <w:szCs w:val="24"/>
          <w:lang w:eastAsia="fr-FR"/>
        </w:rPr>
        <w:t xml:space="preserve">. Përafrimi i </w:t>
      </w:r>
      <w:r w:rsidR="00B95279" w:rsidRPr="00B457F5">
        <w:rPr>
          <w:rFonts w:ascii="Garamond" w:eastAsia="MS Mincho" w:hAnsi="Garamond" w:cs="Times New Roman"/>
          <w:i/>
          <w:szCs w:val="24"/>
          <w:lang w:eastAsia="fr-FR"/>
        </w:rPr>
        <w:t>p</w:t>
      </w:r>
      <w:r w:rsidRPr="00B457F5">
        <w:rPr>
          <w:rFonts w:ascii="Garamond" w:eastAsia="MS Mincho" w:hAnsi="Garamond" w:cs="Times New Roman"/>
          <w:i/>
          <w:szCs w:val="24"/>
          <w:lang w:eastAsia="fr-FR"/>
        </w:rPr>
        <w:t>olitikës III me GCM-në</w:t>
      </w:r>
    </w:p>
    <w:p w14:paraId="3E028BFC" w14:textId="126BFBA4" w:rsidR="005C5C68" w:rsidRPr="00B457F5" w:rsidRDefault="005C5C68" w:rsidP="002E693B">
      <w:pPr>
        <w:spacing w:before="0" w:after="0"/>
        <w:ind w:firstLine="284"/>
        <w:rPr>
          <w:rFonts w:ascii="Garamond" w:eastAsia="MS Mincho" w:hAnsi="Garamond" w:cs="Times New Roman"/>
          <w:szCs w:val="24"/>
          <w:lang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6"/>
        <w:gridCol w:w="4903"/>
      </w:tblGrid>
      <w:tr w:rsidR="005C5C68" w:rsidRPr="00B457F5" w14:paraId="16155E87" w14:textId="77777777" w:rsidTr="008416EE">
        <w:tc>
          <w:tcPr>
            <w:tcW w:w="0" w:type="auto"/>
            <w:shd w:val="clear" w:color="auto" w:fill="auto"/>
            <w:vAlign w:val="center"/>
          </w:tcPr>
          <w:p w14:paraId="175F0518" w14:textId="69D89238" w:rsidR="005C5C68" w:rsidRPr="00B457F5" w:rsidRDefault="005C5C68" w:rsidP="00AF4731">
            <w:pPr>
              <w:spacing w:before="0" w:after="0"/>
              <w:jc w:val="center"/>
              <w:rPr>
                <w:rFonts w:ascii="Garamond" w:eastAsia="MS Mincho" w:hAnsi="Garamond"/>
                <w:b/>
                <w:bCs/>
                <w:sz w:val="14"/>
                <w:szCs w:val="10"/>
              </w:rPr>
            </w:pPr>
            <w:r w:rsidRPr="00B457F5">
              <w:rPr>
                <w:rFonts w:ascii="Garamond" w:eastAsia="MS Mincho" w:hAnsi="Garamond"/>
                <w:b/>
                <w:bCs/>
                <w:sz w:val="14"/>
                <w:szCs w:val="10"/>
              </w:rPr>
              <w:t xml:space="preserve">Objektivat </w:t>
            </w:r>
            <w:r w:rsidR="004603C3" w:rsidRPr="00B457F5">
              <w:rPr>
                <w:rFonts w:ascii="Garamond" w:eastAsia="MS Mincho" w:hAnsi="Garamond"/>
                <w:b/>
                <w:bCs/>
                <w:sz w:val="14"/>
                <w:szCs w:val="10"/>
              </w:rPr>
              <w:t xml:space="preserve">specifikë të politikës </w:t>
            </w:r>
            <w:r w:rsidRPr="00B457F5">
              <w:rPr>
                <w:rFonts w:ascii="Garamond" w:eastAsia="MS Mincho" w:hAnsi="Garamond"/>
                <w:b/>
                <w:bCs/>
                <w:sz w:val="14"/>
                <w:szCs w:val="10"/>
              </w:rPr>
              <w:t>III</w:t>
            </w:r>
          </w:p>
        </w:tc>
        <w:tc>
          <w:tcPr>
            <w:tcW w:w="0" w:type="auto"/>
            <w:shd w:val="clear" w:color="auto" w:fill="auto"/>
            <w:vAlign w:val="center"/>
          </w:tcPr>
          <w:p w14:paraId="335319E6" w14:textId="5A12DCD4" w:rsidR="005C5C68" w:rsidRPr="00B457F5" w:rsidRDefault="005C5C68" w:rsidP="00AF4731">
            <w:pPr>
              <w:spacing w:before="0" w:after="0"/>
              <w:jc w:val="center"/>
              <w:rPr>
                <w:rFonts w:ascii="Garamond" w:eastAsia="MS Mincho" w:hAnsi="Garamond"/>
                <w:b/>
                <w:bCs/>
                <w:sz w:val="14"/>
                <w:szCs w:val="10"/>
              </w:rPr>
            </w:pPr>
            <w:r w:rsidRPr="00B457F5">
              <w:rPr>
                <w:rFonts w:ascii="Garamond" w:eastAsia="MS Mincho" w:hAnsi="Garamond"/>
                <w:b/>
                <w:bCs/>
                <w:sz w:val="14"/>
                <w:szCs w:val="10"/>
              </w:rPr>
              <w:t xml:space="preserve">Objektivat </w:t>
            </w:r>
            <w:r w:rsidR="004603C3" w:rsidRPr="00B457F5">
              <w:rPr>
                <w:rFonts w:ascii="Garamond" w:eastAsia="MS Mincho" w:hAnsi="Garamond"/>
                <w:b/>
                <w:bCs/>
                <w:sz w:val="14"/>
                <w:szCs w:val="10"/>
              </w:rPr>
              <w:t>p</w:t>
            </w:r>
            <w:r w:rsidRPr="00B457F5">
              <w:rPr>
                <w:rFonts w:ascii="Garamond" w:eastAsia="MS Mincho" w:hAnsi="Garamond"/>
                <w:b/>
                <w:bCs/>
                <w:sz w:val="14"/>
                <w:szCs w:val="10"/>
              </w:rPr>
              <w:t>ërkatës të GCM</w:t>
            </w:r>
            <w:r w:rsidR="004603C3" w:rsidRPr="00B457F5">
              <w:rPr>
                <w:rFonts w:ascii="Garamond" w:eastAsia="MS Mincho" w:hAnsi="Garamond"/>
                <w:b/>
                <w:bCs/>
                <w:sz w:val="14"/>
                <w:szCs w:val="10"/>
              </w:rPr>
              <w:t>-së</w:t>
            </w:r>
          </w:p>
        </w:tc>
      </w:tr>
      <w:tr w:rsidR="005C5C68" w:rsidRPr="00B457F5" w14:paraId="6A1247E4" w14:textId="77777777" w:rsidTr="008416EE">
        <w:tc>
          <w:tcPr>
            <w:tcW w:w="0" w:type="auto"/>
            <w:shd w:val="clear" w:color="auto" w:fill="auto"/>
          </w:tcPr>
          <w:p w14:paraId="4CD82FF1" w14:textId="77777777" w:rsidR="005C5C68" w:rsidRPr="00B457F5" w:rsidRDefault="005C5C68" w:rsidP="004603C3">
            <w:pPr>
              <w:spacing w:before="0" w:after="0"/>
              <w:contextualSpacing/>
              <w:rPr>
                <w:rFonts w:ascii="Garamond" w:eastAsia="+mn-ea" w:hAnsi="Garamond" w:cs="+mn-cs"/>
                <w:color w:val="FFFFFF"/>
                <w:sz w:val="14"/>
                <w:szCs w:val="10"/>
                <w:lang w:eastAsia="fr-FR"/>
              </w:rPr>
            </w:pPr>
            <w:r w:rsidRPr="00B457F5">
              <w:rPr>
                <w:rFonts w:ascii="Garamond" w:eastAsia="MS Mincho" w:hAnsi="Garamond" w:cs="Times New Roman"/>
                <w:sz w:val="14"/>
                <w:szCs w:val="10"/>
              </w:rPr>
              <w:t>3.1</w:t>
            </w:r>
            <w:r w:rsidRPr="00B457F5">
              <w:rPr>
                <w:rFonts w:ascii="Garamond" w:eastAsia="+mn-ea" w:hAnsi="Garamond" w:cs="+mn-cs"/>
                <w:color w:val="FFFFFF"/>
                <w:sz w:val="14"/>
                <w:szCs w:val="10"/>
              </w:rPr>
              <w:t xml:space="preserve">: </w:t>
            </w:r>
            <w:r w:rsidRPr="00B457F5">
              <w:rPr>
                <w:rFonts w:ascii="Garamond" w:hAnsi="Garamond"/>
                <w:bCs/>
                <w:color w:val="000000"/>
                <w:sz w:val="14"/>
                <w:szCs w:val="10"/>
              </w:rPr>
              <w:t>Mbrojtja e të drejtave të migrantëve dhe integrimi i tyre në shoqërinë shqiptare</w:t>
            </w:r>
            <w:r w:rsidRPr="00B457F5">
              <w:rPr>
                <w:rFonts w:ascii="Garamond" w:eastAsia="+mn-ea" w:hAnsi="Garamond" w:cs="+mn-cs"/>
                <w:bCs/>
                <w:color w:val="FFFFFF"/>
                <w:sz w:val="14"/>
                <w:szCs w:val="10"/>
              </w:rPr>
              <w:t>ve</w:t>
            </w:r>
            <w:r w:rsidRPr="00B457F5">
              <w:rPr>
                <w:rFonts w:ascii="Garamond" w:eastAsia="+mn-ea" w:hAnsi="Garamond" w:cs="+mn-cs"/>
                <w:color w:val="FFFFFF"/>
                <w:sz w:val="14"/>
                <w:szCs w:val="10"/>
              </w:rPr>
              <w:t xml:space="preserve"> dhe integrimi i tyre në shoqërinë shqiptare</w:t>
            </w:r>
          </w:p>
          <w:p w14:paraId="1CB414A8" w14:textId="77777777" w:rsidR="005C5C68" w:rsidRPr="00B457F5" w:rsidRDefault="005C5C68" w:rsidP="00433841">
            <w:pPr>
              <w:spacing w:before="0" w:after="0"/>
              <w:rPr>
                <w:rFonts w:ascii="Garamond" w:eastAsia="MS Mincho" w:hAnsi="Garamond"/>
                <w:sz w:val="14"/>
                <w:szCs w:val="10"/>
              </w:rPr>
            </w:pPr>
            <w:r w:rsidRPr="00B457F5">
              <w:rPr>
                <w:rFonts w:ascii="Garamond" w:eastAsia="MS Mincho" w:hAnsi="Garamond"/>
                <w:sz w:val="14"/>
                <w:szCs w:val="10"/>
              </w:rPr>
              <w:t xml:space="preserve"> </w:t>
            </w:r>
          </w:p>
        </w:tc>
        <w:tc>
          <w:tcPr>
            <w:tcW w:w="0" w:type="auto"/>
            <w:shd w:val="clear" w:color="auto" w:fill="auto"/>
          </w:tcPr>
          <w:p w14:paraId="43893E48" w14:textId="77777777" w:rsidR="005C5C68" w:rsidRPr="00B457F5" w:rsidRDefault="005C5C68" w:rsidP="00433841">
            <w:pPr>
              <w:spacing w:before="0" w:after="0"/>
              <w:rPr>
                <w:rFonts w:ascii="Garamond" w:eastAsia="MS Mincho" w:hAnsi="Garamond"/>
                <w:sz w:val="14"/>
                <w:szCs w:val="10"/>
              </w:rPr>
            </w:pPr>
            <w:r w:rsidRPr="00B457F5">
              <w:rPr>
                <w:rFonts w:ascii="Garamond" w:eastAsia="Calibri" w:hAnsi="Garamond"/>
                <w:sz w:val="14"/>
                <w:szCs w:val="10"/>
              </w:rPr>
              <w:t>3: Sigurimi i informacionit të saktë dhe në kohë në të gjitha fazat e migrimit;</w:t>
            </w:r>
          </w:p>
          <w:p w14:paraId="0327346A" w14:textId="77777777" w:rsidR="005C5C68" w:rsidRPr="00B457F5" w:rsidRDefault="005C5C68" w:rsidP="00433841">
            <w:pPr>
              <w:spacing w:before="0" w:after="0"/>
              <w:rPr>
                <w:rFonts w:ascii="Garamond" w:eastAsia="MS Mincho" w:hAnsi="Garamond"/>
                <w:sz w:val="14"/>
                <w:szCs w:val="10"/>
              </w:rPr>
            </w:pPr>
            <w:r w:rsidRPr="00B457F5">
              <w:rPr>
                <w:rFonts w:ascii="Garamond" w:eastAsia="Calibri" w:hAnsi="Garamond"/>
                <w:sz w:val="14"/>
                <w:szCs w:val="10"/>
              </w:rPr>
              <w:t>16: Fuqizimi i migrantëve dhe shoqërive për të realizuar përfshirjen e plotë dhe kohezionin social;</w:t>
            </w:r>
          </w:p>
          <w:p w14:paraId="12127B56" w14:textId="77777777" w:rsidR="005C5C68" w:rsidRPr="00B457F5" w:rsidRDefault="005C5C68" w:rsidP="00433841">
            <w:pPr>
              <w:spacing w:before="0" w:after="0"/>
              <w:rPr>
                <w:rFonts w:ascii="Garamond" w:eastAsia="MS Mincho" w:hAnsi="Garamond"/>
                <w:b/>
                <w:bCs/>
                <w:sz w:val="14"/>
                <w:szCs w:val="10"/>
              </w:rPr>
            </w:pPr>
            <w:r w:rsidRPr="00B457F5">
              <w:rPr>
                <w:rFonts w:ascii="Garamond" w:eastAsia="MS Mincho" w:hAnsi="Garamond"/>
                <w:sz w:val="14"/>
                <w:szCs w:val="10"/>
              </w:rPr>
              <w:t>17: Eliminimi i të gjitha formave të diskriminimit dhe promovimi i dialogut publik të bazuar në prova për të formuar perceptimet e migracionit.</w:t>
            </w:r>
          </w:p>
        </w:tc>
      </w:tr>
    </w:tbl>
    <w:p w14:paraId="250FC31B" w14:textId="77777777" w:rsidR="00727323" w:rsidRPr="00B457F5" w:rsidRDefault="00727323" w:rsidP="002E693B">
      <w:pPr>
        <w:spacing w:before="0" w:after="0"/>
        <w:ind w:firstLine="284"/>
        <w:rPr>
          <w:rFonts w:ascii="Garamond" w:eastAsia="MS Mincho" w:hAnsi="Garamond" w:cs="Times New Roman"/>
          <w:szCs w:val="24"/>
          <w:lang w:eastAsia="fr-FR"/>
        </w:rPr>
      </w:pPr>
    </w:p>
    <w:p w14:paraId="72100417" w14:textId="5664B5D8" w:rsidR="00727323" w:rsidRPr="00B457F5" w:rsidRDefault="005C5C68" w:rsidP="002E693B">
      <w:pPr>
        <w:spacing w:before="0" w:after="0"/>
        <w:ind w:firstLine="284"/>
        <w:rPr>
          <w:rFonts w:ascii="Garamond" w:eastAsia="MS Mincho" w:hAnsi="Garamond" w:cs="Times New Roman"/>
          <w:szCs w:val="24"/>
          <w:lang w:eastAsia="fr-FR"/>
        </w:rPr>
      </w:pPr>
      <w:r w:rsidRPr="00B457F5">
        <w:rPr>
          <w:rFonts w:ascii="Garamond" w:eastAsia="MS Mincho" w:hAnsi="Garamond" w:cs="Times New Roman"/>
          <w:szCs w:val="24"/>
          <w:lang w:eastAsia="fr-FR"/>
        </w:rPr>
        <w:t>Nëpërmjet objektivit</w:t>
      </w:r>
      <w:r w:rsidR="0006016F" w:rsidRPr="00B457F5">
        <w:rPr>
          <w:rFonts w:ascii="Garamond" w:eastAsia="MS Mincho" w:hAnsi="Garamond" w:cs="Times New Roman"/>
          <w:szCs w:val="24"/>
          <w:lang w:eastAsia="fr-FR"/>
        </w:rPr>
        <w:t xml:space="preserve"> </w:t>
      </w:r>
      <w:r w:rsidR="00727323" w:rsidRPr="00B457F5">
        <w:rPr>
          <w:rFonts w:ascii="Garamond" w:eastAsia="MS Mincho" w:hAnsi="Garamond" w:cs="Times New Roman"/>
          <w:szCs w:val="24"/>
          <w:lang w:eastAsia="fr-FR"/>
        </w:rPr>
        <w:t>specifik 3</w:t>
      </w:r>
      <w:r w:rsidRPr="00B457F5">
        <w:rPr>
          <w:rFonts w:ascii="Garamond" w:eastAsia="MS Mincho" w:hAnsi="Garamond" w:cs="Times New Roman"/>
          <w:szCs w:val="24"/>
          <w:lang w:eastAsia="fr-FR"/>
        </w:rPr>
        <w:t>.1</w:t>
      </w:r>
      <w:r w:rsidR="00727323" w:rsidRPr="00B457F5">
        <w:rPr>
          <w:rFonts w:ascii="Garamond" w:eastAsia="MS Mincho" w:hAnsi="Garamond" w:cs="Times New Roman"/>
          <w:szCs w:val="24"/>
          <w:lang w:eastAsia="fr-FR"/>
        </w:rPr>
        <w:t>, rikonfirmohet angazhimi nga strategjia e mëparshme për hartimin dhe miratimin e programeve të integrimit të emigrantëve. Ky hap është i nevojshëm për të siguruar që programet afatgjata financohen, ekzekutohen dhe monitorohen siç duhet. Objektivi shtrin/përfshin garancinë e mbrojtjes së të drejtave dhe trajtimin jodiskriminues për të gjithë personat që banojnë në Shqipëri dhe kërkon që mbrojtja të jetë thelbësore dhe jo thjesht deklarative.</w:t>
      </w:r>
    </w:p>
    <w:p w14:paraId="3C80C54A" w14:textId="17B3858E" w:rsidR="00727323" w:rsidRPr="00B457F5" w:rsidRDefault="00727323" w:rsidP="002E693B">
      <w:pPr>
        <w:spacing w:before="0" w:after="0"/>
        <w:ind w:firstLine="284"/>
        <w:rPr>
          <w:rFonts w:ascii="Garamond" w:eastAsia="MS Mincho" w:hAnsi="Garamond" w:cs="Times New Roman"/>
          <w:szCs w:val="24"/>
          <w:lang w:eastAsia="fr-FR"/>
        </w:rPr>
      </w:pPr>
      <w:r w:rsidRPr="00B457F5">
        <w:rPr>
          <w:rFonts w:ascii="Garamond" w:eastAsia="MS Mincho" w:hAnsi="Garamond" w:cs="Times New Roman"/>
          <w:bCs/>
          <w:szCs w:val="24"/>
          <w:lang w:eastAsia="fr-FR"/>
        </w:rPr>
        <w:t xml:space="preserve">Objektivi </w:t>
      </w:r>
      <w:r w:rsidR="004603C3" w:rsidRPr="00B457F5">
        <w:rPr>
          <w:rFonts w:ascii="Garamond" w:eastAsia="MS Mincho" w:hAnsi="Garamond" w:cs="Times New Roman"/>
          <w:bCs/>
          <w:szCs w:val="24"/>
          <w:lang w:eastAsia="fr-FR"/>
        </w:rPr>
        <w:t>s</w:t>
      </w:r>
      <w:r w:rsidRPr="00B457F5">
        <w:rPr>
          <w:rFonts w:ascii="Garamond" w:eastAsia="MS Mincho" w:hAnsi="Garamond" w:cs="Times New Roman"/>
          <w:bCs/>
          <w:szCs w:val="24"/>
          <w:lang w:eastAsia="fr-FR"/>
        </w:rPr>
        <w:t>pecifik 3.1</w:t>
      </w:r>
      <w:r w:rsidRPr="00B457F5">
        <w:rPr>
          <w:rFonts w:ascii="Garamond" w:eastAsia="MS Mincho" w:hAnsi="Garamond" w:cs="Times New Roman"/>
          <w:szCs w:val="24"/>
          <w:lang w:eastAsia="fr-FR"/>
        </w:rPr>
        <w:t xml:space="preserve"> parashikon si masë të parë prioritare: </w:t>
      </w:r>
      <w:r w:rsidRPr="00B457F5">
        <w:rPr>
          <w:rFonts w:ascii="Garamond" w:eastAsia="MS Mincho" w:hAnsi="Garamond" w:cs="Times New Roman"/>
          <w:i/>
          <w:szCs w:val="24"/>
          <w:lang w:eastAsia="fr-FR"/>
        </w:rPr>
        <w:t>informimin dhe mbrojtjen nga diskriminimi të të huajve që banojnë në territorin e Shqipërisë</w:t>
      </w:r>
      <w:r w:rsidRPr="00B457F5">
        <w:rPr>
          <w:rFonts w:ascii="Garamond" w:eastAsia="MS Mincho" w:hAnsi="Garamond" w:cs="Times New Roman"/>
          <w:szCs w:val="24"/>
          <w:lang w:eastAsia="fr-FR"/>
        </w:rPr>
        <w:t>. Katër ndërhyrje brenda fushës së tij do të drejtohen nga Komisioneri për Mbrojtjen nga Diskriminimi, i cili do të bashkëpunojë me një gamë të gjerë institucionesh shtetërore</w:t>
      </w:r>
      <w:r w:rsidR="003F1521"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xml:space="preserve"> si dhe me IOM-in dhe UNHCR-në. Të gjitha ministritë e linjës janë zotuar të kontribuojnë me informacion në raportet vjetore të monitorimit mbi kushtet aktuale të aksesit të të drejtave të migrantëve sipas legjislacionit në fuqi. Gjithashtu, </w:t>
      </w:r>
      <w:r w:rsidR="00272570" w:rsidRPr="00B457F5">
        <w:rPr>
          <w:rFonts w:ascii="Garamond" w:eastAsia="MS Mincho" w:hAnsi="Garamond" w:cs="Times New Roman"/>
          <w:szCs w:val="24"/>
          <w:lang w:eastAsia="fr-FR"/>
        </w:rPr>
        <w:t>MEKI</w:t>
      </w:r>
      <w:r w:rsidRPr="00B457F5">
        <w:rPr>
          <w:rFonts w:ascii="Garamond" w:eastAsia="MS Mincho" w:hAnsi="Garamond" w:cs="Times New Roman"/>
          <w:szCs w:val="24"/>
          <w:lang w:eastAsia="fr-FR"/>
        </w:rPr>
        <w:t xml:space="preserve"> dhe AKPA-ja do të paraqesin raporte për zbatimin e normave të mosdiskriminimit në fushën e punësimit në sektorë të ndryshëm, siç zbatohen për shtetasit e BE-së dhe anëtarët e familjeve të tyre. Këto ndërhyrje kanë rëndësi thelbësore për: identifikimin e pengesave me q</w:t>
      </w:r>
      <w:r w:rsidR="003F1521" w:rsidRPr="00B457F5">
        <w:rPr>
          <w:rFonts w:ascii="Garamond" w:eastAsia="MS Mincho" w:hAnsi="Garamond" w:cs="Times New Roman"/>
          <w:szCs w:val="24"/>
          <w:lang w:eastAsia="fr-FR"/>
        </w:rPr>
        <w:t>ë</w:t>
      </w:r>
      <w:r w:rsidRPr="00B457F5">
        <w:rPr>
          <w:rFonts w:ascii="Garamond" w:eastAsia="MS Mincho" w:hAnsi="Garamond" w:cs="Times New Roman"/>
          <w:szCs w:val="24"/>
          <w:lang w:eastAsia="fr-FR"/>
        </w:rPr>
        <w:t>llim realizimin e garancive ligjore; rekomandime për veprime shtesë për të kapërcyer ato pengesa dhe për të eliminuar kështu të gjitha format e diskriminimit (</w:t>
      </w:r>
      <w:r w:rsidR="004603C3" w:rsidRPr="00B457F5">
        <w:rPr>
          <w:rFonts w:ascii="Garamond" w:eastAsia="MS Mincho" w:hAnsi="Garamond" w:cs="Times New Roman"/>
          <w:szCs w:val="24"/>
          <w:lang w:eastAsia="fr-FR"/>
        </w:rPr>
        <w:t>o</w:t>
      </w:r>
      <w:r w:rsidRPr="00B457F5">
        <w:rPr>
          <w:rFonts w:ascii="Garamond" w:eastAsia="MS Mincho" w:hAnsi="Garamond" w:cs="Times New Roman"/>
          <w:szCs w:val="24"/>
          <w:lang w:eastAsia="fr-FR"/>
        </w:rPr>
        <w:t>bjektivi i GCM #17) dhe së fundi për të lehtësuar përfshirjen e plotë të migrantëve (</w:t>
      </w:r>
      <w:r w:rsidR="004603C3" w:rsidRPr="00B457F5">
        <w:rPr>
          <w:rFonts w:ascii="Garamond" w:eastAsia="MS Mincho" w:hAnsi="Garamond" w:cs="Times New Roman"/>
          <w:szCs w:val="24"/>
          <w:lang w:eastAsia="fr-FR"/>
        </w:rPr>
        <w:t>o</w:t>
      </w:r>
      <w:r w:rsidRPr="00B457F5">
        <w:rPr>
          <w:rFonts w:ascii="Garamond" w:eastAsia="MS Mincho" w:hAnsi="Garamond" w:cs="Times New Roman"/>
          <w:szCs w:val="24"/>
          <w:lang w:eastAsia="fr-FR"/>
        </w:rPr>
        <w:t>bjektivi i GCM #16).</w:t>
      </w:r>
    </w:p>
    <w:p w14:paraId="1D4987D0" w14:textId="0A8B3A55" w:rsidR="00727323" w:rsidRPr="00B457F5" w:rsidRDefault="00421A1D" w:rsidP="002E693B">
      <w:pPr>
        <w:spacing w:before="0" w:after="0"/>
        <w:ind w:firstLine="284"/>
        <w:rPr>
          <w:rFonts w:ascii="Garamond" w:eastAsia="MS Mincho" w:hAnsi="Garamond" w:cs="Times New Roman"/>
          <w:szCs w:val="24"/>
          <w:lang w:eastAsia="fr-FR"/>
        </w:rPr>
      </w:pPr>
      <w:r w:rsidRPr="00B457F5">
        <w:rPr>
          <w:rFonts w:ascii="Garamond" w:eastAsia="MS Mincho" w:hAnsi="Garamond" w:cs="Times New Roman"/>
          <w:szCs w:val="24"/>
          <w:lang w:eastAsia="fr-FR"/>
        </w:rPr>
        <w:lastRenderedPageBreak/>
        <w:t xml:space="preserve">Në përputhje me qasjen e përgjithshme, të respektuar gjatë </w:t>
      </w:r>
      <w:r w:rsidR="003F1521" w:rsidRPr="00B457F5">
        <w:rPr>
          <w:rFonts w:ascii="Garamond" w:eastAsia="MS Mincho" w:hAnsi="Garamond" w:cs="Times New Roman"/>
          <w:szCs w:val="24"/>
          <w:lang w:eastAsia="fr-FR"/>
        </w:rPr>
        <w:t xml:space="preserve">të </w:t>
      </w:r>
      <w:r w:rsidRPr="00B457F5">
        <w:rPr>
          <w:rFonts w:ascii="Garamond" w:eastAsia="MS Mincho" w:hAnsi="Garamond" w:cs="Times New Roman"/>
          <w:szCs w:val="24"/>
          <w:lang w:eastAsia="fr-FR"/>
        </w:rPr>
        <w:t xml:space="preserve">gjithë </w:t>
      </w:r>
      <w:r w:rsidR="003F1521" w:rsidRPr="00B457F5">
        <w:rPr>
          <w:rFonts w:ascii="Garamond" w:eastAsia="MS Mincho" w:hAnsi="Garamond" w:cs="Times New Roman"/>
          <w:szCs w:val="24"/>
          <w:lang w:eastAsia="fr-FR"/>
        </w:rPr>
        <w:t>s</w:t>
      </w:r>
      <w:r w:rsidRPr="00B457F5">
        <w:rPr>
          <w:rFonts w:ascii="Garamond" w:eastAsia="MS Mincho" w:hAnsi="Garamond" w:cs="Times New Roman"/>
          <w:szCs w:val="24"/>
          <w:lang w:eastAsia="fr-FR"/>
        </w:rPr>
        <w:t>trategjisë, dhënia e informacionit shihet si një faktor jetik për sigurimin e mbrojtjes nga diskriminimi, në bazë të masës së parë prioritare (3.1.1). Emigrantët inkurajohen të vizitojnë faqet e internetit zyrtare të disa organeve shtetërore, veçanërisht të Ministrisë së Brendshme, për të marrë informacion mbi rrugët drejt qëndrimit të rregullt. Komisioneri për Mbrojtjen nga Diskriminimi, nga ana e tij, do të udhëheqë përpjekjet për rritjen e ndërgjegjësimit për zbatimin e normave jodiskriminuese dhe a</w:t>
      </w:r>
      <w:r w:rsidR="0080333C" w:rsidRPr="00B457F5">
        <w:rPr>
          <w:rFonts w:ascii="Garamond" w:eastAsia="MS Mincho" w:hAnsi="Garamond" w:cs="Times New Roman"/>
          <w:szCs w:val="24"/>
          <w:lang w:eastAsia="fr-FR"/>
        </w:rPr>
        <w:t xml:space="preserve">ksesin në mekanizmat e ankesës. </w:t>
      </w:r>
      <w:r w:rsidRPr="00B457F5">
        <w:rPr>
          <w:rFonts w:ascii="Garamond" w:eastAsia="MS Mincho" w:hAnsi="Garamond" w:cs="Times New Roman"/>
          <w:szCs w:val="24"/>
          <w:lang w:eastAsia="fr-FR"/>
        </w:rPr>
        <w:t>Informacioni për shërbimet do të vihet në dispozicion në disa gjuhë në njësitë e vetëqeverisjes vendore dhe materialet e dedikuara për PKK-të do të vihen në dispozicion në kufi, si dhe në zyra në të gjithë vendin.</w:t>
      </w:r>
    </w:p>
    <w:p w14:paraId="33A988B6" w14:textId="34DC272A" w:rsidR="00421A1D" w:rsidRPr="00B457F5" w:rsidRDefault="00421A1D" w:rsidP="002E693B">
      <w:pPr>
        <w:spacing w:before="0" w:after="0"/>
        <w:ind w:firstLine="284"/>
        <w:rPr>
          <w:rFonts w:ascii="Garamond" w:eastAsia="MS Mincho" w:hAnsi="Garamond" w:cs="Times New Roman"/>
          <w:szCs w:val="24"/>
          <w:lang w:eastAsia="fr-FR"/>
        </w:rPr>
      </w:pPr>
      <w:r w:rsidRPr="00B457F5">
        <w:rPr>
          <w:rFonts w:ascii="Garamond" w:eastAsia="MS Mincho" w:hAnsi="Garamond" w:cs="Times New Roman"/>
          <w:szCs w:val="24"/>
          <w:lang w:eastAsia="fr-FR"/>
        </w:rPr>
        <w:t>Si pjesë e objektivit specifik 3.1, masa e dytë prioritare (lehtësimi i aksesit në shërbimet publike të garantuara me ligj) parashikohet si një hap tjetër i rëndësishëm për mbrojtjen e të drejtave të migrantëve dhe integrimin e tyre në shoqërinë shqiptare. Sipas masës 3.1.2, dy ndërhyrje do të drejtohen nga Ministria e Brendshme, e cila do të bashkëpunojë me ministritë përgjegjëse të linjës, por edhe me institucionet partnere</w:t>
      </w:r>
      <w:r w:rsidR="0080333C" w:rsidRPr="00B457F5">
        <w:rPr>
          <w:rFonts w:ascii="Garamond" w:eastAsia="MS Mincho" w:hAnsi="Garamond" w:cs="Times New Roman"/>
          <w:szCs w:val="24"/>
          <w:lang w:eastAsia="fr-FR"/>
        </w:rPr>
        <w:t>,</w:t>
      </w:r>
      <w:r w:rsidR="00D13589" w:rsidRPr="00B457F5">
        <w:rPr>
          <w:rFonts w:ascii="Garamond" w:eastAsia="MS Mincho" w:hAnsi="Garamond" w:cs="Times New Roman"/>
          <w:szCs w:val="24"/>
          <w:lang w:eastAsia="fr-FR"/>
        </w:rPr>
        <w:t xml:space="preserve"> si </w:t>
      </w:r>
      <w:r w:rsidRPr="00B457F5">
        <w:rPr>
          <w:rFonts w:ascii="Garamond" w:eastAsia="MS Mincho" w:hAnsi="Garamond" w:cs="Times New Roman"/>
          <w:szCs w:val="24"/>
          <w:lang w:eastAsia="fr-FR"/>
        </w:rPr>
        <w:t>UNHCR.</w:t>
      </w:r>
      <w:r w:rsidR="003F1521" w:rsidRPr="00B457F5">
        <w:rPr>
          <w:rFonts w:ascii="Garamond" w:eastAsia="MS Mincho" w:hAnsi="Garamond" w:cs="Times New Roman"/>
          <w:szCs w:val="24"/>
          <w:lang w:eastAsia="fr-FR"/>
        </w:rPr>
        <w:t>-ja</w:t>
      </w:r>
      <w:r w:rsidRPr="00B457F5">
        <w:rPr>
          <w:rFonts w:ascii="Garamond" w:eastAsia="MS Mincho" w:hAnsi="Garamond" w:cs="Times New Roman"/>
          <w:szCs w:val="24"/>
          <w:lang w:eastAsia="fr-FR"/>
        </w:rPr>
        <w:t xml:space="preserve"> Gjithashtu, </w:t>
      </w:r>
      <w:r w:rsidR="00272570" w:rsidRPr="00B457F5">
        <w:rPr>
          <w:rFonts w:ascii="Garamond" w:eastAsia="MS Mincho" w:hAnsi="Garamond" w:cs="Times New Roman"/>
          <w:szCs w:val="24"/>
          <w:lang w:eastAsia="fr-FR"/>
        </w:rPr>
        <w:t>MEKI</w:t>
      </w:r>
      <w:r w:rsidRPr="00B457F5">
        <w:rPr>
          <w:rFonts w:ascii="Garamond" w:eastAsia="MS Mincho" w:hAnsi="Garamond" w:cs="Times New Roman"/>
          <w:szCs w:val="24"/>
          <w:lang w:eastAsia="fr-FR"/>
        </w:rPr>
        <w:t xml:space="preserve"> dhe M</w:t>
      </w:r>
      <w:r w:rsidR="00272570" w:rsidRPr="00B457F5">
        <w:rPr>
          <w:rFonts w:ascii="Garamond" w:eastAsia="MS Mincho" w:hAnsi="Garamond" w:cs="Times New Roman"/>
          <w:szCs w:val="24"/>
          <w:lang w:eastAsia="fr-FR"/>
        </w:rPr>
        <w:t>SHMS</w:t>
      </w:r>
      <w:r w:rsidR="003F1521" w:rsidRPr="00B457F5">
        <w:rPr>
          <w:rFonts w:ascii="Garamond" w:eastAsia="MS Mincho" w:hAnsi="Garamond" w:cs="Times New Roman"/>
          <w:szCs w:val="24"/>
          <w:lang w:eastAsia="fr-FR"/>
        </w:rPr>
        <w:t>-ja</w:t>
      </w:r>
      <w:r w:rsidRPr="00B457F5">
        <w:rPr>
          <w:rFonts w:ascii="Garamond" w:eastAsia="MS Mincho" w:hAnsi="Garamond" w:cs="Times New Roman"/>
          <w:szCs w:val="24"/>
          <w:lang w:eastAsia="fr-FR"/>
        </w:rPr>
        <w:t xml:space="preserve"> do të ofrojnë mbështetjen e tyre përmes ndërhyrjeve të përkushtuara, qëllimi i të cilave është të trajnojë mjekët, infermierët dhe personelin spitalor dhe shëndetësor për të përmirësuar shërbimet për të huajt dhe punëtorët migrantë në vend</w:t>
      </w:r>
      <w:r w:rsidR="00081C66"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xml:space="preserve"> duke kuptuar më mirë përcaktuesit e rreziqeve për</w:t>
      </w:r>
      <w:r w:rsidR="0080333C" w:rsidRPr="00B457F5">
        <w:rPr>
          <w:rFonts w:ascii="Garamond" w:eastAsia="MS Mincho" w:hAnsi="Garamond" w:cs="Times New Roman"/>
          <w:szCs w:val="24"/>
          <w:lang w:eastAsia="fr-FR"/>
        </w:rPr>
        <w:t>katëse shëndetësore dhe sociale,</w:t>
      </w:r>
      <w:r w:rsidRPr="00B457F5">
        <w:rPr>
          <w:rFonts w:ascii="Garamond" w:eastAsia="MS Mincho" w:hAnsi="Garamond" w:cs="Times New Roman"/>
          <w:szCs w:val="24"/>
          <w:lang w:eastAsia="fr-FR"/>
        </w:rPr>
        <w:t xml:space="preserve"> si dhe ndikimi</w:t>
      </w:r>
      <w:r w:rsidR="00081C66" w:rsidRPr="00B457F5">
        <w:rPr>
          <w:rFonts w:ascii="Garamond" w:eastAsia="MS Mincho" w:hAnsi="Garamond" w:cs="Times New Roman"/>
          <w:szCs w:val="24"/>
          <w:lang w:eastAsia="fr-FR"/>
        </w:rPr>
        <w:t>n</w:t>
      </w:r>
      <w:r w:rsidRPr="00B457F5">
        <w:rPr>
          <w:rFonts w:ascii="Garamond" w:eastAsia="MS Mincho" w:hAnsi="Garamond" w:cs="Times New Roman"/>
          <w:szCs w:val="24"/>
          <w:lang w:eastAsia="fr-FR"/>
        </w:rPr>
        <w:t xml:space="preserve"> </w:t>
      </w:r>
      <w:r w:rsidR="00081C66" w:rsidRPr="00B457F5">
        <w:rPr>
          <w:rFonts w:ascii="Garamond" w:eastAsia="MS Mincho" w:hAnsi="Garamond" w:cs="Times New Roman"/>
          <w:szCs w:val="24"/>
          <w:lang w:eastAsia="fr-FR"/>
        </w:rPr>
        <w:t>e</w:t>
      </w:r>
      <w:r w:rsidRPr="00B457F5">
        <w:rPr>
          <w:rFonts w:ascii="Garamond" w:eastAsia="MS Mincho" w:hAnsi="Garamond" w:cs="Times New Roman"/>
          <w:szCs w:val="24"/>
          <w:lang w:eastAsia="fr-FR"/>
        </w:rPr>
        <w:t xml:space="preserve"> kulturës në shëndet dhe sëmundje.</w:t>
      </w:r>
    </w:p>
    <w:p w14:paraId="470E48F0" w14:textId="745F248B" w:rsidR="00421A1D" w:rsidRPr="00B457F5" w:rsidRDefault="00421A1D" w:rsidP="002E693B">
      <w:pPr>
        <w:spacing w:before="0" w:after="0"/>
        <w:ind w:firstLine="284"/>
        <w:rPr>
          <w:rFonts w:ascii="Garamond" w:eastAsia="MS Mincho" w:hAnsi="Garamond" w:cs="Times New Roman"/>
          <w:szCs w:val="24"/>
          <w:lang w:eastAsia="fr-FR"/>
        </w:rPr>
      </w:pPr>
      <w:r w:rsidRPr="00B457F5">
        <w:rPr>
          <w:rFonts w:ascii="Garamond" w:eastAsia="MS Mincho" w:hAnsi="Garamond" w:cs="Times New Roman"/>
          <w:szCs w:val="24"/>
          <w:lang w:eastAsia="fr-FR"/>
        </w:rPr>
        <w:t>Gjithashtu, për të rritur ndërgjegjësimin, përfshirjen dhe angazhimin/socializimin e migrantëve në komunitet, masa e tretë prioritare (3.1.3) fokusohet në krijimin e praktikave në nivel lokal dhe qendror për rritjen e pjesëmarrjes së migrantëve në proceset politikb</w:t>
      </w:r>
      <w:r w:rsidR="00DD7F5B" w:rsidRPr="00B457F5">
        <w:rPr>
          <w:rFonts w:ascii="Garamond" w:eastAsia="MS Mincho" w:hAnsi="Garamond" w:cs="Times New Roman"/>
          <w:szCs w:val="24"/>
          <w:lang w:eastAsia="fr-FR"/>
        </w:rPr>
        <w:t>ë</w:t>
      </w:r>
      <w:r w:rsidRPr="00B457F5">
        <w:rPr>
          <w:rFonts w:ascii="Garamond" w:eastAsia="MS Mincho" w:hAnsi="Garamond" w:cs="Times New Roman"/>
          <w:szCs w:val="24"/>
          <w:lang w:eastAsia="fr-FR"/>
        </w:rPr>
        <w:t>r</w:t>
      </w:r>
      <w:r w:rsidR="00DD7F5B" w:rsidRPr="00B457F5">
        <w:rPr>
          <w:rFonts w:ascii="Garamond" w:eastAsia="MS Mincho" w:hAnsi="Garamond" w:cs="Times New Roman"/>
          <w:szCs w:val="24"/>
          <w:lang w:eastAsia="fr-FR"/>
        </w:rPr>
        <w:t>ë</w:t>
      </w:r>
      <w:r w:rsidRPr="00B457F5">
        <w:rPr>
          <w:rFonts w:ascii="Garamond" w:eastAsia="MS Mincho" w:hAnsi="Garamond" w:cs="Times New Roman"/>
          <w:szCs w:val="24"/>
          <w:lang w:eastAsia="fr-FR"/>
        </w:rPr>
        <w:t>se dhe v</w:t>
      </w:r>
      <w:r w:rsidR="004603C3" w:rsidRPr="00B457F5">
        <w:rPr>
          <w:rFonts w:ascii="Garamond" w:eastAsia="MS Mincho" w:hAnsi="Garamond" w:cs="Times New Roman"/>
          <w:szCs w:val="24"/>
          <w:lang w:eastAsia="fr-FR"/>
        </w:rPr>
        <w:t>e</w:t>
      </w:r>
      <w:r w:rsidRPr="00B457F5">
        <w:rPr>
          <w:rFonts w:ascii="Garamond" w:eastAsia="MS Mincho" w:hAnsi="Garamond" w:cs="Times New Roman"/>
          <w:szCs w:val="24"/>
          <w:lang w:eastAsia="fr-FR"/>
        </w:rPr>
        <w:t>ndimmarr</w:t>
      </w:r>
      <w:r w:rsidR="00DD7F5B" w:rsidRPr="00B457F5">
        <w:rPr>
          <w:rFonts w:ascii="Garamond" w:eastAsia="MS Mincho" w:hAnsi="Garamond" w:cs="Times New Roman"/>
          <w:szCs w:val="24"/>
          <w:lang w:eastAsia="fr-FR"/>
        </w:rPr>
        <w:t>ë</w:t>
      </w:r>
      <w:r w:rsidRPr="00B457F5">
        <w:rPr>
          <w:rFonts w:ascii="Garamond" w:eastAsia="MS Mincho" w:hAnsi="Garamond" w:cs="Times New Roman"/>
          <w:szCs w:val="24"/>
          <w:lang w:eastAsia="fr-FR"/>
        </w:rPr>
        <w:t>se në nivel vendor, të udhëhequra nga Ministria e Brendshme dhe Ministria e Punëve të Jashtme. Me mbështetjen e Ministrisë së Arsimit dhe Sportit, do të mbahen seanca sensibilizuese për nxënësit dhe mësuesit në institucionet e arsimit parauniversitar për parandalimin e gjuhës së urrejtjes, racizmit dhe formave të tjera të diskriminimit ndaj migrantëve. Një hap tjetër, që pritet të bëhet, lidhet me përfshirjen në planet vendore për migracionin dhe diasporën për të garantuar të drejtat e migrantëve në komunitet</w:t>
      </w:r>
      <w:r w:rsidR="00081C66"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xml:space="preserve"> për të siguruar pjesëmarrje aktive në komunitet. Një rol thelbësor për realizimin me sukses të kësaj ndërhyrjeje do të jetë zhvillimi i dialogut tekniko-politik ndërmjet NJVV-</w:t>
      </w:r>
      <w:r w:rsidR="00081C66" w:rsidRPr="00B457F5">
        <w:rPr>
          <w:rFonts w:ascii="Garamond" w:eastAsia="MS Mincho" w:hAnsi="Garamond" w:cs="Times New Roman"/>
          <w:szCs w:val="24"/>
          <w:lang w:eastAsia="fr-FR"/>
        </w:rPr>
        <w:t>ve</w:t>
      </w:r>
      <w:r w:rsidRPr="00B457F5">
        <w:rPr>
          <w:rFonts w:ascii="Garamond" w:eastAsia="MS Mincho" w:hAnsi="Garamond" w:cs="Times New Roman"/>
          <w:szCs w:val="24"/>
          <w:lang w:eastAsia="fr-FR"/>
        </w:rPr>
        <w:t xml:space="preserve"> dhe strukturave të pushtetit qendror për zbatimin e programeve integruese, si një nga prioritetet afatshkurtra që do të publikohet gjatë periudh</w:t>
      </w:r>
      <w:r w:rsidR="00DD7F5B" w:rsidRPr="00B457F5">
        <w:rPr>
          <w:rFonts w:ascii="Garamond" w:eastAsia="MS Mincho" w:hAnsi="Garamond" w:cs="Times New Roman"/>
          <w:szCs w:val="24"/>
          <w:lang w:eastAsia="fr-FR"/>
        </w:rPr>
        <w:t>ë</w:t>
      </w:r>
      <w:r w:rsidRPr="00B457F5">
        <w:rPr>
          <w:rFonts w:ascii="Garamond" w:eastAsia="MS Mincho" w:hAnsi="Garamond" w:cs="Times New Roman"/>
          <w:szCs w:val="24"/>
          <w:lang w:eastAsia="fr-FR"/>
        </w:rPr>
        <w:t>s 2024</w:t>
      </w:r>
      <w:r w:rsidR="004603C3" w:rsidRPr="00B457F5">
        <w:rPr>
          <w:rStyle w:val="contentpasted1"/>
          <w:rFonts w:ascii="Garamond" w:hAnsi="Garamond" w:cs="Times New Roman"/>
          <w:color w:val="000000"/>
        </w:rPr>
        <w:t>–</w:t>
      </w:r>
      <w:r w:rsidRPr="00B457F5">
        <w:rPr>
          <w:rFonts w:ascii="Garamond" w:eastAsia="MS Mincho" w:hAnsi="Garamond" w:cs="Times New Roman"/>
          <w:szCs w:val="24"/>
          <w:lang w:eastAsia="fr-FR"/>
        </w:rPr>
        <w:t>2026.</w:t>
      </w:r>
      <w:r w:rsidR="001D25E3" w:rsidRPr="00B457F5">
        <w:rPr>
          <w:rFonts w:ascii="Garamond" w:eastAsia="MS Mincho" w:hAnsi="Garamond" w:cs="Times New Roman"/>
          <w:szCs w:val="24"/>
          <w:lang w:eastAsia="fr-FR"/>
        </w:rPr>
        <w:t xml:space="preserve"> Këto ndërhyrje janë në përputhje edhe me angazhimet e marra në zbatim të </w:t>
      </w:r>
      <w:r w:rsidR="004603C3" w:rsidRPr="00B457F5">
        <w:rPr>
          <w:rFonts w:ascii="Garamond" w:eastAsia="MS Mincho" w:hAnsi="Garamond" w:cs="Times New Roman"/>
          <w:szCs w:val="24"/>
          <w:lang w:eastAsia="fr-FR"/>
        </w:rPr>
        <w:t>v</w:t>
      </w:r>
      <w:r w:rsidR="001D25E3" w:rsidRPr="00B457F5">
        <w:rPr>
          <w:rFonts w:ascii="Garamond" w:eastAsia="MS Mincho" w:hAnsi="Garamond" w:cs="Times New Roman"/>
          <w:szCs w:val="24"/>
          <w:lang w:eastAsia="fr-FR"/>
        </w:rPr>
        <w:t>endimit të Këshillit të Ministrave nr.</w:t>
      </w:r>
      <w:r w:rsidR="004603C3" w:rsidRPr="00B457F5">
        <w:rPr>
          <w:rFonts w:ascii="Garamond" w:eastAsia="MS Mincho" w:hAnsi="Garamond" w:cs="Times New Roman"/>
          <w:szCs w:val="24"/>
          <w:lang w:eastAsia="fr-FR"/>
        </w:rPr>
        <w:t xml:space="preserve"> </w:t>
      </w:r>
      <w:r w:rsidR="001D25E3" w:rsidRPr="00B457F5">
        <w:rPr>
          <w:rFonts w:ascii="Garamond" w:eastAsia="MS Mincho" w:hAnsi="Garamond" w:cs="Times New Roman"/>
          <w:szCs w:val="24"/>
          <w:lang w:eastAsia="fr-FR"/>
        </w:rPr>
        <w:t>736, datë 13.12.2023</w:t>
      </w:r>
      <w:r w:rsidR="004603C3" w:rsidRPr="00B457F5">
        <w:rPr>
          <w:rFonts w:ascii="Garamond" w:eastAsia="MS Mincho" w:hAnsi="Garamond" w:cs="Times New Roman"/>
          <w:szCs w:val="24"/>
          <w:lang w:eastAsia="fr-FR"/>
        </w:rPr>
        <w:t>,</w:t>
      </w:r>
      <w:r w:rsidR="001D25E3" w:rsidRPr="00B457F5">
        <w:rPr>
          <w:rFonts w:ascii="Garamond" w:eastAsia="MS Mincho" w:hAnsi="Garamond" w:cs="Times New Roman"/>
          <w:szCs w:val="24"/>
          <w:lang w:eastAsia="fr-FR"/>
        </w:rPr>
        <w:t xml:space="preserve"> </w:t>
      </w:r>
      <w:r w:rsidR="00A313AE" w:rsidRPr="00B457F5">
        <w:rPr>
          <w:rFonts w:ascii="Garamond" w:eastAsia="MS Mincho" w:hAnsi="Garamond" w:cs="Times New Roman"/>
          <w:szCs w:val="24"/>
          <w:lang w:eastAsia="fr-FR"/>
        </w:rPr>
        <w:t>“</w:t>
      </w:r>
      <w:r w:rsidR="001D25E3" w:rsidRPr="00B457F5">
        <w:rPr>
          <w:rFonts w:ascii="Garamond" w:eastAsia="MS Mincho" w:hAnsi="Garamond" w:cs="Times New Roman"/>
          <w:szCs w:val="24"/>
          <w:lang w:eastAsia="fr-FR"/>
        </w:rPr>
        <w:t>Për miratimin e udhërrëfyesit për shtetin e së drejtës</w:t>
      </w:r>
      <w:r w:rsidR="00A313AE" w:rsidRPr="00B457F5">
        <w:rPr>
          <w:rFonts w:ascii="Garamond" w:eastAsia="MS Mincho" w:hAnsi="Garamond" w:cs="Times New Roman"/>
          <w:szCs w:val="24"/>
          <w:lang w:eastAsia="fr-FR"/>
        </w:rPr>
        <w:t>”</w:t>
      </w:r>
      <w:r w:rsidR="001D25E3" w:rsidRPr="00B457F5">
        <w:rPr>
          <w:rFonts w:ascii="Garamond" w:eastAsia="MS Mincho" w:hAnsi="Garamond" w:cs="Times New Roman"/>
          <w:szCs w:val="24"/>
          <w:lang w:eastAsia="fr-FR"/>
        </w:rPr>
        <w:t>.</w:t>
      </w:r>
    </w:p>
    <w:p w14:paraId="68E816CB" w14:textId="07AAA13C" w:rsidR="00727323" w:rsidRPr="00B457F5" w:rsidRDefault="00727323" w:rsidP="002E693B">
      <w:pPr>
        <w:spacing w:before="0" w:after="0"/>
        <w:ind w:firstLine="284"/>
        <w:rPr>
          <w:rFonts w:ascii="Garamond" w:eastAsia="MS Mincho" w:hAnsi="Garamond" w:cs="Times New Roman"/>
          <w:szCs w:val="24"/>
          <w:lang w:eastAsia="fr-FR"/>
        </w:rPr>
      </w:pPr>
      <w:r w:rsidRPr="00B457F5">
        <w:rPr>
          <w:rFonts w:ascii="Garamond" w:eastAsia="MS Mincho" w:hAnsi="Garamond" w:cs="Times New Roman"/>
          <w:szCs w:val="24"/>
          <w:lang w:eastAsia="fr-FR"/>
        </w:rPr>
        <w:t>Në përputhje me praktikat e vendeve anëtare të BE-së dhe vendeve të tjera me politika të zhvilluara migracioni, Shqipëria është e përkushtuar për të ofruar zgjidhje të qëndrueshme për emigrantët. Ky grup masash është plotësues i angazhimit për të hapur shtigje të rregullta për pranim dhe për të siguruar integrimin e qëndrueshëm të migrantëve, të mbuluar më parë. Strategjia e re pranon se ndërkohë që marrja e formave të rregullta të statusit është një kusht i domosdoshëm i integrimit, nevojitet mbështetje shtesë</w:t>
      </w:r>
      <w:r w:rsidR="00A13386"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xml:space="preserve"> në mënyrë që migrantët të jenë në gjendje të marrin pjesë në jetën e komunitetit lokal dhe të kontribuojnë në zhvillimin e tij, gjë që është në përputhje me vizionin e përgjithshëm të </w:t>
      </w:r>
      <w:r w:rsidR="00A13386" w:rsidRPr="00B457F5">
        <w:rPr>
          <w:rFonts w:ascii="Garamond" w:eastAsia="MS Mincho" w:hAnsi="Garamond" w:cs="Times New Roman"/>
          <w:szCs w:val="24"/>
          <w:lang w:eastAsia="fr-FR"/>
        </w:rPr>
        <w:t>s</w:t>
      </w:r>
      <w:r w:rsidRPr="00B457F5">
        <w:rPr>
          <w:rFonts w:ascii="Garamond" w:eastAsia="MS Mincho" w:hAnsi="Garamond" w:cs="Times New Roman"/>
          <w:szCs w:val="24"/>
          <w:lang w:eastAsia="fr-FR"/>
        </w:rPr>
        <w:t>trategjisë. Të gjitha këto angazhime e sjellin qeverisjen e migracionit të Shqipërisë më afër kuadrit të GCM</w:t>
      </w:r>
      <w:r w:rsidR="00A13386" w:rsidRPr="00B457F5">
        <w:rPr>
          <w:rFonts w:ascii="Garamond" w:eastAsia="MS Mincho" w:hAnsi="Garamond" w:cs="Times New Roman"/>
          <w:szCs w:val="24"/>
          <w:lang w:eastAsia="fr-FR"/>
        </w:rPr>
        <w:t>-së</w:t>
      </w:r>
      <w:r w:rsidRPr="00B457F5">
        <w:rPr>
          <w:rFonts w:ascii="Garamond" w:eastAsia="MS Mincho" w:hAnsi="Garamond" w:cs="Times New Roman"/>
          <w:szCs w:val="24"/>
          <w:lang w:eastAsia="fr-FR"/>
        </w:rPr>
        <w:t>, i cili bazohet në parimet e barazisë së të drejtave dhe të mosdiskriminimit (</w:t>
      </w:r>
      <w:r w:rsidR="00E47A10" w:rsidRPr="00B457F5">
        <w:rPr>
          <w:rFonts w:ascii="Garamond" w:eastAsia="MS Mincho" w:hAnsi="Garamond" w:cs="Times New Roman"/>
          <w:szCs w:val="24"/>
          <w:lang w:eastAsia="fr-FR"/>
        </w:rPr>
        <w:t xml:space="preserve">objektivi </w:t>
      </w:r>
      <w:r w:rsidRPr="00B457F5">
        <w:rPr>
          <w:rFonts w:ascii="Garamond" w:eastAsia="MS Mincho" w:hAnsi="Garamond" w:cs="Times New Roman"/>
          <w:szCs w:val="24"/>
          <w:lang w:eastAsia="fr-FR"/>
        </w:rPr>
        <w:t>#17).</w:t>
      </w:r>
    </w:p>
    <w:p w14:paraId="7CD3C2B5" w14:textId="03B2A9E3" w:rsidR="00433841" w:rsidRPr="00B457F5" w:rsidRDefault="00585210" w:rsidP="00433841">
      <w:pPr>
        <w:spacing w:before="0" w:after="0"/>
        <w:ind w:firstLine="284"/>
        <w:rPr>
          <w:rFonts w:ascii="Garamond" w:eastAsia="MS Mincho" w:hAnsi="Garamond" w:cs="Times New Roman"/>
          <w:szCs w:val="24"/>
          <w:lang w:eastAsia="fr-FR"/>
        </w:rPr>
      </w:pPr>
      <w:r w:rsidRPr="00B457F5">
        <w:rPr>
          <w:rFonts w:ascii="Garamond" w:eastAsia="MS Mincho" w:hAnsi="Garamond" w:cs="Times New Roman"/>
          <w:szCs w:val="24"/>
          <w:lang w:eastAsia="fr-FR"/>
        </w:rPr>
        <w:t xml:space="preserve">Përafrimi sa më i plotë me politikën e vizave të BE-së do të jetë një nga synimet kryesore, në përputhje kjo edhe me zbatimin e </w:t>
      </w:r>
      <w:r w:rsidR="004603C3" w:rsidRPr="00B457F5">
        <w:rPr>
          <w:rFonts w:ascii="Garamond" w:eastAsia="MS Mincho" w:hAnsi="Garamond" w:cs="Times New Roman"/>
          <w:szCs w:val="24"/>
          <w:lang w:eastAsia="fr-FR"/>
        </w:rPr>
        <w:t>v</w:t>
      </w:r>
      <w:r w:rsidRPr="00B457F5">
        <w:rPr>
          <w:rFonts w:ascii="Garamond" w:eastAsia="MS Mincho" w:hAnsi="Garamond" w:cs="Times New Roman"/>
          <w:szCs w:val="24"/>
          <w:lang w:eastAsia="fr-FR"/>
        </w:rPr>
        <w:t>endimit të Këshillit të Ministrave nr.</w:t>
      </w:r>
      <w:r w:rsidR="004603C3" w:rsidRPr="00B457F5">
        <w:rPr>
          <w:rFonts w:ascii="Garamond" w:eastAsia="MS Mincho" w:hAnsi="Garamond" w:cs="Times New Roman"/>
          <w:szCs w:val="24"/>
          <w:lang w:eastAsia="fr-FR"/>
        </w:rPr>
        <w:t xml:space="preserve"> </w:t>
      </w:r>
      <w:r w:rsidRPr="00B457F5">
        <w:rPr>
          <w:rFonts w:ascii="Garamond" w:eastAsia="MS Mincho" w:hAnsi="Garamond" w:cs="Times New Roman"/>
          <w:szCs w:val="24"/>
          <w:lang w:eastAsia="fr-FR"/>
        </w:rPr>
        <w:t>736, datë 13.12.2023</w:t>
      </w:r>
      <w:r w:rsidR="004603C3"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xml:space="preserve"> </w:t>
      </w:r>
      <w:r w:rsidR="00A313AE"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Për miratimin e udhërrëfyesit për shtetin e së drejtës</w:t>
      </w:r>
      <w:r w:rsidR="00A313AE"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Në këtë drejtim:</w:t>
      </w:r>
      <w:r w:rsidR="0006016F" w:rsidRPr="00B457F5">
        <w:rPr>
          <w:rFonts w:ascii="Garamond" w:eastAsia="MS Mincho" w:hAnsi="Garamond" w:cs="Times New Roman"/>
          <w:szCs w:val="24"/>
          <w:lang w:eastAsia="fr-FR"/>
        </w:rPr>
        <w:t xml:space="preserve"> </w:t>
      </w:r>
      <w:r w:rsidR="00F105E0" w:rsidRPr="00B457F5">
        <w:rPr>
          <w:rFonts w:ascii="Garamond" w:eastAsia="MS Mincho" w:hAnsi="Garamond" w:cs="Times New Roman"/>
          <w:szCs w:val="24"/>
          <w:lang w:eastAsia="fr-FR"/>
        </w:rPr>
        <w:t>d</w:t>
      </w:r>
      <w:r w:rsidRPr="00B457F5">
        <w:rPr>
          <w:rFonts w:ascii="Garamond" w:eastAsia="MS Mincho" w:hAnsi="Garamond" w:cs="Times New Roman"/>
          <w:szCs w:val="24"/>
          <w:lang w:eastAsia="fr-FR"/>
        </w:rPr>
        <w:t xml:space="preserve">eri në vitin 2030 do të vijojë ndërprerja në mënyrë graduale e regjimeve pa viza me vendet, qytetarët e të cilave u kërkohet viza në BE, për mekanizmin e zbatuar gjatë sezonit turistik; </w:t>
      </w:r>
      <w:r w:rsidR="00A13386" w:rsidRPr="00B457F5">
        <w:rPr>
          <w:rFonts w:ascii="Garamond" w:eastAsia="MS Mincho" w:hAnsi="Garamond" w:cs="Times New Roman"/>
          <w:szCs w:val="24"/>
          <w:lang w:eastAsia="fr-FR"/>
        </w:rPr>
        <w:t>d</w:t>
      </w:r>
      <w:r w:rsidRPr="00B457F5">
        <w:rPr>
          <w:rFonts w:ascii="Garamond" w:eastAsia="MS Mincho" w:hAnsi="Garamond" w:cs="Times New Roman"/>
          <w:szCs w:val="24"/>
          <w:lang w:eastAsia="fr-FR"/>
        </w:rPr>
        <w:t xml:space="preserve">o të kryet një vlerësim periodik i situatës dhe </w:t>
      </w:r>
      <w:r w:rsidR="00A13386" w:rsidRPr="00B457F5">
        <w:rPr>
          <w:rFonts w:ascii="Garamond" w:eastAsia="MS Mincho" w:hAnsi="Garamond" w:cs="Times New Roman"/>
          <w:szCs w:val="24"/>
          <w:lang w:eastAsia="fr-FR"/>
        </w:rPr>
        <w:t xml:space="preserve">i </w:t>
      </w:r>
      <w:r w:rsidRPr="00B457F5">
        <w:rPr>
          <w:rFonts w:ascii="Garamond" w:eastAsia="MS Mincho" w:hAnsi="Garamond" w:cs="Times New Roman"/>
          <w:szCs w:val="24"/>
          <w:lang w:eastAsia="fr-FR"/>
        </w:rPr>
        <w:t>rreziqeve të abuzimit me regjimin pa viza për shtetasit e vendeve të treta</w:t>
      </w:r>
      <w:r w:rsidR="00A13386"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xml:space="preserve"> të cilëve u kërkohet vizë për të hyrë në BE, bazuar në të dhënat</w:t>
      </w:r>
      <w:r w:rsidRPr="00B457F5">
        <w:rPr>
          <w:rFonts w:ascii="Garamond" w:hAnsi="Garamond"/>
          <w:szCs w:val="24"/>
        </w:rPr>
        <w:t xml:space="preserve"> </w:t>
      </w:r>
      <w:r w:rsidRPr="00B457F5">
        <w:rPr>
          <w:rFonts w:ascii="Garamond" w:eastAsia="MS Mincho" w:hAnsi="Garamond" w:cs="Times New Roman"/>
          <w:szCs w:val="24"/>
          <w:lang w:eastAsia="fr-FR"/>
        </w:rPr>
        <w:t xml:space="preserve">kombëtare, si dhe informacionin e dhënë nga </w:t>
      </w:r>
      <w:r w:rsidR="00A2088F" w:rsidRPr="00B457F5">
        <w:rPr>
          <w:rFonts w:ascii="Garamond" w:eastAsia="MS Mincho" w:hAnsi="Garamond" w:cs="Times New Roman"/>
          <w:szCs w:val="24"/>
          <w:lang w:eastAsia="fr-FR"/>
        </w:rPr>
        <w:t>FRONTEX</w:t>
      </w:r>
      <w:r w:rsidR="00A13386" w:rsidRPr="00B457F5">
        <w:rPr>
          <w:rFonts w:ascii="Garamond" w:eastAsia="MS Mincho" w:hAnsi="Garamond" w:cs="Times New Roman"/>
          <w:szCs w:val="24"/>
          <w:lang w:eastAsia="fr-FR"/>
        </w:rPr>
        <w:t>-i</w:t>
      </w:r>
      <w:r w:rsidR="00A2088F" w:rsidRPr="00B457F5">
        <w:rPr>
          <w:rFonts w:ascii="Garamond" w:eastAsia="MS Mincho" w:hAnsi="Garamond" w:cs="Times New Roman"/>
          <w:szCs w:val="24"/>
          <w:lang w:eastAsia="fr-FR"/>
        </w:rPr>
        <w:t xml:space="preserve"> </w:t>
      </w:r>
      <w:r w:rsidRPr="00B457F5">
        <w:rPr>
          <w:rFonts w:ascii="Garamond" w:eastAsia="MS Mincho" w:hAnsi="Garamond" w:cs="Times New Roman"/>
          <w:szCs w:val="24"/>
          <w:lang w:eastAsia="fr-FR"/>
        </w:rPr>
        <w:t xml:space="preserve">dhe autoritetet e </w:t>
      </w:r>
      <w:r w:rsidR="00A13386" w:rsidRPr="00B457F5">
        <w:rPr>
          <w:rFonts w:ascii="Garamond" w:eastAsia="MS Mincho" w:hAnsi="Garamond" w:cs="Times New Roman"/>
          <w:szCs w:val="24"/>
          <w:lang w:eastAsia="fr-FR"/>
        </w:rPr>
        <w:t xml:space="preserve">shteteve anëtare </w:t>
      </w:r>
      <w:r w:rsidRPr="00B457F5">
        <w:rPr>
          <w:rFonts w:ascii="Garamond" w:eastAsia="MS Mincho" w:hAnsi="Garamond" w:cs="Times New Roman"/>
          <w:szCs w:val="24"/>
          <w:lang w:eastAsia="fr-FR"/>
        </w:rPr>
        <w:t>të BE-së, si dhe gjatë periudhës 2024</w:t>
      </w:r>
      <w:r w:rsidR="004603C3" w:rsidRPr="00B457F5">
        <w:rPr>
          <w:rStyle w:val="contentpasted1"/>
          <w:rFonts w:ascii="Garamond" w:hAnsi="Garamond" w:cs="Times New Roman"/>
          <w:color w:val="000000"/>
        </w:rPr>
        <w:t>–</w:t>
      </w:r>
      <w:r w:rsidRPr="00B457F5">
        <w:rPr>
          <w:rFonts w:ascii="Garamond" w:eastAsia="MS Mincho" w:hAnsi="Garamond" w:cs="Times New Roman"/>
          <w:szCs w:val="24"/>
          <w:lang w:eastAsia="fr-FR"/>
        </w:rPr>
        <w:t>2025 do të miratohen marrëveshje me vendet nga të cilat shtetasit mund të hyjnë në BE pa vizë, por janë nën detyrimin për vizë në Republikën e Shqipërisë.</w:t>
      </w:r>
      <w:bookmarkStart w:id="55" w:name="_Toc155620735"/>
    </w:p>
    <w:p w14:paraId="27639A11" w14:textId="278C41C2" w:rsidR="00727323" w:rsidRPr="00B457F5" w:rsidRDefault="00727323" w:rsidP="00433841">
      <w:pPr>
        <w:spacing w:before="0" w:after="0"/>
        <w:ind w:firstLine="284"/>
        <w:rPr>
          <w:rFonts w:ascii="Garamond" w:eastAsia="MS Mincho" w:hAnsi="Garamond" w:cs="Times New Roman"/>
          <w:b/>
          <w:iCs/>
          <w:szCs w:val="24"/>
          <w:lang w:eastAsia="fr-FR"/>
        </w:rPr>
      </w:pPr>
      <w:r w:rsidRPr="00B457F5">
        <w:rPr>
          <w:rFonts w:ascii="Garamond" w:eastAsia="MS Mincho" w:hAnsi="Garamond" w:cs="Times New Roman"/>
          <w:b/>
          <w:iCs/>
          <w:szCs w:val="24"/>
          <w:lang w:eastAsia="fr-FR"/>
        </w:rPr>
        <w:lastRenderedPageBreak/>
        <w:t xml:space="preserve">Qëllimi i </w:t>
      </w:r>
      <w:r w:rsidR="004603C3" w:rsidRPr="00B457F5">
        <w:rPr>
          <w:rFonts w:ascii="Garamond" w:eastAsia="MS Mincho" w:hAnsi="Garamond" w:cs="Times New Roman"/>
          <w:b/>
          <w:iCs/>
          <w:szCs w:val="24"/>
          <w:lang w:eastAsia="fr-FR"/>
        </w:rPr>
        <w:t>p</w:t>
      </w:r>
      <w:r w:rsidRPr="00B457F5">
        <w:rPr>
          <w:rFonts w:ascii="Garamond" w:eastAsia="MS Mincho" w:hAnsi="Garamond" w:cs="Times New Roman"/>
          <w:b/>
          <w:iCs/>
          <w:szCs w:val="24"/>
          <w:lang w:eastAsia="fr-FR"/>
        </w:rPr>
        <w:t>olitikës IV: Forcimi i sistemit të mbrojtjes ndërkombëtare, garantimi i të drejtave të azilkërkuesve dhe refugjatëve</w:t>
      </w:r>
      <w:r w:rsidR="00302C7C" w:rsidRPr="00B457F5">
        <w:rPr>
          <w:rFonts w:ascii="Garamond" w:eastAsia="MS Mincho" w:hAnsi="Garamond" w:cs="Times New Roman"/>
          <w:b/>
          <w:iCs/>
          <w:szCs w:val="24"/>
          <w:lang w:eastAsia="fr-FR"/>
        </w:rPr>
        <w:t>,</w:t>
      </w:r>
      <w:r w:rsidRPr="00B457F5">
        <w:rPr>
          <w:rFonts w:ascii="Garamond" w:eastAsia="MS Mincho" w:hAnsi="Garamond" w:cs="Times New Roman"/>
          <w:b/>
          <w:iCs/>
          <w:szCs w:val="24"/>
          <w:lang w:eastAsia="fr-FR"/>
        </w:rPr>
        <w:t xml:space="preserve"> dhe ofrimi i zgjidhjeve të qëndrueshme</w:t>
      </w:r>
      <w:bookmarkEnd w:id="55"/>
    </w:p>
    <w:p w14:paraId="4967EC89" w14:textId="1C68D7E5" w:rsidR="00727323" w:rsidRPr="00B457F5" w:rsidRDefault="00727323" w:rsidP="002E693B">
      <w:pPr>
        <w:spacing w:before="0" w:after="0"/>
        <w:ind w:firstLine="284"/>
        <w:rPr>
          <w:rFonts w:ascii="Garamond" w:eastAsia="MS Mincho" w:hAnsi="Garamond" w:cs="Times New Roman"/>
          <w:szCs w:val="24"/>
          <w:lang w:eastAsia="fr-FR"/>
        </w:rPr>
      </w:pPr>
      <w:r w:rsidRPr="00B457F5">
        <w:rPr>
          <w:rFonts w:ascii="Garamond" w:eastAsia="MS Mincho" w:hAnsi="Garamond" w:cs="Times New Roman"/>
          <w:szCs w:val="24"/>
          <w:lang w:eastAsia="fr-FR"/>
        </w:rPr>
        <w:t xml:space="preserve">Organizimi institucional dhe kuadri ligjor për azilin është kryesisht i harmonizuar me </w:t>
      </w:r>
      <w:r w:rsidRPr="00B457F5">
        <w:rPr>
          <w:rFonts w:ascii="Garamond" w:eastAsia="MS Mincho" w:hAnsi="Garamond" w:cs="Times New Roman"/>
          <w:i/>
          <w:szCs w:val="24"/>
          <w:lang w:eastAsia="fr-FR"/>
        </w:rPr>
        <w:t>acquis</w:t>
      </w:r>
      <w:r w:rsidRPr="00B457F5">
        <w:rPr>
          <w:rFonts w:ascii="Garamond" w:eastAsia="MS Mincho" w:hAnsi="Garamond" w:cs="Times New Roman"/>
          <w:szCs w:val="24"/>
          <w:lang w:eastAsia="fr-FR"/>
        </w:rPr>
        <w:t xml:space="preserve"> </w:t>
      </w:r>
      <w:r w:rsidR="00287B8F" w:rsidRPr="00B457F5">
        <w:rPr>
          <w:rFonts w:ascii="Garamond" w:eastAsia="MS Mincho" w:hAnsi="Garamond" w:cs="Times New Roman"/>
          <w:szCs w:val="24"/>
          <w:lang w:eastAsia="fr-FR"/>
        </w:rPr>
        <w:t>të</w:t>
      </w:r>
      <w:r w:rsidRPr="00B457F5">
        <w:rPr>
          <w:rFonts w:ascii="Garamond" w:eastAsia="MS Mincho" w:hAnsi="Garamond" w:cs="Times New Roman"/>
          <w:szCs w:val="24"/>
          <w:lang w:eastAsia="fr-FR"/>
        </w:rPr>
        <w:t xml:space="preserve"> BE-së</w:t>
      </w:r>
      <w:r w:rsidR="00287B8F"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xml:space="preserve"> por ka nevojë për vijimin e hapave konkretë</w:t>
      </w:r>
      <w:r w:rsidR="00287B8F"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xml:space="preserve"> duke marrë në konsideratë edhe përditësim</w:t>
      </w:r>
      <w:r w:rsidR="00287B8F" w:rsidRPr="00B457F5">
        <w:rPr>
          <w:rFonts w:ascii="Garamond" w:eastAsia="MS Mincho" w:hAnsi="Garamond" w:cs="Times New Roman"/>
          <w:szCs w:val="24"/>
          <w:lang w:eastAsia="fr-FR"/>
        </w:rPr>
        <w:t>in</w:t>
      </w:r>
      <w:r w:rsidRPr="00B457F5">
        <w:rPr>
          <w:rFonts w:ascii="Garamond" w:eastAsia="MS Mincho" w:hAnsi="Garamond" w:cs="Times New Roman"/>
          <w:szCs w:val="24"/>
          <w:lang w:eastAsia="fr-FR"/>
        </w:rPr>
        <w:t xml:space="preserve"> e të dhënave në përputhje me zhvillimet në vendet anëtare të BE-së. Sipas </w:t>
      </w:r>
      <w:r w:rsidR="00E47A10" w:rsidRPr="00B457F5">
        <w:rPr>
          <w:rFonts w:ascii="Garamond" w:eastAsia="MS Mincho" w:hAnsi="Garamond" w:cs="Times New Roman"/>
          <w:szCs w:val="24"/>
          <w:lang w:eastAsia="fr-FR"/>
        </w:rPr>
        <w:t xml:space="preserve">progres raportit </w:t>
      </w:r>
      <w:r w:rsidRPr="00B457F5">
        <w:rPr>
          <w:rFonts w:ascii="Garamond" w:eastAsia="MS Mincho" w:hAnsi="Garamond" w:cs="Times New Roman"/>
          <w:szCs w:val="24"/>
          <w:lang w:eastAsia="fr-FR"/>
        </w:rPr>
        <w:t xml:space="preserve">të vitit 2023 të Komisionit Evropian, ligji i vitit 2021 për azilin është kryesisht në përputhje me </w:t>
      </w:r>
      <w:r w:rsidRPr="00B457F5">
        <w:rPr>
          <w:rFonts w:ascii="Garamond" w:eastAsia="MS Mincho" w:hAnsi="Garamond" w:cs="Times New Roman"/>
          <w:i/>
          <w:szCs w:val="24"/>
          <w:lang w:eastAsia="fr-FR"/>
        </w:rPr>
        <w:t>acquis</w:t>
      </w:r>
      <w:r w:rsidRPr="00B457F5">
        <w:rPr>
          <w:rFonts w:ascii="Garamond" w:eastAsia="MS Mincho" w:hAnsi="Garamond" w:cs="Times New Roman"/>
          <w:szCs w:val="24"/>
          <w:lang w:eastAsia="fr-FR"/>
        </w:rPr>
        <w:t xml:space="preserve"> të BE-së dhe janë miratuar të gjitha pjesët, përkatësisht 15</w:t>
      </w:r>
      <w:r w:rsidR="00D13589" w:rsidRPr="00B457F5">
        <w:rPr>
          <w:rFonts w:ascii="Garamond" w:eastAsia="MS Mincho" w:hAnsi="Garamond" w:cs="Times New Roman"/>
          <w:szCs w:val="24"/>
          <w:lang w:eastAsia="fr-FR"/>
        </w:rPr>
        <w:t xml:space="preserve"> akte nënligjore</w:t>
      </w:r>
      <w:r w:rsidRPr="00B457F5">
        <w:rPr>
          <w:rFonts w:ascii="Garamond" w:eastAsia="MS Mincho" w:hAnsi="Garamond" w:cs="Times New Roman"/>
          <w:szCs w:val="24"/>
          <w:lang w:eastAsia="fr-FR"/>
        </w:rPr>
        <w:t>. Duhet the</w:t>
      </w:r>
      <w:r w:rsidR="00A80760" w:rsidRPr="00B457F5">
        <w:rPr>
          <w:rFonts w:ascii="Garamond" w:eastAsia="MS Mincho" w:hAnsi="Garamond" w:cs="Times New Roman"/>
          <w:szCs w:val="24"/>
          <w:lang w:eastAsia="fr-FR"/>
        </w:rPr>
        <w:t>k</w:t>
      </w:r>
      <w:r w:rsidRPr="00B457F5">
        <w:rPr>
          <w:rFonts w:ascii="Garamond" w:eastAsia="MS Mincho" w:hAnsi="Garamond" w:cs="Times New Roman"/>
          <w:szCs w:val="24"/>
          <w:lang w:eastAsia="fr-FR"/>
        </w:rPr>
        <w:t xml:space="preserve">suar se Shqipëria vazhdon të jetë kryesisht një vend tranzit, i konsideruar si i tillë si nga komuniteti i refugjatëve dhe emigrantëve ashtu edhe nga autoritetet shqiptare. Në vitin 2022, 125 persona bënë kërkesë për azil në Policinë e Kufirit dhe Migracionit, krahasuar me 85 në vitin 2021. Fakti që vetëm 1% e të gjithë emigrantëve të ardhur në vitin 2022, shumica e të cilëve vinin nga vende me shkallë të lartë mbrojtjeje në BE iu referuan procedurave të azilit, nënvizon nevojën për të përmirësuar referimet dhe </w:t>
      </w:r>
      <w:r w:rsidR="0002054A" w:rsidRPr="00B457F5">
        <w:rPr>
          <w:rFonts w:ascii="Garamond" w:eastAsia="MS Mincho" w:hAnsi="Garamond" w:cs="Times New Roman"/>
          <w:szCs w:val="24"/>
          <w:lang w:eastAsia="fr-FR"/>
        </w:rPr>
        <w:t>aksesin në procedurat e azilit.</w:t>
      </w:r>
    </w:p>
    <w:p w14:paraId="599305F2" w14:textId="76FDC266" w:rsidR="00727323" w:rsidRPr="00B457F5" w:rsidRDefault="00727323" w:rsidP="002E693B">
      <w:pPr>
        <w:spacing w:before="0" w:after="0"/>
        <w:ind w:firstLine="284"/>
        <w:rPr>
          <w:rFonts w:ascii="Garamond" w:eastAsia="MS Mincho" w:hAnsi="Garamond" w:cs="Times New Roman"/>
          <w:szCs w:val="24"/>
          <w:lang w:eastAsia="fr-FR"/>
        </w:rPr>
      </w:pPr>
      <w:r w:rsidRPr="00B457F5">
        <w:rPr>
          <w:rFonts w:ascii="Garamond" w:eastAsia="MS Mincho" w:hAnsi="Garamond" w:cs="Times New Roman"/>
          <w:szCs w:val="24"/>
          <w:lang w:eastAsia="fr-FR"/>
        </w:rPr>
        <w:t xml:space="preserve">Ligji </w:t>
      </w:r>
      <w:r w:rsidR="00A313AE"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xml:space="preserve">Për </w:t>
      </w:r>
      <w:r w:rsidR="00815CC5" w:rsidRPr="00B457F5">
        <w:rPr>
          <w:rFonts w:ascii="Garamond" w:eastAsia="MS Mincho" w:hAnsi="Garamond" w:cs="Times New Roman"/>
          <w:szCs w:val="24"/>
          <w:lang w:eastAsia="fr-FR"/>
        </w:rPr>
        <w:t>a</w:t>
      </w:r>
      <w:r w:rsidRPr="00B457F5">
        <w:rPr>
          <w:rFonts w:ascii="Garamond" w:eastAsia="MS Mincho" w:hAnsi="Garamond" w:cs="Times New Roman"/>
          <w:szCs w:val="24"/>
          <w:lang w:eastAsia="fr-FR"/>
        </w:rPr>
        <w:t>zilin në RSH</w:t>
      </w:r>
      <w:r w:rsidR="00A313AE"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bazohet kryesisht në parimet e Konventës së Gjenevës</w:t>
      </w:r>
      <w:r w:rsidR="00D13589" w:rsidRPr="00B457F5">
        <w:rPr>
          <w:rFonts w:ascii="Garamond" w:eastAsia="MS Mincho" w:hAnsi="Garamond" w:cs="Times New Roman"/>
          <w:szCs w:val="24"/>
          <w:lang w:eastAsia="fr-FR"/>
        </w:rPr>
        <w:t xml:space="preserve">, por </w:t>
      </w:r>
      <w:r w:rsidRPr="00B457F5">
        <w:rPr>
          <w:rFonts w:ascii="Garamond" w:eastAsia="MS Mincho" w:hAnsi="Garamond" w:cs="Times New Roman"/>
          <w:szCs w:val="24"/>
          <w:lang w:eastAsia="fr-FR"/>
        </w:rPr>
        <w:t xml:space="preserve">është </w:t>
      </w:r>
      <w:r w:rsidR="00D13589" w:rsidRPr="00B457F5">
        <w:rPr>
          <w:rFonts w:ascii="Garamond" w:eastAsia="MS Mincho" w:hAnsi="Garamond" w:cs="Times New Roman"/>
          <w:szCs w:val="24"/>
          <w:lang w:eastAsia="fr-FR"/>
        </w:rPr>
        <w:t xml:space="preserve">edhe </w:t>
      </w:r>
      <w:r w:rsidRPr="00B457F5">
        <w:rPr>
          <w:rFonts w:ascii="Garamond" w:eastAsia="MS Mincho" w:hAnsi="Garamond" w:cs="Times New Roman"/>
          <w:szCs w:val="24"/>
          <w:lang w:eastAsia="fr-FR"/>
        </w:rPr>
        <w:t>një akt ligjor i përa</w:t>
      </w:r>
      <w:r w:rsidR="00D13589" w:rsidRPr="00B457F5">
        <w:rPr>
          <w:rFonts w:ascii="Garamond" w:eastAsia="MS Mincho" w:hAnsi="Garamond" w:cs="Times New Roman"/>
          <w:szCs w:val="24"/>
          <w:lang w:eastAsia="fr-FR"/>
        </w:rPr>
        <w:t>fruar me CEAS</w:t>
      </w:r>
      <w:r w:rsidRPr="00B457F5">
        <w:rPr>
          <w:rFonts w:ascii="Garamond" w:eastAsia="MS Mincho" w:hAnsi="Garamond" w:cs="Times New Roman"/>
          <w:szCs w:val="24"/>
          <w:lang w:eastAsia="fr-FR"/>
        </w:rPr>
        <w:t>, në dispozitat e t</w:t>
      </w:r>
      <w:r w:rsidR="00D13589" w:rsidRPr="00B457F5">
        <w:rPr>
          <w:rFonts w:ascii="Garamond" w:eastAsia="MS Mincho" w:hAnsi="Garamond" w:cs="Times New Roman"/>
          <w:szCs w:val="24"/>
          <w:lang w:eastAsia="fr-FR"/>
        </w:rPr>
        <w:t>ë cilit parashikohet respektimi</w:t>
      </w:r>
      <w:r w:rsidRPr="00B457F5">
        <w:rPr>
          <w:rFonts w:ascii="Garamond" w:eastAsia="MS Mincho" w:hAnsi="Garamond" w:cs="Times New Roman"/>
          <w:szCs w:val="24"/>
          <w:lang w:eastAsia="fr-FR"/>
        </w:rPr>
        <w:t xml:space="preserve"> dhe mbro</w:t>
      </w:r>
      <w:r w:rsidR="00D13589" w:rsidRPr="00B457F5">
        <w:rPr>
          <w:rFonts w:ascii="Garamond" w:eastAsia="MS Mincho" w:hAnsi="Garamond" w:cs="Times New Roman"/>
          <w:szCs w:val="24"/>
          <w:lang w:eastAsia="fr-FR"/>
        </w:rPr>
        <w:t>jtja e të drejtave të azilkërkuesve dhe refugjatëve</w:t>
      </w:r>
      <w:r w:rsidRPr="00B457F5">
        <w:rPr>
          <w:rFonts w:ascii="Garamond" w:eastAsia="MS Mincho" w:hAnsi="Garamond" w:cs="Times New Roman"/>
          <w:szCs w:val="24"/>
          <w:lang w:eastAsia="fr-FR"/>
        </w:rPr>
        <w:t xml:space="preserve">. Megjithatë, edhe pse ligji u jep azilkërkuesve të drejtën për të aksesuar shërbimet publike në të njëjtin nivel me </w:t>
      </w:r>
      <w:r w:rsidR="005C5C68" w:rsidRPr="00B457F5">
        <w:rPr>
          <w:rFonts w:ascii="Garamond" w:eastAsia="MS Mincho" w:hAnsi="Garamond" w:cs="Times New Roman"/>
          <w:szCs w:val="24"/>
          <w:lang w:eastAsia="fr-FR"/>
        </w:rPr>
        <w:t>shtetasit shqiptarë, duhet punuar m</w:t>
      </w:r>
      <w:r w:rsidR="00A364F3" w:rsidRPr="00B457F5">
        <w:rPr>
          <w:rFonts w:ascii="Garamond" w:eastAsia="MS Mincho" w:hAnsi="Garamond" w:cs="Times New Roman"/>
          <w:szCs w:val="24"/>
          <w:lang w:eastAsia="fr-FR"/>
        </w:rPr>
        <w:t>ë</w:t>
      </w:r>
      <w:r w:rsidR="005C5C68" w:rsidRPr="00B457F5">
        <w:rPr>
          <w:rFonts w:ascii="Garamond" w:eastAsia="MS Mincho" w:hAnsi="Garamond" w:cs="Times New Roman"/>
          <w:szCs w:val="24"/>
          <w:lang w:eastAsia="fr-FR"/>
        </w:rPr>
        <w:t xml:space="preserve"> shum</w:t>
      </w:r>
      <w:r w:rsidR="00A364F3" w:rsidRPr="00B457F5">
        <w:rPr>
          <w:rFonts w:ascii="Garamond" w:eastAsia="MS Mincho" w:hAnsi="Garamond" w:cs="Times New Roman"/>
          <w:szCs w:val="24"/>
          <w:lang w:eastAsia="fr-FR"/>
        </w:rPr>
        <w:t>ë</w:t>
      </w:r>
      <w:r w:rsidR="005C5C68" w:rsidRPr="00B457F5">
        <w:rPr>
          <w:rFonts w:ascii="Garamond" w:eastAsia="MS Mincho" w:hAnsi="Garamond" w:cs="Times New Roman"/>
          <w:szCs w:val="24"/>
          <w:lang w:eastAsia="fr-FR"/>
        </w:rPr>
        <w:t xml:space="preserve"> p</w:t>
      </w:r>
      <w:r w:rsidR="00DD7F5B" w:rsidRPr="00B457F5">
        <w:rPr>
          <w:rFonts w:ascii="Garamond" w:eastAsia="MS Mincho" w:hAnsi="Garamond" w:cs="Times New Roman"/>
          <w:szCs w:val="24"/>
          <w:lang w:eastAsia="fr-FR"/>
        </w:rPr>
        <w:t>ë</w:t>
      </w:r>
      <w:r w:rsidR="005C5C68" w:rsidRPr="00B457F5">
        <w:rPr>
          <w:rFonts w:ascii="Garamond" w:eastAsia="MS Mincho" w:hAnsi="Garamond" w:cs="Times New Roman"/>
          <w:szCs w:val="24"/>
          <w:lang w:eastAsia="fr-FR"/>
        </w:rPr>
        <w:t>r t</w:t>
      </w:r>
      <w:r w:rsidR="00DD7F5B" w:rsidRPr="00B457F5">
        <w:rPr>
          <w:rFonts w:ascii="Garamond" w:eastAsia="MS Mincho" w:hAnsi="Garamond" w:cs="Times New Roman"/>
          <w:szCs w:val="24"/>
          <w:lang w:eastAsia="fr-FR"/>
        </w:rPr>
        <w:t>ë</w:t>
      </w:r>
      <w:r w:rsidR="005C5C68" w:rsidRPr="00B457F5">
        <w:rPr>
          <w:rFonts w:ascii="Garamond" w:eastAsia="MS Mincho" w:hAnsi="Garamond" w:cs="Times New Roman"/>
          <w:szCs w:val="24"/>
          <w:lang w:eastAsia="fr-FR"/>
        </w:rPr>
        <w:t xml:space="preserve"> arri</w:t>
      </w:r>
      <w:r w:rsidR="004603C3" w:rsidRPr="00B457F5">
        <w:rPr>
          <w:rFonts w:ascii="Garamond" w:eastAsia="MS Mincho" w:hAnsi="Garamond" w:cs="Times New Roman"/>
          <w:szCs w:val="24"/>
          <w:lang w:eastAsia="fr-FR"/>
        </w:rPr>
        <w:t>t</w:t>
      </w:r>
      <w:r w:rsidR="005C5C68" w:rsidRPr="00B457F5">
        <w:rPr>
          <w:rFonts w:ascii="Garamond" w:eastAsia="MS Mincho" w:hAnsi="Garamond" w:cs="Times New Roman"/>
          <w:szCs w:val="24"/>
          <w:lang w:eastAsia="fr-FR"/>
        </w:rPr>
        <w:t>ur përputhshmërin</w:t>
      </w:r>
      <w:r w:rsidRPr="00B457F5">
        <w:rPr>
          <w:rFonts w:ascii="Garamond" w:eastAsia="MS Mincho" w:hAnsi="Garamond" w:cs="Times New Roman"/>
          <w:szCs w:val="24"/>
          <w:lang w:eastAsia="fr-FR"/>
        </w:rPr>
        <w:t>ë me aktet e tjera ligjore dhe</w:t>
      </w:r>
      <w:r w:rsidR="005C5C68" w:rsidRPr="00B457F5">
        <w:rPr>
          <w:rFonts w:ascii="Garamond" w:eastAsia="MS Mincho" w:hAnsi="Garamond" w:cs="Times New Roman"/>
          <w:szCs w:val="24"/>
          <w:lang w:eastAsia="fr-FR"/>
        </w:rPr>
        <w:t xml:space="preserve"> plot</w:t>
      </w:r>
      <w:r w:rsidR="00DD7F5B" w:rsidRPr="00B457F5">
        <w:rPr>
          <w:rFonts w:ascii="Garamond" w:eastAsia="MS Mincho" w:hAnsi="Garamond" w:cs="Times New Roman"/>
          <w:szCs w:val="24"/>
          <w:lang w:eastAsia="fr-FR"/>
        </w:rPr>
        <w:t>ë</w:t>
      </w:r>
      <w:r w:rsidR="005C5C68" w:rsidRPr="00B457F5">
        <w:rPr>
          <w:rFonts w:ascii="Garamond" w:eastAsia="MS Mincho" w:hAnsi="Garamond" w:cs="Times New Roman"/>
          <w:szCs w:val="24"/>
          <w:lang w:eastAsia="fr-FR"/>
        </w:rPr>
        <w:t>simi</w:t>
      </w:r>
      <w:r w:rsidR="00A364F3" w:rsidRPr="00B457F5">
        <w:rPr>
          <w:rFonts w:ascii="Garamond" w:eastAsia="MS Mincho" w:hAnsi="Garamond" w:cs="Times New Roman"/>
          <w:szCs w:val="24"/>
          <w:lang w:eastAsia="fr-FR"/>
        </w:rPr>
        <w:t>n</w:t>
      </w:r>
      <w:r w:rsidR="005C5C68" w:rsidRPr="00B457F5">
        <w:rPr>
          <w:rFonts w:ascii="Garamond" w:eastAsia="MS Mincho" w:hAnsi="Garamond" w:cs="Times New Roman"/>
          <w:szCs w:val="24"/>
          <w:lang w:eastAsia="fr-FR"/>
        </w:rPr>
        <w:t xml:space="preserve"> </w:t>
      </w:r>
      <w:r w:rsidR="00A364F3" w:rsidRPr="00B457F5">
        <w:rPr>
          <w:rFonts w:ascii="Garamond" w:eastAsia="MS Mincho" w:hAnsi="Garamond" w:cs="Times New Roman"/>
          <w:szCs w:val="24"/>
          <w:lang w:eastAsia="fr-FR"/>
        </w:rPr>
        <w:t>e</w:t>
      </w:r>
      <w:r w:rsidR="0006016F" w:rsidRPr="00B457F5">
        <w:rPr>
          <w:rFonts w:ascii="Garamond" w:eastAsia="MS Mincho" w:hAnsi="Garamond" w:cs="Times New Roman"/>
          <w:szCs w:val="24"/>
          <w:lang w:eastAsia="fr-FR"/>
        </w:rPr>
        <w:t xml:space="preserve"> </w:t>
      </w:r>
      <w:r w:rsidRPr="00B457F5">
        <w:rPr>
          <w:rFonts w:ascii="Garamond" w:eastAsia="MS Mincho" w:hAnsi="Garamond" w:cs="Times New Roman"/>
          <w:szCs w:val="24"/>
          <w:lang w:eastAsia="fr-FR"/>
        </w:rPr>
        <w:t>mungesa</w:t>
      </w:r>
      <w:r w:rsidR="005C5C68" w:rsidRPr="00B457F5">
        <w:rPr>
          <w:rFonts w:ascii="Garamond" w:eastAsia="MS Mincho" w:hAnsi="Garamond" w:cs="Times New Roman"/>
          <w:szCs w:val="24"/>
          <w:lang w:eastAsia="fr-FR"/>
        </w:rPr>
        <w:t>ve t</w:t>
      </w:r>
      <w:r w:rsidR="00DD7F5B" w:rsidRPr="00B457F5">
        <w:rPr>
          <w:rFonts w:ascii="Garamond" w:eastAsia="MS Mincho" w:hAnsi="Garamond" w:cs="Times New Roman"/>
          <w:szCs w:val="24"/>
          <w:lang w:eastAsia="fr-FR"/>
        </w:rPr>
        <w:t>ë</w:t>
      </w:r>
      <w:r w:rsidR="005C5C68" w:rsidRPr="00B457F5">
        <w:rPr>
          <w:rFonts w:ascii="Garamond" w:eastAsia="MS Mincho" w:hAnsi="Garamond" w:cs="Times New Roman"/>
          <w:szCs w:val="24"/>
          <w:lang w:eastAsia="fr-FR"/>
        </w:rPr>
        <w:t xml:space="preserve"> kapaciteteve zbatuese</w:t>
      </w:r>
      <w:r w:rsidR="0006016F" w:rsidRPr="00B457F5">
        <w:rPr>
          <w:rFonts w:ascii="Garamond" w:eastAsia="MS Mincho" w:hAnsi="Garamond" w:cs="Times New Roman"/>
          <w:szCs w:val="24"/>
          <w:lang w:eastAsia="fr-FR"/>
        </w:rPr>
        <w:t xml:space="preserve"> </w:t>
      </w:r>
      <w:r w:rsidR="005C5C68" w:rsidRPr="00B457F5">
        <w:rPr>
          <w:rFonts w:ascii="Garamond" w:eastAsia="MS Mincho" w:hAnsi="Garamond" w:cs="Times New Roman"/>
          <w:szCs w:val="24"/>
          <w:lang w:eastAsia="fr-FR"/>
        </w:rPr>
        <w:t>q</w:t>
      </w:r>
      <w:r w:rsidR="00DD7F5B" w:rsidRPr="00B457F5">
        <w:rPr>
          <w:rFonts w:ascii="Garamond" w:eastAsia="MS Mincho" w:hAnsi="Garamond" w:cs="Times New Roman"/>
          <w:szCs w:val="24"/>
          <w:lang w:eastAsia="fr-FR"/>
        </w:rPr>
        <w:t>ë</w:t>
      </w:r>
      <w:r w:rsidR="005C5C68" w:rsidRPr="00B457F5">
        <w:rPr>
          <w:rFonts w:ascii="Garamond" w:eastAsia="MS Mincho" w:hAnsi="Garamond" w:cs="Times New Roman"/>
          <w:szCs w:val="24"/>
          <w:lang w:eastAsia="fr-FR"/>
        </w:rPr>
        <w:t xml:space="preserve"> i</w:t>
      </w:r>
      <w:r w:rsidRPr="00B457F5">
        <w:rPr>
          <w:rFonts w:ascii="Garamond" w:eastAsia="MS Mincho" w:hAnsi="Garamond" w:cs="Times New Roman"/>
          <w:szCs w:val="24"/>
          <w:lang w:eastAsia="fr-FR"/>
        </w:rPr>
        <w:t xml:space="preserve"> pengon azilkërkuesit të kenë akses në shërbime në mënyrë efektive. Për zbatimin efikas të ligjit dhe arritjen e një standard</w:t>
      </w:r>
      <w:r w:rsidR="00A364F3" w:rsidRPr="00B457F5">
        <w:rPr>
          <w:rFonts w:ascii="Garamond" w:eastAsia="MS Mincho" w:hAnsi="Garamond" w:cs="Times New Roman"/>
          <w:szCs w:val="24"/>
          <w:lang w:eastAsia="fr-FR"/>
        </w:rPr>
        <w:t>i</w:t>
      </w:r>
      <w:r w:rsidRPr="00B457F5">
        <w:rPr>
          <w:rFonts w:ascii="Garamond" w:eastAsia="MS Mincho" w:hAnsi="Garamond" w:cs="Times New Roman"/>
          <w:szCs w:val="24"/>
          <w:lang w:eastAsia="fr-FR"/>
        </w:rPr>
        <w:t xml:space="preserve"> të lartë parashikohen investime shtesë në kapacitetet administrative dhe për të garantuar zhvillimin e përgjithshëm të një sistemi azili që funksionon mirë. Një udh</w:t>
      </w:r>
      <w:r w:rsidR="00595C7B" w:rsidRPr="00B457F5">
        <w:rPr>
          <w:rFonts w:ascii="Garamond" w:eastAsia="MS Mincho" w:hAnsi="Garamond" w:cs="Times New Roman"/>
          <w:szCs w:val="24"/>
          <w:lang w:eastAsia="fr-FR"/>
        </w:rPr>
        <w:t xml:space="preserve">ëzim i rishikuar </w:t>
      </w:r>
      <w:r w:rsidR="00595C7B" w:rsidRPr="00B457F5">
        <w:rPr>
          <w:rFonts w:ascii="Garamond" w:eastAsia="MS Mincho" w:hAnsi="Garamond" w:cs="Times New Roman"/>
          <w:i/>
          <w:szCs w:val="24"/>
          <w:lang w:eastAsia="fr-FR"/>
        </w:rPr>
        <w:t>prescreening</w:t>
      </w:r>
      <w:r w:rsidR="00595C7B" w:rsidRPr="00B457F5">
        <w:rPr>
          <w:rFonts w:ascii="Garamond" w:eastAsia="MS Mincho" w:hAnsi="Garamond" w:cs="Times New Roman"/>
          <w:szCs w:val="24"/>
          <w:lang w:eastAsia="fr-FR"/>
        </w:rPr>
        <w:t xml:space="preserve"> u miratua në vitin 2022</w:t>
      </w:r>
      <w:r w:rsidRPr="00B457F5">
        <w:rPr>
          <w:rFonts w:ascii="Garamond" w:eastAsia="MS Mincho" w:hAnsi="Garamond" w:cs="Times New Roman"/>
          <w:szCs w:val="24"/>
          <w:lang w:eastAsia="fr-FR"/>
        </w:rPr>
        <w:t xml:space="preserve"> dhe fokusi parësor mbetet</w:t>
      </w:r>
      <w:r w:rsidR="00595C7B" w:rsidRPr="00B457F5">
        <w:rPr>
          <w:rFonts w:ascii="Garamond" w:eastAsia="MS Mincho" w:hAnsi="Garamond" w:cs="Times New Roman"/>
          <w:szCs w:val="24"/>
          <w:lang w:eastAsia="fr-FR"/>
        </w:rPr>
        <w:t xml:space="preserve"> </w:t>
      </w:r>
      <w:r w:rsidR="0002054A" w:rsidRPr="00B457F5">
        <w:rPr>
          <w:rFonts w:ascii="Garamond" w:eastAsia="MS Mincho" w:hAnsi="Garamond" w:cs="Times New Roman"/>
          <w:szCs w:val="24"/>
          <w:lang w:eastAsia="fr-FR"/>
        </w:rPr>
        <w:t>zbatimi i tij në praktikë.</w:t>
      </w:r>
    </w:p>
    <w:p w14:paraId="5CD15677" w14:textId="5278005B" w:rsidR="00CE7C2E" w:rsidRPr="00B457F5" w:rsidRDefault="00784716" w:rsidP="002E693B">
      <w:pPr>
        <w:spacing w:before="0" w:after="0"/>
        <w:ind w:firstLine="284"/>
        <w:rPr>
          <w:rFonts w:ascii="Garamond" w:eastAsia="MS Mincho" w:hAnsi="Garamond" w:cs="Times New Roman"/>
          <w:szCs w:val="24"/>
          <w:lang w:eastAsia="fr-FR"/>
        </w:rPr>
      </w:pPr>
      <w:r w:rsidRPr="00B457F5">
        <w:rPr>
          <w:rFonts w:ascii="Garamond" w:eastAsia="MS Mincho" w:hAnsi="Garamond" w:cs="Times New Roman"/>
          <w:szCs w:val="24"/>
          <w:lang w:eastAsia="fr-FR"/>
        </w:rPr>
        <w:t xml:space="preserve">Në vitin 2022, numri i emigrantëve të parregullt që hynë në Shqipëri u reduktua me 34% krahasuar me vitin 2021. </w:t>
      </w:r>
      <w:r w:rsidR="00CE7C2E" w:rsidRPr="00B457F5">
        <w:rPr>
          <w:rFonts w:ascii="Garamond" w:eastAsia="MS Mincho" w:hAnsi="Garamond" w:cs="Times New Roman"/>
          <w:szCs w:val="24"/>
          <w:lang w:eastAsia="fr-FR"/>
        </w:rPr>
        <w:t>Sa i takon kërkesave për azil, gjatë vitit 2023 janë paraqitur për shqyrtim pranë autoritetit përgjegjës në Ministrinë e Brendshme</w:t>
      </w:r>
      <w:r w:rsidR="003062EC" w:rsidRPr="00B457F5">
        <w:rPr>
          <w:rFonts w:ascii="Garamond" w:eastAsia="MS Mincho" w:hAnsi="Garamond" w:cs="Times New Roman"/>
          <w:szCs w:val="24"/>
          <w:lang w:eastAsia="fr-FR"/>
        </w:rPr>
        <w:t>,</w:t>
      </w:r>
      <w:r w:rsidR="00CE7C2E" w:rsidRPr="00B457F5">
        <w:rPr>
          <w:rFonts w:ascii="Garamond" w:eastAsia="MS Mincho" w:hAnsi="Garamond" w:cs="Times New Roman"/>
          <w:szCs w:val="24"/>
          <w:lang w:eastAsia="fr-FR"/>
        </w:rPr>
        <w:t xml:space="preserve"> 31 kërkesa. Ndërsa nga të dhënat e Qendrës Pritëse për Azilkërkues janë paraqitur në qendër si azilkërkues, 256 persona. Lidhur me procedurën e ndjekur autoriteti përgjegjës shqyrton brenda afatit ligjor të gjitha kërkesat për azil të cilat zgjasin mesatarisht 6 muaj.</w:t>
      </w:r>
    </w:p>
    <w:p w14:paraId="0CC7F029" w14:textId="2C0388BF" w:rsidR="00784716" w:rsidRPr="00B457F5" w:rsidRDefault="00784716" w:rsidP="002E693B">
      <w:pPr>
        <w:spacing w:before="0" w:after="0"/>
        <w:ind w:firstLine="284"/>
        <w:rPr>
          <w:rFonts w:ascii="Garamond" w:eastAsia="MS Mincho" w:hAnsi="Garamond" w:cs="Times New Roman"/>
          <w:szCs w:val="24"/>
          <w:lang w:eastAsia="fr-FR"/>
        </w:rPr>
      </w:pPr>
      <w:r w:rsidRPr="00B457F5">
        <w:rPr>
          <w:rFonts w:ascii="Garamond" w:eastAsia="MS Mincho" w:hAnsi="Garamond" w:cs="Times New Roman"/>
          <w:szCs w:val="24"/>
          <w:lang w:eastAsia="fr-FR"/>
        </w:rPr>
        <w:t>Në këtë kontekst, përpjekjet e vazhdueshme dhe të qëndrueshme janë në vazhdim, duke pë</w:t>
      </w:r>
      <w:r w:rsidR="00D64A5A" w:rsidRPr="00B457F5">
        <w:rPr>
          <w:rFonts w:ascii="Garamond" w:eastAsia="MS Mincho" w:hAnsi="Garamond" w:cs="Times New Roman"/>
          <w:szCs w:val="24"/>
          <w:lang w:eastAsia="fr-FR"/>
        </w:rPr>
        <w:t>rfshirë vazhdimin e bashkëpunimit</w:t>
      </w:r>
      <w:r w:rsidRPr="00B457F5">
        <w:rPr>
          <w:rFonts w:ascii="Garamond" w:eastAsia="MS Mincho" w:hAnsi="Garamond" w:cs="Times New Roman"/>
          <w:szCs w:val="24"/>
          <w:lang w:eastAsia="fr-FR"/>
        </w:rPr>
        <w:t xml:space="preserve"> me Agjencinë e Azilit të Bashkimit Evropian (EUAA) </w:t>
      </w:r>
      <w:r w:rsidR="00D64A5A" w:rsidRPr="00B457F5">
        <w:rPr>
          <w:rFonts w:ascii="Garamond" w:eastAsia="MS Mincho" w:hAnsi="Garamond" w:cs="Times New Roman"/>
          <w:szCs w:val="24"/>
          <w:lang w:eastAsia="fr-FR"/>
        </w:rPr>
        <w:t>për të forcuar aksesin në procedurën e azilit përmes identifikimit, informacionit dhe referimit të zgjeruar të aplikantëve të mundshëm për mbrojtje ndërkombëtare dhe personave vulnerabël, si dhe për të përmirësuar cilësinë e vendimmarrjes</w:t>
      </w:r>
      <w:r w:rsidR="00A364F3" w:rsidRPr="00B457F5">
        <w:rPr>
          <w:rFonts w:ascii="Garamond" w:eastAsia="MS Mincho" w:hAnsi="Garamond" w:cs="Times New Roman"/>
          <w:szCs w:val="24"/>
          <w:lang w:eastAsia="fr-FR"/>
        </w:rPr>
        <w:t>,</w:t>
      </w:r>
      <w:r w:rsidR="00D64A5A" w:rsidRPr="00B457F5">
        <w:rPr>
          <w:rFonts w:ascii="Garamond" w:eastAsia="MS Mincho" w:hAnsi="Garamond" w:cs="Times New Roman"/>
          <w:szCs w:val="24"/>
          <w:lang w:eastAsia="fr-FR"/>
        </w:rPr>
        <w:t xml:space="preserve"> duke përforcuar aftësitë teknike të autoriteteve përcaktuese në shkallën e parë dhe të dytë, si dhe duke këshilluar për mekanizmat/flukset e punës për zbatimin më të mirë të procedurave të azilit. </w:t>
      </w:r>
      <w:r w:rsidRPr="00B457F5">
        <w:rPr>
          <w:rFonts w:ascii="Garamond" w:eastAsia="MS Mincho" w:hAnsi="Garamond" w:cs="Times New Roman"/>
          <w:szCs w:val="24"/>
          <w:lang w:eastAsia="fr-FR"/>
        </w:rPr>
        <w:t>Për të adresuar harmonizimin ligjor me BE-në dhe për të kryer detyrat operacionale në mënyrë efektive</w:t>
      </w:r>
      <w:r w:rsidR="00A364F3"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xml:space="preserve"> në fusha të ndryshme të qeverisjes së migracionit, parashikohet të ndërmerren hapa konkretë përmes objektivave specifike.</w:t>
      </w:r>
    </w:p>
    <w:p w14:paraId="701B2E1B" w14:textId="12C9CFAD" w:rsidR="00784716" w:rsidRPr="00B457F5" w:rsidRDefault="00784716" w:rsidP="002E693B">
      <w:pPr>
        <w:spacing w:before="0" w:after="0"/>
        <w:ind w:firstLine="284"/>
        <w:rPr>
          <w:rFonts w:ascii="Garamond" w:eastAsia="MS Mincho" w:hAnsi="Garamond" w:cs="Times New Roman"/>
          <w:i/>
          <w:iCs/>
          <w:szCs w:val="24"/>
          <w:lang w:eastAsia="fr-FR"/>
        </w:rPr>
      </w:pPr>
      <w:r w:rsidRPr="00B457F5">
        <w:rPr>
          <w:rFonts w:ascii="Garamond" w:eastAsia="MS Mincho" w:hAnsi="Garamond" w:cs="Times New Roman"/>
          <w:i/>
          <w:iCs/>
          <w:szCs w:val="24"/>
          <w:lang w:eastAsia="fr-FR"/>
        </w:rPr>
        <w:t xml:space="preserve">Objektivat </w:t>
      </w:r>
      <w:r w:rsidR="004603C3" w:rsidRPr="00B457F5">
        <w:rPr>
          <w:rFonts w:ascii="Garamond" w:eastAsia="MS Mincho" w:hAnsi="Garamond" w:cs="Times New Roman"/>
          <w:i/>
          <w:iCs/>
          <w:szCs w:val="24"/>
          <w:lang w:eastAsia="fr-FR"/>
        </w:rPr>
        <w:t>s</w:t>
      </w:r>
      <w:r w:rsidRPr="00B457F5">
        <w:rPr>
          <w:rFonts w:ascii="Garamond" w:eastAsia="MS Mincho" w:hAnsi="Garamond" w:cs="Times New Roman"/>
          <w:i/>
          <w:iCs/>
          <w:szCs w:val="24"/>
          <w:lang w:eastAsia="fr-FR"/>
        </w:rPr>
        <w:t>pecifik</w:t>
      </w:r>
      <w:r w:rsidR="004603C3" w:rsidRPr="00B457F5">
        <w:rPr>
          <w:rFonts w:ascii="Garamond" w:eastAsia="MS Mincho" w:hAnsi="Garamond" w:cs="Times New Roman"/>
          <w:i/>
          <w:iCs/>
          <w:szCs w:val="24"/>
          <w:lang w:eastAsia="fr-FR"/>
        </w:rPr>
        <w:t>ë</w:t>
      </w:r>
    </w:p>
    <w:p w14:paraId="7EB1F398" w14:textId="3EFD5EE9" w:rsidR="00727323" w:rsidRPr="00B457F5" w:rsidRDefault="00727323" w:rsidP="002E693B">
      <w:pPr>
        <w:spacing w:before="0" w:after="0"/>
        <w:ind w:firstLine="284"/>
        <w:rPr>
          <w:rFonts w:ascii="Garamond" w:eastAsia="MS Mincho" w:hAnsi="Garamond" w:cs="Times New Roman"/>
          <w:bCs/>
          <w:szCs w:val="24"/>
          <w:lang w:eastAsia="fr-FR"/>
        </w:rPr>
      </w:pPr>
      <w:r w:rsidRPr="00B457F5">
        <w:rPr>
          <w:rFonts w:ascii="Garamond" w:eastAsia="MS Mincho" w:hAnsi="Garamond" w:cs="Times New Roman"/>
          <w:bCs/>
          <w:szCs w:val="24"/>
          <w:lang w:eastAsia="fr-FR"/>
        </w:rPr>
        <w:t>Qëllimi i katërt (Forcimi i sistemit të mbrojtjes ndërkombëtare, garantimi i të drejtave të azilkërkuesve dhe refugjatëve dhe ofrimi i zgjidhjeve të qëndrueshme) parashikohet të realizohet nëpërmjet ndjekjes së tre objektivave specifik</w:t>
      </w:r>
      <w:r w:rsidR="00A364F3" w:rsidRPr="00B457F5">
        <w:rPr>
          <w:rFonts w:ascii="Garamond" w:eastAsia="MS Mincho" w:hAnsi="Garamond" w:cs="Times New Roman"/>
          <w:bCs/>
          <w:szCs w:val="24"/>
          <w:lang w:eastAsia="fr-FR"/>
        </w:rPr>
        <w:t>ë</w:t>
      </w:r>
      <w:r w:rsidRPr="00B457F5">
        <w:rPr>
          <w:rFonts w:ascii="Garamond" w:eastAsia="MS Mincho" w:hAnsi="Garamond" w:cs="Times New Roman"/>
          <w:bCs/>
          <w:szCs w:val="24"/>
          <w:lang w:eastAsia="fr-FR"/>
        </w:rPr>
        <w:t>.</w:t>
      </w:r>
    </w:p>
    <w:p w14:paraId="0F7D00CC" w14:textId="77777777" w:rsidR="00324D89" w:rsidRPr="00B457F5" w:rsidRDefault="00324D89" w:rsidP="002E693B">
      <w:pPr>
        <w:spacing w:before="0" w:after="0"/>
        <w:ind w:firstLine="284"/>
        <w:rPr>
          <w:rFonts w:ascii="Garamond" w:eastAsia="MS Mincho" w:hAnsi="Garamond" w:cs="Times New Roman"/>
          <w:bCs/>
          <w:szCs w:val="24"/>
          <w:lang w:eastAsia="fr-FR"/>
        </w:rPr>
      </w:pPr>
    </w:p>
    <w:p w14:paraId="6B01F6CB" w14:textId="7DED8912" w:rsidR="00727323" w:rsidRPr="00B457F5" w:rsidRDefault="00727323" w:rsidP="002E693B">
      <w:pPr>
        <w:spacing w:before="0" w:after="0"/>
        <w:ind w:firstLine="284"/>
        <w:rPr>
          <w:rFonts w:ascii="Garamond" w:eastAsia="MS Mincho" w:hAnsi="Garamond" w:cs="Times New Roman"/>
          <w:i/>
          <w:szCs w:val="24"/>
          <w:lang w:eastAsia="fr-FR"/>
        </w:rPr>
      </w:pPr>
      <w:r w:rsidRPr="00B457F5">
        <w:rPr>
          <w:rFonts w:ascii="Garamond" w:eastAsia="MS Mincho" w:hAnsi="Garamond" w:cs="Times New Roman"/>
          <w:i/>
          <w:szCs w:val="24"/>
          <w:lang w:eastAsia="fr-FR"/>
        </w:rPr>
        <w:t>Fig. 5</w:t>
      </w:r>
      <w:r w:rsidR="004603C3" w:rsidRPr="00B457F5">
        <w:rPr>
          <w:rFonts w:ascii="Garamond" w:eastAsia="MS Mincho" w:hAnsi="Garamond" w:cs="Times New Roman"/>
          <w:i/>
          <w:szCs w:val="24"/>
          <w:lang w:eastAsia="fr-FR"/>
        </w:rPr>
        <w:t>:</w:t>
      </w:r>
      <w:r w:rsidRPr="00B457F5">
        <w:rPr>
          <w:rFonts w:ascii="Garamond" w:eastAsia="MS Mincho" w:hAnsi="Garamond" w:cs="Times New Roman"/>
          <w:i/>
          <w:szCs w:val="24"/>
          <w:lang w:eastAsia="fr-FR"/>
        </w:rPr>
        <w:t xml:space="preserve"> Qëllimi i </w:t>
      </w:r>
      <w:r w:rsidR="004603C3" w:rsidRPr="00B457F5">
        <w:rPr>
          <w:rFonts w:ascii="Garamond" w:eastAsia="MS Mincho" w:hAnsi="Garamond" w:cs="Times New Roman"/>
          <w:i/>
          <w:szCs w:val="24"/>
          <w:lang w:eastAsia="fr-FR"/>
        </w:rPr>
        <w:t>p</w:t>
      </w:r>
      <w:r w:rsidRPr="00B457F5">
        <w:rPr>
          <w:rFonts w:ascii="Garamond" w:eastAsia="MS Mincho" w:hAnsi="Garamond" w:cs="Times New Roman"/>
          <w:i/>
          <w:szCs w:val="24"/>
          <w:lang w:eastAsia="fr-FR"/>
        </w:rPr>
        <w:t>olitikës IV</w:t>
      </w:r>
      <w:r w:rsidR="004603C3" w:rsidRPr="00B457F5">
        <w:rPr>
          <w:rFonts w:ascii="Garamond" w:eastAsia="MS Mincho" w:hAnsi="Garamond" w:cs="Times New Roman"/>
          <w:i/>
          <w:szCs w:val="24"/>
          <w:lang w:eastAsia="fr-FR"/>
        </w:rPr>
        <w:t>.</w:t>
      </w:r>
      <w:r w:rsidRPr="00B457F5">
        <w:rPr>
          <w:rFonts w:ascii="Garamond" w:eastAsia="MS Mincho" w:hAnsi="Garamond" w:cs="Times New Roman"/>
          <w:i/>
          <w:szCs w:val="24"/>
          <w:lang w:eastAsia="fr-FR"/>
        </w:rPr>
        <w:t xml:space="preserve"> Objektivat </w:t>
      </w:r>
      <w:r w:rsidR="004603C3" w:rsidRPr="00B457F5">
        <w:rPr>
          <w:rFonts w:ascii="Garamond" w:eastAsia="MS Mincho" w:hAnsi="Garamond" w:cs="Times New Roman"/>
          <w:i/>
          <w:szCs w:val="24"/>
          <w:lang w:eastAsia="fr-FR"/>
        </w:rPr>
        <w:t>s</w:t>
      </w:r>
      <w:r w:rsidRPr="00B457F5">
        <w:rPr>
          <w:rFonts w:ascii="Garamond" w:eastAsia="MS Mincho" w:hAnsi="Garamond" w:cs="Times New Roman"/>
          <w:i/>
          <w:szCs w:val="24"/>
          <w:lang w:eastAsia="fr-FR"/>
        </w:rPr>
        <w:t>pecifik</w:t>
      </w:r>
      <w:r w:rsidR="004603C3" w:rsidRPr="00B457F5">
        <w:rPr>
          <w:rFonts w:ascii="Garamond" w:eastAsia="MS Mincho" w:hAnsi="Garamond" w:cs="Times New Roman"/>
          <w:i/>
          <w:szCs w:val="24"/>
          <w:lang w:eastAsia="fr-FR"/>
        </w:rPr>
        <w:t>ë</w:t>
      </w:r>
    </w:p>
    <w:p w14:paraId="4565BA70" w14:textId="34AD16C0" w:rsidR="00727323" w:rsidRPr="00B457F5" w:rsidRDefault="001E790C" w:rsidP="002E693B">
      <w:pPr>
        <w:spacing w:before="0" w:after="0"/>
        <w:ind w:firstLine="284"/>
        <w:rPr>
          <w:rFonts w:ascii="Garamond" w:eastAsia="MS Mincho" w:hAnsi="Garamond" w:cs="Times New Roman"/>
          <w:szCs w:val="24"/>
          <w:lang w:eastAsia="fr-FR"/>
        </w:rPr>
      </w:pPr>
      <w:r w:rsidRPr="00B457F5">
        <w:rPr>
          <w:rFonts w:ascii="Garamond" w:eastAsia="MS Mincho" w:hAnsi="Garamond"/>
          <w:b/>
          <w:noProof/>
          <w:szCs w:val="24"/>
        </w:rPr>
        <w:lastRenderedPageBreak/>
        <w:drawing>
          <wp:inline distT="0" distB="0" distL="0" distR="0" wp14:anchorId="29A537A9" wp14:editId="7F797E14">
            <wp:extent cx="5934075" cy="2023533"/>
            <wp:effectExtent l="0" t="0" r="0" b="0"/>
            <wp:docPr id="5" name="Diagram 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14:paraId="6AAE3BB8" w14:textId="77777777" w:rsidR="00727323" w:rsidRPr="00B457F5" w:rsidRDefault="00727323" w:rsidP="002E693B">
      <w:pPr>
        <w:spacing w:before="0" w:after="0"/>
        <w:ind w:firstLine="284"/>
        <w:rPr>
          <w:rFonts w:ascii="Garamond" w:eastAsia="MS Mincho" w:hAnsi="Garamond" w:cs="Times New Roman"/>
          <w:szCs w:val="24"/>
          <w:lang w:eastAsia="fr-FR"/>
        </w:rPr>
      </w:pPr>
      <w:r w:rsidRPr="00B457F5">
        <w:rPr>
          <w:rFonts w:ascii="Garamond" w:eastAsia="MS Mincho" w:hAnsi="Garamond" w:cs="Times New Roman"/>
          <w:szCs w:val="24"/>
          <w:lang w:eastAsia="fr-FR"/>
        </w:rPr>
        <w:t xml:space="preserve"> </w:t>
      </w:r>
    </w:p>
    <w:p w14:paraId="63842B5F" w14:textId="3A729463" w:rsidR="00727323" w:rsidRPr="00B457F5" w:rsidRDefault="00727323" w:rsidP="002E693B">
      <w:pPr>
        <w:spacing w:before="0" w:after="0"/>
        <w:ind w:firstLine="284"/>
        <w:rPr>
          <w:rFonts w:ascii="Garamond" w:eastAsia="MS Mincho" w:hAnsi="Garamond" w:cs="Times New Roman"/>
          <w:bCs/>
          <w:i/>
          <w:szCs w:val="24"/>
          <w:lang w:eastAsia="fr-FR"/>
        </w:rPr>
      </w:pPr>
      <w:r w:rsidRPr="00B457F5">
        <w:rPr>
          <w:rFonts w:ascii="Garamond" w:eastAsia="MS Mincho" w:hAnsi="Garamond" w:cs="Times New Roman"/>
          <w:bCs/>
          <w:i/>
          <w:szCs w:val="24"/>
          <w:lang w:eastAsia="fr-FR"/>
        </w:rPr>
        <w:t xml:space="preserve">Tabela </w:t>
      </w:r>
      <w:r w:rsidR="00784716" w:rsidRPr="00B457F5">
        <w:rPr>
          <w:rFonts w:ascii="Garamond" w:eastAsia="MS Mincho" w:hAnsi="Garamond" w:cs="Times New Roman"/>
          <w:bCs/>
          <w:i/>
          <w:szCs w:val="24"/>
          <w:lang w:eastAsia="fr-FR"/>
        </w:rPr>
        <w:t>8</w:t>
      </w:r>
      <w:r w:rsidRPr="00B457F5">
        <w:rPr>
          <w:rFonts w:ascii="Garamond" w:eastAsia="MS Mincho" w:hAnsi="Garamond" w:cs="Times New Roman"/>
          <w:bCs/>
          <w:i/>
          <w:szCs w:val="24"/>
          <w:lang w:eastAsia="fr-FR"/>
        </w:rPr>
        <w:t xml:space="preserve">. Përafrimi i </w:t>
      </w:r>
      <w:r w:rsidR="004603C3" w:rsidRPr="00B457F5">
        <w:rPr>
          <w:rFonts w:ascii="Garamond" w:eastAsia="MS Mincho" w:hAnsi="Garamond" w:cs="Times New Roman"/>
          <w:bCs/>
          <w:i/>
          <w:szCs w:val="24"/>
          <w:lang w:eastAsia="fr-FR"/>
        </w:rPr>
        <w:t>p</w:t>
      </w:r>
      <w:r w:rsidRPr="00B457F5">
        <w:rPr>
          <w:rFonts w:ascii="Garamond" w:eastAsia="MS Mincho" w:hAnsi="Garamond" w:cs="Times New Roman"/>
          <w:bCs/>
          <w:i/>
          <w:szCs w:val="24"/>
          <w:lang w:eastAsia="fr-FR"/>
        </w:rPr>
        <w:t>olitikës IV me GCR-të</w:t>
      </w:r>
    </w:p>
    <w:p w14:paraId="16161250" w14:textId="3FEA15AA" w:rsidR="001E790C" w:rsidRPr="00B457F5" w:rsidRDefault="001E790C" w:rsidP="002E693B">
      <w:pPr>
        <w:spacing w:before="0" w:after="0"/>
        <w:ind w:firstLine="284"/>
        <w:rPr>
          <w:rFonts w:ascii="Garamond" w:eastAsia="MS Mincho" w:hAnsi="Garamond" w:cs="Times New Roman"/>
          <w:szCs w:val="24"/>
          <w:lang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646"/>
      </w:tblGrid>
      <w:tr w:rsidR="001E790C" w:rsidRPr="00B457F5" w14:paraId="2593472F" w14:textId="77777777" w:rsidTr="00AF4731">
        <w:trPr>
          <w:trHeight w:val="20"/>
        </w:trPr>
        <w:tc>
          <w:tcPr>
            <w:tcW w:w="2499" w:type="pct"/>
            <w:shd w:val="clear" w:color="auto" w:fill="auto"/>
            <w:vAlign w:val="center"/>
          </w:tcPr>
          <w:p w14:paraId="1BB47972" w14:textId="70CCF476" w:rsidR="001E790C" w:rsidRPr="00B457F5" w:rsidRDefault="001E790C" w:rsidP="00AF4731">
            <w:pPr>
              <w:spacing w:before="0" w:after="0"/>
              <w:jc w:val="center"/>
              <w:rPr>
                <w:rFonts w:ascii="Garamond" w:eastAsia="MS Mincho" w:hAnsi="Garamond"/>
                <w:b/>
                <w:bCs/>
                <w:sz w:val="16"/>
                <w:szCs w:val="16"/>
              </w:rPr>
            </w:pPr>
            <w:r w:rsidRPr="00B457F5">
              <w:rPr>
                <w:rFonts w:ascii="Garamond" w:eastAsia="MS Mincho" w:hAnsi="Garamond"/>
                <w:b/>
                <w:bCs/>
                <w:sz w:val="16"/>
                <w:szCs w:val="16"/>
              </w:rPr>
              <w:t>Politika IV</w:t>
            </w:r>
            <w:r w:rsidR="004603C3" w:rsidRPr="00B457F5">
              <w:rPr>
                <w:rFonts w:ascii="Garamond" w:eastAsia="MS Mincho" w:hAnsi="Garamond"/>
                <w:b/>
                <w:bCs/>
                <w:sz w:val="16"/>
                <w:szCs w:val="16"/>
              </w:rPr>
              <w:t>.</w:t>
            </w:r>
            <w:r w:rsidRPr="00B457F5">
              <w:rPr>
                <w:rFonts w:ascii="Garamond" w:eastAsia="MS Mincho" w:hAnsi="Garamond"/>
                <w:b/>
                <w:bCs/>
                <w:sz w:val="16"/>
                <w:szCs w:val="16"/>
              </w:rPr>
              <w:t xml:space="preserve"> Objektivat </w:t>
            </w:r>
            <w:r w:rsidR="004603C3" w:rsidRPr="00B457F5">
              <w:rPr>
                <w:rFonts w:ascii="Garamond" w:eastAsia="MS Mincho" w:hAnsi="Garamond"/>
                <w:b/>
                <w:bCs/>
                <w:sz w:val="16"/>
                <w:szCs w:val="16"/>
              </w:rPr>
              <w:t>s</w:t>
            </w:r>
            <w:r w:rsidRPr="00B457F5">
              <w:rPr>
                <w:rFonts w:ascii="Garamond" w:eastAsia="MS Mincho" w:hAnsi="Garamond"/>
                <w:b/>
                <w:bCs/>
                <w:sz w:val="16"/>
                <w:szCs w:val="16"/>
              </w:rPr>
              <w:t>pecifik</w:t>
            </w:r>
            <w:r w:rsidR="004603C3" w:rsidRPr="00B457F5">
              <w:rPr>
                <w:rFonts w:ascii="Garamond" w:eastAsia="MS Mincho" w:hAnsi="Garamond"/>
                <w:b/>
                <w:bCs/>
                <w:sz w:val="16"/>
                <w:szCs w:val="16"/>
              </w:rPr>
              <w:t>ë</w:t>
            </w:r>
          </w:p>
        </w:tc>
        <w:tc>
          <w:tcPr>
            <w:tcW w:w="2501" w:type="pct"/>
            <w:shd w:val="clear" w:color="auto" w:fill="auto"/>
            <w:vAlign w:val="center"/>
          </w:tcPr>
          <w:p w14:paraId="75A3BCEA" w14:textId="7FAF3C78" w:rsidR="001E790C" w:rsidRPr="00B457F5" w:rsidRDefault="001E790C" w:rsidP="00AF4731">
            <w:pPr>
              <w:spacing w:before="0" w:after="0"/>
              <w:jc w:val="center"/>
              <w:rPr>
                <w:rFonts w:ascii="Garamond" w:eastAsia="MS Mincho" w:hAnsi="Garamond"/>
                <w:b/>
                <w:bCs/>
                <w:sz w:val="16"/>
                <w:szCs w:val="16"/>
              </w:rPr>
            </w:pPr>
            <w:r w:rsidRPr="00B457F5">
              <w:rPr>
                <w:rFonts w:ascii="Garamond" w:eastAsia="MS Mincho" w:hAnsi="Garamond"/>
                <w:b/>
                <w:bCs/>
                <w:sz w:val="16"/>
                <w:szCs w:val="16"/>
              </w:rPr>
              <w:t>Objektivat përkatës</w:t>
            </w:r>
            <w:r w:rsidR="00815CC5" w:rsidRPr="00B457F5">
              <w:rPr>
                <w:rFonts w:ascii="Garamond" w:eastAsia="MS Mincho" w:hAnsi="Garamond"/>
                <w:b/>
                <w:bCs/>
                <w:sz w:val="16"/>
                <w:szCs w:val="16"/>
              </w:rPr>
              <w:t>e</w:t>
            </w:r>
            <w:r w:rsidRPr="00B457F5">
              <w:rPr>
                <w:rFonts w:ascii="Garamond" w:eastAsia="MS Mincho" w:hAnsi="Garamond"/>
                <w:b/>
                <w:bCs/>
                <w:sz w:val="16"/>
                <w:szCs w:val="16"/>
              </w:rPr>
              <w:t xml:space="preserve"> të GCR-</w:t>
            </w:r>
            <w:r w:rsidR="004603C3" w:rsidRPr="00B457F5">
              <w:rPr>
                <w:rFonts w:ascii="Garamond" w:eastAsia="MS Mincho" w:hAnsi="Garamond"/>
                <w:b/>
                <w:bCs/>
                <w:sz w:val="16"/>
                <w:szCs w:val="16"/>
              </w:rPr>
              <w:t>ve</w:t>
            </w:r>
          </w:p>
        </w:tc>
      </w:tr>
      <w:tr w:rsidR="001E790C" w:rsidRPr="00B457F5" w14:paraId="33048BEF" w14:textId="77777777" w:rsidTr="00433841">
        <w:trPr>
          <w:trHeight w:val="20"/>
        </w:trPr>
        <w:tc>
          <w:tcPr>
            <w:tcW w:w="2499" w:type="pct"/>
            <w:shd w:val="clear" w:color="auto" w:fill="auto"/>
          </w:tcPr>
          <w:p w14:paraId="1E1E9863" w14:textId="37E0E6D9" w:rsidR="001E790C" w:rsidRPr="00B457F5" w:rsidRDefault="001E790C" w:rsidP="00433841">
            <w:pPr>
              <w:spacing w:before="0" w:after="0"/>
              <w:rPr>
                <w:rFonts w:ascii="Garamond" w:eastAsia="MS Mincho" w:hAnsi="Garamond"/>
                <w:sz w:val="16"/>
                <w:szCs w:val="16"/>
              </w:rPr>
            </w:pPr>
            <w:r w:rsidRPr="00B457F5">
              <w:rPr>
                <w:rFonts w:ascii="Garamond" w:eastAsia="MS Mincho" w:hAnsi="Garamond"/>
                <w:sz w:val="16"/>
                <w:szCs w:val="16"/>
              </w:rPr>
              <w:t xml:space="preserve">4.1 </w:t>
            </w:r>
            <w:r w:rsidRPr="00B457F5">
              <w:rPr>
                <w:rFonts w:ascii="Garamond" w:hAnsi="Garamond"/>
                <w:sz w:val="16"/>
                <w:szCs w:val="16"/>
              </w:rPr>
              <w:t xml:space="preserve">Përmirësimi </w:t>
            </w:r>
            <w:r w:rsidR="00A364F3" w:rsidRPr="00B457F5">
              <w:rPr>
                <w:rFonts w:ascii="Garamond" w:hAnsi="Garamond"/>
                <w:sz w:val="16"/>
                <w:szCs w:val="16"/>
              </w:rPr>
              <w:t xml:space="preserve">i </w:t>
            </w:r>
            <w:r w:rsidRPr="00B457F5">
              <w:rPr>
                <w:rFonts w:ascii="Garamond" w:hAnsi="Garamond"/>
                <w:sz w:val="16"/>
                <w:szCs w:val="16"/>
              </w:rPr>
              <w:t>efikasitetit, aksesit dhe apelimit në procedurën e azilit</w:t>
            </w:r>
          </w:p>
        </w:tc>
        <w:tc>
          <w:tcPr>
            <w:tcW w:w="2501" w:type="pct"/>
            <w:shd w:val="clear" w:color="auto" w:fill="auto"/>
          </w:tcPr>
          <w:p w14:paraId="16C8DE4A" w14:textId="77777777" w:rsidR="001E790C" w:rsidRPr="00B457F5" w:rsidRDefault="001E790C" w:rsidP="00433841">
            <w:pPr>
              <w:spacing w:before="0" w:after="0"/>
              <w:rPr>
                <w:rFonts w:ascii="Garamond" w:eastAsia="MS Mincho" w:hAnsi="Garamond"/>
                <w:bCs/>
                <w:sz w:val="16"/>
                <w:szCs w:val="16"/>
              </w:rPr>
            </w:pPr>
            <w:r w:rsidRPr="00B457F5">
              <w:rPr>
                <w:rFonts w:ascii="Garamond" w:eastAsia="MS Mincho" w:hAnsi="Garamond"/>
                <w:bCs/>
                <w:sz w:val="16"/>
                <w:szCs w:val="16"/>
              </w:rPr>
              <w:t>1. Leht</w:t>
            </w:r>
            <w:r w:rsidRPr="00B457F5">
              <w:rPr>
                <w:rFonts w:ascii="Garamond" w:hAnsi="Garamond"/>
                <w:sz w:val="16"/>
                <w:szCs w:val="16"/>
              </w:rPr>
              <w:t>ësimi i presioneve ndaj vendeve pritëse</w:t>
            </w:r>
          </w:p>
        </w:tc>
      </w:tr>
      <w:tr w:rsidR="001E790C" w:rsidRPr="00B457F5" w14:paraId="70DEA598" w14:textId="77777777" w:rsidTr="00433841">
        <w:trPr>
          <w:trHeight w:val="20"/>
        </w:trPr>
        <w:tc>
          <w:tcPr>
            <w:tcW w:w="2499" w:type="pct"/>
            <w:shd w:val="clear" w:color="auto" w:fill="auto"/>
          </w:tcPr>
          <w:p w14:paraId="50791B80" w14:textId="57E4D751" w:rsidR="001E790C" w:rsidRPr="00B457F5" w:rsidRDefault="001E790C" w:rsidP="00433841">
            <w:pPr>
              <w:spacing w:before="0" w:after="0"/>
              <w:rPr>
                <w:rFonts w:ascii="Garamond" w:eastAsia="MS Mincho" w:hAnsi="Garamond"/>
                <w:sz w:val="16"/>
                <w:szCs w:val="16"/>
              </w:rPr>
            </w:pPr>
            <w:r w:rsidRPr="00B457F5">
              <w:rPr>
                <w:rFonts w:ascii="Garamond" w:eastAsia="MS Mincho" w:hAnsi="Garamond"/>
                <w:sz w:val="16"/>
                <w:szCs w:val="16"/>
              </w:rPr>
              <w:t>4.2</w:t>
            </w:r>
            <w:r w:rsidR="0006016F" w:rsidRPr="00B457F5">
              <w:rPr>
                <w:rFonts w:ascii="Garamond" w:eastAsia="MS Mincho" w:hAnsi="Garamond"/>
                <w:sz w:val="16"/>
                <w:szCs w:val="16"/>
              </w:rPr>
              <w:t xml:space="preserve"> </w:t>
            </w:r>
            <w:r w:rsidRPr="00B457F5">
              <w:rPr>
                <w:rFonts w:ascii="Garamond" w:hAnsi="Garamond"/>
                <w:sz w:val="16"/>
                <w:szCs w:val="16"/>
              </w:rPr>
              <w:t>Sigurimi i identifikimit, mbrojtjes dhe pritjes</w:t>
            </w:r>
            <w:r w:rsidR="00A364F3" w:rsidRPr="00B457F5">
              <w:rPr>
                <w:rFonts w:ascii="Garamond" w:hAnsi="Garamond"/>
                <w:sz w:val="16"/>
                <w:szCs w:val="16"/>
              </w:rPr>
              <w:t>,</w:t>
            </w:r>
            <w:r w:rsidRPr="00B457F5">
              <w:rPr>
                <w:rFonts w:ascii="Garamond" w:hAnsi="Garamond"/>
                <w:sz w:val="16"/>
                <w:szCs w:val="16"/>
              </w:rPr>
              <w:t xml:space="preserve"> në përputhje me standardet ndërkombëtare për persona</w:t>
            </w:r>
            <w:r w:rsidR="00A364F3" w:rsidRPr="00B457F5">
              <w:rPr>
                <w:rFonts w:ascii="Garamond" w:hAnsi="Garamond"/>
                <w:sz w:val="16"/>
                <w:szCs w:val="16"/>
              </w:rPr>
              <w:t>t</w:t>
            </w:r>
            <w:r w:rsidRPr="00B457F5">
              <w:rPr>
                <w:rFonts w:ascii="Garamond" w:hAnsi="Garamond"/>
                <w:sz w:val="16"/>
                <w:szCs w:val="16"/>
              </w:rPr>
              <w:t xml:space="preserve"> me nevoja të veçanta</w:t>
            </w:r>
          </w:p>
        </w:tc>
        <w:tc>
          <w:tcPr>
            <w:tcW w:w="2501" w:type="pct"/>
            <w:tcBorders>
              <w:bottom w:val="nil"/>
            </w:tcBorders>
            <w:shd w:val="clear" w:color="auto" w:fill="auto"/>
            <w:vAlign w:val="bottom"/>
          </w:tcPr>
          <w:p w14:paraId="5120E8DF" w14:textId="77777777" w:rsidR="001E790C" w:rsidRPr="00B457F5" w:rsidRDefault="001E790C" w:rsidP="00433841">
            <w:pPr>
              <w:spacing w:before="0" w:after="0"/>
              <w:jc w:val="left"/>
              <w:rPr>
                <w:rFonts w:ascii="Garamond" w:eastAsia="MS Mincho" w:hAnsi="Garamond"/>
                <w:sz w:val="16"/>
                <w:szCs w:val="16"/>
              </w:rPr>
            </w:pPr>
            <w:r w:rsidRPr="00B457F5">
              <w:rPr>
                <w:rFonts w:ascii="Garamond" w:eastAsia="MS Mincho" w:hAnsi="Garamond"/>
                <w:sz w:val="16"/>
                <w:szCs w:val="16"/>
              </w:rPr>
              <w:t>2. Rritja e vet</w:t>
            </w:r>
            <w:r w:rsidRPr="00B457F5">
              <w:rPr>
                <w:rFonts w:ascii="Garamond" w:hAnsi="Garamond"/>
                <w:sz w:val="16"/>
                <w:szCs w:val="16"/>
              </w:rPr>
              <w:t>ëbesimit të refugjatëve</w:t>
            </w:r>
          </w:p>
          <w:p w14:paraId="76929803" w14:textId="15FF5A1F" w:rsidR="001E790C" w:rsidRPr="00B457F5" w:rsidRDefault="001E790C" w:rsidP="00433841">
            <w:pPr>
              <w:spacing w:before="0" w:after="0"/>
              <w:jc w:val="left"/>
              <w:rPr>
                <w:rFonts w:ascii="Garamond" w:eastAsia="MS Mincho" w:hAnsi="Garamond"/>
                <w:sz w:val="16"/>
                <w:szCs w:val="16"/>
              </w:rPr>
            </w:pPr>
            <w:r w:rsidRPr="00B457F5">
              <w:rPr>
                <w:rFonts w:ascii="Garamond" w:eastAsia="MS Mincho" w:hAnsi="Garamond"/>
                <w:sz w:val="16"/>
                <w:szCs w:val="16"/>
              </w:rPr>
              <w:t>3.</w:t>
            </w:r>
            <w:r w:rsidR="00A364F3" w:rsidRPr="00B457F5">
              <w:rPr>
                <w:rFonts w:ascii="Garamond" w:eastAsia="MS Mincho" w:hAnsi="Garamond"/>
                <w:sz w:val="16"/>
                <w:szCs w:val="16"/>
              </w:rPr>
              <w:t xml:space="preserve"> </w:t>
            </w:r>
            <w:r w:rsidRPr="00B457F5">
              <w:rPr>
                <w:rFonts w:ascii="Garamond" w:eastAsia="MS Mincho" w:hAnsi="Garamond"/>
                <w:sz w:val="16"/>
                <w:szCs w:val="16"/>
              </w:rPr>
              <w:t>Zgjerimi i aksesit n</w:t>
            </w:r>
            <w:r w:rsidRPr="00B457F5">
              <w:rPr>
                <w:rFonts w:ascii="Garamond" w:hAnsi="Garamond"/>
                <w:sz w:val="16"/>
                <w:szCs w:val="16"/>
              </w:rPr>
              <w:t>ë vendet e treta</w:t>
            </w:r>
          </w:p>
        </w:tc>
      </w:tr>
      <w:tr w:rsidR="001E790C" w:rsidRPr="00B457F5" w14:paraId="26CBA66B" w14:textId="77777777" w:rsidTr="00433841">
        <w:trPr>
          <w:trHeight w:val="20"/>
        </w:trPr>
        <w:tc>
          <w:tcPr>
            <w:tcW w:w="2499" w:type="pct"/>
            <w:shd w:val="clear" w:color="auto" w:fill="auto"/>
          </w:tcPr>
          <w:p w14:paraId="2883B7D3" w14:textId="089D4F7E" w:rsidR="001E790C" w:rsidRPr="00B457F5" w:rsidRDefault="001E790C" w:rsidP="00433841">
            <w:pPr>
              <w:spacing w:before="0" w:after="0"/>
              <w:rPr>
                <w:rFonts w:ascii="Garamond" w:eastAsia="MS Mincho" w:hAnsi="Garamond"/>
                <w:sz w:val="16"/>
                <w:szCs w:val="16"/>
              </w:rPr>
            </w:pPr>
            <w:r w:rsidRPr="00B457F5">
              <w:rPr>
                <w:rFonts w:ascii="Garamond" w:eastAsia="MS Mincho" w:hAnsi="Garamond"/>
                <w:sz w:val="16"/>
                <w:szCs w:val="16"/>
              </w:rPr>
              <w:t>4.3</w:t>
            </w:r>
            <w:r w:rsidR="0006016F" w:rsidRPr="00B457F5">
              <w:rPr>
                <w:rFonts w:ascii="Garamond" w:eastAsia="MS Mincho" w:hAnsi="Garamond"/>
                <w:sz w:val="16"/>
                <w:szCs w:val="16"/>
              </w:rPr>
              <w:t xml:space="preserve"> </w:t>
            </w:r>
            <w:r w:rsidRPr="00B457F5">
              <w:rPr>
                <w:rFonts w:ascii="Garamond" w:hAnsi="Garamond"/>
                <w:sz w:val="16"/>
                <w:szCs w:val="16"/>
              </w:rPr>
              <w:t>Integrimi social</w:t>
            </w:r>
            <w:r w:rsidR="00A364F3" w:rsidRPr="00B457F5">
              <w:rPr>
                <w:rFonts w:ascii="Garamond" w:hAnsi="Garamond"/>
                <w:sz w:val="16"/>
                <w:szCs w:val="16"/>
              </w:rPr>
              <w:t>-</w:t>
            </w:r>
            <w:r w:rsidRPr="00B457F5">
              <w:rPr>
                <w:rFonts w:ascii="Garamond" w:hAnsi="Garamond"/>
                <w:sz w:val="16"/>
                <w:szCs w:val="16"/>
              </w:rPr>
              <w:t>ekonomik i refugjat</w:t>
            </w:r>
            <w:r w:rsidR="00A364F3" w:rsidRPr="00B457F5">
              <w:rPr>
                <w:rFonts w:ascii="Garamond" w:hAnsi="Garamond"/>
                <w:sz w:val="16"/>
                <w:szCs w:val="16"/>
              </w:rPr>
              <w:t>ë</w:t>
            </w:r>
            <w:r w:rsidRPr="00B457F5">
              <w:rPr>
                <w:rFonts w:ascii="Garamond" w:hAnsi="Garamond"/>
                <w:sz w:val="16"/>
                <w:szCs w:val="16"/>
              </w:rPr>
              <w:t>ve dhe azilkërkuesve</w:t>
            </w:r>
          </w:p>
        </w:tc>
        <w:tc>
          <w:tcPr>
            <w:tcW w:w="2501" w:type="pct"/>
            <w:tcBorders>
              <w:top w:val="nil"/>
            </w:tcBorders>
            <w:shd w:val="clear" w:color="auto" w:fill="auto"/>
          </w:tcPr>
          <w:p w14:paraId="602FDA04" w14:textId="77777777" w:rsidR="001E790C" w:rsidRPr="00B457F5" w:rsidRDefault="001E790C" w:rsidP="00433841">
            <w:pPr>
              <w:spacing w:before="0" w:after="0"/>
              <w:rPr>
                <w:rFonts w:ascii="Garamond" w:eastAsia="MS Mincho" w:hAnsi="Garamond"/>
                <w:color w:val="FF0000"/>
                <w:sz w:val="16"/>
                <w:szCs w:val="16"/>
              </w:rPr>
            </w:pPr>
          </w:p>
        </w:tc>
      </w:tr>
    </w:tbl>
    <w:p w14:paraId="124E0396" w14:textId="77777777" w:rsidR="001E790C" w:rsidRPr="00B457F5" w:rsidRDefault="001E790C" w:rsidP="002E693B">
      <w:pPr>
        <w:spacing w:before="0" w:after="0"/>
        <w:ind w:firstLine="284"/>
        <w:rPr>
          <w:rFonts w:ascii="Garamond" w:eastAsia="MS Mincho" w:hAnsi="Garamond" w:cs="Times New Roman"/>
          <w:szCs w:val="24"/>
          <w:lang w:eastAsia="fr-FR"/>
        </w:rPr>
      </w:pPr>
    </w:p>
    <w:p w14:paraId="5E5C5BCC" w14:textId="62CFA0E9" w:rsidR="00727323" w:rsidRPr="00B457F5" w:rsidRDefault="00727323" w:rsidP="002E693B">
      <w:pPr>
        <w:spacing w:before="0" w:after="0"/>
        <w:ind w:firstLine="284"/>
        <w:rPr>
          <w:rFonts w:ascii="Garamond" w:eastAsia="MS Mincho" w:hAnsi="Garamond" w:cs="Times New Roman"/>
          <w:szCs w:val="24"/>
          <w:lang w:eastAsia="fr-FR"/>
        </w:rPr>
      </w:pPr>
      <w:r w:rsidRPr="00B457F5">
        <w:rPr>
          <w:rFonts w:ascii="Garamond" w:eastAsia="MS Mincho" w:hAnsi="Garamond" w:cs="Times New Roman"/>
          <w:szCs w:val="24"/>
          <w:lang w:eastAsia="fr-FR"/>
        </w:rPr>
        <w:t xml:space="preserve">Fushëveprimi i </w:t>
      </w:r>
      <w:r w:rsidR="00815CC5" w:rsidRPr="00B457F5">
        <w:rPr>
          <w:rFonts w:ascii="Garamond" w:eastAsia="MS Mincho" w:hAnsi="Garamond" w:cs="Times New Roman"/>
          <w:i/>
          <w:szCs w:val="24"/>
          <w:lang w:eastAsia="fr-FR"/>
        </w:rPr>
        <w:t>o</w:t>
      </w:r>
      <w:r w:rsidRPr="00B457F5">
        <w:rPr>
          <w:rFonts w:ascii="Garamond" w:eastAsia="MS Mincho" w:hAnsi="Garamond" w:cs="Times New Roman"/>
          <w:i/>
          <w:szCs w:val="24"/>
          <w:lang w:eastAsia="fr-FR"/>
        </w:rPr>
        <w:t>bjektivit specifik 4.1</w:t>
      </w:r>
      <w:r w:rsidRPr="00B457F5">
        <w:rPr>
          <w:rFonts w:ascii="Garamond" w:eastAsia="MS Mincho" w:hAnsi="Garamond" w:cs="Times New Roman"/>
          <w:szCs w:val="24"/>
          <w:lang w:eastAsia="fr-FR"/>
        </w:rPr>
        <w:t xml:space="preserve">: Përmirësimi </w:t>
      </w:r>
      <w:r w:rsidR="00A13FF5" w:rsidRPr="00B457F5">
        <w:rPr>
          <w:rFonts w:ascii="Garamond" w:eastAsia="MS Mincho" w:hAnsi="Garamond" w:cs="Times New Roman"/>
          <w:szCs w:val="24"/>
          <w:lang w:eastAsia="fr-FR"/>
        </w:rPr>
        <w:t xml:space="preserve">i </w:t>
      </w:r>
      <w:r w:rsidRPr="00B457F5">
        <w:rPr>
          <w:rFonts w:ascii="Garamond" w:eastAsia="MS Mincho" w:hAnsi="Garamond" w:cs="Times New Roman"/>
          <w:szCs w:val="24"/>
          <w:lang w:eastAsia="fr-FR"/>
        </w:rPr>
        <w:t>efikasitetit, aksesit dhe apelimit në procedurën e azilit do të kryhet duke bërë fillimisht vlerësimin e kuadrit ligjor kom</w:t>
      </w:r>
      <w:r w:rsidR="00A506E8" w:rsidRPr="00B457F5">
        <w:rPr>
          <w:rFonts w:ascii="Garamond" w:eastAsia="MS Mincho" w:hAnsi="Garamond" w:cs="Times New Roman"/>
          <w:szCs w:val="24"/>
          <w:lang w:eastAsia="fr-FR"/>
        </w:rPr>
        <w:t>bëtar</w:t>
      </w:r>
      <w:r w:rsidR="00A13FF5" w:rsidRPr="00B457F5">
        <w:rPr>
          <w:rFonts w:ascii="Garamond" w:eastAsia="MS Mincho" w:hAnsi="Garamond" w:cs="Times New Roman"/>
          <w:szCs w:val="24"/>
          <w:lang w:eastAsia="fr-FR"/>
        </w:rPr>
        <w:t>,</w:t>
      </w:r>
      <w:r w:rsidR="00A506E8" w:rsidRPr="00B457F5">
        <w:rPr>
          <w:rFonts w:ascii="Garamond" w:eastAsia="MS Mincho" w:hAnsi="Garamond" w:cs="Times New Roman"/>
          <w:szCs w:val="24"/>
          <w:lang w:eastAsia="fr-FR"/>
        </w:rPr>
        <w:t xml:space="preserve"> i cili trajton çështjet e</w:t>
      </w:r>
      <w:r w:rsidRPr="00B457F5">
        <w:rPr>
          <w:rFonts w:ascii="Garamond" w:eastAsia="MS Mincho" w:hAnsi="Garamond" w:cs="Times New Roman"/>
          <w:szCs w:val="24"/>
          <w:lang w:eastAsia="fr-FR"/>
        </w:rPr>
        <w:t xml:space="preserve"> azilit dhe parashikon të drejtat dhe trajtimin e azilkërkuesve</w:t>
      </w:r>
      <w:r w:rsidR="00A13FF5"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xml:space="preserve"> dhe refugjatëve në RSH. Për adresimin, real</w:t>
      </w:r>
      <w:r w:rsidR="00A506E8" w:rsidRPr="00B457F5">
        <w:rPr>
          <w:rFonts w:ascii="Garamond" w:eastAsia="MS Mincho" w:hAnsi="Garamond" w:cs="Times New Roman"/>
          <w:szCs w:val="24"/>
          <w:lang w:eastAsia="fr-FR"/>
        </w:rPr>
        <w:t>izimin dhe arritjen e objektivit specifik,</w:t>
      </w:r>
      <w:r w:rsidRPr="00B457F5">
        <w:rPr>
          <w:rFonts w:ascii="Garamond" w:eastAsia="MS Mincho" w:hAnsi="Garamond" w:cs="Times New Roman"/>
          <w:szCs w:val="24"/>
          <w:lang w:eastAsia="fr-FR"/>
        </w:rPr>
        <w:t xml:space="preserve"> </w:t>
      </w:r>
      <w:r w:rsidR="004603C3" w:rsidRPr="00B457F5">
        <w:rPr>
          <w:rFonts w:ascii="Garamond" w:eastAsia="MS Mincho" w:hAnsi="Garamond" w:cs="Times New Roman"/>
          <w:szCs w:val="24"/>
          <w:lang w:eastAsia="fr-FR"/>
        </w:rPr>
        <w:t>përfshihen</w:t>
      </w:r>
      <w:r w:rsidRPr="00B457F5">
        <w:rPr>
          <w:rFonts w:ascii="Garamond" w:eastAsia="MS Mincho" w:hAnsi="Garamond" w:cs="Times New Roman"/>
          <w:szCs w:val="24"/>
          <w:lang w:eastAsia="fr-FR"/>
        </w:rPr>
        <w:t xml:space="preserve"> masat e mëposhtme prioritare:</w:t>
      </w:r>
    </w:p>
    <w:p w14:paraId="195CFECF" w14:textId="409B52E4" w:rsidR="00151C91" w:rsidRPr="00B457F5" w:rsidRDefault="008F407F"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Wingdings"/>
          <w:color w:val="000000"/>
          <w:szCs w:val="24"/>
        </w:rPr>
        <w:t xml:space="preserve">- </w:t>
      </w:r>
      <w:r w:rsidR="00151C91" w:rsidRPr="00B457F5">
        <w:rPr>
          <w:rFonts w:ascii="Garamond" w:eastAsiaTheme="minorHAnsi" w:hAnsi="Garamond" w:cs="Times New Roman"/>
          <w:color w:val="000000"/>
          <w:szCs w:val="24"/>
        </w:rPr>
        <w:t xml:space="preserve">Rishikimi i akteve nënligjore në zbatim të </w:t>
      </w:r>
      <w:r w:rsidR="00815CC5" w:rsidRPr="00B457F5">
        <w:rPr>
          <w:rFonts w:ascii="Garamond" w:eastAsiaTheme="minorHAnsi" w:hAnsi="Garamond" w:cs="Times New Roman"/>
          <w:color w:val="000000"/>
          <w:szCs w:val="24"/>
        </w:rPr>
        <w:t>ligjit për azilin</w:t>
      </w:r>
      <w:r w:rsidR="00151C91" w:rsidRPr="00B457F5">
        <w:rPr>
          <w:rFonts w:ascii="Garamond" w:eastAsiaTheme="minorHAnsi" w:hAnsi="Garamond" w:cs="Times New Roman"/>
          <w:color w:val="000000"/>
          <w:szCs w:val="24"/>
        </w:rPr>
        <w:t>;</w:t>
      </w:r>
    </w:p>
    <w:p w14:paraId="1FA807E5" w14:textId="43C1F39D" w:rsidR="00151C91" w:rsidRPr="00B457F5" w:rsidRDefault="008F407F"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Wingdings"/>
          <w:color w:val="000000"/>
          <w:szCs w:val="24"/>
        </w:rPr>
        <w:t xml:space="preserve">- </w:t>
      </w:r>
      <w:r w:rsidR="00151C91" w:rsidRPr="00B457F5">
        <w:rPr>
          <w:rFonts w:ascii="Garamond" w:eastAsiaTheme="minorHAnsi" w:hAnsi="Garamond" w:cs="Times New Roman"/>
          <w:color w:val="000000"/>
          <w:szCs w:val="24"/>
        </w:rPr>
        <w:t xml:space="preserve">Amendimi i </w:t>
      </w:r>
      <w:r w:rsidR="004603C3" w:rsidRPr="00B457F5">
        <w:rPr>
          <w:rFonts w:ascii="Garamond" w:eastAsiaTheme="minorHAnsi" w:hAnsi="Garamond" w:cs="Times New Roman"/>
          <w:color w:val="000000"/>
          <w:szCs w:val="24"/>
        </w:rPr>
        <w:t xml:space="preserve">ligjit për azilin </w:t>
      </w:r>
      <w:r w:rsidR="00151C91" w:rsidRPr="00B457F5">
        <w:rPr>
          <w:rFonts w:ascii="Garamond" w:eastAsiaTheme="minorHAnsi" w:hAnsi="Garamond" w:cs="Times New Roman"/>
          <w:color w:val="000000"/>
          <w:szCs w:val="24"/>
        </w:rPr>
        <w:t>dhe vijimin e përafrimit të tij me direktivat e BE</w:t>
      </w:r>
      <w:r w:rsidR="004603C3" w:rsidRPr="00B457F5">
        <w:rPr>
          <w:rFonts w:ascii="Garamond" w:eastAsiaTheme="minorHAnsi" w:hAnsi="Garamond" w:cs="Times New Roman"/>
          <w:color w:val="000000"/>
          <w:szCs w:val="24"/>
        </w:rPr>
        <w:t>-së</w:t>
      </w:r>
      <w:r w:rsidR="00151C91" w:rsidRPr="00B457F5">
        <w:rPr>
          <w:rFonts w:ascii="Garamond" w:eastAsiaTheme="minorHAnsi" w:hAnsi="Garamond" w:cs="Times New Roman"/>
          <w:color w:val="000000"/>
          <w:szCs w:val="24"/>
        </w:rPr>
        <w:t>;</w:t>
      </w:r>
    </w:p>
    <w:p w14:paraId="0C43AB9E" w14:textId="05229C68" w:rsidR="00151C91" w:rsidRPr="00B457F5" w:rsidRDefault="008F407F"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Wingdings"/>
          <w:color w:val="000000"/>
          <w:szCs w:val="24"/>
        </w:rPr>
        <w:t xml:space="preserve">- </w:t>
      </w:r>
      <w:r w:rsidR="00151C91" w:rsidRPr="00B457F5">
        <w:rPr>
          <w:rFonts w:ascii="Garamond" w:eastAsiaTheme="minorHAnsi" w:hAnsi="Garamond" w:cs="Times New Roman"/>
          <w:color w:val="000000"/>
          <w:szCs w:val="24"/>
        </w:rPr>
        <w:t xml:space="preserve">Hartimi i propozimeve për amendimin e ligjeve specifike si </w:t>
      </w:r>
      <w:r w:rsidR="00A313AE" w:rsidRPr="00B457F5">
        <w:rPr>
          <w:rFonts w:ascii="Garamond" w:eastAsiaTheme="minorHAnsi" w:hAnsi="Garamond" w:cs="Times New Roman"/>
          <w:color w:val="000000"/>
          <w:szCs w:val="24"/>
        </w:rPr>
        <w:t>“</w:t>
      </w:r>
      <w:r w:rsidR="00151C91" w:rsidRPr="00B457F5">
        <w:rPr>
          <w:rFonts w:ascii="Garamond" w:eastAsiaTheme="minorHAnsi" w:hAnsi="Garamond" w:cs="Times New Roman"/>
          <w:color w:val="000000"/>
          <w:szCs w:val="24"/>
        </w:rPr>
        <w:t xml:space="preserve">Strehimi </w:t>
      </w:r>
      <w:r w:rsidR="00815CC5" w:rsidRPr="00B457F5">
        <w:rPr>
          <w:rFonts w:ascii="Garamond" w:eastAsiaTheme="minorHAnsi" w:hAnsi="Garamond" w:cs="Times New Roman"/>
          <w:color w:val="000000"/>
          <w:szCs w:val="24"/>
        </w:rPr>
        <w:t>s</w:t>
      </w:r>
      <w:r w:rsidR="00151C91" w:rsidRPr="00B457F5">
        <w:rPr>
          <w:rFonts w:ascii="Garamond" w:eastAsiaTheme="minorHAnsi" w:hAnsi="Garamond" w:cs="Times New Roman"/>
          <w:color w:val="000000"/>
          <w:szCs w:val="24"/>
        </w:rPr>
        <w:t>ocial</w:t>
      </w:r>
      <w:r w:rsidR="00A313AE" w:rsidRPr="00B457F5">
        <w:rPr>
          <w:rFonts w:ascii="Garamond" w:eastAsiaTheme="minorHAnsi" w:hAnsi="Garamond" w:cs="Times New Roman"/>
          <w:color w:val="000000"/>
          <w:szCs w:val="24"/>
        </w:rPr>
        <w:t>”</w:t>
      </w:r>
      <w:r w:rsidR="00A13FF5" w:rsidRPr="00B457F5">
        <w:rPr>
          <w:rFonts w:ascii="Garamond" w:eastAsiaTheme="minorHAnsi" w:hAnsi="Garamond" w:cs="Times New Roman"/>
          <w:color w:val="000000"/>
          <w:szCs w:val="24"/>
        </w:rPr>
        <w:t>,</w:t>
      </w:r>
      <w:r w:rsidR="00151C91" w:rsidRPr="00B457F5">
        <w:rPr>
          <w:rFonts w:ascii="Garamond" w:eastAsiaTheme="minorHAnsi" w:hAnsi="Garamond" w:cs="Times New Roman"/>
          <w:color w:val="000000"/>
          <w:szCs w:val="24"/>
        </w:rPr>
        <w:t xml:space="preserve"> </w:t>
      </w:r>
      <w:r w:rsidR="00A13FF5" w:rsidRPr="00B457F5">
        <w:rPr>
          <w:rFonts w:ascii="Garamond" w:eastAsiaTheme="minorHAnsi" w:hAnsi="Garamond" w:cs="Times New Roman"/>
          <w:color w:val="000000"/>
          <w:szCs w:val="24"/>
        </w:rPr>
        <w:t>l</w:t>
      </w:r>
      <w:r w:rsidR="00151C91" w:rsidRPr="00B457F5">
        <w:rPr>
          <w:rFonts w:ascii="Garamond" w:eastAsiaTheme="minorHAnsi" w:hAnsi="Garamond" w:cs="Times New Roman"/>
          <w:color w:val="000000"/>
          <w:szCs w:val="24"/>
        </w:rPr>
        <w:t xml:space="preserve">igji për mbrojtjen e të drejtave të fëmijëve dhe </w:t>
      </w:r>
      <w:r w:rsidR="00E47A10" w:rsidRPr="00B457F5">
        <w:rPr>
          <w:rFonts w:ascii="Garamond" w:eastAsiaTheme="minorHAnsi" w:hAnsi="Garamond" w:cs="Times New Roman"/>
          <w:color w:val="000000"/>
          <w:szCs w:val="24"/>
        </w:rPr>
        <w:t>l</w:t>
      </w:r>
      <w:r w:rsidR="00151C91" w:rsidRPr="00B457F5">
        <w:rPr>
          <w:rFonts w:ascii="Garamond" w:eastAsiaTheme="minorHAnsi" w:hAnsi="Garamond" w:cs="Times New Roman"/>
          <w:color w:val="000000"/>
          <w:szCs w:val="24"/>
        </w:rPr>
        <w:t>igji i ndihmës ekonomike;</w:t>
      </w:r>
    </w:p>
    <w:p w14:paraId="1B1B948F" w14:textId="59284A0E" w:rsidR="00151C91" w:rsidRPr="00B457F5" w:rsidRDefault="008F407F"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Wingdings"/>
          <w:color w:val="000000"/>
          <w:szCs w:val="24"/>
        </w:rPr>
        <w:t xml:space="preserve">- </w:t>
      </w:r>
      <w:r w:rsidR="00151C91" w:rsidRPr="00B457F5">
        <w:rPr>
          <w:rFonts w:ascii="Garamond" w:eastAsiaTheme="minorHAnsi" w:hAnsi="Garamond" w:cs="Times New Roman"/>
          <w:color w:val="000000"/>
          <w:szCs w:val="24"/>
        </w:rPr>
        <w:t>Hartimi dhe miratimi i Planit të Kontigjencës për t’ju përgjigjur flukseve të përziera migratore.</w:t>
      </w:r>
    </w:p>
    <w:p w14:paraId="345340ED" w14:textId="4703FFA9" w:rsidR="00727323" w:rsidRPr="00B457F5" w:rsidRDefault="00727323" w:rsidP="002E693B">
      <w:pPr>
        <w:spacing w:before="0" w:after="0"/>
        <w:ind w:firstLine="284"/>
        <w:rPr>
          <w:rFonts w:ascii="Garamond" w:eastAsia="MS Mincho" w:hAnsi="Garamond" w:cs="Times New Roman"/>
          <w:szCs w:val="24"/>
          <w:lang w:eastAsia="fr-FR"/>
        </w:rPr>
      </w:pPr>
      <w:r w:rsidRPr="00B457F5">
        <w:rPr>
          <w:rFonts w:ascii="Garamond" w:eastAsia="MS Mincho" w:hAnsi="Garamond" w:cs="Times New Roman"/>
          <w:szCs w:val="24"/>
          <w:lang w:eastAsia="fr-FR"/>
        </w:rPr>
        <w:t>Masat e mësipërme përfshijnë vlerësime paraprake, të cilat shërbejnë për të identifikuar më mirë pengesat aktuale dhe nevojat e paplotësuara për përmirësimin e efikasitet</w:t>
      </w:r>
      <w:r w:rsidR="00A13FF5" w:rsidRPr="00B457F5">
        <w:rPr>
          <w:rFonts w:ascii="Garamond" w:eastAsia="MS Mincho" w:hAnsi="Garamond" w:cs="Times New Roman"/>
          <w:szCs w:val="24"/>
          <w:lang w:eastAsia="fr-FR"/>
        </w:rPr>
        <w:t>it</w:t>
      </w:r>
      <w:r w:rsidRPr="00B457F5">
        <w:rPr>
          <w:rFonts w:ascii="Garamond" w:eastAsia="MS Mincho" w:hAnsi="Garamond" w:cs="Times New Roman"/>
          <w:szCs w:val="24"/>
          <w:lang w:eastAsia="fr-FR"/>
        </w:rPr>
        <w:t xml:space="preserve"> dhe akses</w:t>
      </w:r>
      <w:r w:rsidR="00A13FF5" w:rsidRPr="00B457F5">
        <w:rPr>
          <w:rFonts w:ascii="Garamond" w:eastAsia="MS Mincho" w:hAnsi="Garamond" w:cs="Times New Roman"/>
          <w:szCs w:val="24"/>
          <w:lang w:eastAsia="fr-FR"/>
        </w:rPr>
        <w:t>in</w:t>
      </w:r>
      <w:r w:rsidRPr="00B457F5">
        <w:rPr>
          <w:rFonts w:ascii="Garamond" w:eastAsia="MS Mincho" w:hAnsi="Garamond" w:cs="Times New Roman"/>
          <w:szCs w:val="24"/>
          <w:lang w:eastAsia="fr-FR"/>
        </w:rPr>
        <w:t xml:space="preserve"> në </w:t>
      </w:r>
      <w:r w:rsidR="004603C3" w:rsidRPr="00B457F5">
        <w:rPr>
          <w:rFonts w:ascii="Garamond" w:eastAsia="MS Mincho" w:hAnsi="Garamond" w:cs="Times New Roman"/>
          <w:szCs w:val="24"/>
          <w:lang w:eastAsia="fr-FR"/>
        </w:rPr>
        <w:t>procedurën</w:t>
      </w:r>
      <w:r w:rsidRPr="00B457F5">
        <w:rPr>
          <w:rFonts w:ascii="Garamond" w:eastAsia="MS Mincho" w:hAnsi="Garamond" w:cs="Times New Roman"/>
          <w:szCs w:val="24"/>
          <w:lang w:eastAsia="fr-FR"/>
        </w:rPr>
        <w:t xml:space="preserve"> e azilit. Deri në vitin 2025, </w:t>
      </w:r>
      <w:r w:rsidR="000525AE" w:rsidRPr="00B457F5">
        <w:rPr>
          <w:rFonts w:ascii="Garamond" w:eastAsia="MS Mincho" w:hAnsi="Garamond" w:cs="Times New Roman"/>
          <w:szCs w:val="24"/>
          <w:lang w:eastAsia="fr-FR"/>
        </w:rPr>
        <w:t>MB</w:t>
      </w:r>
      <w:r w:rsidR="00A13FF5" w:rsidRPr="00B457F5">
        <w:rPr>
          <w:rFonts w:ascii="Garamond" w:eastAsia="MS Mincho" w:hAnsi="Garamond" w:cs="Times New Roman"/>
          <w:szCs w:val="24"/>
          <w:lang w:eastAsia="fr-FR"/>
        </w:rPr>
        <w:t>-ja</w:t>
      </w:r>
      <w:r w:rsidR="000525AE" w:rsidRPr="00B457F5">
        <w:rPr>
          <w:rFonts w:ascii="Garamond" w:eastAsia="MS Mincho" w:hAnsi="Garamond" w:cs="Times New Roman"/>
          <w:szCs w:val="24"/>
          <w:lang w:eastAsia="fr-FR"/>
        </w:rPr>
        <w:t xml:space="preserve">, </w:t>
      </w:r>
      <w:r w:rsidRPr="00B457F5">
        <w:rPr>
          <w:rFonts w:ascii="Garamond" w:eastAsia="MS Mincho" w:hAnsi="Garamond" w:cs="Times New Roman"/>
          <w:szCs w:val="24"/>
          <w:lang w:eastAsia="fr-FR"/>
        </w:rPr>
        <w:t>MSHMS</w:t>
      </w:r>
      <w:r w:rsidR="00A13FF5" w:rsidRPr="00B457F5">
        <w:rPr>
          <w:rFonts w:ascii="Garamond" w:eastAsia="MS Mincho" w:hAnsi="Garamond" w:cs="Times New Roman"/>
          <w:szCs w:val="24"/>
          <w:lang w:eastAsia="fr-FR"/>
        </w:rPr>
        <w:t>-ja</w:t>
      </w:r>
      <w:r w:rsidRPr="00B457F5">
        <w:rPr>
          <w:rFonts w:ascii="Garamond" w:eastAsia="MS Mincho" w:hAnsi="Garamond" w:cs="Times New Roman"/>
          <w:szCs w:val="24"/>
          <w:lang w:eastAsia="fr-FR"/>
        </w:rPr>
        <w:t xml:space="preserve">, </w:t>
      </w:r>
      <w:r w:rsidR="00272570" w:rsidRPr="00B457F5">
        <w:rPr>
          <w:rFonts w:ascii="Garamond" w:eastAsia="MS Mincho" w:hAnsi="Garamond" w:cs="Times New Roman"/>
          <w:szCs w:val="24"/>
          <w:lang w:eastAsia="fr-FR"/>
        </w:rPr>
        <w:t>MEKI</w:t>
      </w:r>
      <w:r w:rsidRPr="00B457F5">
        <w:rPr>
          <w:rFonts w:ascii="Garamond" w:eastAsia="MS Mincho" w:hAnsi="Garamond" w:cs="Times New Roman"/>
          <w:szCs w:val="24"/>
          <w:lang w:eastAsia="fr-FR"/>
        </w:rPr>
        <w:t xml:space="preserve"> dhe MEPJ</w:t>
      </w:r>
      <w:r w:rsidR="00A13FF5" w:rsidRPr="00B457F5">
        <w:rPr>
          <w:rFonts w:ascii="Garamond" w:eastAsia="MS Mincho" w:hAnsi="Garamond" w:cs="Times New Roman"/>
          <w:szCs w:val="24"/>
          <w:lang w:eastAsia="fr-FR"/>
        </w:rPr>
        <w:t>-ja</w:t>
      </w:r>
      <w:r w:rsidRPr="00B457F5">
        <w:rPr>
          <w:rFonts w:ascii="Garamond" w:eastAsia="MS Mincho" w:hAnsi="Garamond" w:cs="Times New Roman"/>
          <w:szCs w:val="24"/>
          <w:lang w:eastAsia="fr-FR"/>
        </w:rPr>
        <w:t xml:space="preserve"> duhet të vlerësojnë programet dhe politikat e tyre për amendimin e </w:t>
      </w:r>
      <w:r w:rsidR="00A13FF5" w:rsidRPr="00B457F5">
        <w:rPr>
          <w:rFonts w:ascii="Garamond" w:eastAsia="MS Mincho" w:hAnsi="Garamond" w:cs="Times New Roman"/>
          <w:szCs w:val="24"/>
          <w:lang w:eastAsia="fr-FR"/>
        </w:rPr>
        <w:t xml:space="preserve">ligjit për azilin </w:t>
      </w:r>
      <w:r w:rsidRPr="00B457F5">
        <w:rPr>
          <w:rFonts w:ascii="Garamond" w:eastAsia="MS Mincho" w:hAnsi="Garamond" w:cs="Times New Roman"/>
          <w:szCs w:val="24"/>
          <w:lang w:eastAsia="fr-FR"/>
        </w:rPr>
        <w:t xml:space="preserve">dhe përafrimi i </w:t>
      </w:r>
      <w:r w:rsidR="001C2779" w:rsidRPr="00B457F5">
        <w:rPr>
          <w:rFonts w:ascii="Garamond" w:eastAsia="MS Mincho" w:hAnsi="Garamond" w:cs="Times New Roman"/>
          <w:szCs w:val="24"/>
          <w:lang w:eastAsia="fr-FR"/>
        </w:rPr>
        <w:t>tij me CEAS</w:t>
      </w:r>
      <w:r w:rsidR="00A13FF5"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xml:space="preserve"> për </w:t>
      </w:r>
      <w:r w:rsidR="004603C3" w:rsidRPr="00B457F5">
        <w:rPr>
          <w:rFonts w:ascii="Garamond" w:eastAsia="MS Mincho" w:hAnsi="Garamond" w:cs="Times New Roman"/>
          <w:szCs w:val="24"/>
          <w:lang w:eastAsia="fr-FR"/>
        </w:rPr>
        <w:t>procedurën</w:t>
      </w:r>
      <w:r w:rsidRPr="00B457F5">
        <w:rPr>
          <w:rFonts w:ascii="Garamond" w:eastAsia="MS Mincho" w:hAnsi="Garamond" w:cs="Times New Roman"/>
          <w:szCs w:val="24"/>
          <w:lang w:eastAsia="fr-FR"/>
        </w:rPr>
        <w:t xml:space="preserve"> e azilit. Duke qenë se projektligji është i përafruar pjesërisht parashikohet të bëhen ndryshime në përputhje me</w:t>
      </w:r>
      <w:r w:rsidR="001C2779" w:rsidRPr="00B457F5">
        <w:rPr>
          <w:rFonts w:ascii="Garamond" w:eastAsia="MS Mincho" w:hAnsi="Garamond" w:cs="Times New Roman"/>
          <w:szCs w:val="24"/>
          <w:lang w:eastAsia="fr-FR"/>
        </w:rPr>
        <w:t xml:space="preserve"> korniz</w:t>
      </w:r>
      <w:r w:rsidR="00FC5EB2" w:rsidRPr="00B457F5">
        <w:rPr>
          <w:rFonts w:ascii="Garamond" w:eastAsia="MS Mincho" w:hAnsi="Garamond" w:cs="Times New Roman"/>
          <w:szCs w:val="24"/>
          <w:lang w:eastAsia="fr-FR"/>
        </w:rPr>
        <w:t xml:space="preserve">ën ligjore të BE-së, </w:t>
      </w:r>
      <w:r w:rsidRPr="00B457F5">
        <w:rPr>
          <w:rFonts w:ascii="Garamond" w:eastAsia="MS Mincho" w:hAnsi="Garamond" w:cs="Times New Roman"/>
          <w:szCs w:val="24"/>
          <w:lang w:eastAsia="fr-FR"/>
        </w:rPr>
        <w:t>si më poshtë</w:t>
      </w:r>
      <w:r w:rsidR="00784716" w:rsidRPr="00B457F5">
        <w:rPr>
          <w:rStyle w:val="FootnoteReference"/>
          <w:rFonts w:ascii="Garamond" w:eastAsia="MS Mincho" w:hAnsi="Garamond" w:cs="Times New Roman"/>
          <w:szCs w:val="24"/>
          <w:lang w:eastAsia="fr-FR"/>
        </w:rPr>
        <w:footnoteReference w:id="74"/>
      </w:r>
      <w:r w:rsidR="00FC5EB2" w:rsidRPr="00B457F5">
        <w:rPr>
          <w:rFonts w:ascii="Garamond" w:eastAsia="MS Mincho" w:hAnsi="Garamond" w:cs="Times New Roman"/>
          <w:szCs w:val="24"/>
          <w:lang w:eastAsia="fr-FR"/>
        </w:rPr>
        <w:t xml:space="preserve"> dhe </w:t>
      </w:r>
      <w:r w:rsidR="004603C3" w:rsidRPr="00B457F5">
        <w:rPr>
          <w:rFonts w:ascii="Garamond" w:eastAsia="MS Mincho" w:hAnsi="Garamond" w:cs="Times New Roman"/>
          <w:szCs w:val="24"/>
          <w:lang w:eastAsia="fr-FR"/>
        </w:rPr>
        <w:t>standardet</w:t>
      </w:r>
      <w:r w:rsidR="00FC5EB2" w:rsidRPr="00B457F5">
        <w:rPr>
          <w:rFonts w:ascii="Garamond" w:eastAsia="MS Mincho" w:hAnsi="Garamond" w:cs="Times New Roman"/>
          <w:szCs w:val="24"/>
          <w:lang w:eastAsia="fr-FR"/>
        </w:rPr>
        <w:t>.</w:t>
      </w:r>
    </w:p>
    <w:p w14:paraId="6B5EA34F" w14:textId="7D56330D" w:rsidR="00727323" w:rsidRPr="00B457F5" w:rsidRDefault="00727323" w:rsidP="002E693B">
      <w:pPr>
        <w:spacing w:before="0" w:after="0"/>
        <w:ind w:firstLine="284"/>
        <w:rPr>
          <w:rFonts w:ascii="Garamond" w:eastAsia="MS Mincho" w:hAnsi="Garamond" w:cs="Times New Roman"/>
          <w:szCs w:val="24"/>
          <w:lang w:eastAsia="fr-FR"/>
        </w:rPr>
      </w:pPr>
      <w:r w:rsidRPr="00B457F5">
        <w:rPr>
          <w:rFonts w:ascii="Garamond" w:eastAsia="MS Mincho" w:hAnsi="Garamond" w:cs="Times New Roman"/>
          <w:szCs w:val="24"/>
          <w:lang w:eastAsia="fr-FR"/>
        </w:rPr>
        <w:t>Një tjetër masë prioritare (4.1.2) për arritjen e objektiv</w:t>
      </w:r>
      <w:r w:rsidR="004603C3" w:rsidRPr="00B457F5">
        <w:rPr>
          <w:rFonts w:ascii="Garamond" w:eastAsia="MS Mincho" w:hAnsi="Garamond" w:cs="Times New Roman"/>
          <w:szCs w:val="24"/>
          <w:lang w:eastAsia="fr-FR"/>
        </w:rPr>
        <w:t>it</w:t>
      </w:r>
      <w:r w:rsidRPr="00B457F5">
        <w:rPr>
          <w:rFonts w:ascii="Garamond" w:eastAsia="MS Mincho" w:hAnsi="Garamond" w:cs="Times New Roman"/>
          <w:szCs w:val="24"/>
          <w:lang w:eastAsia="fr-FR"/>
        </w:rPr>
        <w:t xml:space="preserve"> specifik është sigurimi i praktikave të thjeshta dhe </w:t>
      </w:r>
      <w:r w:rsidR="004603C3" w:rsidRPr="00B457F5">
        <w:rPr>
          <w:rFonts w:ascii="Garamond" w:eastAsia="MS Mincho" w:hAnsi="Garamond" w:cs="Times New Roman"/>
          <w:szCs w:val="24"/>
          <w:lang w:eastAsia="fr-FR"/>
        </w:rPr>
        <w:t>standarde</w:t>
      </w:r>
      <w:r w:rsidRPr="00B457F5">
        <w:rPr>
          <w:rFonts w:ascii="Garamond" w:eastAsia="MS Mincho" w:hAnsi="Garamond" w:cs="Times New Roman"/>
          <w:szCs w:val="24"/>
          <w:lang w:eastAsia="fr-FR"/>
        </w:rPr>
        <w:t xml:space="preserve"> për aksesin në azil dhe </w:t>
      </w:r>
      <w:r w:rsidR="004603C3" w:rsidRPr="00B457F5">
        <w:rPr>
          <w:rFonts w:ascii="Garamond" w:eastAsia="MS Mincho" w:hAnsi="Garamond" w:cs="Times New Roman"/>
          <w:szCs w:val="24"/>
          <w:lang w:eastAsia="fr-FR"/>
        </w:rPr>
        <w:t>procedurat</w:t>
      </w:r>
      <w:r w:rsidRPr="00B457F5">
        <w:rPr>
          <w:rFonts w:ascii="Garamond" w:eastAsia="MS Mincho" w:hAnsi="Garamond" w:cs="Times New Roman"/>
          <w:szCs w:val="24"/>
          <w:lang w:eastAsia="fr-FR"/>
        </w:rPr>
        <w:t xml:space="preserve"> e ankimit. Brenda vitit 2024, hartimi i formateve </w:t>
      </w:r>
      <w:r w:rsidR="004603C3" w:rsidRPr="00B457F5">
        <w:rPr>
          <w:rFonts w:ascii="Garamond" w:eastAsia="MS Mincho" w:hAnsi="Garamond" w:cs="Times New Roman"/>
          <w:szCs w:val="24"/>
          <w:lang w:eastAsia="fr-FR"/>
        </w:rPr>
        <w:t>standarde</w:t>
      </w:r>
      <w:r w:rsidRPr="00B457F5">
        <w:rPr>
          <w:rFonts w:ascii="Garamond" w:eastAsia="MS Mincho" w:hAnsi="Garamond" w:cs="Times New Roman"/>
          <w:szCs w:val="24"/>
          <w:lang w:eastAsia="fr-FR"/>
        </w:rPr>
        <w:t xml:space="preserve"> për aplikimin në gjuhët </w:t>
      </w:r>
      <w:r w:rsidR="004603C3" w:rsidRPr="00B457F5">
        <w:rPr>
          <w:rFonts w:ascii="Garamond" w:eastAsia="MS Mincho" w:hAnsi="Garamond" w:cs="Times New Roman"/>
          <w:szCs w:val="24"/>
          <w:lang w:eastAsia="fr-FR"/>
        </w:rPr>
        <w:t>kryesore</w:t>
      </w:r>
      <w:r w:rsidRPr="00B457F5">
        <w:rPr>
          <w:rFonts w:ascii="Garamond" w:eastAsia="MS Mincho" w:hAnsi="Garamond" w:cs="Times New Roman"/>
          <w:szCs w:val="24"/>
          <w:lang w:eastAsia="fr-FR"/>
        </w:rPr>
        <w:t xml:space="preserve"> për mbrojtje ndërkombëtare dhe për formate</w:t>
      </w:r>
      <w:r w:rsidR="00A13FF5" w:rsidRPr="00B457F5">
        <w:rPr>
          <w:rFonts w:ascii="Garamond" w:eastAsia="MS Mincho" w:hAnsi="Garamond" w:cs="Times New Roman"/>
          <w:szCs w:val="24"/>
          <w:lang w:eastAsia="fr-FR"/>
        </w:rPr>
        <w:t>t</w:t>
      </w:r>
      <w:r w:rsidRPr="00B457F5">
        <w:rPr>
          <w:rFonts w:ascii="Garamond" w:eastAsia="MS Mincho" w:hAnsi="Garamond" w:cs="Times New Roman"/>
          <w:szCs w:val="24"/>
          <w:lang w:eastAsia="fr-FR"/>
        </w:rPr>
        <w:t xml:space="preserve"> </w:t>
      </w:r>
      <w:r w:rsidR="00A13FF5" w:rsidRPr="00B457F5">
        <w:rPr>
          <w:rFonts w:ascii="Garamond" w:eastAsia="MS Mincho" w:hAnsi="Garamond" w:cs="Times New Roman"/>
          <w:szCs w:val="24"/>
          <w:lang w:eastAsia="fr-FR"/>
        </w:rPr>
        <w:t>t</w:t>
      </w:r>
      <w:r w:rsidR="007A3726">
        <w:rPr>
          <w:rFonts w:ascii="Garamond" w:eastAsia="MS Mincho" w:hAnsi="Garamond" w:cs="Times New Roman"/>
          <w:szCs w:val="24"/>
          <w:lang w:eastAsia="fr-FR"/>
        </w:rPr>
        <w:t>ë</w:t>
      </w:r>
      <w:bookmarkStart w:id="56" w:name="_GoBack"/>
      <w:bookmarkEnd w:id="56"/>
      <w:r w:rsidRPr="00B457F5">
        <w:rPr>
          <w:rFonts w:ascii="Garamond" w:eastAsia="MS Mincho" w:hAnsi="Garamond" w:cs="Times New Roman"/>
          <w:szCs w:val="24"/>
          <w:lang w:eastAsia="fr-FR"/>
        </w:rPr>
        <w:t xml:space="preserve"> ankimit sipas parashikimeve ligjore. Nën udhëheqjen e MB</w:t>
      </w:r>
      <w:r w:rsidR="004603C3" w:rsidRPr="00B457F5">
        <w:rPr>
          <w:rFonts w:ascii="Garamond" w:eastAsia="MS Mincho" w:hAnsi="Garamond" w:cs="Times New Roman"/>
          <w:szCs w:val="24"/>
          <w:lang w:eastAsia="fr-FR"/>
        </w:rPr>
        <w:t>-së</w:t>
      </w:r>
      <w:r w:rsidRPr="00B457F5">
        <w:rPr>
          <w:rFonts w:ascii="Garamond" w:eastAsia="MS Mincho" w:hAnsi="Garamond" w:cs="Times New Roman"/>
          <w:szCs w:val="24"/>
          <w:lang w:eastAsia="fr-FR"/>
        </w:rPr>
        <w:t>, prioritetet afatshkurtra për 2024</w:t>
      </w:r>
      <w:r w:rsidR="004603C3" w:rsidRPr="00B457F5">
        <w:rPr>
          <w:rStyle w:val="contentpasted1"/>
          <w:rFonts w:ascii="Garamond" w:hAnsi="Garamond" w:cs="Times New Roman"/>
          <w:color w:val="000000"/>
        </w:rPr>
        <w:t>–</w:t>
      </w:r>
      <w:r w:rsidRPr="00B457F5">
        <w:rPr>
          <w:rFonts w:ascii="Garamond" w:eastAsia="MS Mincho" w:hAnsi="Garamond" w:cs="Times New Roman"/>
          <w:szCs w:val="24"/>
          <w:lang w:eastAsia="fr-FR"/>
        </w:rPr>
        <w:t>2025 përfshijnë prodhimi</w:t>
      </w:r>
      <w:r w:rsidR="00A13FF5" w:rsidRPr="00B457F5">
        <w:rPr>
          <w:rFonts w:ascii="Garamond" w:eastAsia="MS Mincho" w:hAnsi="Garamond" w:cs="Times New Roman"/>
          <w:szCs w:val="24"/>
          <w:lang w:eastAsia="fr-FR"/>
        </w:rPr>
        <w:t>n</w:t>
      </w:r>
      <w:r w:rsidRPr="00B457F5">
        <w:rPr>
          <w:rFonts w:ascii="Garamond" w:eastAsia="MS Mincho" w:hAnsi="Garamond" w:cs="Times New Roman"/>
          <w:szCs w:val="24"/>
          <w:lang w:eastAsia="fr-FR"/>
        </w:rPr>
        <w:t xml:space="preserve"> </w:t>
      </w:r>
      <w:r w:rsidR="00A13FF5" w:rsidRPr="00B457F5">
        <w:rPr>
          <w:rFonts w:ascii="Garamond" w:eastAsia="MS Mincho" w:hAnsi="Garamond" w:cs="Times New Roman"/>
          <w:szCs w:val="24"/>
          <w:lang w:eastAsia="fr-FR"/>
        </w:rPr>
        <w:t>e</w:t>
      </w:r>
      <w:r w:rsidRPr="00B457F5">
        <w:rPr>
          <w:rFonts w:ascii="Garamond" w:eastAsia="MS Mincho" w:hAnsi="Garamond" w:cs="Times New Roman"/>
          <w:szCs w:val="24"/>
          <w:lang w:eastAsia="fr-FR"/>
        </w:rPr>
        <w:t xml:space="preserve"> materialeve informuese për kushtet, të drej</w:t>
      </w:r>
      <w:r w:rsidR="004603C3" w:rsidRPr="00B457F5">
        <w:rPr>
          <w:rFonts w:ascii="Garamond" w:eastAsia="MS Mincho" w:hAnsi="Garamond" w:cs="Times New Roman"/>
          <w:szCs w:val="24"/>
          <w:lang w:eastAsia="fr-FR"/>
        </w:rPr>
        <w:t>t</w:t>
      </w:r>
      <w:r w:rsidRPr="00B457F5">
        <w:rPr>
          <w:rFonts w:ascii="Garamond" w:eastAsia="MS Mincho" w:hAnsi="Garamond" w:cs="Times New Roman"/>
          <w:szCs w:val="24"/>
          <w:lang w:eastAsia="fr-FR"/>
        </w:rPr>
        <w:t>at dhe detyrimet nga procesi i azilit dhe vendosja në të gjitha pikat e kalimit kufitar, si dhe ofrimin e shërbimeve zyrtare</w:t>
      </w:r>
      <w:r w:rsidR="009143B4" w:rsidRPr="00B457F5">
        <w:rPr>
          <w:rFonts w:ascii="Garamond" w:eastAsia="MS Mincho" w:hAnsi="Garamond" w:cs="Times New Roman"/>
          <w:szCs w:val="24"/>
          <w:lang w:eastAsia="fr-FR"/>
        </w:rPr>
        <w:t xml:space="preserve"> të përkthimit për </w:t>
      </w:r>
      <w:r w:rsidR="004603C3" w:rsidRPr="00B457F5">
        <w:rPr>
          <w:rFonts w:ascii="Garamond" w:eastAsia="MS Mincho" w:hAnsi="Garamond" w:cs="Times New Roman"/>
          <w:szCs w:val="24"/>
          <w:lang w:eastAsia="fr-FR"/>
        </w:rPr>
        <w:t>t’ju</w:t>
      </w:r>
      <w:r w:rsidR="009143B4" w:rsidRPr="00B457F5">
        <w:rPr>
          <w:rFonts w:ascii="Garamond" w:eastAsia="MS Mincho" w:hAnsi="Garamond" w:cs="Times New Roman"/>
          <w:szCs w:val="24"/>
          <w:lang w:eastAsia="fr-FR"/>
        </w:rPr>
        <w:t xml:space="preserve"> përgjigjur më mirë nevojave të</w:t>
      </w:r>
      <w:r w:rsidRPr="00B457F5">
        <w:rPr>
          <w:rFonts w:ascii="Garamond" w:eastAsia="MS Mincho" w:hAnsi="Garamond" w:cs="Times New Roman"/>
          <w:szCs w:val="24"/>
          <w:lang w:eastAsia="fr-FR"/>
        </w:rPr>
        <w:t xml:space="preserve"> migrantëve për </w:t>
      </w:r>
      <w:r w:rsidR="004603C3" w:rsidRPr="00B457F5">
        <w:rPr>
          <w:rFonts w:ascii="Garamond" w:eastAsia="MS Mincho" w:hAnsi="Garamond" w:cs="Times New Roman"/>
          <w:szCs w:val="24"/>
          <w:lang w:eastAsia="fr-FR"/>
        </w:rPr>
        <w:t>procedurat</w:t>
      </w:r>
      <w:r w:rsidRPr="00B457F5">
        <w:rPr>
          <w:rFonts w:ascii="Garamond" w:eastAsia="MS Mincho" w:hAnsi="Garamond" w:cs="Times New Roman"/>
          <w:szCs w:val="24"/>
          <w:lang w:eastAsia="fr-FR"/>
        </w:rPr>
        <w:t xml:space="preserve"> e azilit. Deri në vitin 2026, do të ofrohet përkthim zyrtar dhe mbështe</w:t>
      </w:r>
      <w:r w:rsidR="005A2C88" w:rsidRPr="00B457F5">
        <w:rPr>
          <w:rFonts w:ascii="Garamond" w:eastAsia="MS Mincho" w:hAnsi="Garamond" w:cs="Times New Roman"/>
          <w:szCs w:val="24"/>
          <w:lang w:eastAsia="fr-FR"/>
        </w:rPr>
        <w:t>tje ligjore në kufi për personat</w:t>
      </w:r>
      <w:r w:rsidRPr="00B457F5">
        <w:rPr>
          <w:rFonts w:ascii="Garamond" w:eastAsia="MS Mincho" w:hAnsi="Garamond" w:cs="Times New Roman"/>
          <w:szCs w:val="24"/>
          <w:lang w:eastAsia="fr-FR"/>
        </w:rPr>
        <w:t xml:space="preserve"> që kërkojnë mbrojtje </w:t>
      </w:r>
      <w:r w:rsidR="004603C3" w:rsidRPr="00B457F5">
        <w:rPr>
          <w:rFonts w:ascii="Garamond" w:eastAsia="MS Mincho" w:hAnsi="Garamond" w:cs="Times New Roman"/>
          <w:szCs w:val="24"/>
          <w:lang w:eastAsia="fr-FR"/>
        </w:rPr>
        <w:t>ndërkombëtare</w:t>
      </w:r>
      <w:r w:rsidRPr="00B457F5">
        <w:rPr>
          <w:rFonts w:ascii="Garamond" w:eastAsia="MS Mincho" w:hAnsi="Garamond" w:cs="Times New Roman"/>
          <w:szCs w:val="24"/>
          <w:lang w:eastAsia="fr-FR"/>
        </w:rPr>
        <w:t xml:space="preserve">. </w:t>
      </w:r>
      <w:r w:rsidR="009143B4" w:rsidRPr="00B457F5">
        <w:rPr>
          <w:rFonts w:ascii="Garamond" w:eastAsia="MS Mincho" w:hAnsi="Garamond" w:cs="Times New Roman"/>
          <w:szCs w:val="24"/>
          <w:lang w:eastAsia="fr-FR"/>
        </w:rPr>
        <w:t xml:space="preserve">Për më tepër, Udhërrëfyesi i gjeneratës së ardhshme për Bashkëpunimin midis </w:t>
      </w:r>
      <w:r w:rsidR="009143B4" w:rsidRPr="00B457F5">
        <w:rPr>
          <w:rFonts w:ascii="Garamond" w:eastAsia="MS Mincho" w:hAnsi="Garamond" w:cs="Times New Roman"/>
          <w:szCs w:val="24"/>
          <w:lang w:eastAsia="fr-FR"/>
        </w:rPr>
        <w:lastRenderedPageBreak/>
        <w:t>EUAA dhe Shqipërisë parashikohet të miratohet në vitin 2024, me një kohëzgjatje zbatimi prej 3 vjetësh. Ky partneritet midis EUAA dhe Ministrisë së Brendshme do të vazhdojë të forcojë sistemet e azilit dhe pritjes</w:t>
      </w:r>
      <w:r w:rsidR="00E7517F" w:rsidRPr="00B457F5">
        <w:rPr>
          <w:rFonts w:ascii="Garamond" w:eastAsia="MS Mincho" w:hAnsi="Garamond" w:cs="Times New Roman"/>
          <w:szCs w:val="24"/>
          <w:lang w:eastAsia="fr-FR"/>
        </w:rPr>
        <w:t>,</w:t>
      </w:r>
      <w:r w:rsidR="009143B4" w:rsidRPr="00B457F5">
        <w:rPr>
          <w:rFonts w:ascii="Garamond" w:eastAsia="MS Mincho" w:hAnsi="Garamond" w:cs="Times New Roman"/>
          <w:szCs w:val="24"/>
          <w:lang w:eastAsia="fr-FR"/>
        </w:rPr>
        <w:t xml:space="preserve"> në përputhje me Sistemin e Përbashkët Evropian të Azilit dhe standardet e BE-së.</w:t>
      </w:r>
    </w:p>
    <w:p w14:paraId="69CF5D8F" w14:textId="5F5B542A" w:rsidR="00727323" w:rsidRPr="00B457F5" w:rsidRDefault="00727323" w:rsidP="002E693B">
      <w:pPr>
        <w:spacing w:before="0" w:after="0"/>
        <w:ind w:firstLine="284"/>
        <w:rPr>
          <w:rFonts w:ascii="Garamond" w:eastAsia="MS Mincho" w:hAnsi="Garamond" w:cs="Times New Roman"/>
          <w:szCs w:val="24"/>
          <w:lang w:eastAsia="fr-FR"/>
        </w:rPr>
      </w:pPr>
      <w:r w:rsidRPr="00B457F5">
        <w:rPr>
          <w:rFonts w:ascii="Garamond" w:eastAsia="MS Mincho" w:hAnsi="Garamond" w:cs="Times New Roman"/>
          <w:szCs w:val="24"/>
          <w:lang w:eastAsia="fr-FR"/>
        </w:rPr>
        <w:t xml:space="preserve">Në përputhje me qasjen e përgjithshme, strategjia gjithashtu parashikon edhe masën e tretë prioritare (4.1.3) </w:t>
      </w:r>
      <w:r w:rsidRPr="00B457F5">
        <w:rPr>
          <w:rFonts w:ascii="Garamond" w:eastAsia="MS Mincho" w:hAnsi="Garamond" w:cs="Times New Roman"/>
          <w:i/>
          <w:iCs/>
          <w:szCs w:val="24"/>
          <w:lang w:eastAsia="fr-FR"/>
        </w:rPr>
        <w:t>rritjen e kapacite</w:t>
      </w:r>
      <w:r w:rsidR="00E7517F" w:rsidRPr="00B457F5">
        <w:rPr>
          <w:rFonts w:ascii="Garamond" w:eastAsia="MS Mincho" w:hAnsi="Garamond" w:cs="Times New Roman"/>
          <w:i/>
          <w:iCs/>
          <w:szCs w:val="24"/>
          <w:lang w:eastAsia="fr-FR"/>
        </w:rPr>
        <w:t>te</w:t>
      </w:r>
      <w:r w:rsidRPr="00B457F5">
        <w:rPr>
          <w:rFonts w:ascii="Garamond" w:eastAsia="MS Mincho" w:hAnsi="Garamond" w:cs="Times New Roman"/>
          <w:i/>
          <w:iCs/>
          <w:szCs w:val="24"/>
          <w:lang w:eastAsia="fr-FR"/>
        </w:rPr>
        <w:t>ve të stafit përgjegjës për procedurat e azilit.</w:t>
      </w:r>
      <w:r w:rsidRPr="00B457F5">
        <w:rPr>
          <w:rFonts w:ascii="Garamond" w:eastAsia="MS Mincho" w:hAnsi="Garamond" w:cs="Times New Roman"/>
          <w:szCs w:val="24"/>
          <w:lang w:eastAsia="fr-FR"/>
        </w:rPr>
        <w:t xml:space="preserve"> Për arritjen e objektiv</w:t>
      </w:r>
      <w:r w:rsidR="004603C3" w:rsidRPr="00B457F5">
        <w:rPr>
          <w:rFonts w:ascii="Garamond" w:eastAsia="MS Mincho" w:hAnsi="Garamond" w:cs="Times New Roman"/>
          <w:szCs w:val="24"/>
          <w:lang w:eastAsia="fr-FR"/>
        </w:rPr>
        <w:t>it</w:t>
      </w:r>
      <w:r w:rsidRPr="00B457F5">
        <w:rPr>
          <w:rFonts w:ascii="Garamond" w:eastAsia="MS Mincho" w:hAnsi="Garamond" w:cs="Times New Roman"/>
          <w:szCs w:val="24"/>
          <w:lang w:eastAsia="fr-FR"/>
        </w:rPr>
        <w:t xml:space="preserve"> specifik është parashikuar organizimi i trajnimeve të vazhdueshme të oficerëve në kufi</w:t>
      </w:r>
      <w:r w:rsidR="00E7517F"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xml:space="preserve"> lidhur me aksesin në procedurat e azilit dhe të autoritetit për azilin</w:t>
      </w:r>
      <w:r w:rsidR="00E7517F"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xml:space="preserve"> për shqyrtimin e aplikim</w:t>
      </w:r>
      <w:r w:rsidR="004603C3" w:rsidRPr="00B457F5">
        <w:rPr>
          <w:rFonts w:ascii="Garamond" w:eastAsia="MS Mincho" w:hAnsi="Garamond" w:cs="Times New Roman"/>
          <w:szCs w:val="24"/>
          <w:lang w:eastAsia="fr-FR"/>
        </w:rPr>
        <w:t>e</w:t>
      </w:r>
      <w:r w:rsidRPr="00B457F5">
        <w:rPr>
          <w:rFonts w:ascii="Garamond" w:eastAsia="MS Mincho" w:hAnsi="Garamond" w:cs="Times New Roman"/>
          <w:szCs w:val="24"/>
          <w:lang w:eastAsia="fr-FR"/>
        </w:rPr>
        <w:t>ve dhe marrjen e vendimeve der</w:t>
      </w:r>
      <w:r w:rsidR="004603C3" w:rsidRPr="00B457F5">
        <w:rPr>
          <w:rFonts w:ascii="Garamond" w:eastAsia="MS Mincho" w:hAnsi="Garamond" w:cs="Times New Roman"/>
          <w:szCs w:val="24"/>
          <w:lang w:eastAsia="fr-FR"/>
        </w:rPr>
        <w:t>i</w:t>
      </w:r>
      <w:r w:rsidRPr="00B457F5">
        <w:rPr>
          <w:rFonts w:ascii="Garamond" w:eastAsia="MS Mincho" w:hAnsi="Garamond" w:cs="Times New Roman"/>
          <w:szCs w:val="24"/>
          <w:lang w:eastAsia="fr-FR"/>
        </w:rPr>
        <w:t xml:space="preserve"> në vitin 2026. Përgjatë vitit 2024, me mbështetjen e të gjitha ministrive të linjës</w:t>
      </w:r>
      <w:r w:rsidR="00E7517F"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xml:space="preserve"> do të hartohet një </w:t>
      </w:r>
      <w:r w:rsidR="00E7517F" w:rsidRPr="00B457F5">
        <w:rPr>
          <w:rFonts w:ascii="Garamond" w:eastAsia="MS Mincho" w:hAnsi="Garamond" w:cs="Times New Roman"/>
          <w:szCs w:val="24"/>
          <w:lang w:eastAsia="fr-FR"/>
        </w:rPr>
        <w:t>u</w:t>
      </w:r>
      <w:r w:rsidRPr="00B457F5">
        <w:rPr>
          <w:rFonts w:ascii="Garamond" w:eastAsia="MS Mincho" w:hAnsi="Garamond" w:cs="Times New Roman"/>
          <w:szCs w:val="24"/>
          <w:lang w:eastAsia="fr-FR"/>
        </w:rPr>
        <w:t>dhërrëfyes për koordinimin ndërinst</w:t>
      </w:r>
      <w:r w:rsidR="004603C3" w:rsidRPr="00B457F5">
        <w:rPr>
          <w:rFonts w:ascii="Garamond" w:eastAsia="MS Mincho" w:hAnsi="Garamond" w:cs="Times New Roman"/>
          <w:szCs w:val="24"/>
          <w:lang w:eastAsia="fr-FR"/>
        </w:rPr>
        <w:t>it</w:t>
      </w:r>
      <w:r w:rsidRPr="00B457F5">
        <w:rPr>
          <w:rFonts w:ascii="Garamond" w:eastAsia="MS Mincho" w:hAnsi="Garamond" w:cs="Times New Roman"/>
          <w:szCs w:val="24"/>
          <w:lang w:eastAsia="fr-FR"/>
        </w:rPr>
        <w:t>ucional për procedurat e azilit. Po kështu, gjatë 2024</w:t>
      </w:r>
      <w:r w:rsidR="00E7517F" w:rsidRPr="00B457F5">
        <w:rPr>
          <w:rFonts w:ascii="Garamond" w:eastAsia="MS Mincho" w:hAnsi="Garamond" w:cs="Times New Roman"/>
          <w:szCs w:val="24"/>
          <w:lang w:eastAsia="fr-FR"/>
        </w:rPr>
        <w:t>-s</w:t>
      </w:r>
      <w:r w:rsidRPr="00B457F5">
        <w:rPr>
          <w:rFonts w:ascii="Garamond" w:eastAsia="MS Mincho" w:hAnsi="Garamond" w:cs="Times New Roman"/>
          <w:szCs w:val="24"/>
          <w:lang w:eastAsia="fr-FR"/>
        </w:rPr>
        <w:t xml:space="preserve"> për shqyrtimin e aplikimeve për azil me efikasitet dhe për</w:t>
      </w:r>
      <w:r w:rsidR="0009653B" w:rsidRPr="00B457F5">
        <w:rPr>
          <w:rFonts w:ascii="Garamond" w:eastAsia="MS Mincho" w:hAnsi="Garamond" w:cs="Times New Roman"/>
          <w:szCs w:val="24"/>
          <w:lang w:eastAsia="fr-FR"/>
        </w:rPr>
        <w:t xml:space="preserve"> t’iu </w:t>
      </w:r>
      <w:r w:rsidRPr="00B457F5">
        <w:rPr>
          <w:rFonts w:ascii="Garamond" w:eastAsia="MS Mincho" w:hAnsi="Garamond" w:cs="Times New Roman"/>
          <w:szCs w:val="24"/>
          <w:lang w:eastAsia="fr-FR"/>
        </w:rPr>
        <w:t>përgjigjur brenda afateve të parashikuara aplikimeve</w:t>
      </w:r>
      <w:r w:rsidR="00E7517F"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xml:space="preserve"> do të rritet numri i stafit në Drejtorinë për Azilin dhe Shtetësinë</w:t>
      </w:r>
      <w:r w:rsidR="00C31971"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xml:space="preserve"> në Ministrinë e Brendshme.</w:t>
      </w:r>
    </w:p>
    <w:p w14:paraId="1F595C40" w14:textId="209957A9" w:rsidR="00727323" w:rsidRPr="00B457F5" w:rsidRDefault="00727323" w:rsidP="002E693B">
      <w:pPr>
        <w:spacing w:before="0" w:after="0"/>
        <w:ind w:firstLine="284"/>
        <w:rPr>
          <w:rFonts w:ascii="Garamond" w:eastAsia="MS Mincho" w:hAnsi="Garamond" w:cs="Times New Roman"/>
          <w:szCs w:val="24"/>
          <w:lang w:eastAsia="fr-FR"/>
        </w:rPr>
      </w:pPr>
      <w:r w:rsidRPr="00B457F5">
        <w:rPr>
          <w:rFonts w:ascii="Garamond" w:eastAsia="MS Mincho" w:hAnsi="Garamond" w:cs="Times New Roman"/>
          <w:i/>
          <w:szCs w:val="24"/>
          <w:lang w:eastAsia="fr-FR"/>
        </w:rPr>
        <w:t>Objektivi i dytë specifik (</w:t>
      </w:r>
      <w:r w:rsidR="004603C3" w:rsidRPr="00B457F5">
        <w:rPr>
          <w:rFonts w:ascii="Garamond" w:eastAsia="MS Mincho" w:hAnsi="Garamond" w:cs="Times New Roman"/>
          <w:i/>
          <w:szCs w:val="24"/>
          <w:lang w:eastAsia="fr-FR"/>
        </w:rPr>
        <w:t>s</w:t>
      </w:r>
      <w:r w:rsidRPr="00B457F5">
        <w:rPr>
          <w:rFonts w:ascii="Garamond" w:eastAsia="MS Mincho" w:hAnsi="Garamond" w:cs="Times New Roman"/>
          <w:i/>
          <w:szCs w:val="24"/>
          <w:lang w:eastAsia="fr-FR"/>
        </w:rPr>
        <w:t>igurimi i identifikimit, mbrojtjes dhe pritjes</w:t>
      </w:r>
      <w:r w:rsidR="00E7517F" w:rsidRPr="00B457F5">
        <w:rPr>
          <w:rFonts w:ascii="Garamond" w:eastAsia="MS Mincho" w:hAnsi="Garamond" w:cs="Times New Roman"/>
          <w:i/>
          <w:szCs w:val="24"/>
          <w:lang w:eastAsia="fr-FR"/>
        </w:rPr>
        <w:t>,</w:t>
      </w:r>
      <w:r w:rsidRPr="00B457F5">
        <w:rPr>
          <w:rFonts w:ascii="Garamond" w:eastAsia="MS Mincho" w:hAnsi="Garamond" w:cs="Times New Roman"/>
          <w:i/>
          <w:szCs w:val="24"/>
          <w:lang w:eastAsia="fr-FR"/>
        </w:rPr>
        <w:t xml:space="preserve"> në përputhje me standardet ndërkombëtare për persona</w:t>
      </w:r>
      <w:r w:rsidR="00E7517F" w:rsidRPr="00B457F5">
        <w:rPr>
          <w:rFonts w:ascii="Garamond" w:eastAsia="MS Mincho" w:hAnsi="Garamond" w:cs="Times New Roman"/>
          <w:i/>
          <w:szCs w:val="24"/>
          <w:lang w:eastAsia="fr-FR"/>
        </w:rPr>
        <w:t>t</w:t>
      </w:r>
      <w:r w:rsidRPr="00B457F5">
        <w:rPr>
          <w:rFonts w:ascii="Garamond" w:eastAsia="MS Mincho" w:hAnsi="Garamond" w:cs="Times New Roman"/>
          <w:i/>
          <w:szCs w:val="24"/>
          <w:lang w:eastAsia="fr-FR"/>
        </w:rPr>
        <w:t xml:space="preserve"> me nevoja të veçanta),</w:t>
      </w:r>
      <w:r w:rsidRPr="00B457F5">
        <w:rPr>
          <w:rFonts w:ascii="Garamond" w:eastAsia="MS Mincho" w:hAnsi="Garamond" w:cs="Times New Roman"/>
          <w:szCs w:val="24"/>
          <w:lang w:eastAsia="fr-FR"/>
        </w:rPr>
        <w:t xml:space="preserve"> synon të sigurojë efektivitet gjatë procedurave, ofrim efikas të shërbimeve dhe mbrojtje në situata të cenueshme, të fëmijëve, të rinjve, të moshuarve dhe personave me aftësi </w:t>
      </w:r>
      <w:r w:rsidR="00C31971" w:rsidRPr="00B457F5">
        <w:rPr>
          <w:rFonts w:ascii="Garamond" w:eastAsia="MS Mincho" w:hAnsi="Garamond" w:cs="Times New Roman"/>
          <w:szCs w:val="24"/>
          <w:lang w:eastAsia="fr-FR"/>
        </w:rPr>
        <w:t>të kufizuara. Objektivi specifik</w:t>
      </w:r>
      <w:r w:rsidRPr="00B457F5">
        <w:rPr>
          <w:rFonts w:ascii="Garamond" w:eastAsia="MS Mincho" w:hAnsi="Garamond" w:cs="Times New Roman"/>
          <w:szCs w:val="24"/>
          <w:lang w:eastAsia="fr-FR"/>
        </w:rPr>
        <w:t xml:space="preserve"> 4.2 parashikon tre masa prioritare për të përmbushur të drejtën e të gjithë individëve për një identitet ligjor</w:t>
      </w:r>
      <w:r w:rsidR="00E7517F"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xml:space="preserve"> duke u ofruar të gjithë shtetasve prova të shtetësisë dhe dokumentacionin përkatës.</w:t>
      </w:r>
    </w:p>
    <w:p w14:paraId="7DCE12A8" w14:textId="35C49F79" w:rsidR="00727323" w:rsidRPr="00B457F5" w:rsidRDefault="00727323" w:rsidP="002E693B">
      <w:pPr>
        <w:spacing w:before="0" w:after="0"/>
        <w:ind w:firstLine="284"/>
        <w:rPr>
          <w:rFonts w:ascii="Garamond" w:eastAsia="MS Mincho" w:hAnsi="Garamond" w:cs="Times New Roman"/>
          <w:szCs w:val="24"/>
          <w:lang w:eastAsia="fr-FR"/>
        </w:rPr>
      </w:pPr>
      <w:r w:rsidRPr="00B457F5">
        <w:rPr>
          <w:rFonts w:ascii="Garamond" w:eastAsia="MS Mincho" w:hAnsi="Garamond" w:cs="Times New Roman"/>
          <w:szCs w:val="24"/>
          <w:lang w:eastAsia="fr-FR"/>
        </w:rPr>
        <w:t xml:space="preserve">Si masë e parë prioritare 4.2.1 parashikohet </w:t>
      </w:r>
      <w:r w:rsidRPr="00B457F5">
        <w:rPr>
          <w:rFonts w:ascii="Garamond" w:eastAsia="MS Mincho" w:hAnsi="Garamond" w:cs="Times New Roman"/>
          <w:i/>
          <w:szCs w:val="24"/>
          <w:lang w:eastAsia="fr-FR"/>
        </w:rPr>
        <w:t>identifikimi i shpejtë i personave me nevoja të</w:t>
      </w:r>
      <w:r w:rsidR="00C3328A" w:rsidRPr="00B457F5">
        <w:rPr>
          <w:rFonts w:ascii="Garamond" w:eastAsia="MS Mincho" w:hAnsi="Garamond" w:cs="Times New Roman"/>
          <w:i/>
          <w:szCs w:val="24"/>
          <w:lang w:eastAsia="fr-FR"/>
        </w:rPr>
        <w:t xml:space="preserve"> veçanta gjatë procedurave të pë</w:t>
      </w:r>
      <w:r w:rsidRPr="00B457F5">
        <w:rPr>
          <w:rFonts w:ascii="Garamond" w:eastAsia="MS Mincho" w:hAnsi="Garamond" w:cs="Times New Roman"/>
          <w:i/>
          <w:szCs w:val="24"/>
          <w:lang w:eastAsia="fr-FR"/>
        </w:rPr>
        <w:t>rzgjedhjes</w:t>
      </w:r>
      <w:r w:rsidR="00E7517F"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xml:space="preserve"> duke hartuar procedura </w:t>
      </w:r>
      <w:r w:rsidR="004603C3" w:rsidRPr="00B457F5">
        <w:rPr>
          <w:rFonts w:ascii="Garamond" w:eastAsia="MS Mincho" w:hAnsi="Garamond" w:cs="Times New Roman"/>
          <w:szCs w:val="24"/>
          <w:lang w:eastAsia="fr-FR"/>
        </w:rPr>
        <w:t>standarde</w:t>
      </w:r>
      <w:r w:rsidRPr="00B457F5">
        <w:rPr>
          <w:rFonts w:ascii="Garamond" w:eastAsia="MS Mincho" w:hAnsi="Garamond" w:cs="Times New Roman"/>
          <w:szCs w:val="24"/>
          <w:lang w:eastAsia="fr-FR"/>
        </w:rPr>
        <w:t>, me tregues të qartë për i</w:t>
      </w:r>
      <w:r w:rsidR="00C3328A" w:rsidRPr="00B457F5">
        <w:rPr>
          <w:rFonts w:ascii="Garamond" w:eastAsia="MS Mincho" w:hAnsi="Garamond" w:cs="Times New Roman"/>
          <w:szCs w:val="24"/>
          <w:lang w:eastAsia="fr-FR"/>
        </w:rPr>
        <w:t>dentifikimin e grupeve vulnerabë</w:t>
      </w:r>
      <w:r w:rsidRPr="00B457F5">
        <w:rPr>
          <w:rFonts w:ascii="Garamond" w:eastAsia="MS Mincho" w:hAnsi="Garamond" w:cs="Times New Roman"/>
          <w:szCs w:val="24"/>
          <w:lang w:eastAsia="fr-FR"/>
        </w:rPr>
        <w:t>l në kufi. Deri në vitin 2026, pritet përmirësim në nivelin dhe cilësinë e ofrimit të ndihmës jurid</w:t>
      </w:r>
      <w:r w:rsidR="00EF4C89" w:rsidRPr="00B457F5">
        <w:rPr>
          <w:rFonts w:ascii="Garamond" w:eastAsia="MS Mincho" w:hAnsi="Garamond" w:cs="Times New Roman"/>
          <w:szCs w:val="24"/>
          <w:lang w:eastAsia="fr-FR"/>
        </w:rPr>
        <w:t>ike falas për të gjithë aplikantët për mbrojtje ndërkombëtare</w:t>
      </w:r>
      <w:r w:rsidRPr="00B457F5">
        <w:rPr>
          <w:rFonts w:ascii="Garamond" w:eastAsia="MS Mincho" w:hAnsi="Garamond" w:cs="Times New Roman"/>
          <w:szCs w:val="24"/>
          <w:lang w:eastAsia="fr-FR"/>
        </w:rPr>
        <w:t xml:space="preserve"> dhe shërbimeve të specializuara psikologjike, rehabilituese dhe këshilluese për personat që kanë përjetuar dhunë, abuzim, shfrytëzim seksual dhe trafikim, përkatësisht ofrimi i përkthimit të licencuar zyrtar dhe ndihmës psikologjike për grupet vulnerabël në procesin e përzgjedhjes/</w:t>
      </w:r>
      <w:r w:rsidRPr="00B457F5">
        <w:rPr>
          <w:rFonts w:ascii="Garamond" w:eastAsia="MS Mincho" w:hAnsi="Garamond" w:cs="Times New Roman"/>
          <w:i/>
          <w:szCs w:val="24"/>
          <w:lang w:eastAsia="fr-FR"/>
        </w:rPr>
        <w:t>prescreening</w:t>
      </w:r>
      <w:r w:rsidRPr="00B457F5">
        <w:rPr>
          <w:rFonts w:ascii="Garamond" w:eastAsia="MS Mincho" w:hAnsi="Garamond" w:cs="Times New Roman"/>
          <w:szCs w:val="24"/>
          <w:lang w:eastAsia="fr-FR"/>
        </w:rPr>
        <w:t xml:space="preserve">. Një hap tjetër për të siguruar marrjen </w:t>
      </w:r>
      <w:r w:rsidR="002F161A" w:rsidRPr="00B457F5">
        <w:rPr>
          <w:rFonts w:ascii="Garamond" w:eastAsia="MS Mincho" w:hAnsi="Garamond" w:cs="Times New Roman"/>
          <w:szCs w:val="24"/>
          <w:lang w:eastAsia="fr-FR"/>
        </w:rPr>
        <w:t>e masave të duhura për personat</w:t>
      </w:r>
      <w:r w:rsidRPr="00B457F5">
        <w:rPr>
          <w:rFonts w:ascii="Garamond" w:eastAsia="MS Mincho" w:hAnsi="Garamond" w:cs="Times New Roman"/>
          <w:szCs w:val="24"/>
          <w:lang w:eastAsia="fr-FR"/>
        </w:rPr>
        <w:t xml:space="preserve"> me nevoja të veçanta është edhe trajnimi i oficerëve të policisë në kufi për komunikimin etik dhe efektiv me grupet vulnerabël.</w:t>
      </w:r>
    </w:p>
    <w:p w14:paraId="279A4D75" w14:textId="06FEC7BF" w:rsidR="00727323" w:rsidRPr="00B457F5" w:rsidRDefault="00727323" w:rsidP="002E693B">
      <w:pPr>
        <w:spacing w:before="0" w:after="0"/>
        <w:ind w:firstLine="284"/>
        <w:rPr>
          <w:rFonts w:ascii="Garamond" w:eastAsia="MS Mincho" w:hAnsi="Garamond" w:cs="Times New Roman"/>
          <w:szCs w:val="24"/>
          <w:lang w:eastAsia="fr-FR"/>
        </w:rPr>
      </w:pPr>
      <w:r w:rsidRPr="00B457F5">
        <w:rPr>
          <w:rFonts w:ascii="Garamond" w:eastAsia="MS Mincho" w:hAnsi="Garamond" w:cs="Times New Roman"/>
          <w:szCs w:val="24"/>
          <w:lang w:eastAsia="fr-FR"/>
        </w:rPr>
        <w:t>Masa e dytë prioritare (</w:t>
      </w:r>
      <w:r w:rsidR="00E7517F" w:rsidRPr="00B457F5">
        <w:rPr>
          <w:rFonts w:ascii="Garamond" w:eastAsia="MS Mincho" w:hAnsi="Garamond" w:cs="Times New Roman"/>
          <w:i/>
          <w:szCs w:val="24"/>
          <w:lang w:eastAsia="fr-FR"/>
        </w:rPr>
        <w:t>p</w:t>
      </w:r>
      <w:r w:rsidRPr="00B457F5">
        <w:rPr>
          <w:rFonts w:ascii="Garamond" w:eastAsia="MS Mincho" w:hAnsi="Garamond" w:cs="Times New Roman"/>
          <w:i/>
          <w:szCs w:val="24"/>
          <w:lang w:eastAsia="fr-FR"/>
        </w:rPr>
        <w:t>ërmirësimi i infrastrukturë</w:t>
      </w:r>
      <w:r w:rsidR="00C3328A" w:rsidRPr="00B457F5">
        <w:rPr>
          <w:rFonts w:ascii="Garamond" w:eastAsia="MS Mincho" w:hAnsi="Garamond" w:cs="Times New Roman"/>
          <w:i/>
          <w:szCs w:val="24"/>
          <w:lang w:eastAsia="fr-FR"/>
        </w:rPr>
        <w:t>s</w:t>
      </w:r>
      <w:r w:rsidRPr="00B457F5">
        <w:rPr>
          <w:rFonts w:ascii="Garamond" w:eastAsia="MS Mincho" w:hAnsi="Garamond" w:cs="Times New Roman"/>
          <w:i/>
          <w:szCs w:val="24"/>
          <w:lang w:eastAsia="fr-FR"/>
        </w:rPr>
        <w:t xml:space="preserve"> dhe burime</w:t>
      </w:r>
      <w:r w:rsidR="00C3328A" w:rsidRPr="00B457F5">
        <w:rPr>
          <w:rFonts w:ascii="Garamond" w:eastAsia="MS Mincho" w:hAnsi="Garamond" w:cs="Times New Roman"/>
          <w:i/>
          <w:szCs w:val="24"/>
          <w:lang w:eastAsia="fr-FR"/>
        </w:rPr>
        <w:t>ve njerëzore në qe</w:t>
      </w:r>
      <w:r w:rsidRPr="00B457F5">
        <w:rPr>
          <w:rFonts w:ascii="Garamond" w:eastAsia="MS Mincho" w:hAnsi="Garamond" w:cs="Times New Roman"/>
          <w:i/>
          <w:szCs w:val="24"/>
          <w:lang w:eastAsia="fr-FR"/>
        </w:rPr>
        <w:t>ndrat pritëse dhe tranzitore për të siguruar plotësimin e nevojave të grupeve vulnerabël</w:t>
      </w:r>
      <w:r w:rsidRPr="00B457F5">
        <w:rPr>
          <w:rFonts w:ascii="Garamond" w:eastAsia="MS Mincho" w:hAnsi="Garamond" w:cs="Times New Roman"/>
          <w:szCs w:val="24"/>
          <w:lang w:eastAsia="fr-FR"/>
        </w:rPr>
        <w:t>) synon përshtatjen e infrastrukturës në qendrat pritëse për</w:t>
      </w:r>
      <w:r w:rsidR="002F161A" w:rsidRPr="00B457F5">
        <w:rPr>
          <w:rFonts w:ascii="Garamond" w:eastAsia="MS Mincho" w:hAnsi="Garamond" w:cs="Times New Roman"/>
          <w:szCs w:val="24"/>
          <w:lang w:eastAsia="fr-FR"/>
        </w:rPr>
        <w:t xml:space="preserve"> personat me nevoja të veçanta</w:t>
      </w:r>
      <w:r w:rsidR="00E7517F"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xml:space="preserve"> në përputhje</w:t>
      </w:r>
      <w:r w:rsidR="00DF42F5" w:rsidRPr="00B457F5">
        <w:rPr>
          <w:rFonts w:ascii="Garamond" w:eastAsia="MS Mincho" w:hAnsi="Garamond" w:cs="Times New Roman"/>
          <w:szCs w:val="24"/>
          <w:lang w:eastAsia="fr-FR"/>
        </w:rPr>
        <w:t xml:space="preserve"> me standardet ndërkombëtare</w:t>
      </w:r>
      <w:r w:rsidRPr="00B457F5">
        <w:rPr>
          <w:rFonts w:ascii="Garamond" w:eastAsia="MS Mincho" w:hAnsi="Garamond" w:cs="Times New Roman"/>
          <w:szCs w:val="24"/>
          <w:lang w:eastAsia="fr-FR"/>
        </w:rPr>
        <w:t xml:space="preserve">. </w:t>
      </w:r>
      <w:r w:rsidR="00BA160E" w:rsidRPr="00B457F5">
        <w:rPr>
          <w:rFonts w:ascii="Garamond" w:eastAsia="MS Mincho" w:hAnsi="Garamond" w:cs="Times New Roman"/>
          <w:szCs w:val="24"/>
          <w:lang w:eastAsia="fr-FR"/>
        </w:rPr>
        <w:t>Në kuadër të përgjigje</w:t>
      </w:r>
      <w:r w:rsidRPr="00B457F5">
        <w:rPr>
          <w:rFonts w:ascii="Garamond" w:eastAsia="MS Mincho" w:hAnsi="Garamond" w:cs="Times New Roman"/>
          <w:szCs w:val="24"/>
          <w:lang w:eastAsia="fr-FR"/>
        </w:rPr>
        <w:t>s s</w:t>
      </w:r>
      <w:r w:rsidR="008A2119" w:rsidRPr="00B457F5">
        <w:rPr>
          <w:rFonts w:ascii="Garamond" w:eastAsia="MS Mincho" w:hAnsi="Garamond" w:cs="Times New Roman"/>
          <w:szCs w:val="24"/>
          <w:lang w:eastAsia="fr-FR"/>
        </w:rPr>
        <w:t>ë nevojave të grupeve vulnerabël</w:t>
      </w:r>
      <w:r w:rsidRPr="00B457F5">
        <w:rPr>
          <w:rFonts w:ascii="Garamond" w:eastAsia="MS Mincho" w:hAnsi="Garamond" w:cs="Times New Roman"/>
          <w:szCs w:val="24"/>
          <w:lang w:eastAsia="fr-FR"/>
        </w:rPr>
        <w:t xml:space="preserve">, </w:t>
      </w:r>
      <w:r w:rsidR="008A2119" w:rsidRPr="00B457F5">
        <w:rPr>
          <w:rFonts w:ascii="Garamond" w:eastAsia="MS Mincho" w:hAnsi="Garamond" w:cs="Times New Roman"/>
          <w:szCs w:val="24"/>
          <w:lang w:eastAsia="fr-FR"/>
        </w:rPr>
        <w:t>Ministria e Brendshme</w:t>
      </w:r>
      <w:r w:rsidR="000525AE" w:rsidRPr="00B457F5">
        <w:rPr>
          <w:rFonts w:ascii="Garamond" w:eastAsia="MS Mincho" w:hAnsi="Garamond" w:cs="Times New Roman"/>
          <w:szCs w:val="24"/>
          <w:lang w:eastAsia="fr-FR"/>
        </w:rPr>
        <w:t xml:space="preserve">, </w:t>
      </w:r>
      <w:r w:rsidRPr="00B457F5">
        <w:rPr>
          <w:rFonts w:ascii="Garamond" w:eastAsia="MS Mincho" w:hAnsi="Garamond" w:cs="Times New Roman"/>
          <w:szCs w:val="24"/>
          <w:lang w:eastAsia="fr-FR"/>
        </w:rPr>
        <w:t>me mbështetjen e</w:t>
      </w:r>
      <w:r w:rsidR="000525AE" w:rsidRPr="00B457F5">
        <w:rPr>
          <w:rFonts w:ascii="Garamond" w:eastAsia="MS Mincho" w:hAnsi="Garamond" w:cs="Times New Roman"/>
          <w:szCs w:val="24"/>
          <w:lang w:eastAsia="fr-FR"/>
        </w:rPr>
        <w:t xml:space="preserve"> </w:t>
      </w:r>
      <w:r w:rsidR="008A2119" w:rsidRPr="00B457F5">
        <w:rPr>
          <w:rFonts w:ascii="Garamond" w:eastAsia="MS Mincho" w:hAnsi="Garamond" w:cs="Times New Roman"/>
          <w:szCs w:val="24"/>
          <w:lang w:eastAsia="fr-FR"/>
        </w:rPr>
        <w:t>MSHMS</w:t>
      </w:r>
      <w:r w:rsidR="00E7517F" w:rsidRPr="00B457F5">
        <w:rPr>
          <w:rFonts w:ascii="Garamond" w:eastAsia="MS Mincho" w:hAnsi="Garamond" w:cs="Times New Roman"/>
          <w:szCs w:val="24"/>
          <w:lang w:eastAsia="fr-FR"/>
        </w:rPr>
        <w:t>-së</w:t>
      </w:r>
      <w:r w:rsidR="008A2119" w:rsidRPr="00B457F5">
        <w:rPr>
          <w:rFonts w:ascii="Garamond" w:eastAsia="MS Mincho" w:hAnsi="Garamond" w:cs="Times New Roman"/>
          <w:szCs w:val="24"/>
          <w:lang w:eastAsia="fr-FR"/>
        </w:rPr>
        <w:t xml:space="preserve">, </w:t>
      </w:r>
      <w:r w:rsidR="000525AE" w:rsidRPr="00B457F5">
        <w:rPr>
          <w:rFonts w:ascii="Garamond" w:eastAsia="MS Mincho" w:hAnsi="Garamond" w:cs="Times New Roman"/>
          <w:szCs w:val="24"/>
          <w:lang w:eastAsia="fr-FR"/>
        </w:rPr>
        <w:t>EUAA, UNHCR</w:t>
      </w:r>
      <w:r w:rsidR="00E7517F" w:rsidRPr="00B457F5">
        <w:rPr>
          <w:rFonts w:ascii="Garamond" w:eastAsia="MS Mincho" w:hAnsi="Garamond" w:cs="Times New Roman"/>
          <w:szCs w:val="24"/>
          <w:lang w:eastAsia="fr-FR"/>
        </w:rPr>
        <w:t>-së</w:t>
      </w:r>
      <w:r w:rsidR="000525AE" w:rsidRPr="00B457F5">
        <w:rPr>
          <w:rFonts w:ascii="Garamond" w:eastAsia="MS Mincho" w:hAnsi="Garamond" w:cs="Times New Roman"/>
          <w:szCs w:val="24"/>
          <w:lang w:eastAsia="fr-FR"/>
        </w:rPr>
        <w:t xml:space="preserve"> dhe IOM</w:t>
      </w:r>
      <w:r w:rsidR="00E7517F" w:rsidRPr="00B457F5">
        <w:rPr>
          <w:rFonts w:ascii="Garamond" w:eastAsia="MS Mincho" w:hAnsi="Garamond" w:cs="Times New Roman"/>
          <w:szCs w:val="24"/>
          <w:lang w:eastAsia="fr-FR"/>
        </w:rPr>
        <w:t>-it</w:t>
      </w:r>
      <w:r w:rsidR="000525AE" w:rsidRPr="00B457F5">
        <w:rPr>
          <w:rFonts w:ascii="Garamond" w:eastAsia="MS Mincho" w:hAnsi="Garamond" w:cs="Times New Roman"/>
          <w:szCs w:val="24"/>
          <w:lang w:eastAsia="fr-FR"/>
        </w:rPr>
        <w:t xml:space="preserve"> do të kryejn</w:t>
      </w:r>
      <w:r w:rsidR="00BA160E" w:rsidRPr="00B457F5">
        <w:rPr>
          <w:rFonts w:ascii="Garamond" w:eastAsia="MS Mincho" w:hAnsi="Garamond" w:cs="Times New Roman"/>
          <w:szCs w:val="24"/>
          <w:lang w:eastAsia="fr-FR"/>
        </w:rPr>
        <w:t>ë</w:t>
      </w:r>
      <w:r w:rsidRPr="00B457F5">
        <w:rPr>
          <w:rFonts w:ascii="Garamond" w:eastAsia="MS Mincho" w:hAnsi="Garamond" w:cs="Times New Roman"/>
          <w:szCs w:val="24"/>
          <w:lang w:eastAsia="fr-FR"/>
        </w:rPr>
        <w:t xml:space="preserve"> fillimisht vlerësimi</w:t>
      </w:r>
      <w:r w:rsidR="00D2612D" w:rsidRPr="00B457F5">
        <w:rPr>
          <w:rFonts w:ascii="Garamond" w:eastAsia="MS Mincho" w:hAnsi="Garamond" w:cs="Times New Roman"/>
          <w:szCs w:val="24"/>
          <w:lang w:eastAsia="fr-FR"/>
        </w:rPr>
        <w:t xml:space="preserve">n </w:t>
      </w:r>
      <w:r w:rsidR="00BA160E" w:rsidRPr="00B457F5">
        <w:rPr>
          <w:rFonts w:ascii="Garamond" w:eastAsia="MS Mincho" w:hAnsi="Garamond" w:cs="Times New Roman"/>
          <w:szCs w:val="24"/>
          <w:lang w:eastAsia="fr-FR"/>
        </w:rPr>
        <w:t>e</w:t>
      </w:r>
      <w:r w:rsidRPr="00B457F5">
        <w:rPr>
          <w:rFonts w:ascii="Garamond" w:eastAsia="MS Mincho" w:hAnsi="Garamond" w:cs="Times New Roman"/>
          <w:szCs w:val="24"/>
          <w:lang w:eastAsia="fr-FR"/>
        </w:rPr>
        <w:t xml:space="preserve"> kapaciteteve infrastrukturore dhe të burimeve </w:t>
      </w:r>
      <w:r w:rsidR="004603C3" w:rsidRPr="00B457F5">
        <w:rPr>
          <w:rFonts w:ascii="Garamond" w:eastAsia="MS Mincho" w:hAnsi="Garamond" w:cs="Times New Roman"/>
          <w:szCs w:val="24"/>
          <w:lang w:eastAsia="fr-FR"/>
        </w:rPr>
        <w:t>njerëzore</w:t>
      </w:r>
      <w:r w:rsidRPr="00B457F5">
        <w:rPr>
          <w:rFonts w:ascii="Garamond" w:eastAsia="MS Mincho" w:hAnsi="Garamond" w:cs="Times New Roman"/>
          <w:szCs w:val="24"/>
          <w:lang w:eastAsia="fr-FR"/>
        </w:rPr>
        <w:t xml:space="preserve"> në qe</w:t>
      </w:r>
      <w:r w:rsidR="008A2119" w:rsidRPr="00B457F5">
        <w:rPr>
          <w:rFonts w:ascii="Garamond" w:eastAsia="MS Mincho" w:hAnsi="Garamond" w:cs="Times New Roman"/>
          <w:szCs w:val="24"/>
          <w:lang w:eastAsia="fr-FR"/>
        </w:rPr>
        <w:t>ndrat pritëse për azilkërkues. N</w:t>
      </w:r>
      <w:r w:rsidRPr="00B457F5">
        <w:rPr>
          <w:rFonts w:ascii="Garamond" w:eastAsia="MS Mincho" w:hAnsi="Garamond" w:cs="Times New Roman"/>
          <w:szCs w:val="24"/>
          <w:lang w:eastAsia="fr-FR"/>
        </w:rPr>
        <w:t xml:space="preserve">ë mënyrë që </w:t>
      </w:r>
      <w:r w:rsidR="00E7517F" w:rsidRPr="00B457F5">
        <w:rPr>
          <w:rFonts w:ascii="Garamond" w:eastAsia="MS Mincho" w:hAnsi="Garamond" w:cs="Times New Roman"/>
          <w:szCs w:val="24"/>
          <w:lang w:eastAsia="fr-FR"/>
        </w:rPr>
        <w:t xml:space="preserve">të </w:t>
      </w:r>
      <w:r w:rsidRPr="00B457F5">
        <w:rPr>
          <w:rFonts w:ascii="Garamond" w:eastAsia="MS Mincho" w:hAnsi="Garamond" w:cs="Times New Roman"/>
          <w:szCs w:val="24"/>
          <w:lang w:eastAsia="fr-FR"/>
        </w:rPr>
        <w:t>ofrohen shërbime adekuate dhe efikase, deri në vitin 2026 synohet shtimi i personelit shëndetësor të k</w:t>
      </w:r>
      <w:r w:rsidR="00214817" w:rsidRPr="00B457F5">
        <w:rPr>
          <w:rFonts w:ascii="Garamond" w:eastAsia="MS Mincho" w:hAnsi="Garamond" w:cs="Times New Roman"/>
          <w:szCs w:val="24"/>
          <w:lang w:eastAsia="fr-FR"/>
        </w:rPr>
        <w:t>ualifikuar, transportit të posaç</w:t>
      </w:r>
      <w:r w:rsidRPr="00B457F5">
        <w:rPr>
          <w:rFonts w:ascii="Garamond" w:eastAsia="MS Mincho" w:hAnsi="Garamond" w:cs="Times New Roman"/>
          <w:szCs w:val="24"/>
          <w:lang w:eastAsia="fr-FR"/>
        </w:rPr>
        <w:t xml:space="preserve">ëm, </w:t>
      </w:r>
      <w:r w:rsidR="004603C3" w:rsidRPr="00B457F5">
        <w:rPr>
          <w:rFonts w:ascii="Garamond" w:eastAsia="MS Mincho" w:hAnsi="Garamond" w:cs="Times New Roman"/>
          <w:szCs w:val="24"/>
          <w:lang w:eastAsia="fr-FR"/>
        </w:rPr>
        <w:t>pajisjeve</w:t>
      </w:r>
      <w:r w:rsidRPr="00B457F5">
        <w:rPr>
          <w:rFonts w:ascii="Garamond" w:eastAsia="MS Mincho" w:hAnsi="Garamond" w:cs="Times New Roman"/>
          <w:szCs w:val="24"/>
          <w:lang w:eastAsia="fr-FR"/>
        </w:rPr>
        <w:t xml:space="preserve"> dhe paketave dhe në qendrat pritëse.</w:t>
      </w:r>
    </w:p>
    <w:p w14:paraId="69FD5B30" w14:textId="43163C7D" w:rsidR="00727323" w:rsidRPr="00B457F5" w:rsidRDefault="00727323" w:rsidP="002E693B">
      <w:pPr>
        <w:spacing w:before="0" w:after="0"/>
        <w:ind w:firstLine="284"/>
        <w:rPr>
          <w:rFonts w:ascii="Garamond" w:eastAsia="MS Mincho" w:hAnsi="Garamond" w:cs="Times New Roman"/>
          <w:szCs w:val="24"/>
          <w:lang w:eastAsia="fr-FR"/>
        </w:rPr>
      </w:pPr>
      <w:r w:rsidRPr="00B457F5">
        <w:rPr>
          <w:rFonts w:ascii="Garamond" w:eastAsia="MS Mincho" w:hAnsi="Garamond" w:cs="Times New Roman"/>
          <w:szCs w:val="24"/>
          <w:lang w:eastAsia="fr-FR"/>
        </w:rPr>
        <w:t>Për të harmonizuar qasjen për fëmijët e pashoqëruar,</w:t>
      </w:r>
      <w:r w:rsidR="00C279C8" w:rsidRPr="00B457F5">
        <w:rPr>
          <w:rFonts w:ascii="Garamond" w:eastAsia="MS Mincho" w:hAnsi="Garamond" w:cs="Times New Roman"/>
          <w:szCs w:val="24"/>
          <w:lang w:eastAsia="fr-FR"/>
        </w:rPr>
        <w:t xml:space="preserve"> </w:t>
      </w:r>
      <w:r w:rsidR="00FC4059" w:rsidRPr="00B457F5">
        <w:rPr>
          <w:rFonts w:ascii="Garamond" w:eastAsia="MS Mincho" w:hAnsi="Garamond" w:cs="Times New Roman"/>
          <w:szCs w:val="24"/>
          <w:lang w:eastAsia="fr-FR"/>
        </w:rPr>
        <w:t>ë</w:t>
      </w:r>
      <w:r w:rsidR="00C279C8" w:rsidRPr="00B457F5">
        <w:rPr>
          <w:rFonts w:ascii="Garamond" w:eastAsia="MS Mincho" w:hAnsi="Garamond" w:cs="Times New Roman"/>
          <w:szCs w:val="24"/>
          <w:lang w:eastAsia="fr-FR"/>
        </w:rPr>
        <w:t>sht</w:t>
      </w:r>
      <w:r w:rsidR="00FC4059" w:rsidRPr="00B457F5">
        <w:rPr>
          <w:rFonts w:ascii="Garamond" w:eastAsia="MS Mincho" w:hAnsi="Garamond" w:cs="Times New Roman"/>
          <w:szCs w:val="24"/>
          <w:lang w:eastAsia="fr-FR"/>
        </w:rPr>
        <w:t>ë</w:t>
      </w:r>
      <w:r w:rsidR="00C279C8" w:rsidRPr="00B457F5">
        <w:rPr>
          <w:rFonts w:ascii="Garamond" w:eastAsia="MS Mincho" w:hAnsi="Garamond" w:cs="Times New Roman"/>
          <w:szCs w:val="24"/>
          <w:lang w:eastAsia="fr-FR"/>
        </w:rPr>
        <w:t xml:space="preserve"> parashikuar</w:t>
      </w:r>
      <w:r w:rsidRPr="00B457F5">
        <w:rPr>
          <w:rFonts w:ascii="Garamond" w:eastAsia="MS Mincho" w:hAnsi="Garamond" w:cs="Times New Roman"/>
          <w:szCs w:val="24"/>
          <w:lang w:eastAsia="fr-FR"/>
        </w:rPr>
        <w:t xml:space="preserve"> masa e </w:t>
      </w:r>
      <w:r w:rsidR="00AC13A0" w:rsidRPr="00B457F5">
        <w:rPr>
          <w:rFonts w:ascii="Garamond" w:eastAsia="MS Mincho" w:hAnsi="Garamond" w:cs="Times New Roman"/>
          <w:szCs w:val="24"/>
          <w:lang w:eastAsia="fr-FR"/>
        </w:rPr>
        <w:t>tretë prioritare (</w:t>
      </w:r>
      <w:r w:rsidR="00E47A10" w:rsidRPr="00B457F5">
        <w:rPr>
          <w:rFonts w:ascii="Garamond" w:eastAsia="MS Mincho" w:hAnsi="Garamond" w:cs="Times New Roman"/>
          <w:i/>
          <w:szCs w:val="24"/>
          <w:lang w:eastAsia="fr-FR"/>
        </w:rPr>
        <w:t xml:space="preserve">mbrojtje </w:t>
      </w:r>
      <w:r w:rsidR="00AC13A0" w:rsidRPr="00B457F5">
        <w:rPr>
          <w:rFonts w:ascii="Garamond" w:eastAsia="MS Mincho" w:hAnsi="Garamond" w:cs="Times New Roman"/>
          <w:i/>
          <w:szCs w:val="24"/>
          <w:lang w:eastAsia="fr-FR"/>
        </w:rPr>
        <w:t>e veç</w:t>
      </w:r>
      <w:r w:rsidR="00C279C8" w:rsidRPr="00B457F5">
        <w:rPr>
          <w:rFonts w:ascii="Garamond" w:eastAsia="MS Mincho" w:hAnsi="Garamond" w:cs="Times New Roman"/>
          <w:i/>
          <w:szCs w:val="24"/>
          <w:lang w:eastAsia="fr-FR"/>
        </w:rPr>
        <w:t>antë për fë</w:t>
      </w:r>
      <w:r w:rsidRPr="00B457F5">
        <w:rPr>
          <w:rFonts w:ascii="Garamond" w:eastAsia="MS Mincho" w:hAnsi="Garamond" w:cs="Times New Roman"/>
          <w:i/>
          <w:szCs w:val="24"/>
          <w:lang w:eastAsia="fr-FR"/>
        </w:rPr>
        <w:t>mijët e huaj të pas</w:t>
      </w:r>
      <w:r w:rsidR="00C279C8" w:rsidRPr="00B457F5">
        <w:rPr>
          <w:rFonts w:ascii="Garamond" w:eastAsia="MS Mincho" w:hAnsi="Garamond" w:cs="Times New Roman"/>
          <w:i/>
          <w:szCs w:val="24"/>
          <w:lang w:eastAsia="fr-FR"/>
        </w:rPr>
        <w:t>hoqëruar</w:t>
      </w:r>
      <w:r w:rsidR="00C279C8"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Për adresimin e kësaj mase prio</w:t>
      </w:r>
      <w:r w:rsidR="004603C3" w:rsidRPr="00B457F5">
        <w:rPr>
          <w:rFonts w:ascii="Garamond" w:eastAsia="MS Mincho" w:hAnsi="Garamond" w:cs="Times New Roman"/>
          <w:szCs w:val="24"/>
          <w:lang w:eastAsia="fr-FR"/>
        </w:rPr>
        <w:t>ri</w:t>
      </w:r>
      <w:r w:rsidRPr="00B457F5">
        <w:rPr>
          <w:rFonts w:ascii="Garamond" w:eastAsia="MS Mincho" w:hAnsi="Garamond" w:cs="Times New Roman"/>
          <w:szCs w:val="24"/>
          <w:lang w:eastAsia="fr-FR"/>
        </w:rPr>
        <w:t>tare 4.2.3, për periudhën 2020</w:t>
      </w:r>
      <w:r w:rsidR="00815CC5" w:rsidRPr="00B457F5">
        <w:rPr>
          <w:rStyle w:val="contentpasted1"/>
          <w:rFonts w:ascii="Garamond" w:hAnsi="Garamond" w:cs="Times New Roman"/>
          <w:color w:val="000000"/>
        </w:rPr>
        <w:t>–</w:t>
      </w:r>
      <w:r w:rsidRPr="00B457F5">
        <w:rPr>
          <w:rFonts w:ascii="Garamond" w:eastAsia="MS Mincho" w:hAnsi="Garamond" w:cs="Times New Roman"/>
          <w:szCs w:val="24"/>
          <w:lang w:eastAsia="fr-FR"/>
        </w:rPr>
        <w:t>2025</w:t>
      </w:r>
      <w:r w:rsidR="00E7517F"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xml:space="preserve"> planifikohet hartimi i procedurave të specializuara për vlerësimin m</w:t>
      </w:r>
      <w:r w:rsidR="00AC13A0" w:rsidRPr="00B457F5">
        <w:rPr>
          <w:rFonts w:ascii="Garamond" w:eastAsia="MS Mincho" w:hAnsi="Garamond" w:cs="Times New Roman"/>
          <w:szCs w:val="24"/>
          <w:lang w:eastAsia="fr-FR"/>
        </w:rPr>
        <w:t>oshor të fëmijëve të huaj të</w:t>
      </w:r>
      <w:r w:rsidRPr="00B457F5">
        <w:rPr>
          <w:rFonts w:ascii="Garamond" w:eastAsia="MS Mincho" w:hAnsi="Garamond" w:cs="Times New Roman"/>
          <w:szCs w:val="24"/>
          <w:lang w:eastAsia="fr-FR"/>
        </w:rPr>
        <w:t xml:space="preserve"> pas</w:t>
      </w:r>
      <w:r w:rsidR="001E3466" w:rsidRPr="00B457F5">
        <w:rPr>
          <w:rFonts w:ascii="Garamond" w:eastAsia="MS Mincho" w:hAnsi="Garamond" w:cs="Times New Roman"/>
          <w:szCs w:val="24"/>
          <w:lang w:eastAsia="fr-FR"/>
        </w:rPr>
        <w:t>hoqëruar. Gjatë periudhës 2024</w:t>
      </w:r>
      <w:r w:rsidR="004603C3" w:rsidRPr="00B457F5">
        <w:rPr>
          <w:rStyle w:val="contentpasted1"/>
          <w:rFonts w:ascii="Garamond" w:hAnsi="Garamond" w:cs="Times New Roman"/>
          <w:color w:val="000000"/>
        </w:rPr>
        <w:t>–</w:t>
      </w:r>
      <w:r w:rsidRPr="00B457F5">
        <w:rPr>
          <w:rFonts w:ascii="Garamond" w:eastAsia="MS Mincho" w:hAnsi="Garamond" w:cs="Times New Roman"/>
          <w:szCs w:val="24"/>
          <w:lang w:eastAsia="fr-FR"/>
        </w:rPr>
        <w:t>202</w:t>
      </w:r>
      <w:r w:rsidR="008C4FD6" w:rsidRPr="00B457F5">
        <w:rPr>
          <w:rFonts w:ascii="Garamond" w:eastAsia="MS Mincho" w:hAnsi="Garamond" w:cs="Times New Roman"/>
          <w:szCs w:val="24"/>
          <w:lang w:eastAsia="fr-FR"/>
        </w:rPr>
        <w:t>6, nëpërmjet MEPJ</w:t>
      </w:r>
      <w:r w:rsidR="00E7517F" w:rsidRPr="00B457F5">
        <w:rPr>
          <w:rFonts w:ascii="Garamond" w:eastAsia="MS Mincho" w:hAnsi="Garamond" w:cs="Times New Roman"/>
          <w:szCs w:val="24"/>
          <w:lang w:eastAsia="fr-FR"/>
        </w:rPr>
        <w:t>-së</w:t>
      </w:r>
      <w:r w:rsidR="008C4FD6" w:rsidRPr="00B457F5">
        <w:rPr>
          <w:rFonts w:ascii="Garamond" w:eastAsia="MS Mincho" w:hAnsi="Garamond" w:cs="Times New Roman"/>
          <w:szCs w:val="24"/>
          <w:lang w:eastAsia="fr-FR"/>
        </w:rPr>
        <w:t xml:space="preserve"> pritet shkëmb</w:t>
      </w:r>
      <w:r w:rsidRPr="00B457F5">
        <w:rPr>
          <w:rFonts w:ascii="Garamond" w:eastAsia="MS Mincho" w:hAnsi="Garamond" w:cs="Times New Roman"/>
          <w:szCs w:val="24"/>
          <w:lang w:eastAsia="fr-FR"/>
        </w:rPr>
        <w:t>imi i informacionit me përfa</w:t>
      </w:r>
      <w:r w:rsidR="008C4FD6" w:rsidRPr="00B457F5">
        <w:rPr>
          <w:rFonts w:ascii="Garamond" w:eastAsia="MS Mincho" w:hAnsi="Garamond" w:cs="Times New Roman"/>
          <w:szCs w:val="24"/>
          <w:lang w:eastAsia="fr-FR"/>
        </w:rPr>
        <w:t>qësitë diplomatike</w:t>
      </w:r>
      <w:r w:rsidR="00E7517F" w:rsidRPr="00B457F5">
        <w:rPr>
          <w:rFonts w:ascii="Garamond" w:eastAsia="MS Mincho" w:hAnsi="Garamond" w:cs="Times New Roman"/>
          <w:szCs w:val="24"/>
          <w:lang w:eastAsia="fr-FR"/>
        </w:rPr>
        <w:t>,</w:t>
      </w:r>
      <w:r w:rsidR="008C4FD6" w:rsidRPr="00B457F5">
        <w:rPr>
          <w:rFonts w:ascii="Garamond" w:eastAsia="MS Mincho" w:hAnsi="Garamond" w:cs="Times New Roman"/>
          <w:szCs w:val="24"/>
          <w:lang w:eastAsia="fr-FR"/>
        </w:rPr>
        <w:t xml:space="preserve"> për gjurmimin</w:t>
      </w:r>
      <w:r w:rsidRPr="00B457F5">
        <w:rPr>
          <w:rFonts w:ascii="Garamond" w:eastAsia="MS Mincho" w:hAnsi="Garamond" w:cs="Times New Roman"/>
          <w:szCs w:val="24"/>
          <w:lang w:eastAsia="fr-FR"/>
        </w:rPr>
        <w:t xml:space="preserve"> e familjes së fëmijës/ve të pashoqëruar</w:t>
      </w:r>
      <w:r w:rsidR="00E7517F"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xml:space="preserve"> duke përfshirë sigurimin e dokumenteve përkatëse të identitetit dhe të gjendjes civile. Po kështu</w:t>
      </w:r>
      <w:r w:rsidR="00E7517F"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xml:space="preserve"> parashikohet përmirësimi i sistemeve të regjistrit civil, me fokus të veçantë në arritjen e personave të paregjistruar</w:t>
      </w:r>
      <w:r w:rsidR="00E7517F"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xml:space="preserve"> duke përfshirë forcimin e kapaciteteve dhe investimin në zgjidhjet e teknologjisë së informacionit dhe komunikimit, me qëllim ruajtjen e privatësisë dhe mbrojtjen e të dhënave personale. </w:t>
      </w:r>
    </w:p>
    <w:p w14:paraId="1602B19D" w14:textId="52EB2FA6" w:rsidR="00727323" w:rsidRPr="00B457F5" w:rsidRDefault="00727323" w:rsidP="002E693B">
      <w:pPr>
        <w:spacing w:before="0" w:after="0"/>
        <w:ind w:firstLine="284"/>
        <w:rPr>
          <w:rFonts w:ascii="Garamond" w:eastAsia="MS Mincho" w:hAnsi="Garamond" w:cs="Times New Roman"/>
          <w:szCs w:val="24"/>
          <w:lang w:eastAsia="fr-FR"/>
        </w:rPr>
      </w:pPr>
      <w:r w:rsidRPr="00B457F5">
        <w:rPr>
          <w:rFonts w:ascii="Garamond" w:eastAsia="MS Mincho" w:hAnsi="Garamond" w:cs="Times New Roman"/>
          <w:szCs w:val="24"/>
          <w:lang w:eastAsia="fr-FR"/>
        </w:rPr>
        <w:t>Deri në vitin 2026, do të merren edhe dy masa të tjera</w:t>
      </w:r>
      <w:r w:rsidR="005366B6" w:rsidRPr="00B457F5">
        <w:rPr>
          <w:rFonts w:ascii="Garamond" w:eastAsia="MS Mincho" w:hAnsi="Garamond" w:cs="Times New Roman"/>
          <w:szCs w:val="24"/>
          <w:lang w:eastAsia="fr-FR"/>
        </w:rPr>
        <w:t xml:space="preserve"> për të siguruar mbrojtjen e veç</w:t>
      </w:r>
      <w:r w:rsidRPr="00B457F5">
        <w:rPr>
          <w:rFonts w:ascii="Garamond" w:eastAsia="MS Mincho" w:hAnsi="Garamond" w:cs="Times New Roman"/>
          <w:szCs w:val="24"/>
          <w:lang w:eastAsia="fr-FR"/>
        </w:rPr>
        <w:t>antë të fëmijëve të pashoqëruar. Sp</w:t>
      </w:r>
      <w:r w:rsidR="005366B6" w:rsidRPr="00B457F5">
        <w:rPr>
          <w:rFonts w:ascii="Garamond" w:eastAsia="MS Mincho" w:hAnsi="Garamond" w:cs="Times New Roman"/>
          <w:szCs w:val="24"/>
          <w:lang w:eastAsia="fr-FR"/>
        </w:rPr>
        <w:t>ecifikisht nën drejtimin e MB</w:t>
      </w:r>
      <w:r w:rsidR="00E7517F" w:rsidRPr="00B457F5">
        <w:rPr>
          <w:rFonts w:ascii="Garamond" w:eastAsia="MS Mincho" w:hAnsi="Garamond" w:cs="Times New Roman"/>
          <w:szCs w:val="24"/>
          <w:lang w:eastAsia="fr-FR"/>
        </w:rPr>
        <w:t>-së</w:t>
      </w:r>
      <w:r w:rsidRPr="00B457F5">
        <w:rPr>
          <w:rFonts w:ascii="Garamond" w:eastAsia="MS Mincho" w:hAnsi="Garamond" w:cs="Times New Roman"/>
          <w:szCs w:val="24"/>
          <w:lang w:eastAsia="fr-FR"/>
        </w:rPr>
        <w:t xml:space="preserve"> do ngrih</w:t>
      </w:r>
      <w:r w:rsidR="005366B6" w:rsidRPr="00B457F5">
        <w:rPr>
          <w:rFonts w:ascii="Garamond" w:eastAsia="MS Mincho" w:hAnsi="Garamond" w:cs="Times New Roman"/>
          <w:szCs w:val="24"/>
          <w:lang w:eastAsia="fr-FR"/>
        </w:rPr>
        <w:t xml:space="preserve">et një </w:t>
      </w:r>
      <w:r w:rsidR="004603C3" w:rsidRPr="00B457F5">
        <w:rPr>
          <w:rFonts w:ascii="Garamond" w:eastAsia="MS Mincho" w:hAnsi="Garamond" w:cs="Times New Roman"/>
          <w:szCs w:val="24"/>
          <w:lang w:eastAsia="fr-FR"/>
        </w:rPr>
        <w:t>qendër</w:t>
      </w:r>
      <w:r w:rsidR="005366B6" w:rsidRPr="00B457F5">
        <w:rPr>
          <w:rFonts w:ascii="Garamond" w:eastAsia="MS Mincho" w:hAnsi="Garamond" w:cs="Times New Roman"/>
          <w:szCs w:val="24"/>
          <w:lang w:eastAsia="fr-FR"/>
        </w:rPr>
        <w:t xml:space="preserve"> </w:t>
      </w:r>
      <w:r w:rsidR="00E7517F" w:rsidRPr="00B457F5">
        <w:rPr>
          <w:rFonts w:ascii="Garamond" w:eastAsia="MS Mincho" w:hAnsi="Garamond" w:cs="Times New Roman"/>
          <w:szCs w:val="24"/>
          <w:lang w:eastAsia="fr-FR"/>
        </w:rPr>
        <w:t>rezidenciale</w:t>
      </w:r>
      <w:r w:rsidR="005366B6" w:rsidRPr="00B457F5">
        <w:rPr>
          <w:rFonts w:ascii="Garamond" w:eastAsia="MS Mincho" w:hAnsi="Garamond" w:cs="Times New Roman"/>
          <w:szCs w:val="24"/>
          <w:lang w:eastAsia="fr-FR"/>
        </w:rPr>
        <w:t xml:space="preserve"> kombëtare</w:t>
      </w:r>
      <w:r w:rsidRPr="00B457F5">
        <w:rPr>
          <w:rFonts w:ascii="Garamond" w:eastAsia="MS Mincho" w:hAnsi="Garamond" w:cs="Times New Roman"/>
          <w:szCs w:val="24"/>
          <w:lang w:eastAsia="fr-FR"/>
        </w:rPr>
        <w:t xml:space="preserve"> pritëse e dedikuar për fëmijët e h</w:t>
      </w:r>
      <w:r w:rsidR="005366B6" w:rsidRPr="00B457F5">
        <w:rPr>
          <w:rFonts w:ascii="Garamond" w:eastAsia="MS Mincho" w:hAnsi="Garamond" w:cs="Times New Roman"/>
          <w:szCs w:val="24"/>
          <w:lang w:eastAsia="fr-FR"/>
        </w:rPr>
        <w:t>uaj të pashoqëruar</w:t>
      </w:r>
      <w:r w:rsidR="00E7517F" w:rsidRPr="00B457F5">
        <w:rPr>
          <w:rFonts w:ascii="Garamond" w:eastAsia="MS Mincho" w:hAnsi="Garamond" w:cs="Times New Roman"/>
          <w:szCs w:val="24"/>
          <w:lang w:eastAsia="fr-FR"/>
        </w:rPr>
        <w:t>,</w:t>
      </w:r>
      <w:r w:rsidR="005366B6" w:rsidRPr="00B457F5">
        <w:rPr>
          <w:rFonts w:ascii="Garamond" w:eastAsia="MS Mincho" w:hAnsi="Garamond" w:cs="Times New Roman"/>
          <w:szCs w:val="24"/>
          <w:lang w:eastAsia="fr-FR"/>
        </w:rPr>
        <w:t xml:space="preserve"> si dhe MAS</w:t>
      </w:r>
      <w:r w:rsidR="00E7517F" w:rsidRPr="00B457F5">
        <w:rPr>
          <w:rFonts w:ascii="Garamond" w:eastAsia="MS Mincho" w:hAnsi="Garamond" w:cs="Times New Roman"/>
          <w:szCs w:val="24"/>
          <w:lang w:eastAsia="fr-FR"/>
        </w:rPr>
        <w:t>-i</w:t>
      </w:r>
      <w:r w:rsidR="008C4FD6" w:rsidRPr="00B457F5">
        <w:rPr>
          <w:rFonts w:ascii="Garamond" w:eastAsia="MS Mincho" w:hAnsi="Garamond" w:cs="Times New Roman"/>
          <w:szCs w:val="24"/>
          <w:lang w:eastAsia="fr-FR"/>
        </w:rPr>
        <w:t xml:space="preserve"> dhe MEKI</w:t>
      </w:r>
      <w:r w:rsidRPr="00B457F5">
        <w:rPr>
          <w:rFonts w:ascii="Garamond" w:eastAsia="MS Mincho" w:hAnsi="Garamond" w:cs="Times New Roman"/>
          <w:szCs w:val="24"/>
          <w:lang w:eastAsia="fr-FR"/>
        </w:rPr>
        <w:t xml:space="preserve"> do të udhëh</w:t>
      </w:r>
      <w:r w:rsidR="008C4FD6" w:rsidRPr="00B457F5">
        <w:rPr>
          <w:rFonts w:ascii="Garamond" w:eastAsia="MS Mincho" w:hAnsi="Garamond" w:cs="Times New Roman"/>
          <w:szCs w:val="24"/>
          <w:lang w:eastAsia="fr-FR"/>
        </w:rPr>
        <w:t>eqin</w:t>
      </w:r>
      <w:r w:rsidRPr="00B457F5">
        <w:rPr>
          <w:rFonts w:ascii="Garamond" w:eastAsia="MS Mincho" w:hAnsi="Garamond" w:cs="Times New Roman"/>
          <w:szCs w:val="24"/>
          <w:lang w:eastAsia="fr-FR"/>
        </w:rPr>
        <w:t xml:space="preserve"> zhvillimin e programeve specifike mbështetëse për f</w:t>
      </w:r>
      <w:r w:rsidR="00843FDB" w:rsidRPr="00B457F5">
        <w:rPr>
          <w:rFonts w:ascii="Garamond" w:eastAsia="MS Mincho" w:hAnsi="Garamond" w:cs="Times New Roman"/>
          <w:szCs w:val="24"/>
          <w:lang w:eastAsia="fr-FR"/>
        </w:rPr>
        <w:t>ëmijë</w:t>
      </w:r>
      <w:r w:rsidR="005366B6" w:rsidRPr="00B457F5">
        <w:rPr>
          <w:rFonts w:ascii="Garamond" w:eastAsia="MS Mincho" w:hAnsi="Garamond" w:cs="Times New Roman"/>
          <w:szCs w:val="24"/>
          <w:lang w:eastAsia="fr-FR"/>
        </w:rPr>
        <w:t>t e pashoqëruar në sport, kulturë</w:t>
      </w:r>
      <w:r w:rsidRPr="00B457F5">
        <w:rPr>
          <w:rFonts w:ascii="Garamond" w:eastAsia="MS Mincho" w:hAnsi="Garamond" w:cs="Times New Roman"/>
          <w:szCs w:val="24"/>
          <w:lang w:eastAsia="fr-FR"/>
        </w:rPr>
        <w:t xml:space="preserve">, art etj. </w:t>
      </w:r>
    </w:p>
    <w:p w14:paraId="692A8106" w14:textId="640448EF" w:rsidR="00727323" w:rsidRPr="00B457F5" w:rsidRDefault="00727323" w:rsidP="002E693B">
      <w:pPr>
        <w:spacing w:before="0" w:after="0"/>
        <w:ind w:firstLine="284"/>
        <w:rPr>
          <w:rFonts w:ascii="Garamond" w:eastAsia="MS Mincho" w:hAnsi="Garamond" w:cs="Times New Roman"/>
          <w:szCs w:val="24"/>
          <w:lang w:eastAsia="fr-FR"/>
        </w:rPr>
      </w:pPr>
      <w:r w:rsidRPr="00B457F5">
        <w:rPr>
          <w:rFonts w:ascii="Garamond" w:eastAsia="MS Mincho" w:hAnsi="Garamond" w:cs="Times New Roman"/>
          <w:szCs w:val="24"/>
          <w:lang w:eastAsia="fr-FR"/>
        </w:rPr>
        <w:t xml:space="preserve">Fushëveprimi i </w:t>
      </w:r>
      <w:r w:rsidR="004603C3" w:rsidRPr="00B457F5">
        <w:rPr>
          <w:rFonts w:ascii="Garamond" w:eastAsia="MS Mincho" w:hAnsi="Garamond" w:cs="Times New Roman"/>
          <w:szCs w:val="24"/>
          <w:lang w:eastAsia="fr-FR"/>
        </w:rPr>
        <w:t>objektivit</w:t>
      </w:r>
      <w:r w:rsidRPr="00B457F5">
        <w:rPr>
          <w:rFonts w:ascii="Garamond" w:eastAsia="MS Mincho" w:hAnsi="Garamond" w:cs="Times New Roman"/>
          <w:szCs w:val="24"/>
          <w:lang w:eastAsia="fr-FR"/>
        </w:rPr>
        <w:t xml:space="preserve"> specifik 4.3 (</w:t>
      </w:r>
      <w:r w:rsidR="00E7517F" w:rsidRPr="00B457F5">
        <w:rPr>
          <w:rFonts w:ascii="Garamond" w:eastAsia="MS Mincho" w:hAnsi="Garamond" w:cs="Times New Roman"/>
          <w:i/>
          <w:szCs w:val="24"/>
          <w:lang w:eastAsia="fr-FR"/>
        </w:rPr>
        <w:t>i</w:t>
      </w:r>
      <w:r w:rsidRPr="00B457F5">
        <w:rPr>
          <w:rFonts w:ascii="Garamond" w:eastAsia="MS Mincho" w:hAnsi="Garamond" w:cs="Times New Roman"/>
          <w:i/>
          <w:szCs w:val="24"/>
          <w:lang w:eastAsia="fr-FR"/>
        </w:rPr>
        <w:t>ntegrimi social</w:t>
      </w:r>
      <w:r w:rsidR="00E7517F" w:rsidRPr="00B457F5">
        <w:rPr>
          <w:rFonts w:ascii="Garamond" w:eastAsia="MS Mincho" w:hAnsi="Garamond" w:cs="Times New Roman"/>
          <w:i/>
          <w:szCs w:val="24"/>
          <w:lang w:eastAsia="fr-FR"/>
        </w:rPr>
        <w:t>-</w:t>
      </w:r>
      <w:r w:rsidRPr="00B457F5">
        <w:rPr>
          <w:rFonts w:ascii="Garamond" w:eastAsia="MS Mincho" w:hAnsi="Garamond" w:cs="Times New Roman"/>
          <w:i/>
          <w:szCs w:val="24"/>
          <w:lang w:eastAsia="fr-FR"/>
        </w:rPr>
        <w:t>ekonomik i refugjat</w:t>
      </w:r>
      <w:r w:rsidR="00A364F3" w:rsidRPr="00B457F5">
        <w:rPr>
          <w:rFonts w:ascii="Garamond" w:eastAsia="MS Mincho" w:hAnsi="Garamond" w:cs="Times New Roman"/>
          <w:i/>
          <w:szCs w:val="24"/>
          <w:lang w:eastAsia="fr-FR"/>
        </w:rPr>
        <w:t>ë</w:t>
      </w:r>
      <w:r w:rsidRPr="00B457F5">
        <w:rPr>
          <w:rFonts w:ascii="Garamond" w:eastAsia="MS Mincho" w:hAnsi="Garamond" w:cs="Times New Roman"/>
          <w:i/>
          <w:szCs w:val="24"/>
          <w:lang w:eastAsia="fr-FR"/>
        </w:rPr>
        <w:t>ve dhe azilkërkuesve</w:t>
      </w:r>
      <w:r w:rsidRPr="00B457F5">
        <w:rPr>
          <w:rFonts w:ascii="Garamond" w:eastAsia="MS Mincho" w:hAnsi="Garamond" w:cs="Times New Roman"/>
          <w:szCs w:val="24"/>
          <w:lang w:eastAsia="fr-FR"/>
        </w:rPr>
        <w:t>) përfshin dy</w:t>
      </w:r>
      <w:r w:rsidR="00C31971" w:rsidRPr="00B457F5">
        <w:rPr>
          <w:rFonts w:ascii="Garamond" w:eastAsia="MS Mincho" w:hAnsi="Garamond" w:cs="Times New Roman"/>
          <w:szCs w:val="24"/>
          <w:lang w:eastAsia="fr-FR"/>
        </w:rPr>
        <w:t xml:space="preserve"> masat prioritare si më poshtë:</w:t>
      </w:r>
    </w:p>
    <w:p w14:paraId="299183F2" w14:textId="0B4EFB9B" w:rsidR="00151C91" w:rsidRPr="00B457F5" w:rsidRDefault="00783BF2"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Times New Roman"/>
          <w:color w:val="000000"/>
          <w:szCs w:val="24"/>
        </w:rPr>
        <w:t xml:space="preserve">- </w:t>
      </w:r>
      <w:r w:rsidR="00151C91" w:rsidRPr="00B457F5">
        <w:rPr>
          <w:rFonts w:ascii="Garamond" w:eastAsiaTheme="minorHAnsi" w:hAnsi="Garamond" w:cs="Times New Roman"/>
          <w:color w:val="000000"/>
          <w:szCs w:val="24"/>
        </w:rPr>
        <w:t>Programe me qëllim integrimin social</w:t>
      </w:r>
      <w:r w:rsidR="00EF5D32">
        <w:rPr>
          <w:rFonts w:ascii="Garamond" w:eastAsiaTheme="minorHAnsi" w:hAnsi="Garamond" w:cs="Times New Roman"/>
          <w:color w:val="000000"/>
          <w:szCs w:val="24"/>
        </w:rPr>
        <w:t>-</w:t>
      </w:r>
      <w:r w:rsidR="00151C91" w:rsidRPr="00B457F5">
        <w:rPr>
          <w:rFonts w:ascii="Garamond" w:eastAsiaTheme="minorHAnsi" w:hAnsi="Garamond" w:cs="Times New Roman"/>
          <w:color w:val="000000"/>
          <w:szCs w:val="24"/>
        </w:rPr>
        <w:t xml:space="preserve">ekonomik </w:t>
      </w:r>
      <w:r w:rsidR="00E7517F" w:rsidRPr="00B457F5">
        <w:rPr>
          <w:rFonts w:ascii="Garamond" w:eastAsia="MS Mincho" w:hAnsi="Garamond" w:cs="Times New Roman"/>
          <w:szCs w:val="24"/>
          <w:lang w:eastAsia="fr-FR"/>
        </w:rPr>
        <w:t>të</w:t>
      </w:r>
      <w:r w:rsidR="00E7517F" w:rsidRPr="00B457F5">
        <w:rPr>
          <w:rFonts w:ascii="Garamond" w:eastAsiaTheme="minorHAnsi" w:hAnsi="Garamond" w:cs="Times New Roman"/>
          <w:color w:val="000000"/>
          <w:szCs w:val="24"/>
        </w:rPr>
        <w:t xml:space="preserve"> </w:t>
      </w:r>
      <w:r w:rsidR="00151C91" w:rsidRPr="00B457F5">
        <w:rPr>
          <w:rFonts w:ascii="Garamond" w:eastAsiaTheme="minorHAnsi" w:hAnsi="Garamond" w:cs="Times New Roman"/>
          <w:color w:val="000000"/>
          <w:szCs w:val="24"/>
        </w:rPr>
        <w:t>azilkërkuesve, refugjatëve;</w:t>
      </w:r>
    </w:p>
    <w:p w14:paraId="4E7FA578" w14:textId="37856E1F" w:rsidR="00151C91" w:rsidRPr="00B457F5" w:rsidRDefault="00783BF2"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Times New Roman"/>
          <w:color w:val="000000"/>
          <w:szCs w:val="24"/>
        </w:rPr>
        <w:lastRenderedPageBreak/>
        <w:t xml:space="preserve">- </w:t>
      </w:r>
      <w:r w:rsidR="00151C91" w:rsidRPr="00B457F5">
        <w:rPr>
          <w:rFonts w:ascii="Garamond" w:eastAsiaTheme="minorHAnsi" w:hAnsi="Garamond" w:cs="Times New Roman"/>
          <w:color w:val="000000"/>
          <w:szCs w:val="24"/>
        </w:rPr>
        <w:t>Ofrimi i zgjidhjeve të qëndrueshme për personat me mbrojtje ndërkombëtare.</w:t>
      </w:r>
    </w:p>
    <w:p w14:paraId="4A260DD7" w14:textId="44E59818" w:rsidR="00727323" w:rsidRPr="00B457F5" w:rsidRDefault="00727323" w:rsidP="002E693B">
      <w:pPr>
        <w:spacing w:before="0" w:after="0"/>
        <w:ind w:firstLine="284"/>
        <w:rPr>
          <w:rFonts w:ascii="Garamond" w:eastAsia="MS Mincho" w:hAnsi="Garamond" w:cs="Times New Roman"/>
          <w:szCs w:val="24"/>
          <w:lang w:eastAsia="fr-FR"/>
        </w:rPr>
      </w:pPr>
      <w:r w:rsidRPr="00B457F5">
        <w:rPr>
          <w:rFonts w:ascii="Garamond" w:eastAsia="MS Mincho" w:hAnsi="Garamond" w:cs="Times New Roman"/>
          <w:szCs w:val="24"/>
          <w:lang w:eastAsia="fr-FR"/>
        </w:rPr>
        <w:t>Për masën e parë prioritare (</w:t>
      </w:r>
      <w:r w:rsidR="00E7517F" w:rsidRPr="00B457F5">
        <w:rPr>
          <w:rFonts w:ascii="Garamond" w:eastAsia="MS Mincho" w:hAnsi="Garamond" w:cs="Times New Roman"/>
          <w:i/>
          <w:szCs w:val="24"/>
          <w:lang w:eastAsia="fr-FR"/>
        </w:rPr>
        <w:t>p</w:t>
      </w:r>
      <w:r w:rsidRPr="00B457F5">
        <w:rPr>
          <w:rFonts w:ascii="Garamond" w:eastAsia="MS Mincho" w:hAnsi="Garamond" w:cs="Times New Roman"/>
          <w:i/>
          <w:szCs w:val="24"/>
          <w:lang w:eastAsia="fr-FR"/>
        </w:rPr>
        <w:t xml:space="preserve">rograme me qëllim </w:t>
      </w:r>
      <w:r w:rsidRPr="007814B4">
        <w:rPr>
          <w:rFonts w:ascii="Garamond" w:eastAsia="MS Mincho" w:hAnsi="Garamond" w:cs="Times New Roman"/>
          <w:i/>
          <w:szCs w:val="24"/>
          <w:lang w:eastAsia="fr-FR"/>
        </w:rPr>
        <w:t>integrimin social</w:t>
      </w:r>
      <w:r w:rsidR="00EF5D32" w:rsidRPr="007814B4">
        <w:rPr>
          <w:rFonts w:ascii="Garamond" w:eastAsia="MS Mincho" w:hAnsi="Garamond" w:cs="Times New Roman"/>
          <w:i/>
          <w:szCs w:val="24"/>
          <w:lang w:eastAsia="fr-FR"/>
        </w:rPr>
        <w:t>-</w:t>
      </w:r>
      <w:r w:rsidRPr="007814B4">
        <w:rPr>
          <w:rFonts w:ascii="Garamond" w:eastAsia="MS Mincho" w:hAnsi="Garamond" w:cs="Times New Roman"/>
          <w:i/>
          <w:szCs w:val="24"/>
          <w:lang w:eastAsia="fr-FR"/>
        </w:rPr>
        <w:t>ekonomik</w:t>
      </w:r>
      <w:r w:rsidRPr="00B457F5">
        <w:rPr>
          <w:rFonts w:ascii="Garamond" w:eastAsia="MS Mincho" w:hAnsi="Garamond" w:cs="Times New Roman"/>
          <w:i/>
          <w:szCs w:val="24"/>
          <w:lang w:eastAsia="fr-FR"/>
        </w:rPr>
        <w:t xml:space="preserve"> </w:t>
      </w:r>
      <w:r w:rsidR="00E7517F" w:rsidRPr="00B457F5">
        <w:rPr>
          <w:rFonts w:ascii="Garamond" w:eastAsia="MS Mincho" w:hAnsi="Garamond" w:cs="Times New Roman"/>
          <w:i/>
          <w:szCs w:val="24"/>
          <w:lang w:eastAsia="fr-FR"/>
        </w:rPr>
        <w:t xml:space="preserve">të </w:t>
      </w:r>
      <w:r w:rsidRPr="00B457F5">
        <w:rPr>
          <w:rFonts w:ascii="Garamond" w:eastAsia="MS Mincho" w:hAnsi="Garamond" w:cs="Times New Roman"/>
          <w:i/>
          <w:szCs w:val="24"/>
          <w:lang w:eastAsia="fr-FR"/>
        </w:rPr>
        <w:t>azilkërkuesve, refugjatëve</w:t>
      </w:r>
      <w:r w:rsidRPr="00B457F5">
        <w:rPr>
          <w:rFonts w:ascii="Garamond" w:eastAsia="MS Mincho" w:hAnsi="Garamond" w:cs="Times New Roman"/>
          <w:szCs w:val="24"/>
          <w:lang w:eastAsia="fr-FR"/>
        </w:rPr>
        <w:t>), MAS</w:t>
      </w:r>
      <w:r w:rsidR="00E7517F" w:rsidRPr="00B457F5">
        <w:rPr>
          <w:rFonts w:ascii="Garamond" w:eastAsia="MS Mincho" w:hAnsi="Garamond" w:cs="Times New Roman"/>
          <w:szCs w:val="24"/>
          <w:lang w:eastAsia="fr-FR"/>
        </w:rPr>
        <w:t>-i</w:t>
      </w:r>
      <w:r w:rsidRPr="00B457F5">
        <w:rPr>
          <w:rFonts w:ascii="Garamond" w:eastAsia="MS Mincho" w:hAnsi="Garamond" w:cs="Times New Roman"/>
          <w:szCs w:val="24"/>
          <w:lang w:eastAsia="fr-FR"/>
        </w:rPr>
        <w:t xml:space="preserve"> planifikon organizimin e programeve orientuese të mësimit të gjuhës shqipe, historisë dhe edukatës qytetare për integrimin e tyre në jetën në komunitet. Do të ndërtohen programe mbi praktikat ekzistuese në nivel lokal</w:t>
      </w:r>
      <w:r w:rsidR="00E7517F"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xml:space="preserve"> që lehtësojnë pjesëmarrjen në jetën e komunitetit, si ndërveprimi me autoritetet dhe aksesi në shërbimet përkatëse, nëpërmjet lëshimit të kartave të regjistrimit për të gjithë personat që jetojnë në një komunë, përfshirë migrantët, që përmbajnë informacione personale bazë, ndërkohë që nuk përbëjnë të drejta për shtetësi ose qëndrim. Deri në vitin 2025, MSHMS</w:t>
      </w:r>
      <w:r w:rsidR="00E7517F" w:rsidRPr="00B457F5">
        <w:rPr>
          <w:rFonts w:ascii="Garamond" w:eastAsia="MS Mincho" w:hAnsi="Garamond" w:cs="Times New Roman"/>
          <w:szCs w:val="24"/>
          <w:lang w:eastAsia="fr-FR"/>
        </w:rPr>
        <w:t>-ja</w:t>
      </w:r>
      <w:r w:rsidRPr="00B457F5">
        <w:rPr>
          <w:rFonts w:ascii="Garamond" w:eastAsia="MS Mincho" w:hAnsi="Garamond" w:cs="Times New Roman"/>
          <w:szCs w:val="24"/>
          <w:lang w:eastAsia="fr-FR"/>
        </w:rPr>
        <w:t xml:space="preserve"> do të hartoj një udhërrëfyes për zbatimin e programeve orientuese të integrimit bazuar në përgjegjësitë institucionale dhe</w:t>
      </w:r>
      <w:r w:rsidR="00E7517F"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xml:space="preserve"> deri në vitin pasardhës (2026)</w:t>
      </w:r>
      <w:r w:rsidR="00E7517F"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xml:space="preserve"> Avokati i </w:t>
      </w:r>
      <w:r w:rsidR="00E7517F" w:rsidRPr="00B457F5">
        <w:rPr>
          <w:rFonts w:ascii="Garamond" w:eastAsia="MS Mincho" w:hAnsi="Garamond" w:cs="Times New Roman"/>
          <w:szCs w:val="24"/>
          <w:lang w:eastAsia="fr-FR"/>
        </w:rPr>
        <w:t xml:space="preserve">Popullit </w:t>
      </w:r>
      <w:r w:rsidRPr="00B457F5">
        <w:rPr>
          <w:rFonts w:ascii="Garamond" w:eastAsia="MS Mincho" w:hAnsi="Garamond" w:cs="Times New Roman"/>
          <w:szCs w:val="24"/>
          <w:lang w:eastAsia="fr-FR"/>
        </w:rPr>
        <w:t>do të kryejë monitorimi</w:t>
      </w:r>
      <w:r w:rsidR="00E7517F" w:rsidRPr="00B457F5">
        <w:rPr>
          <w:rFonts w:ascii="Garamond" w:eastAsia="MS Mincho" w:hAnsi="Garamond" w:cs="Times New Roman"/>
          <w:szCs w:val="24"/>
          <w:lang w:eastAsia="fr-FR"/>
        </w:rPr>
        <w:t>n</w:t>
      </w:r>
      <w:r w:rsidRPr="00B457F5">
        <w:rPr>
          <w:rFonts w:ascii="Garamond" w:eastAsia="MS Mincho" w:hAnsi="Garamond" w:cs="Times New Roman"/>
          <w:szCs w:val="24"/>
          <w:lang w:eastAsia="fr-FR"/>
        </w:rPr>
        <w:t xml:space="preserve"> periodik të zbatimit të masave integruese, nëpërmjet sondazheve dhe </w:t>
      </w:r>
      <w:r w:rsidR="004603C3" w:rsidRPr="00B457F5">
        <w:rPr>
          <w:rFonts w:ascii="Garamond" w:eastAsia="MS Mincho" w:hAnsi="Garamond" w:cs="Times New Roman"/>
          <w:szCs w:val="24"/>
          <w:lang w:eastAsia="fr-FR"/>
        </w:rPr>
        <w:t>intervistave</w:t>
      </w:r>
      <w:r w:rsidRPr="00B457F5">
        <w:rPr>
          <w:rFonts w:ascii="Garamond" w:eastAsia="MS Mincho" w:hAnsi="Garamond" w:cs="Times New Roman"/>
          <w:szCs w:val="24"/>
          <w:lang w:eastAsia="fr-FR"/>
        </w:rPr>
        <w:t xml:space="preserve"> direkt</w:t>
      </w:r>
      <w:r w:rsidR="004603C3" w:rsidRPr="00B457F5">
        <w:rPr>
          <w:rFonts w:ascii="Garamond" w:eastAsia="MS Mincho" w:hAnsi="Garamond" w:cs="Times New Roman"/>
          <w:szCs w:val="24"/>
          <w:lang w:eastAsia="fr-FR"/>
        </w:rPr>
        <w:t>e</w:t>
      </w:r>
      <w:r w:rsidRPr="00B457F5">
        <w:rPr>
          <w:rFonts w:ascii="Garamond" w:eastAsia="MS Mincho" w:hAnsi="Garamond" w:cs="Times New Roman"/>
          <w:szCs w:val="24"/>
          <w:lang w:eastAsia="fr-FR"/>
        </w:rPr>
        <w:t xml:space="preserve"> me përfituesit (refugjatë/azilkërkues).</w:t>
      </w:r>
    </w:p>
    <w:p w14:paraId="6D8FA6DA" w14:textId="45538B7C" w:rsidR="003145F6" w:rsidRPr="00B457F5" w:rsidRDefault="00B9427D" w:rsidP="002E693B">
      <w:pPr>
        <w:spacing w:before="0" w:after="0"/>
        <w:ind w:firstLine="284"/>
        <w:rPr>
          <w:rFonts w:ascii="Garamond" w:eastAsia="MS Mincho" w:hAnsi="Garamond" w:cs="Times New Roman"/>
          <w:szCs w:val="24"/>
          <w:lang w:eastAsia="fr-FR"/>
        </w:rPr>
      </w:pPr>
      <w:r w:rsidRPr="00B457F5">
        <w:rPr>
          <w:rFonts w:ascii="Garamond" w:eastAsia="MS Mincho" w:hAnsi="Garamond" w:cs="Times New Roman"/>
          <w:szCs w:val="24"/>
          <w:lang w:eastAsia="fr-FR"/>
        </w:rPr>
        <w:t>MEKI, n</w:t>
      </w:r>
      <w:r w:rsidR="00980396" w:rsidRPr="00B457F5">
        <w:rPr>
          <w:rFonts w:ascii="Garamond" w:eastAsia="MS Mincho" w:hAnsi="Garamond" w:cs="Times New Roman"/>
          <w:szCs w:val="24"/>
          <w:lang w:eastAsia="fr-FR"/>
        </w:rPr>
        <w:t>ë</w:t>
      </w:r>
      <w:r w:rsidRPr="00B457F5">
        <w:rPr>
          <w:rFonts w:ascii="Garamond" w:eastAsia="MS Mincho" w:hAnsi="Garamond" w:cs="Times New Roman"/>
          <w:szCs w:val="24"/>
          <w:lang w:eastAsia="fr-FR"/>
        </w:rPr>
        <w:t xml:space="preserve"> p</w:t>
      </w:r>
      <w:r w:rsidR="00980396" w:rsidRPr="00B457F5">
        <w:rPr>
          <w:rFonts w:ascii="Garamond" w:eastAsia="MS Mincho" w:hAnsi="Garamond" w:cs="Times New Roman"/>
          <w:szCs w:val="24"/>
          <w:lang w:eastAsia="fr-FR"/>
        </w:rPr>
        <w:t>ë</w:t>
      </w:r>
      <w:r w:rsidRPr="00B457F5">
        <w:rPr>
          <w:rFonts w:ascii="Garamond" w:eastAsia="MS Mincho" w:hAnsi="Garamond" w:cs="Times New Roman"/>
          <w:szCs w:val="24"/>
          <w:lang w:eastAsia="fr-FR"/>
        </w:rPr>
        <w:t>rputhje me legjislacionin n</w:t>
      </w:r>
      <w:r w:rsidR="00980396" w:rsidRPr="00B457F5">
        <w:rPr>
          <w:rFonts w:ascii="Garamond" w:eastAsia="MS Mincho" w:hAnsi="Garamond" w:cs="Times New Roman"/>
          <w:szCs w:val="24"/>
          <w:lang w:eastAsia="fr-FR"/>
        </w:rPr>
        <w:t>ë</w:t>
      </w:r>
      <w:r w:rsidRPr="00B457F5">
        <w:rPr>
          <w:rFonts w:ascii="Garamond" w:eastAsia="MS Mincho" w:hAnsi="Garamond" w:cs="Times New Roman"/>
          <w:szCs w:val="24"/>
          <w:lang w:eastAsia="fr-FR"/>
        </w:rPr>
        <w:t xml:space="preserve"> fuqi, do të vazhdoj</w:t>
      </w:r>
      <w:r w:rsidR="00980396" w:rsidRPr="00B457F5">
        <w:rPr>
          <w:rFonts w:ascii="Garamond" w:eastAsia="MS Mincho" w:hAnsi="Garamond" w:cs="Times New Roman"/>
          <w:szCs w:val="24"/>
          <w:lang w:eastAsia="fr-FR"/>
        </w:rPr>
        <w:t>ë</w:t>
      </w:r>
      <w:r w:rsidRPr="00B457F5">
        <w:rPr>
          <w:rFonts w:ascii="Garamond" w:eastAsia="MS Mincho" w:hAnsi="Garamond" w:cs="Times New Roman"/>
          <w:szCs w:val="24"/>
          <w:lang w:eastAsia="fr-FR"/>
        </w:rPr>
        <w:t xml:space="preserve"> përfshirjen e refugjatëve dhe azilkë</w:t>
      </w:r>
      <w:r w:rsidR="004603C3" w:rsidRPr="00B457F5">
        <w:rPr>
          <w:rFonts w:ascii="Garamond" w:eastAsia="MS Mincho" w:hAnsi="Garamond" w:cs="Times New Roman"/>
          <w:szCs w:val="24"/>
          <w:lang w:eastAsia="fr-FR"/>
        </w:rPr>
        <w:t>r</w:t>
      </w:r>
      <w:r w:rsidRPr="00B457F5">
        <w:rPr>
          <w:rFonts w:ascii="Garamond" w:eastAsia="MS Mincho" w:hAnsi="Garamond" w:cs="Times New Roman"/>
          <w:szCs w:val="24"/>
          <w:lang w:eastAsia="fr-FR"/>
        </w:rPr>
        <w:t>kuesve në programe të veçanta për nxitjen e punësimit, arsimit profesional, strehimit social, etj</w:t>
      </w:r>
      <w:r w:rsidR="00E7517F"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duke raportuar t</w:t>
      </w:r>
      <w:r w:rsidR="00980396" w:rsidRPr="00B457F5">
        <w:rPr>
          <w:rFonts w:ascii="Garamond" w:eastAsia="MS Mincho" w:hAnsi="Garamond" w:cs="Times New Roman"/>
          <w:szCs w:val="24"/>
          <w:lang w:eastAsia="fr-FR"/>
        </w:rPr>
        <w:t>ë</w:t>
      </w:r>
      <w:r w:rsidRPr="00B457F5">
        <w:rPr>
          <w:rFonts w:ascii="Garamond" w:eastAsia="MS Mincho" w:hAnsi="Garamond" w:cs="Times New Roman"/>
          <w:szCs w:val="24"/>
          <w:lang w:eastAsia="fr-FR"/>
        </w:rPr>
        <w:t xml:space="preserve"> dh</w:t>
      </w:r>
      <w:r w:rsidR="00980396" w:rsidRPr="00B457F5">
        <w:rPr>
          <w:rFonts w:ascii="Garamond" w:eastAsia="MS Mincho" w:hAnsi="Garamond" w:cs="Times New Roman"/>
          <w:szCs w:val="24"/>
          <w:lang w:eastAsia="fr-FR"/>
        </w:rPr>
        <w:t>ë</w:t>
      </w:r>
      <w:r w:rsidRPr="00B457F5">
        <w:rPr>
          <w:rFonts w:ascii="Garamond" w:eastAsia="MS Mincho" w:hAnsi="Garamond" w:cs="Times New Roman"/>
          <w:szCs w:val="24"/>
          <w:lang w:eastAsia="fr-FR"/>
        </w:rPr>
        <w:t>na konkrete mbi numrin e p</w:t>
      </w:r>
      <w:r w:rsidR="00980396" w:rsidRPr="00B457F5">
        <w:rPr>
          <w:rFonts w:ascii="Garamond" w:eastAsia="MS Mincho" w:hAnsi="Garamond" w:cs="Times New Roman"/>
          <w:szCs w:val="24"/>
          <w:lang w:eastAsia="fr-FR"/>
        </w:rPr>
        <w:t>ë</w:t>
      </w:r>
      <w:r w:rsidRPr="00B457F5">
        <w:rPr>
          <w:rFonts w:ascii="Garamond" w:eastAsia="MS Mincho" w:hAnsi="Garamond" w:cs="Times New Roman"/>
          <w:szCs w:val="24"/>
          <w:lang w:eastAsia="fr-FR"/>
        </w:rPr>
        <w:t>rfituesve nga k</w:t>
      </w:r>
      <w:r w:rsidR="00980396" w:rsidRPr="00B457F5">
        <w:rPr>
          <w:rFonts w:ascii="Garamond" w:eastAsia="MS Mincho" w:hAnsi="Garamond" w:cs="Times New Roman"/>
          <w:szCs w:val="24"/>
          <w:lang w:eastAsia="fr-FR"/>
        </w:rPr>
        <w:t>ë</w:t>
      </w:r>
      <w:r w:rsidRPr="00B457F5">
        <w:rPr>
          <w:rFonts w:ascii="Garamond" w:eastAsia="MS Mincho" w:hAnsi="Garamond" w:cs="Times New Roman"/>
          <w:szCs w:val="24"/>
          <w:lang w:eastAsia="fr-FR"/>
        </w:rPr>
        <w:t>to programe.</w:t>
      </w:r>
    </w:p>
    <w:p w14:paraId="6ABAC22C" w14:textId="30BA2F62" w:rsidR="00C15AE5" w:rsidRPr="00B457F5" w:rsidRDefault="00727323" w:rsidP="002E693B">
      <w:pPr>
        <w:spacing w:before="0" w:after="0"/>
        <w:ind w:firstLine="284"/>
        <w:rPr>
          <w:rFonts w:ascii="Garamond" w:eastAsia="MS Mincho" w:hAnsi="Garamond" w:cs="Times New Roman"/>
          <w:szCs w:val="24"/>
          <w:lang w:eastAsia="fr-FR"/>
        </w:rPr>
      </w:pPr>
      <w:r w:rsidRPr="00B457F5">
        <w:rPr>
          <w:rFonts w:ascii="Garamond" w:eastAsia="MS Mincho" w:hAnsi="Garamond" w:cs="Times New Roman"/>
          <w:szCs w:val="24"/>
          <w:lang w:eastAsia="fr-FR"/>
        </w:rPr>
        <w:t>Gjatë vitit 2024, ASHMDF</w:t>
      </w:r>
      <w:r w:rsidR="00C05230" w:rsidRPr="00B457F5">
        <w:rPr>
          <w:rFonts w:ascii="Garamond" w:eastAsia="MS Mincho" w:hAnsi="Garamond" w:cs="Times New Roman"/>
          <w:szCs w:val="24"/>
          <w:lang w:eastAsia="fr-FR"/>
        </w:rPr>
        <w:t>-ja</w:t>
      </w:r>
      <w:r w:rsidRPr="00B457F5">
        <w:rPr>
          <w:rFonts w:ascii="Garamond" w:eastAsia="MS Mincho" w:hAnsi="Garamond" w:cs="Times New Roman"/>
          <w:szCs w:val="24"/>
          <w:lang w:eastAsia="fr-FR"/>
        </w:rPr>
        <w:t xml:space="preserve"> do të kryejë një vlerësim se si mund të nxitet</w:t>
      </w:r>
      <w:r w:rsidR="0018079E" w:rsidRPr="00B457F5">
        <w:rPr>
          <w:rFonts w:ascii="Garamond" w:eastAsia="MS Mincho" w:hAnsi="Garamond" w:cs="Times New Roman"/>
          <w:szCs w:val="24"/>
          <w:lang w:eastAsia="fr-FR"/>
        </w:rPr>
        <w:t xml:space="preserve"> pjesëmarrja e të miturve dhe </w:t>
      </w:r>
      <w:r w:rsidRPr="00B457F5">
        <w:rPr>
          <w:rFonts w:ascii="Garamond" w:eastAsia="MS Mincho" w:hAnsi="Garamond" w:cs="Times New Roman"/>
          <w:szCs w:val="24"/>
          <w:lang w:eastAsia="fr-FR"/>
        </w:rPr>
        <w:t>të rinjve për arsimimin, kualifikim</w:t>
      </w:r>
      <w:r w:rsidR="00C05230" w:rsidRPr="00B457F5">
        <w:rPr>
          <w:rFonts w:ascii="Garamond" w:eastAsia="MS Mincho" w:hAnsi="Garamond" w:cs="Times New Roman"/>
          <w:szCs w:val="24"/>
          <w:lang w:eastAsia="fr-FR"/>
        </w:rPr>
        <w:t>in</w:t>
      </w:r>
      <w:r w:rsidRPr="00B457F5">
        <w:rPr>
          <w:rFonts w:ascii="Garamond" w:eastAsia="MS Mincho" w:hAnsi="Garamond" w:cs="Times New Roman"/>
          <w:szCs w:val="24"/>
          <w:lang w:eastAsia="fr-FR"/>
        </w:rPr>
        <w:t xml:space="preserve"> profesional, trajni</w:t>
      </w:r>
      <w:r w:rsidR="0018079E" w:rsidRPr="00B457F5">
        <w:rPr>
          <w:rFonts w:ascii="Garamond" w:eastAsia="MS Mincho" w:hAnsi="Garamond" w:cs="Times New Roman"/>
          <w:szCs w:val="24"/>
          <w:lang w:eastAsia="fr-FR"/>
        </w:rPr>
        <w:t>min dhe punësimin e të rinjve/</w:t>
      </w:r>
      <w:r w:rsidRPr="00B457F5">
        <w:rPr>
          <w:rFonts w:ascii="Garamond" w:eastAsia="MS Mincho" w:hAnsi="Garamond" w:cs="Times New Roman"/>
          <w:szCs w:val="24"/>
          <w:lang w:eastAsia="fr-FR"/>
        </w:rPr>
        <w:t>të rejave.</w:t>
      </w:r>
    </w:p>
    <w:p w14:paraId="2EFF6709" w14:textId="24215344" w:rsidR="00727323" w:rsidRPr="00B457F5" w:rsidRDefault="00727323" w:rsidP="002E693B">
      <w:pPr>
        <w:spacing w:before="0" w:after="0"/>
        <w:ind w:firstLine="284"/>
        <w:rPr>
          <w:rFonts w:ascii="Garamond" w:eastAsia="MS Mincho" w:hAnsi="Garamond" w:cs="Times New Roman"/>
          <w:szCs w:val="24"/>
          <w:lang w:eastAsia="fr-FR"/>
        </w:rPr>
      </w:pPr>
      <w:r w:rsidRPr="00B457F5">
        <w:rPr>
          <w:rFonts w:ascii="Garamond" w:eastAsia="MS Mincho" w:hAnsi="Garamond" w:cs="Times New Roman"/>
          <w:szCs w:val="24"/>
          <w:lang w:eastAsia="fr-FR"/>
        </w:rPr>
        <w:t>Nga ana tjetër, MAS</w:t>
      </w:r>
      <w:r w:rsidR="00C05230" w:rsidRPr="00B457F5">
        <w:rPr>
          <w:rFonts w:ascii="Garamond" w:eastAsia="MS Mincho" w:hAnsi="Garamond" w:cs="Times New Roman"/>
          <w:szCs w:val="24"/>
          <w:lang w:eastAsia="fr-FR"/>
        </w:rPr>
        <w:t>-i</w:t>
      </w:r>
      <w:r w:rsidRPr="00B457F5">
        <w:rPr>
          <w:rFonts w:ascii="Garamond" w:eastAsia="MS Mincho" w:hAnsi="Garamond" w:cs="Times New Roman"/>
          <w:szCs w:val="24"/>
          <w:lang w:eastAsia="fr-FR"/>
        </w:rPr>
        <w:t xml:space="preserve"> synon përmirësimin e kushteve për shkollimin parësor për fëmijët e </w:t>
      </w:r>
      <w:r w:rsidR="004603C3" w:rsidRPr="00B457F5">
        <w:rPr>
          <w:rFonts w:ascii="Garamond" w:eastAsia="MS Mincho" w:hAnsi="Garamond" w:cs="Times New Roman"/>
          <w:szCs w:val="24"/>
          <w:lang w:eastAsia="fr-FR"/>
        </w:rPr>
        <w:t>azilkërkuesve</w:t>
      </w:r>
      <w:r w:rsidRPr="00B457F5">
        <w:rPr>
          <w:rFonts w:ascii="Garamond" w:eastAsia="MS Mincho" w:hAnsi="Garamond" w:cs="Times New Roman"/>
          <w:szCs w:val="24"/>
          <w:lang w:eastAsia="fr-FR"/>
        </w:rPr>
        <w:t xml:space="preserve"> dhe refugjat</w:t>
      </w:r>
      <w:r w:rsidR="00A364F3" w:rsidRPr="00B457F5">
        <w:rPr>
          <w:rFonts w:ascii="Garamond" w:eastAsia="MS Mincho" w:hAnsi="Garamond" w:cs="Times New Roman"/>
          <w:szCs w:val="24"/>
          <w:lang w:eastAsia="fr-FR"/>
        </w:rPr>
        <w:t>ë</w:t>
      </w:r>
      <w:r w:rsidRPr="00B457F5">
        <w:rPr>
          <w:rFonts w:ascii="Garamond" w:eastAsia="MS Mincho" w:hAnsi="Garamond" w:cs="Times New Roman"/>
          <w:szCs w:val="24"/>
          <w:lang w:eastAsia="fr-FR"/>
        </w:rPr>
        <w:t xml:space="preserve">ve deri në 2025, bazuar në udhëzimin e datës 17 </w:t>
      </w:r>
      <w:r w:rsidR="004603C3" w:rsidRPr="00B457F5">
        <w:rPr>
          <w:rFonts w:ascii="Garamond" w:eastAsia="MS Mincho" w:hAnsi="Garamond" w:cs="Times New Roman"/>
          <w:szCs w:val="24"/>
          <w:lang w:eastAsia="fr-FR"/>
        </w:rPr>
        <w:t>m</w:t>
      </w:r>
      <w:r w:rsidRPr="00B457F5">
        <w:rPr>
          <w:rFonts w:ascii="Garamond" w:eastAsia="MS Mincho" w:hAnsi="Garamond" w:cs="Times New Roman"/>
          <w:szCs w:val="24"/>
          <w:lang w:eastAsia="fr-FR"/>
        </w:rPr>
        <w:t>aj 2021. Për të integruar migrantët në mënyrë efektive</w:t>
      </w:r>
      <w:r w:rsidR="00C05230" w:rsidRPr="00B457F5">
        <w:rPr>
          <w:rFonts w:ascii="Garamond" w:eastAsia="MS Mincho" w:hAnsi="Garamond" w:cs="Times New Roman"/>
          <w:szCs w:val="24"/>
          <w:lang w:eastAsia="fr-FR"/>
        </w:rPr>
        <w:t>,</w:t>
      </w:r>
      <w:r w:rsidRPr="00B457F5">
        <w:rPr>
          <w:rFonts w:ascii="Garamond" w:eastAsia="MS Mincho" w:hAnsi="Garamond" w:cs="Times New Roman"/>
          <w:szCs w:val="24"/>
          <w:lang w:eastAsia="fr-FR"/>
        </w:rPr>
        <w:t xml:space="preserve"> MSHMS</w:t>
      </w:r>
      <w:r w:rsidR="00C05230" w:rsidRPr="00B457F5">
        <w:rPr>
          <w:rFonts w:ascii="Garamond" w:eastAsia="MS Mincho" w:hAnsi="Garamond" w:cs="Times New Roman"/>
          <w:szCs w:val="24"/>
          <w:lang w:eastAsia="fr-FR"/>
        </w:rPr>
        <w:t>-ja</w:t>
      </w:r>
      <w:r w:rsidRPr="00B457F5">
        <w:rPr>
          <w:rFonts w:ascii="Garamond" w:eastAsia="MS Mincho" w:hAnsi="Garamond" w:cs="Times New Roman"/>
          <w:szCs w:val="24"/>
          <w:lang w:eastAsia="fr-FR"/>
        </w:rPr>
        <w:t xml:space="preserve"> do të bëjë të mundur trajnimin dhe kuali</w:t>
      </w:r>
      <w:r w:rsidR="00DD3734" w:rsidRPr="00B457F5">
        <w:rPr>
          <w:rFonts w:ascii="Garamond" w:eastAsia="MS Mincho" w:hAnsi="Garamond" w:cs="Times New Roman"/>
          <w:szCs w:val="24"/>
          <w:lang w:eastAsia="fr-FR"/>
        </w:rPr>
        <w:t>fikimin e trajnerëve/</w:t>
      </w:r>
      <w:r w:rsidR="00C15AE5" w:rsidRPr="00B457F5">
        <w:rPr>
          <w:rFonts w:ascii="Garamond" w:eastAsia="MS Mincho" w:hAnsi="Garamond" w:cs="Times New Roman"/>
          <w:szCs w:val="24"/>
          <w:lang w:eastAsia="fr-FR"/>
        </w:rPr>
        <w:t>mediatorë</w:t>
      </w:r>
      <w:r w:rsidRPr="00B457F5">
        <w:rPr>
          <w:rFonts w:ascii="Garamond" w:eastAsia="MS Mincho" w:hAnsi="Garamond" w:cs="Times New Roman"/>
          <w:szCs w:val="24"/>
          <w:lang w:eastAsia="fr-FR"/>
        </w:rPr>
        <w:t>ve kulturorë për zhvillimin e program</w:t>
      </w:r>
      <w:r w:rsidR="004603C3" w:rsidRPr="00B457F5">
        <w:rPr>
          <w:rFonts w:ascii="Garamond" w:eastAsia="MS Mincho" w:hAnsi="Garamond" w:cs="Times New Roman"/>
          <w:szCs w:val="24"/>
          <w:lang w:eastAsia="fr-FR"/>
        </w:rPr>
        <w:t>e</w:t>
      </w:r>
      <w:r w:rsidRPr="00B457F5">
        <w:rPr>
          <w:rFonts w:ascii="Garamond" w:eastAsia="MS Mincho" w:hAnsi="Garamond" w:cs="Times New Roman"/>
          <w:szCs w:val="24"/>
          <w:lang w:eastAsia="fr-FR"/>
        </w:rPr>
        <w:t xml:space="preserve">ve integruese deri në vitin 2026. </w:t>
      </w:r>
    </w:p>
    <w:p w14:paraId="23CEE457" w14:textId="456A59BC" w:rsidR="008414BD" w:rsidRPr="00B457F5" w:rsidRDefault="008F407F" w:rsidP="002E693B">
      <w:pPr>
        <w:pStyle w:val="BodyText"/>
        <w:spacing w:before="0" w:after="0" w:line="240" w:lineRule="auto"/>
        <w:ind w:firstLine="284"/>
        <w:rPr>
          <w:rStyle w:val="Heading2Char"/>
          <w:rFonts w:ascii="Garamond" w:hAnsi="Garamond" w:cs="Times New Roman"/>
          <w:b w:val="0"/>
          <w:color w:val="auto"/>
          <w:sz w:val="24"/>
          <w:szCs w:val="24"/>
        </w:rPr>
      </w:pPr>
      <w:bookmarkStart w:id="57" w:name="_bookmark9"/>
      <w:bookmarkStart w:id="58" w:name="_bookmark14"/>
      <w:bookmarkEnd w:id="57"/>
      <w:bookmarkEnd w:id="58"/>
      <w:r w:rsidRPr="00B457F5">
        <w:rPr>
          <w:rStyle w:val="Heading2Char"/>
          <w:rFonts w:ascii="Garamond" w:hAnsi="Garamond" w:cs="Times New Roman"/>
          <w:b w:val="0"/>
          <w:color w:val="auto"/>
          <w:sz w:val="24"/>
          <w:szCs w:val="24"/>
        </w:rPr>
        <w:t xml:space="preserve">PJESA III </w:t>
      </w:r>
      <w:r w:rsidR="004603C3" w:rsidRPr="00B457F5">
        <w:rPr>
          <w:rStyle w:val="contentpasted1"/>
          <w:rFonts w:ascii="Garamond" w:hAnsi="Garamond" w:cs="Times New Roman"/>
          <w:color w:val="000000"/>
        </w:rPr>
        <w:t>–</w:t>
      </w:r>
      <w:r w:rsidRPr="00B457F5">
        <w:rPr>
          <w:rStyle w:val="Heading2Char"/>
          <w:rFonts w:ascii="Garamond" w:hAnsi="Garamond" w:cs="Times New Roman"/>
          <w:b w:val="0"/>
          <w:color w:val="auto"/>
          <w:sz w:val="24"/>
          <w:szCs w:val="24"/>
        </w:rPr>
        <w:t xml:space="preserve"> PROJEKTET/PROGRAMET KOMBËTARE TË ZHVILLIMIT PËR ZBATIMIN E STRATEGJISË</w:t>
      </w:r>
    </w:p>
    <w:p w14:paraId="1575C4BD" w14:textId="6ECB45F9" w:rsidR="008414BD" w:rsidRPr="00B457F5" w:rsidRDefault="008414BD" w:rsidP="002E693B">
      <w:pPr>
        <w:pStyle w:val="BodyText"/>
        <w:spacing w:before="0" w:after="0" w:line="240" w:lineRule="auto"/>
        <w:ind w:firstLine="284"/>
        <w:rPr>
          <w:rStyle w:val="Heading2Char"/>
          <w:rFonts w:ascii="Garamond" w:hAnsi="Garamond" w:cs="Times New Roman"/>
          <w:color w:val="0D0D0D" w:themeColor="text1" w:themeTint="F2"/>
          <w:sz w:val="24"/>
          <w:szCs w:val="24"/>
        </w:rPr>
      </w:pPr>
      <w:bookmarkStart w:id="59" w:name="_Toc155620234"/>
      <w:bookmarkStart w:id="60" w:name="_Toc155620737"/>
      <w:r w:rsidRPr="00B457F5">
        <w:rPr>
          <w:rStyle w:val="Heading2Char"/>
          <w:rFonts w:ascii="Garamond" w:hAnsi="Garamond" w:cs="Times New Roman"/>
          <w:color w:val="0D0D0D" w:themeColor="text1" w:themeTint="F2"/>
          <w:sz w:val="24"/>
          <w:szCs w:val="24"/>
        </w:rPr>
        <w:t xml:space="preserve">Mekanizmat </w:t>
      </w:r>
      <w:r w:rsidR="00A03DDD" w:rsidRPr="00B457F5">
        <w:rPr>
          <w:rStyle w:val="Heading2Char"/>
          <w:rFonts w:ascii="Garamond" w:hAnsi="Garamond" w:cs="Times New Roman"/>
          <w:color w:val="0D0D0D" w:themeColor="text1" w:themeTint="F2"/>
          <w:sz w:val="24"/>
          <w:szCs w:val="24"/>
        </w:rPr>
        <w:t>koordinues, zbatues dhe monitorues</w:t>
      </w:r>
      <w:bookmarkEnd w:id="59"/>
      <w:bookmarkEnd w:id="60"/>
    </w:p>
    <w:p w14:paraId="5C67E636" w14:textId="2D84221C" w:rsidR="008414BD" w:rsidRPr="00B457F5" w:rsidRDefault="008414BD" w:rsidP="002E693B">
      <w:pPr>
        <w:pStyle w:val="BodyText"/>
        <w:spacing w:before="0" w:after="0" w:line="240" w:lineRule="auto"/>
        <w:ind w:firstLine="284"/>
        <w:rPr>
          <w:rStyle w:val="Heading2Char"/>
          <w:rFonts w:ascii="Garamond" w:hAnsi="Garamond" w:cs="Times New Roman"/>
          <w:b w:val="0"/>
          <w:bCs/>
          <w:color w:val="0D0D0D" w:themeColor="text1" w:themeTint="F2"/>
          <w:sz w:val="24"/>
          <w:szCs w:val="24"/>
        </w:rPr>
      </w:pPr>
      <w:bookmarkStart w:id="61" w:name="_Toc155620235"/>
      <w:bookmarkStart w:id="62" w:name="_Toc155620738"/>
      <w:r w:rsidRPr="00B457F5">
        <w:rPr>
          <w:rStyle w:val="Heading2Char"/>
          <w:rFonts w:ascii="Garamond" w:hAnsi="Garamond" w:cs="Times New Roman"/>
          <w:b w:val="0"/>
          <w:bCs/>
          <w:color w:val="0D0D0D" w:themeColor="text1" w:themeTint="F2"/>
          <w:sz w:val="24"/>
          <w:szCs w:val="24"/>
        </w:rPr>
        <w:t>Strategjia Kombëtare për Migracionin dhe Plani i saj i Veprimit do të zbatohen ndërmjet viteve 2024 dhe 2030. Ministria e Brendshme do të marrë rolin udhëheqës në zbatimin e strategjisë</w:t>
      </w:r>
      <w:r w:rsidR="00C05230" w:rsidRPr="00B457F5">
        <w:rPr>
          <w:rStyle w:val="Heading2Char"/>
          <w:rFonts w:ascii="Garamond" w:hAnsi="Garamond" w:cs="Times New Roman"/>
          <w:b w:val="0"/>
          <w:bCs/>
          <w:color w:val="0D0D0D" w:themeColor="text1" w:themeTint="F2"/>
          <w:sz w:val="24"/>
          <w:szCs w:val="24"/>
        </w:rPr>
        <w:t>,</w:t>
      </w:r>
      <w:r w:rsidRPr="00B457F5">
        <w:rPr>
          <w:rStyle w:val="Heading2Char"/>
          <w:rFonts w:ascii="Garamond" w:hAnsi="Garamond" w:cs="Times New Roman"/>
          <w:b w:val="0"/>
          <w:bCs/>
          <w:color w:val="0D0D0D" w:themeColor="text1" w:themeTint="F2"/>
          <w:sz w:val="24"/>
          <w:szCs w:val="24"/>
        </w:rPr>
        <w:t xml:space="preserve"> si institucioni përgjegjës për migracionin. Kjo strategji do të ketë dy plane veprimi, njëri që mbulon afatin midis 2024 dhe 2026 dhe tjetri midis 2027 dhe 2030.</w:t>
      </w:r>
      <w:bookmarkEnd w:id="61"/>
      <w:bookmarkEnd w:id="62"/>
    </w:p>
    <w:p w14:paraId="11BC8E95" w14:textId="1C3EDC89" w:rsidR="008414BD" w:rsidRPr="00B457F5" w:rsidRDefault="008414BD" w:rsidP="002E693B">
      <w:pPr>
        <w:pStyle w:val="BodyText"/>
        <w:spacing w:before="0" w:after="0" w:line="240" w:lineRule="auto"/>
        <w:ind w:firstLine="284"/>
        <w:rPr>
          <w:rStyle w:val="Heading2Char"/>
          <w:rFonts w:ascii="Garamond" w:hAnsi="Garamond" w:cs="Times New Roman"/>
          <w:b w:val="0"/>
          <w:bCs/>
          <w:color w:val="0D0D0D" w:themeColor="text1" w:themeTint="F2"/>
          <w:sz w:val="24"/>
          <w:szCs w:val="24"/>
        </w:rPr>
      </w:pPr>
      <w:bookmarkStart w:id="63" w:name="_Toc155620236"/>
      <w:bookmarkStart w:id="64" w:name="_Toc155620739"/>
      <w:r w:rsidRPr="00B457F5">
        <w:rPr>
          <w:rStyle w:val="Heading2Char"/>
          <w:rFonts w:ascii="Garamond" w:hAnsi="Garamond" w:cs="Times New Roman"/>
          <w:b w:val="0"/>
          <w:bCs/>
          <w:color w:val="0D0D0D" w:themeColor="text1" w:themeTint="F2"/>
          <w:sz w:val="24"/>
          <w:szCs w:val="24"/>
        </w:rPr>
        <w:t xml:space="preserve">Progresi në arritjen e objektivave të </w:t>
      </w:r>
      <w:r w:rsidR="00C05230" w:rsidRPr="00B457F5">
        <w:rPr>
          <w:rStyle w:val="Heading2Char"/>
          <w:rFonts w:ascii="Garamond" w:hAnsi="Garamond" w:cs="Times New Roman"/>
          <w:b w:val="0"/>
          <w:bCs/>
          <w:color w:val="0D0D0D" w:themeColor="text1" w:themeTint="F2"/>
          <w:sz w:val="24"/>
          <w:szCs w:val="24"/>
        </w:rPr>
        <w:t>s</w:t>
      </w:r>
      <w:r w:rsidRPr="00B457F5">
        <w:rPr>
          <w:rStyle w:val="Heading2Char"/>
          <w:rFonts w:ascii="Garamond" w:hAnsi="Garamond" w:cs="Times New Roman"/>
          <w:b w:val="0"/>
          <w:bCs/>
          <w:color w:val="0D0D0D" w:themeColor="text1" w:themeTint="F2"/>
          <w:sz w:val="24"/>
          <w:szCs w:val="24"/>
        </w:rPr>
        <w:t>trategjisë do të matet me disa tregues të lidhur me objektivat dhe masat specifike, të përcaktuara në Planin e Veprimit. Përgjegjësia për të monitoruar përfundimin në kohë të çdo mase sipas planit do</w:t>
      </w:r>
      <w:r w:rsidR="004603C3" w:rsidRPr="00B457F5">
        <w:rPr>
          <w:rStyle w:val="Heading2Char"/>
          <w:rFonts w:ascii="Garamond" w:hAnsi="Garamond" w:cs="Times New Roman"/>
          <w:b w:val="0"/>
          <w:bCs/>
          <w:color w:val="0D0D0D" w:themeColor="text1" w:themeTint="F2"/>
          <w:sz w:val="24"/>
          <w:szCs w:val="24"/>
        </w:rPr>
        <w:t xml:space="preserve"> t’i </w:t>
      </w:r>
      <w:r w:rsidRPr="00B457F5">
        <w:rPr>
          <w:rStyle w:val="Heading2Char"/>
          <w:rFonts w:ascii="Garamond" w:hAnsi="Garamond" w:cs="Times New Roman"/>
          <w:b w:val="0"/>
          <w:bCs/>
          <w:color w:val="0D0D0D" w:themeColor="text1" w:themeTint="F2"/>
          <w:sz w:val="24"/>
          <w:szCs w:val="24"/>
        </w:rPr>
        <w:t>ngarkohet një institucioni drejtues qeveritar, bazuar në masën përkatëse, përveç rasteve kur parashikohet ndryshe dhe kur kërkohet zbatimi i përbashkët nga disa institucione në të njëjtën kohë, i shoqëruar nga një ose disa institucione të tjera ose organizata mbështetëse/shoqëri civile. Institucioni drejtues do të përcaktojë në detaje nënindikatorët. Ai do të përcaktojë modelin dhe procedurat e raportimit dhe do të mbajë komunikim të rregullt me të gjitha agjencitë përgjegjëse për masën përkatëse. Udhëheqësi do të caktojë një person kontaktues i cili do të ketë për detyrë të shkruajë raporte të rregullta bazuar në të dhënat standarde të mbledhura nga agjencitë/institucionet e tjera.</w:t>
      </w:r>
      <w:bookmarkEnd w:id="63"/>
      <w:bookmarkEnd w:id="64"/>
    </w:p>
    <w:p w14:paraId="4812D230" w14:textId="0B8D4AA5" w:rsidR="008414BD" w:rsidRPr="00B457F5" w:rsidRDefault="008414BD" w:rsidP="002E693B">
      <w:pPr>
        <w:pStyle w:val="BodyText"/>
        <w:spacing w:before="0" w:after="0" w:line="240" w:lineRule="auto"/>
        <w:ind w:firstLine="284"/>
        <w:rPr>
          <w:rStyle w:val="Heading2Char"/>
          <w:rFonts w:ascii="Garamond" w:hAnsi="Garamond" w:cs="Times New Roman"/>
          <w:b w:val="0"/>
          <w:bCs/>
          <w:color w:val="0D0D0D" w:themeColor="text1" w:themeTint="F2"/>
          <w:sz w:val="24"/>
          <w:szCs w:val="24"/>
        </w:rPr>
      </w:pPr>
      <w:bookmarkStart w:id="65" w:name="_Toc155620237"/>
      <w:bookmarkStart w:id="66" w:name="_Toc155620740"/>
      <w:r w:rsidRPr="00B457F5">
        <w:rPr>
          <w:rStyle w:val="Heading2Char"/>
          <w:rFonts w:ascii="Garamond" w:hAnsi="Garamond" w:cs="Times New Roman"/>
          <w:b w:val="0"/>
          <w:bCs/>
          <w:color w:val="0D0D0D" w:themeColor="text1" w:themeTint="F2"/>
          <w:sz w:val="24"/>
          <w:szCs w:val="24"/>
        </w:rPr>
        <w:t xml:space="preserve">Detyrat e lidhura me migracionin në Ministrinë e Brendshme mbulohen nga Njësia e Migracionit, e cila shërben në të njëjtën kohë me Sekretariatin Teknik për Migracionin (SKM). Ky entitet do të monitorojë progresin, duke u siguruar që ai të jetë gjithëpërfshirës, të mbulojë të gjitha shtyllat e Strategjisë dhe Planit të Veprimit, të jetë i përditësuar dhe të mbështetet në informacionin aktual dhe standard. Sekretariati Teknik pranë Ministrisë së Brendshme do të koordinojë punën monitoruese dhe ndërveprimin me sekretariatet e tjera teknike për migracionin, të ngritura pranë Ministrisë së Financave dhe Ekonomisë dhe Ministrisë për Evropën dhe Punët e Jashtme, si tre institucionet kryesore për menaxhimin e </w:t>
      </w:r>
      <w:r w:rsidRPr="007814B4">
        <w:rPr>
          <w:rStyle w:val="Heading2Char"/>
          <w:rFonts w:ascii="Garamond" w:hAnsi="Garamond" w:cs="Times New Roman"/>
          <w:b w:val="0"/>
          <w:bCs/>
          <w:color w:val="0D0D0D" w:themeColor="text1" w:themeTint="F2"/>
          <w:sz w:val="24"/>
          <w:szCs w:val="24"/>
        </w:rPr>
        <w:t>migracionit</w:t>
      </w:r>
      <w:r w:rsidR="00C05230" w:rsidRPr="007814B4">
        <w:rPr>
          <w:rStyle w:val="Heading2Char"/>
          <w:rFonts w:ascii="Garamond" w:hAnsi="Garamond" w:cs="Times New Roman"/>
          <w:b w:val="0"/>
          <w:bCs/>
          <w:color w:val="0D0D0D" w:themeColor="text1" w:themeTint="F2"/>
          <w:sz w:val="24"/>
          <w:szCs w:val="24"/>
        </w:rPr>
        <w:t>.</w:t>
      </w:r>
      <w:r w:rsidRPr="007814B4">
        <w:rPr>
          <w:rStyle w:val="Heading2Char"/>
          <w:rFonts w:ascii="Garamond" w:hAnsi="Garamond" w:cs="Times New Roman"/>
          <w:b w:val="0"/>
          <w:bCs/>
          <w:color w:val="0D0D0D" w:themeColor="text1" w:themeTint="F2"/>
          <w:sz w:val="24"/>
          <w:szCs w:val="24"/>
        </w:rPr>
        <w:t xml:space="preserve"> </w:t>
      </w:r>
      <w:r w:rsidR="00C05230" w:rsidRPr="007814B4">
        <w:rPr>
          <w:rStyle w:val="Heading2Char"/>
          <w:rFonts w:ascii="Garamond" w:hAnsi="Garamond" w:cs="Times New Roman"/>
          <w:b w:val="0"/>
          <w:bCs/>
          <w:color w:val="0D0D0D" w:themeColor="text1" w:themeTint="F2"/>
          <w:sz w:val="24"/>
          <w:szCs w:val="24"/>
        </w:rPr>
        <w:t xml:space="preserve">Qeverisja </w:t>
      </w:r>
      <w:r w:rsidRPr="007814B4">
        <w:rPr>
          <w:rStyle w:val="Heading2Char"/>
          <w:rFonts w:ascii="Garamond" w:hAnsi="Garamond" w:cs="Times New Roman"/>
          <w:b w:val="0"/>
          <w:bCs/>
          <w:color w:val="0D0D0D" w:themeColor="text1" w:themeTint="F2"/>
          <w:sz w:val="24"/>
          <w:szCs w:val="24"/>
        </w:rPr>
        <w:t>në Shqipëri, të cilat kanë një numër të konsiderueshëm institucionesh dhe agjencish zbatuese në varësi.</w:t>
      </w:r>
      <w:bookmarkEnd w:id="65"/>
      <w:bookmarkEnd w:id="66"/>
    </w:p>
    <w:p w14:paraId="337E2853" w14:textId="4675435B" w:rsidR="008414BD" w:rsidRPr="00B457F5" w:rsidRDefault="008414BD" w:rsidP="002E693B">
      <w:pPr>
        <w:pStyle w:val="BodyText"/>
        <w:spacing w:before="0" w:after="0" w:line="240" w:lineRule="auto"/>
        <w:ind w:firstLine="284"/>
        <w:rPr>
          <w:rStyle w:val="Heading2Char"/>
          <w:rFonts w:ascii="Garamond" w:hAnsi="Garamond" w:cs="Times New Roman"/>
          <w:b w:val="0"/>
          <w:bCs/>
          <w:color w:val="0D0D0D" w:themeColor="text1" w:themeTint="F2"/>
          <w:sz w:val="24"/>
          <w:szCs w:val="24"/>
        </w:rPr>
      </w:pPr>
      <w:bookmarkStart w:id="67" w:name="_Toc155620238"/>
      <w:bookmarkStart w:id="68" w:name="_Toc155620741"/>
      <w:r w:rsidRPr="00B457F5">
        <w:rPr>
          <w:rStyle w:val="Heading2Char"/>
          <w:rFonts w:ascii="Garamond" w:hAnsi="Garamond" w:cs="Times New Roman"/>
          <w:b w:val="0"/>
          <w:bCs/>
          <w:color w:val="0D0D0D" w:themeColor="text1" w:themeTint="F2"/>
          <w:sz w:val="24"/>
          <w:szCs w:val="24"/>
        </w:rPr>
        <w:t>Sekretariati Teknik i MB-së do të koordinojë aktivitetet monitoruese të të gjitha agjencive/institucioneve udhëheqëse, përmes koordinimit dhe raportimit të sekretariateve të tjera, mbledhjes së raporteve tremujore, semestrale dhe vjetore</w:t>
      </w:r>
      <w:r w:rsidR="00C05230" w:rsidRPr="00B457F5">
        <w:rPr>
          <w:rStyle w:val="Heading2Char"/>
          <w:rFonts w:ascii="Garamond" w:hAnsi="Garamond" w:cs="Times New Roman"/>
          <w:b w:val="0"/>
          <w:bCs/>
          <w:color w:val="0D0D0D" w:themeColor="text1" w:themeTint="F2"/>
          <w:sz w:val="24"/>
          <w:szCs w:val="24"/>
        </w:rPr>
        <w:t>,</w:t>
      </w:r>
      <w:r w:rsidRPr="00B457F5">
        <w:rPr>
          <w:rStyle w:val="Heading2Char"/>
          <w:rFonts w:ascii="Garamond" w:hAnsi="Garamond" w:cs="Times New Roman"/>
          <w:b w:val="0"/>
          <w:bCs/>
          <w:color w:val="0D0D0D" w:themeColor="text1" w:themeTint="F2"/>
          <w:sz w:val="24"/>
          <w:szCs w:val="24"/>
        </w:rPr>
        <w:t xml:space="preserve"> me qëllim përafrimin, identifikimin e mangësive të të dhënave dhe analizimin e tendencave të migracionit. Sekretariati do të hartojë dhe </w:t>
      </w:r>
      <w:r w:rsidRPr="00B457F5">
        <w:rPr>
          <w:rStyle w:val="Heading2Char"/>
          <w:rFonts w:ascii="Garamond" w:hAnsi="Garamond" w:cs="Times New Roman"/>
          <w:b w:val="0"/>
          <w:bCs/>
          <w:color w:val="0D0D0D" w:themeColor="text1" w:themeTint="F2"/>
          <w:sz w:val="24"/>
          <w:szCs w:val="24"/>
        </w:rPr>
        <w:lastRenderedPageBreak/>
        <w:t>prezantojë një plan për dorëzimin e raporteve dhe do të ofrojë asistencë teknike për pikat e kontaktit në çdo institucion, duke shpjeguar metodologjinë.</w:t>
      </w:r>
      <w:bookmarkEnd w:id="67"/>
      <w:bookmarkEnd w:id="68"/>
    </w:p>
    <w:p w14:paraId="6CB045F4" w14:textId="5386FC29" w:rsidR="00712F33" w:rsidRPr="00B457F5" w:rsidRDefault="00816A42" w:rsidP="002E693B">
      <w:pPr>
        <w:pStyle w:val="BodyText"/>
        <w:spacing w:before="0" w:after="0" w:line="240" w:lineRule="auto"/>
        <w:ind w:firstLine="284"/>
        <w:rPr>
          <w:rStyle w:val="Heading2Char"/>
          <w:rFonts w:ascii="Garamond" w:hAnsi="Garamond" w:cs="Times New Roman"/>
          <w:b w:val="0"/>
          <w:bCs/>
          <w:color w:val="auto"/>
          <w:sz w:val="24"/>
          <w:szCs w:val="24"/>
        </w:rPr>
      </w:pPr>
      <w:r w:rsidRPr="00B457F5">
        <w:rPr>
          <w:rStyle w:val="Heading2Char"/>
          <w:rFonts w:ascii="Garamond" w:hAnsi="Garamond" w:cs="Times New Roman"/>
          <w:b w:val="0"/>
          <w:bCs/>
          <w:color w:val="auto"/>
          <w:sz w:val="24"/>
          <w:szCs w:val="24"/>
        </w:rPr>
        <w:t xml:space="preserve">Strategjia e </w:t>
      </w:r>
      <w:r w:rsidR="00A03DDD" w:rsidRPr="00B457F5">
        <w:rPr>
          <w:rStyle w:val="Heading2Char"/>
          <w:rFonts w:ascii="Garamond" w:hAnsi="Garamond" w:cs="Times New Roman"/>
          <w:b w:val="0"/>
          <w:bCs/>
          <w:color w:val="auto"/>
          <w:sz w:val="24"/>
          <w:szCs w:val="24"/>
        </w:rPr>
        <w:t>mëparshme</w:t>
      </w:r>
      <w:r w:rsidRPr="00B457F5">
        <w:rPr>
          <w:rStyle w:val="Heading2Char"/>
          <w:rFonts w:ascii="Garamond" w:hAnsi="Garamond" w:cs="Times New Roman"/>
          <w:b w:val="0"/>
          <w:bCs/>
          <w:color w:val="auto"/>
          <w:sz w:val="24"/>
          <w:szCs w:val="24"/>
        </w:rPr>
        <w:t xml:space="preserve"> Kombëtare e Migracionit ngriti një mekanizëm të dyfishtë monitorimi, të përbërë nga: Komiteti Teknik i Migracionit (KTM), i krijuar me </w:t>
      </w:r>
      <w:r w:rsidR="00A03DDD" w:rsidRPr="00B457F5">
        <w:rPr>
          <w:rStyle w:val="Heading2Char"/>
          <w:rFonts w:ascii="Garamond" w:hAnsi="Garamond" w:cs="Times New Roman"/>
          <w:b w:val="0"/>
          <w:bCs/>
          <w:color w:val="auto"/>
          <w:sz w:val="24"/>
          <w:szCs w:val="24"/>
        </w:rPr>
        <w:t>u</w:t>
      </w:r>
      <w:r w:rsidRPr="00B457F5">
        <w:rPr>
          <w:rStyle w:val="Heading2Char"/>
          <w:rFonts w:ascii="Garamond" w:hAnsi="Garamond" w:cs="Times New Roman"/>
          <w:b w:val="0"/>
          <w:bCs/>
          <w:color w:val="auto"/>
          <w:sz w:val="24"/>
          <w:szCs w:val="24"/>
        </w:rPr>
        <w:t xml:space="preserve">rdhrin e </w:t>
      </w:r>
      <w:r w:rsidR="00C05230" w:rsidRPr="00B457F5">
        <w:rPr>
          <w:rStyle w:val="Heading2Char"/>
          <w:rFonts w:ascii="Garamond" w:hAnsi="Garamond" w:cs="Times New Roman"/>
          <w:b w:val="0"/>
          <w:bCs/>
          <w:color w:val="auto"/>
          <w:sz w:val="24"/>
          <w:szCs w:val="24"/>
        </w:rPr>
        <w:t xml:space="preserve">kryeministrit </w:t>
      </w:r>
      <w:r w:rsidRPr="00B457F5">
        <w:rPr>
          <w:rStyle w:val="Heading2Char"/>
          <w:rFonts w:ascii="Garamond" w:hAnsi="Garamond" w:cs="Times New Roman"/>
          <w:b w:val="0"/>
          <w:bCs/>
          <w:color w:val="auto"/>
          <w:sz w:val="24"/>
          <w:szCs w:val="24"/>
        </w:rPr>
        <w:t xml:space="preserve">nr. 99, datë 27.7.2020 dhe Grupi Drejtues i Migracionit (GDM), i krijuar me </w:t>
      </w:r>
      <w:r w:rsidR="00A03DDD" w:rsidRPr="00B457F5">
        <w:rPr>
          <w:rStyle w:val="Heading2Char"/>
          <w:rFonts w:ascii="Garamond" w:hAnsi="Garamond" w:cs="Times New Roman"/>
          <w:b w:val="0"/>
          <w:bCs/>
          <w:color w:val="auto"/>
          <w:sz w:val="24"/>
          <w:szCs w:val="24"/>
        </w:rPr>
        <w:t>u</w:t>
      </w:r>
      <w:r w:rsidRPr="00B457F5">
        <w:rPr>
          <w:rStyle w:val="Heading2Char"/>
          <w:rFonts w:ascii="Garamond" w:hAnsi="Garamond" w:cs="Times New Roman"/>
          <w:b w:val="0"/>
          <w:bCs/>
          <w:color w:val="auto"/>
          <w:sz w:val="24"/>
          <w:szCs w:val="24"/>
        </w:rPr>
        <w:t xml:space="preserve">rdhrin e </w:t>
      </w:r>
      <w:r w:rsidR="00C05230" w:rsidRPr="00B457F5">
        <w:rPr>
          <w:rStyle w:val="Heading2Char"/>
          <w:rFonts w:ascii="Garamond" w:hAnsi="Garamond" w:cs="Times New Roman"/>
          <w:b w:val="0"/>
          <w:bCs/>
          <w:color w:val="auto"/>
          <w:sz w:val="24"/>
          <w:szCs w:val="24"/>
        </w:rPr>
        <w:t xml:space="preserve">kryeministrit </w:t>
      </w:r>
      <w:r w:rsidRPr="00B457F5">
        <w:rPr>
          <w:rStyle w:val="Heading2Char"/>
          <w:rFonts w:ascii="Garamond" w:hAnsi="Garamond" w:cs="Times New Roman"/>
          <w:b w:val="0"/>
          <w:bCs/>
          <w:color w:val="auto"/>
          <w:sz w:val="24"/>
          <w:szCs w:val="24"/>
        </w:rPr>
        <w:t>nr. 35, datë 10.3.2021. Strategjia e re Kombëtare për Migracionin, do të vazhdojë të ruaj këtë sistem të dyfishtë monitorimi.</w:t>
      </w:r>
    </w:p>
    <w:p w14:paraId="74F5B2A5" w14:textId="05BE9DDD" w:rsidR="00712F33" w:rsidRPr="00B457F5" w:rsidRDefault="00712F33" w:rsidP="002E693B">
      <w:pPr>
        <w:pStyle w:val="BodyText"/>
        <w:spacing w:before="0" w:after="0" w:line="240" w:lineRule="auto"/>
        <w:ind w:firstLine="284"/>
        <w:rPr>
          <w:rStyle w:val="Heading2Char"/>
          <w:rFonts w:ascii="Garamond" w:hAnsi="Garamond" w:cs="Times New Roman"/>
          <w:b w:val="0"/>
          <w:bCs/>
          <w:color w:val="0D0D0D" w:themeColor="text1" w:themeTint="F2"/>
          <w:sz w:val="24"/>
          <w:szCs w:val="24"/>
        </w:rPr>
      </w:pPr>
      <w:bookmarkStart w:id="69" w:name="_Toc155620242"/>
      <w:bookmarkStart w:id="70" w:name="_Toc155620745"/>
      <w:r w:rsidRPr="00B457F5">
        <w:rPr>
          <w:rStyle w:val="Heading2Char"/>
          <w:rFonts w:ascii="Garamond" w:hAnsi="Garamond" w:cs="Times New Roman"/>
          <w:b w:val="0"/>
          <w:bCs/>
          <w:color w:val="0D0D0D" w:themeColor="text1" w:themeTint="F2"/>
          <w:sz w:val="24"/>
          <w:szCs w:val="24"/>
        </w:rPr>
        <w:t>Gjatë identifikimit të masave dhe përgatitjes së planit të veprimit, ka pasur një bashkërendim të mirë të nismave të partnerëve që mbështesin qeverinë dhe fushat përkatëse, përfshirë donatorët dhe organizatat vendore dhe ndërkombëtare</w:t>
      </w:r>
      <w:r w:rsidR="00C05230" w:rsidRPr="00B457F5">
        <w:rPr>
          <w:rStyle w:val="Heading2Char"/>
          <w:rFonts w:ascii="Garamond" w:hAnsi="Garamond" w:cs="Times New Roman"/>
          <w:b w:val="0"/>
          <w:bCs/>
          <w:color w:val="0D0D0D" w:themeColor="text1" w:themeTint="F2"/>
          <w:sz w:val="24"/>
          <w:szCs w:val="24"/>
        </w:rPr>
        <w:t>,</w:t>
      </w:r>
      <w:r w:rsidRPr="00B457F5">
        <w:rPr>
          <w:rStyle w:val="Heading2Char"/>
          <w:rFonts w:ascii="Garamond" w:hAnsi="Garamond" w:cs="Times New Roman"/>
          <w:b w:val="0"/>
          <w:bCs/>
          <w:color w:val="0D0D0D" w:themeColor="text1" w:themeTint="F2"/>
          <w:sz w:val="24"/>
          <w:szCs w:val="24"/>
        </w:rPr>
        <w:t xml:space="preserve"> që kanë shprehur vullnetin e tyre për të kontribuar në zbatimin e </w:t>
      </w:r>
      <w:r w:rsidR="00C05230" w:rsidRPr="00B457F5">
        <w:rPr>
          <w:rStyle w:val="Heading2Char"/>
          <w:rFonts w:ascii="Garamond" w:hAnsi="Garamond" w:cs="Times New Roman"/>
          <w:b w:val="0"/>
          <w:bCs/>
          <w:color w:val="0D0D0D" w:themeColor="text1" w:themeTint="F2"/>
          <w:sz w:val="24"/>
          <w:szCs w:val="24"/>
        </w:rPr>
        <w:t>s</w:t>
      </w:r>
      <w:r w:rsidRPr="00B457F5">
        <w:rPr>
          <w:rStyle w:val="Heading2Char"/>
          <w:rFonts w:ascii="Garamond" w:hAnsi="Garamond" w:cs="Times New Roman"/>
          <w:b w:val="0"/>
          <w:bCs/>
          <w:color w:val="0D0D0D" w:themeColor="text1" w:themeTint="F2"/>
          <w:sz w:val="24"/>
          <w:szCs w:val="24"/>
        </w:rPr>
        <w:t xml:space="preserve">trategjisë. Ky koordinim do të vazhdojë edhe gjatë zbatimit dhe rishikimit të </w:t>
      </w:r>
      <w:r w:rsidR="00C05230" w:rsidRPr="00B457F5">
        <w:rPr>
          <w:rStyle w:val="Heading2Char"/>
          <w:rFonts w:ascii="Garamond" w:hAnsi="Garamond" w:cs="Times New Roman"/>
          <w:b w:val="0"/>
          <w:bCs/>
          <w:color w:val="0D0D0D" w:themeColor="text1" w:themeTint="F2"/>
          <w:sz w:val="24"/>
          <w:szCs w:val="24"/>
        </w:rPr>
        <w:t>s</w:t>
      </w:r>
      <w:r w:rsidRPr="00B457F5">
        <w:rPr>
          <w:rStyle w:val="Heading2Char"/>
          <w:rFonts w:ascii="Garamond" w:hAnsi="Garamond" w:cs="Times New Roman"/>
          <w:b w:val="0"/>
          <w:bCs/>
          <w:color w:val="0D0D0D" w:themeColor="text1" w:themeTint="F2"/>
          <w:sz w:val="24"/>
          <w:szCs w:val="24"/>
        </w:rPr>
        <w:t>trategjisë. Për këtë qëllim, Mekanizmi Koordinues dhe Monitorues do të zhvillojë takime me partnerë, organizata ndërkombëtare, shoqërinë civile dhe aktorë të tjerë përkatës në fushën e migracionit</w:t>
      </w:r>
      <w:r w:rsidR="00C05230" w:rsidRPr="00B457F5">
        <w:rPr>
          <w:rStyle w:val="Heading2Char"/>
          <w:rFonts w:ascii="Garamond" w:hAnsi="Garamond" w:cs="Times New Roman"/>
          <w:b w:val="0"/>
          <w:bCs/>
          <w:color w:val="0D0D0D" w:themeColor="text1" w:themeTint="F2"/>
          <w:sz w:val="24"/>
          <w:szCs w:val="24"/>
        </w:rPr>
        <w:t>,</w:t>
      </w:r>
      <w:r w:rsidRPr="00B457F5">
        <w:rPr>
          <w:rStyle w:val="Heading2Char"/>
          <w:rFonts w:ascii="Garamond" w:hAnsi="Garamond" w:cs="Times New Roman"/>
          <w:b w:val="0"/>
          <w:bCs/>
          <w:color w:val="0D0D0D" w:themeColor="text1" w:themeTint="F2"/>
          <w:sz w:val="24"/>
          <w:szCs w:val="24"/>
        </w:rPr>
        <w:t xml:space="preserve"> të paktën një herë në vit.</w:t>
      </w:r>
      <w:bookmarkEnd w:id="69"/>
      <w:bookmarkEnd w:id="70"/>
    </w:p>
    <w:p w14:paraId="606BDCEA" w14:textId="46D90B8B" w:rsidR="00C03B8E" w:rsidRPr="00B457F5" w:rsidRDefault="00712F33" w:rsidP="00C05230">
      <w:pPr>
        <w:pStyle w:val="BodyText"/>
        <w:spacing w:before="0" w:after="0" w:line="240" w:lineRule="auto"/>
        <w:ind w:firstLine="284"/>
        <w:rPr>
          <w:rStyle w:val="Heading2Char"/>
          <w:rFonts w:ascii="Garamond" w:hAnsi="Garamond" w:cs="Times New Roman"/>
          <w:b w:val="0"/>
          <w:bCs/>
          <w:color w:val="0D0D0D" w:themeColor="text1" w:themeTint="F2"/>
          <w:sz w:val="24"/>
          <w:szCs w:val="24"/>
        </w:rPr>
      </w:pPr>
      <w:bookmarkStart w:id="71" w:name="_Toc155620243"/>
      <w:bookmarkStart w:id="72" w:name="_Toc155620746"/>
      <w:r w:rsidRPr="00B457F5">
        <w:rPr>
          <w:rStyle w:val="Heading2Char"/>
          <w:rFonts w:ascii="Garamond" w:hAnsi="Garamond" w:cs="Times New Roman"/>
          <w:b w:val="0"/>
          <w:bCs/>
          <w:color w:val="0D0D0D" w:themeColor="text1" w:themeTint="F2"/>
          <w:sz w:val="24"/>
          <w:szCs w:val="24"/>
        </w:rPr>
        <w:t>Institucionet që do të luajnë një rol udhëheqës ose mbështetës në realizimin e objektivave/masave</w:t>
      </w:r>
      <w:r w:rsidR="00C05230" w:rsidRPr="00B457F5">
        <w:rPr>
          <w:rStyle w:val="Heading2Char"/>
          <w:rFonts w:ascii="Garamond" w:hAnsi="Garamond" w:cs="Times New Roman"/>
          <w:b w:val="0"/>
          <w:bCs/>
          <w:color w:val="0D0D0D" w:themeColor="text1" w:themeTint="F2"/>
          <w:sz w:val="24"/>
          <w:szCs w:val="24"/>
        </w:rPr>
        <w:t xml:space="preserve"> </w:t>
      </w:r>
      <w:r w:rsidRPr="00B457F5">
        <w:rPr>
          <w:rStyle w:val="Heading2Char"/>
          <w:rFonts w:ascii="Garamond" w:hAnsi="Garamond" w:cs="Times New Roman"/>
          <w:b w:val="0"/>
          <w:bCs/>
          <w:color w:val="0D0D0D" w:themeColor="text1" w:themeTint="F2"/>
          <w:sz w:val="24"/>
          <w:szCs w:val="24"/>
        </w:rPr>
        <w:t>/ndërhyrjeve prioritare të përcaktuara në Planin e Veprimit përfshijnë</w:t>
      </w:r>
      <w:r w:rsidR="00C05230" w:rsidRPr="00B457F5">
        <w:rPr>
          <w:rStyle w:val="Heading2Char"/>
          <w:rFonts w:ascii="Garamond" w:hAnsi="Garamond" w:cs="Times New Roman"/>
          <w:b w:val="0"/>
          <w:bCs/>
          <w:color w:val="0D0D0D" w:themeColor="text1" w:themeTint="F2"/>
          <w:sz w:val="24"/>
          <w:szCs w:val="24"/>
        </w:rPr>
        <w:t>,</w:t>
      </w:r>
      <w:r w:rsidRPr="00B457F5">
        <w:rPr>
          <w:rStyle w:val="Heading2Char"/>
          <w:rFonts w:ascii="Garamond" w:hAnsi="Garamond" w:cs="Times New Roman"/>
          <w:b w:val="0"/>
          <w:bCs/>
          <w:color w:val="0D0D0D" w:themeColor="text1" w:themeTint="F2"/>
          <w:sz w:val="24"/>
          <w:szCs w:val="24"/>
        </w:rPr>
        <w:t xml:space="preserve"> si më poshtë:</w:t>
      </w:r>
      <w:bookmarkEnd w:id="71"/>
      <w:bookmarkEnd w:id="72"/>
    </w:p>
    <w:p w14:paraId="426675F6" w14:textId="77777777" w:rsidR="00102300" w:rsidRPr="00B457F5" w:rsidRDefault="00102300" w:rsidP="002E693B">
      <w:pPr>
        <w:pStyle w:val="BodyText"/>
        <w:spacing w:before="0" w:after="0" w:line="240" w:lineRule="auto"/>
        <w:ind w:firstLine="284"/>
        <w:rPr>
          <w:rFonts w:ascii="Garamond" w:eastAsiaTheme="majorEastAsia" w:hAnsi="Garamond" w:cs="Times New Roman"/>
          <w:bCs/>
          <w:color w:val="0D0D0D" w:themeColor="text1" w:themeTint="F2"/>
        </w:rPr>
      </w:pPr>
    </w:p>
    <w:tbl>
      <w:tblPr>
        <w:tblW w:w="0" w:type="auto"/>
        <w:tblLook w:val="04A0" w:firstRow="1" w:lastRow="0" w:firstColumn="1" w:lastColumn="0" w:noHBand="0" w:noVBand="1"/>
      </w:tblPr>
      <w:tblGrid>
        <w:gridCol w:w="1919"/>
        <w:gridCol w:w="7380"/>
      </w:tblGrid>
      <w:tr w:rsidR="00C03B8E" w:rsidRPr="00B457F5" w14:paraId="39E5334D" w14:textId="77777777" w:rsidTr="006C7000">
        <w:trPr>
          <w:trHeight w:val="20"/>
        </w:trPr>
        <w:tc>
          <w:tcPr>
            <w:tcW w:w="1937" w:type="dxa"/>
          </w:tcPr>
          <w:p w14:paraId="2506F9C4" w14:textId="300390F5"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A</w:t>
            </w:r>
            <w:r w:rsidR="00146626" w:rsidRPr="00B457F5">
              <w:rPr>
                <w:rFonts w:ascii="Garamond" w:hAnsi="Garamond" w:cs="Times New Roman"/>
                <w:color w:val="000000" w:themeColor="text1"/>
                <w:sz w:val="16"/>
                <w:szCs w:val="16"/>
              </w:rPr>
              <w:t>DISA</w:t>
            </w:r>
          </w:p>
        </w:tc>
        <w:tc>
          <w:tcPr>
            <w:tcW w:w="7723" w:type="dxa"/>
          </w:tcPr>
          <w:p w14:paraId="17A8983E" w14:textId="77777777" w:rsidR="00C03B8E" w:rsidRPr="00B457F5" w:rsidRDefault="00C03B8E"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Agjencia e Ofrimit të Shërbimeve Publike të Integruara</w:t>
            </w:r>
          </w:p>
        </w:tc>
      </w:tr>
      <w:tr w:rsidR="00C03B8E" w:rsidRPr="00B457F5" w14:paraId="151C024E" w14:textId="77777777" w:rsidTr="006C7000">
        <w:trPr>
          <w:trHeight w:val="20"/>
        </w:trPr>
        <w:tc>
          <w:tcPr>
            <w:tcW w:w="1937" w:type="dxa"/>
          </w:tcPr>
          <w:p w14:paraId="28EDF454" w14:textId="6F5407AD"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A</w:t>
            </w:r>
            <w:r w:rsidR="00146626" w:rsidRPr="00B457F5">
              <w:rPr>
                <w:rFonts w:ascii="Garamond" w:hAnsi="Garamond" w:cs="Times New Roman"/>
                <w:color w:val="000000" w:themeColor="text1"/>
                <w:sz w:val="16"/>
                <w:szCs w:val="16"/>
              </w:rPr>
              <w:t>IDA</w:t>
            </w:r>
          </w:p>
        </w:tc>
        <w:tc>
          <w:tcPr>
            <w:tcW w:w="7723" w:type="dxa"/>
          </w:tcPr>
          <w:p w14:paraId="4BC30ECF" w14:textId="77777777" w:rsidR="00C03B8E" w:rsidRPr="00B457F5" w:rsidRDefault="00C03B8E"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Agjencia Shqiptare e Zhvillimit të Investimeve</w:t>
            </w:r>
          </w:p>
        </w:tc>
      </w:tr>
      <w:tr w:rsidR="00C03B8E" w:rsidRPr="00B457F5" w14:paraId="4E2A48D6" w14:textId="77777777" w:rsidTr="006C7000">
        <w:trPr>
          <w:trHeight w:val="20"/>
        </w:trPr>
        <w:tc>
          <w:tcPr>
            <w:tcW w:w="1937" w:type="dxa"/>
          </w:tcPr>
          <w:p w14:paraId="6E911B69" w14:textId="77777777"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AKD</w:t>
            </w:r>
          </w:p>
        </w:tc>
        <w:tc>
          <w:tcPr>
            <w:tcW w:w="7723" w:type="dxa"/>
          </w:tcPr>
          <w:p w14:paraId="4FD58A5F" w14:textId="13E6F1F1" w:rsidR="00C03B8E" w:rsidRPr="00B457F5" w:rsidRDefault="00C03B8E"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Agjencia Kombëtare e Diasporës</w:t>
            </w:r>
            <w:r w:rsidR="003D4A4F" w:rsidRPr="00B457F5">
              <w:rPr>
                <w:rFonts w:ascii="Garamond" w:hAnsi="Garamond" w:cs="Times New Roman"/>
                <w:color w:val="000000" w:themeColor="text1"/>
                <w:sz w:val="16"/>
                <w:szCs w:val="16"/>
              </w:rPr>
              <w:t xml:space="preserve"> </w:t>
            </w:r>
          </w:p>
        </w:tc>
      </w:tr>
      <w:tr w:rsidR="00C03B8E" w:rsidRPr="00B457F5" w14:paraId="58C991F7" w14:textId="77777777" w:rsidTr="006C7000">
        <w:trPr>
          <w:trHeight w:val="20"/>
        </w:trPr>
        <w:tc>
          <w:tcPr>
            <w:tcW w:w="1937" w:type="dxa"/>
          </w:tcPr>
          <w:p w14:paraId="473909EA" w14:textId="77777777"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AKPA</w:t>
            </w:r>
          </w:p>
        </w:tc>
        <w:tc>
          <w:tcPr>
            <w:tcW w:w="7723" w:type="dxa"/>
          </w:tcPr>
          <w:p w14:paraId="723E3D7B" w14:textId="7D5334D1" w:rsidR="00C03B8E" w:rsidRPr="00B457F5" w:rsidRDefault="00C03B8E"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Agjencia Kombëtare e Punësimit dhe Aftësive</w:t>
            </w:r>
            <w:r w:rsidR="00146626" w:rsidRPr="00B457F5">
              <w:rPr>
                <w:rFonts w:ascii="Garamond" w:hAnsi="Garamond"/>
                <w:color w:val="000000" w:themeColor="text1"/>
                <w:sz w:val="16"/>
                <w:szCs w:val="16"/>
              </w:rPr>
              <w:t xml:space="preserve"> </w:t>
            </w:r>
          </w:p>
        </w:tc>
      </w:tr>
      <w:tr w:rsidR="000A7769" w:rsidRPr="00B457F5" w14:paraId="28F8E172" w14:textId="77777777" w:rsidTr="006C7000">
        <w:trPr>
          <w:trHeight w:val="20"/>
        </w:trPr>
        <w:tc>
          <w:tcPr>
            <w:tcW w:w="1937" w:type="dxa"/>
          </w:tcPr>
          <w:p w14:paraId="6AE9B001" w14:textId="00EDCAE7" w:rsidR="000A7769" w:rsidRPr="00B457F5" w:rsidRDefault="000A7769"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AKPFA</w:t>
            </w:r>
          </w:p>
        </w:tc>
        <w:tc>
          <w:tcPr>
            <w:tcW w:w="7723" w:type="dxa"/>
          </w:tcPr>
          <w:p w14:paraId="2212093B" w14:textId="02326452" w:rsidR="000A7769" w:rsidRPr="00B457F5" w:rsidRDefault="000A7769"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 xml:space="preserve">Agjencia Kombëtare e Arsimit, Formimit Profesional dhe Kualifikimeve </w:t>
            </w:r>
          </w:p>
        </w:tc>
      </w:tr>
      <w:tr w:rsidR="00C03B8E" w:rsidRPr="00B457F5" w14:paraId="6052CB03" w14:textId="77777777" w:rsidTr="006C7000">
        <w:trPr>
          <w:trHeight w:val="20"/>
        </w:trPr>
        <w:tc>
          <w:tcPr>
            <w:tcW w:w="1937" w:type="dxa"/>
          </w:tcPr>
          <w:p w14:paraId="47F19B5A" w14:textId="77777777"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AKSHI</w:t>
            </w:r>
          </w:p>
        </w:tc>
        <w:tc>
          <w:tcPr>
            <w:tcW w:w="7723" w:type="dxa"/>
          </w:tcPr>
          <w:p w14:paraId="1AE1B7BF" w14:textId="07A0E92A" w:rsidR="00C03B8E" w:rsidRPr="00B457F5" w:rsidRDefault="00C03B8E"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Agjencia Kombëtare e Shoqërisë së Informacionit</w:t>
            </w:r>
            <w:r w:rsidR="00EA35B1" w:rsidRPr="00B457F5">
              <w:rPr>
                <w:rFonts w:ascii="Garamond" w:hAnsi="Garamond"/>
                <w:color w:val="000000" w:themeColor="text1"/>
                <w:sz w:val="16"/>
                <w:szCs w:val="16"/>
              </w:rPr>
              <w:t xml:space="preserve"> </w:t>
            </w:r>
          </w:p>
        </w:tc>
      </w:tr>
      <w:tr w:rsidR="00C03B8E" w:rsidRPr="00B457F5" w14:paraId="25EC0CE8" w14:textId="77777777" w:rsidTr="006C7000">
        <w:trPr>
          <w:trHeight w:val="20"/>
        </w:trPr>
        <w:tc>
          <w:tcPr>
            <w:tcW w:w="1937" w:type="dxa"/>
          </w:tcPr>
          <w:p w14:paraId="7B025319" w14:textId="77777777"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AMVV</w:t>
            </w:r>
          </w:p>
        </w:tc>
        <w:tc>
          <w:tcPr>
            <w:tcW w:w="7723" w:type="dxa"/>
          </w:tcPr>
          <w:p w14:paraId="233AE83C" w14:textId="568E0588" w:rsidR="00C03B8E" w:rsidRPr="00B457F5" w:rsidRDefault="004B4230"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 xml:space="preserve">Agjencia për </w:t>
            </w:r>
            <w:r w:rsidR="00A03DDD" w:rsidRPr="00B457F5">
              <w:rPr>
                <w:rFonts w:ascii="Garamond" w:hAnsi="Garamond" w:cs="Times New Roman"/>
                <w:color w:val="000000" w:themeColor="text1"/>
                <w:sz w:val="16"/>
                <w:szCs w:val="16"/>
              </w:rPr>
              <w:t>Mbështetjen</w:t>
            </w:r>
            <w:r w:rsidRPr="00B457F5">
              <w:rPr>
                <w:rFonts w:ascii="Garamond" w:hAnsi="Garamond" w:cs="Times New Roman"/>
                <w:color w:val="000000" w:themeColor="text1"/>
                <w:sz w:val="16"/>
                <w:szCs w:val="16"/>
              </w:rPr>
              <w:t xml:space="preserve"> e Vetëqeverisjes Vendore</w:t>
            </w:r>
          </w:p>
        </w:tc>
      </w:tr>
      <w:tr w:rsidR="00C03B8E" w:rsidRPr="00B457F5" w14:paraId="0B53DF2C" w14:textId="77777777" w:rsidTr="006C7000">
        <w:trPr>
          <w:trHeight w:val="20"/>
        </w:trPr>
        <w:tc>
          <w:tcPr>
            <w:tcW w:w="1937" w:type="dxa"/>
          </w:tcPr>
          <w:p w14:paraId="6BB7E237" w14:textId="77777777"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ASPA</w:t>
            </w:r>
          </w:p>
        </w:tc>
        <w:tc>
          <w:tcPr>
            <w:tcW w:w="7723" w:type="dxa"/>
          </w:tcPr>
          <w:p w14:paraId="086E5231" w14:textId="77777777" w:rsidR="00C03B8E" w:rsidRPr="00B457F5" w:rsidRDefault="00C03B8E"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Shkolla Shqiptare e Administratës Publike</w:t>
            </w:r>
          </w:p>
        </w:tc>
      </w:tr>
      <w:tr w:rsidR="00C03B8E" w:rsidRPr="00B457F5" w14:paraId="5E4E38C0" w14:textId="77777777" w:rsidTr="006C7000">
        <w:trPr>
          <w:trHeight w:val="20"/>
        </w:trPr>
        <w:tc>
          <w:tcPr>
            <w:tcW w:w="1937" w:type="dxa"/>
          </w:tcPr>
          <w:p w14:paraId="2BA54565" w14:textId="77777777"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ASHDMF</w:t>
            </w:r>
          </w:p>
        </w:tc>
        <w:tc>
          <w:tcPr>
            <w:tcW w:w="7723" w:type="dxa"/>
          </w:tcPr>
          <w:p w14:paraId="7E64062F" w14:textId="77777777" w:rsidR="00C03B8E" w:rsidRPr="00B457F5" w:rsidRDefault="00C03B8E"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Agjencia Shtetërore për të Drejtat dhe Mbrojtjen e Fëmijëve</w:t>
            </w:r>
          </w:p>
        </w:tc>
      </w:tr>
      <w:tr w:rsidR="00C03B8E" w:rsidRPr="00B457F5" w14:paraId="3CE2A0B8" w14:textId="77777777" w:rsidTr="006C7000">
        <w:trPr>
          <w:trHeight w:val="20"/>
        </w:trPr>
        <w:tc>
          <w:tcPr>
            <w:tcW w:w="1937" w:type="dxa"/>
          </w:tcPr>
          <w:p w14:paraId="79E40B5E" w14:textId="77777777"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AP</w:t>
            </w:r>
          </w:p>
        </w:tc>
        <w:tc>
          <w:tcPr>
            <w:tcW w:w="7723" w:type="dxa"/>
          </w:tcPr>
          <w:p w14:paraId="3C950B63" w14:textId="77777777" w:rsidR="00C03B8E" w:rsidRPr="00B457F5" w:rsidRDefault="00C03B8E"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Avokati i Popullit</w:t>
            </w:r>
          </w:p>
        </w:tc>
      </w:tr>
      <w:tr w:rsidR="00C03B8E" w:rsidRPr="00B457F5" w14:paraId="6EEAAF80" w14:textId="77777777" w:rsidTr="006C7000">
        <w:trPr>
          <w:trHeight w:val="20"/>
        </w:trPr>
        <w:tc>
          <w:tcPr>
            <w:tcW w:w="1937" w:type="dxa"/>
          </w:tcPr>
          <w:p w14:paraId="5D3C7ED2" w14:textId="77777777"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BSH</w:t>
            </w:r>
          </w:p>
        </w:tc>
        <w:tc>
          <w:tcPr>
            <w:tcW w:w="7723" w:type="dxa"/>
          </w:tcPr>
          <w:p w14:paraId="74DA1F2B" w14:textId="77777777" w:rsidR="00C03B8E" w:rsidRPr="00B457F5" w:rsidRDefault="00C03B8E"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Banka e Shqipërisë</w:t>
            </w:r>
          </w:p>
        </w:tc>
      </w:tr>
      <w:tr w:rsidR="00C03B8E" w:rsidRPr="00B457F5" w14:paraId="61C93D32" w14:textId="77777777" w:rsidTr="006C7000">
        <w:trPr>
          <w:trHeight w:val="20"/>
        </w:trPr>
        <w:tc>
          <w:tcPr>
            <w:tcW w:w="1937" w:type="dxa"/>
          </w:tcPr>
          <w:p w14:paraId="3C5BBD82" w14:textId="77777777"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DAP</w:t>
            </w:r>
          </w:p>
        </w:tc>
        <w:tc>
          <w:tcPr>
            <w:tcW w:w="7723" w:type="dxa"/>
          </w:tcPr>
          <w:p w14:paraId="2681EF62" w14:textId="77777777" w:rsidR="00C03B8E" w:rsidRPr="00B457F5" w:rsidRDefault="00C03B8E"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Departamenti i Administratës Publike</w:t>
            </w:r>
          </w:p>
        </w:tc>
      </w:tr>
      <w:tr w:rsidR="00C03B8E" w:rsidRPr="00B457F5" w14:paraId="2D28AD42" w14:textId="77777777" w:rsidTr="006C7000">
        <w:trPr>
          <w:trHeight w:val="20"/>
        </w:trPr>
        <w:tc>
          <w:tcPr>
            <w:tcW w:w="1937" w:type="dxa"/>
          </w:tcPr>
          <w:p w14:paraId="003D82A8" w14:textId="3630C586"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DBE</w:t>
            </w:r>
          </w:p>
        </w:tc>
        <w:tc>
          <w:tcPr>
            <w:tcW w:w="7723" w:type="dxa"/>
          </w:tcPr>
          <w:p w14:paraId="52CA1230" w14:textId="77777777" w:rsidR="00C03B8E" w:rsidRPr="00B457F5" w:rsidRDefault="00C03B8E"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Delegacioni i Bashkimit Evropian në Shqipëri</w:t>
            </w:r>
          </w:p>
        </w:tc>
      </w:tr>
      <w:tr w:rsidR="00C03B8E" w:rsidRPr="00B457F5" w14:paraId="1E5049E2" w14:textId="77777777" w:rsidTr="006C7000">
        <w:trPr>
          <w:trHeight w:val="20"/>
        </w:trPr>
        <w:tc>
          <w:tcPr>
            <w:tcW w:w="1937" w:type="dxa"/>
          </w:tcPr>
          <w:p w14:paraId="0C8B7B78" w14:textId="77777777"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DKM</w:t>
            </w:r>
          </w:p>
        </w:tc>
        <w:tc>
          <w:tcPr>
            <w:tcW w:w="7723" w:type="dxa"/>
          </w:tcPr>
          <w:p w14:paraId="5E0C70CD" w14:textId="44A23351" w:rsidR="00C03B8E" w:rsidRPr="00B457F5" w:rsidRDefault="00C03B8E"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Departamenti i Kufirit dhe Migracionit</w:t>
            </w:r>
            <w:r w:rsidR="00146626" w:rsidRPr="00B457F5">
              <w:rPr>
                <w:rFonts w:ascii="Garamond" w:hAnsi="Garamond"/>
                <w:color w:val="000000" w:themeColor="text1"/>
                <w:sz w:val="16"/>
                <w:szCs w:val="16"/>
              </w:rPr>
              <w:t xml:space="preserve"> </w:t>
            </w:r>
          </w:p>
        </w:tc>
      </w:tr>
      <w:tr w:rsidR="00C03B8E" w:rsidRPr="00B457F5" w14:paraId="5698ABA4" w14:textId="77777777" w:rsidTr="006C7000">
        <w:trPr>
          <w:trHeight w:val="20"/>
        </w:trPr>
        <w:tc>
          <w:tcPr>
            <w:tcW w:w="1937" w:type="dxa"/>
          </w:tcPr>
          <w:p w14:paraId="092F1BAD" w14:textId="77777777"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DNJF</w:t>
            </w:r>
          </w:p>
        </w:tc>
        <w:tc>
          <w:tcPr>
            <w:tcW w:w="7723" w:type="dxa"/>
          </w:tcPr>
          <w:p w14:paraId="6F4574A4" w14:textId="5D304E87" w:rsidR="00C03B8E" w:rsidRPr="00B457F5" w:rsidRDefault="004B4230"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Drejtoria e Ndihmës Juridike Falas</w:t>
            </w:r>
            <w:r w:rsidR="00146626" w:rsidRPr="00B457F5">
              <w:rPr>
                <w:rFonts w:ascii="Garamond" w:hAnsi="Garamond" w:cs="Times New Roman"/>
                <w:color w:val="000000" w:themeColor="text1"/>
                <w:sz w:val="16"/>
                <w:szCs w:val="16"/>
              </w:rPr>
              <w:t xml:space="preserve"> </w:t>
            </w:r>
          </w:p>
        </w:tc>
      </w:tr>
      <w:tr w:rsidR="00C03B8E" w:rsidRPr="00B457F5" w14:paraId="0890BB8D" w14:textId="77777777" w:rsidTr="006C7000">
        <w:trPr>
          <w:trHeight w:val="20"/>
        </w:trPr>
        <w:tc>
          <w:tcPr>
            <w:tcW w:w="1937" w:type="dxa"/>
          </w:tcPr>
          <w:p w14:paraId="39FD9A5B" w14:textId="77777777"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DVKM</w:t>
            </w:r>
          </w:p>
        </w:tc>
        <w:tc>
          <w:tcPr>
            <w:tcW w:w="7723" w:type="dxa"/>
          </w:tcPr>
          <w:p w14:paraId="51175E7D" w14:textId="557E25D0" w:rsidR="00C03B8E" w:rsidRPr="00B457F5" w:rsidRDefault="00C03B8E"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Drejtoritë Vendore të Kufirit dhe Migracionit</w:t>
            </w:r>
            <w:r w:rsidR="00347B00" w:rsidRPr="00B457F5">
              <w:rPr>
                <w:rFonts w:ascii="Garamond" w:hAnsi="Garamond" w:cs="Times New Roman"/>
                <w:color w:val="000000" w:themeColor="text1"/>
                <w:sz w:val="16"/>
                <w:szCs w:val="16"/>
              </w:rPr>
              <w:t xml:space="preserve"> </w:t>
            </w:r>
          </w:p>
        </w:tc>
      </w:tr>
      <w:tr w:rsidR="00C03B8E" w:rsidRPr="00B457F5" w14:paraId="763C24A9" w14:textId="77777777" w:rsidTr="006C7000">
        <w:trPr>
          <w:trHeight w:val="20"/>
        </w:trPr>
        <w:tc>
          <w:tcPr>
            <w:tcW w:w="1937" w:type="dxa"/>
          </w:tcPr>
          <w:p w14:paraId="3377D768" w14:textId="77777777"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DVP</w:t>
            </w:r>
          </w:p>
        </w:tc>
        <w:tc>
          <w:tcPr>
            <w:tcW w:w="7723" w:type="dxa"/>
          </w:tcPr>
          <w:p w14:paraId="178F79B0" w14:textId="6836DF7F" w:rsidR="00C03B8E" w:rsidRPr="00B457F5" w:rsidRDefault="00C03B8E"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Drejtoritë Vendore të Policisë</w:t>
            </w:r>
            <w:r w:rsidR="00347B00" w:rsidRPr="00B457F5">
              <w:rPr>
                <w:rFonts w:ascii="Garamond" w:hAnsi="Garamond" w:cs="Times New Roman"/>
                <w:color w:val="000000" w:themeColor="text1"/>
                <w:sz w:val="16"/>
                <w:szCs w:val="16"/>
              </w:rPr>
              <w:t xml:space="preserve"> </w:t>
            </w:r>
          </w:p>
        </w:tc>
      </w:tr>
      <w:tr w:rsidR="00C03B8E" w:rsidRPr="00B457F5" w14:paraId="4EAF320F" w14:textId="77777777" w:rsidTr="006C7000">
        <w:trPr>
          <w:trHeight w:val="20"/>
        </w:trPr>
        <w:tc>
          <w:tcPr>
            <w:tcW w:w="1937" w:type="dxa"/>
          </w:tcPr>
          <w:p w14:paraId="7C574B6C" w14:textId="77777777"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EUAA</w:t>
            </w:r>
          </w:p>
        </w:tc>
        <w:tc>
          <w:tcPr>
            <w:tcW w:w="7723" w:type="dxa"/>
          </w:tcPr>
          <w:p w14:paraId="3BF55AF5" w14:textId="3A6EA5EE" w:rsidR="00C03B8E" w:rsidRPr="00B457F5" w:rsidRDefault="00C03B8E"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Ag</w:t>
            </w:r>
            <w:r w:rsidR="00045E8A" w:rsidRPr="00B457F5">
              <w:rPr>
                <w:rFonts w:ascii="Garamond" w:hAnsi="Garamond" w:cs="Times New Roman"/>
                <w:color w:val="000000" w:themeColor="text1"/>
                <w:sz w:val="16"/>
                <w:szCs w:val="16"/>
              </w:rPr>
              <w:t>je</w:t>
            </w:r>
            <w:r w:rsidRPr="00B457F5">
              <w:rPr>
                <w:rFonts w:ascii="Garamond" w:hAnsi="Garamond" w:cs="Times New Roman"/>
                <w:color w:val="000000" w:themeColor="text1"/>
                <w:sz w:val="16"/>
                <w:szCs w:val="16"/>
              </w:rPr>
              <w:t xml:space="preserve">ncia </w:t>
            </w:r>
            <w:r w:rsidR="00A03DDD" w:rsidRPr="00B457F5">
              <w:rPr>
                <w:rFonts w:ascii="Garamond" w:hAnsi="Garamond" w:cs="Times New Roman"/>
                <w:color w:val="000000" w:themeColor="text1"/>
                <w:sz w:val="16"/>
                <w:szCs w:val="16"/>
              </w:rPr>
              <w:t>Evropiane</w:t>
            </w:r>
            <w:r w:rsidRPr="00B457F5">
              <w:rPr>
                <w:rFonts w:ascii="Garamond" w:hAnsi="Garamond" w:cs="Times New Roman"/>
                <w:color w:val="000000" w:themeColor="text1"/>
                <w:sz w:val="16"/>
                <w:szCs w:val="16"/>
              </w:rPr>
              <w:t xml:space="preserve"> për Azilin</w:t>
            </w:r>
          </w:p>
        </w:tc>
      </w:tr>
      <w:tr w:rsidR="00C03B8E" w:rsidRPr="00B457F5" w14:paraId="21141C67" w14:textId="77777777" w:rsidTr="006C7000">
        <w:trPr>
          <w:trHeight w:val="20"/>
        </w:trPr>
        <w:tc>
          <w:tcPr>
            <w:tcW w:w="1937" w:type="dxa"/>
          </w:tcPr>
          <w:p w14:paraId="3220471C" w14:textId="77777777"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GPN</w:t>
            </w:r>
          </w:p>
        </w:tc>
        <w:tc>
          <w:tcPr>
            <w:tcW w:w="7723" w:type="dxa"/>
          </w:tcPr>
          <w:p w14:paraId="1B54D8F6" w14:textId="77777777" w:rsidR="00C03B8E" w:rsidRPr="00B457F5" w:rsidRDefault="00C03B8E"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Grupi i Punës Ndërinstitucional</w:t>
            </w:r>
          </w:p>
        </w:tc>
      </w:tr>
      <w:tr w:rsidR="00C03B8E" w:rsidRPr="00B457F5" w14:paraId="694FECBD" w14:textId="77777777" w:rsidTr="006C7000">
        <w:trPr>
          <w:trHeight w:val="20"/>
        </w:trPr>
        <w:tc>
          <w:tcPr>
            <w:tcW w:w="1937" w:type="dxa"/>
          </w:tcPr>
          <w:p w14:paraId="1B925664" w14:textId="77777777"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GIZ</w:t>
            </w:r>
          </w:p>
        </w:tc>
        <w:tc>
          <w:tcPr>
            <w:tcW w:w="7723" w:type="dxa"/>
          </w:tcPr>
          <w:p w14:paraId="5808EBEE" w14:textId="77777777" w:rsidR="00C03B8E" w:rsidRPr="00B457F5" w:rsidRDefault="00C03B8E"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Shoqëria Gjermane për Bashkëpunim Ndërkombëtar</w:t>
            </w:r>
          </w:p>
        </w:tc>
      </w:tr>
      <w:tr w:rsidR="00C03B8E" w:rsidRPr="00B457F5" w14:paraId="62574DA7" w14:textId="77777777" w:rsidTr="006C7000">
        <w:trPr>
          <w:trHeight w:val="20"/>
        </w:trPr>
        <w:tc>
          <w:tcPr>
            <w:tcW w:w="1937" w:type="dxa"/>
          </w:tcPr>
          <w:p w14:paraId="3A3A025A" w14:textId="77777777"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ISSH</w:t>
            </w:r>
          </w:p>
        </w:tc>
        <w:tc>
          <w:tcPr>
            <w:tcW w:w="7723" w:type="dxa"/>
          </w:tcPr>
          <w:p w14:paraId="5E78FB8E" w14:textId="56BBEEC8" w:rsidR="00C03B8E" w:rsidRPr="00B457F5" w:rsidRDefault="00C03B8E"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Instituti i Sigurimeve Shoqërore</w:t>
            </w:r>
            <w:r w:rsidR="00347B00" w:rsidRPr="00B457F5">
              <w:rPr>
                <w:rFonts w:ascii="Garamond" w:hAnsi="Garamond" w:cs="Times New Roman"/>
                <w:color w:val="000000" w:themeColor="text1"/>
                <w:sz w:val="16"/>
                <w:szCs w:val="16"/>
              </w:rPr>
              <w:t xml:space="preserve"> </w:t>
            </w:r>
          </w:p>
        </w:tc>
      </w:tr>
      <w:tr w:rsidR="00C03B8E" w:rsidRPr="00B457F5" w14:paraId="64865E3A" w14:textId="77777777" w:rsidTr="006C7000">
        <w:trPr>
          <w:trHeight w:val="20"/>
        </w:trPr>
        <w:tc>
          <w:tcPr>
            <w:tcW w:w="1937" w:type="dxa"/>
          </w:tcPr>
          <w:p w14:paraId="4A4ADC0E" w14:textId="77777777"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ISHPSHS</w:t>
            </w:r>
          </w:p>
        </w:tc>
        <w:tc>
          <w:tcPr>
            <w:tcW w:w="7723" w:type="dxa"/>
          </w:tcPr>
          <w:p w14:paraId="34E8DD81" w14:textId="3D6141CB" w:rsidR="00C03B8E" w:rsidRPr="00B457F5" w:rsidRDefault="00C03B8E"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Inspektorati Shtetëror i Punës dhe Shërbimeve Sociale</w:t>
            </w:r>
            <w:r w:rsidR="00347B00" w:rsidRPr="00B457F5">
              <w:rPr>
                <w:rFonts w:ascii="Garamond" w:hAnsi="Garamond" w:cs="Times New Roman"/>
                <w:color w:val="000000" w:themeColor="text1"/>
                <w:sz w:val="16"/>
                <w:szCs w:val="16"/>
              </w:rPr>
              <w:t xml:space="preserve"> </w:t>
            </w:r>
          </w:p>
        </w:tc>
      </w:tr>
      <w:tr w:rsidR="00C03B8E" w:rsidRPr="00B457F5" w14:paraId="1253AD2E" w14:textId="77777777" w:rsidTr="006C7000">
        <w:trPr>
          <w:trHeight w:val="20"/>
        </w:trPr>
        <w:tc>
          <w:tcPr>
            <w:tcW w:w="1937" w:type="dxa"/>
          </w:tcPr>
          <w:p w14:paraId="11D9B209" w14:textId="77777777"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INSTAT</w:t>
            </w:r>
          </w:p>
        </w:tc>
        <w:tc>
          <w:tcPr>
            <w:tcW w:w="7723" w:type="dxa"/>
          </w:tcPr>
          <w:p w14:paraId="678FCA60" w14:textId="77777777" w:rsidR="00C03B8E" w:rsidRPr="00B457F5" w:rsidRDefault="00C03B8E"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Instituti i Statistikave</w:t>
            </w:r>
          </w:p>
        </w:tc>
      </w:tr>
      <w:tr w:rsidR="00C03B8E" w:rsidRPr="00B457F5" w14:paraId="672BC44E" w14:textId="77777777" w:rsidTr="006C7000">
        <w:trPr>
          <w:trHeight w:val="20"/>
        </w:trPr>
        <w:tc>
          <w:tcPr>
            <w:tcW w:w="1937" w:type="dxa"/>
          </w:tcPr>
          <w:p w14:paraId="2F276B32" w14:textId="77777777"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IOM</w:t>
            </w:r>
          </w:p>
        </w:tc>
        <w:tc>
          <w:tcPr>
            <w:tcW w:w="7723" w:type="dxa"/>
          </w:tcPr>
          <w:p w14:paraId="16481A75" w14:textId="77777777" w:rsidR="00C03B8E" w:rsidRPr="00B457F5" w:rsidRDefault="00C03B8E"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Organizata Ndërkombëtare për Migracionin</w:t>
            </w:r>
          </w:p>
        </w:tc>
      </w:tr>
      <w:tr w:rsidR="00C03B8E" w:rsidRPr="00B457F5" w14:paraId="7AAA15EC" w14:textId="77777777" w:rsidTr="006C7000">
        <w:trPr>
          <w:trHeight w:val="20"/>
        </w:trPr>
        <w:tc>
          <w:tcPr>
            <w:tcW w:w="1937" w:type="dxa"/>
          </w:tcPr>
          <w:p w14:paraId="1516E152" w14:textId="77777777"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KMD</w:t>
            </w:r>
          </w:p>
        </w:tc>
        <w:tc>
          <w:tcPr>
            <w:tcW w:w="7723" w:type="dxa"/>
          </w:tcPr>
          <w:p w14:paraId="29CEB95E" w14:textId="4332DC75" w:rsidR="00C03B8E" w:rsidRPr="00B457F5" w:rsidRDefault="00C03B8E"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Komisioneri për Mbrojtjen nga Diskriminimi</w:t>
            </w:r>
            <w:r w:rsidR="00045E8A" w:rsidRPr="00B457F5">
              <w:rPr>
                <w:rFonts w:ascii="Garamond" w:hAnsi="Garamond" w:cs="Times New Roman"/>
                <w:color w:val="000000" w:themeColor="text1"/>
                <w:sz w:val="16"/>
                <w:szCs w:val="16"/>
              </w:rPr>
              <w:t xml:space="preserve"> </w:t>
            </w:r>
          </w:p>
        </w:tc>
      </w:tr>
      <w:tr w:rsidR="00C03B8E" w:rsidRPr="00B457F5" w14:paraId="6A0483A7" w14:textId="77777777" w:rsidTr="006C7000">
        <w:trPr>
          <w:trHeight w:val="20"/>
        </w:trPr>
        <w:tc>
          <w:tcPr>
            <w:tcW w:w="1937" w:type="dxa"/>
          </w:tcPr>
          <w:p w14:paraId="6A180993" w14:textId="77777777"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KDIMDP</w:t>
            </w:r>
          </w:p>
        </w:tc>
        <w:tc>
          <w:tcPr>
            <w:tcW w:w="7723" w:type="dxa"/>
          </w:tcPr>
          <w:p w14:paraId="37343C92" w14:textId="2C666BC2" w:rsidR="00A22C5B" w:rsidRPr="00B457F5" w:rsidRDefault="004B4230"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Komisioneri për të Drejtën e Informimit dhe Mbrojtjen e të Dhënave Personale</w:t>
            </w:r>
          </w:p>
        </w:tc>
      </w:tr>
      <w:tr w:rsidR="00C03B8E" w:rsidRPr="00B457F5" w14:paraId="1B452D47" w14:textId="77777777" w:rsidTr="006C7000">
        <w:trPr>
          <w:trHeight w:val="20"/>
        </w:trPr>
        <w:tc>
          <w:tcPr>
            <w:tcW w:w="1937" w:type="dxa"/>
          </w:tcPr>
          <w:p w14:paraId="4A3B9CF9" w14:textId="77777777"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MAS</w:t>
            </w:r>
          </w:p>
        </w:tc>
        <w:tc>
          <w:tcPr>
            <w:tcW w:w="7723" w:type="dxa"/>
          </w:tcPr>
          <w:p w14:paraId="6C01C73C" w14:textId="77777777" w:rsidR="00C03B8E" w:rsidRPr="00B457F5" w:rsidRDefault="00C03B8E"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Ministria e Arsimit dhe Sportit</w:t>
            </w:r>
          </w:p>
        </w:tc>
      </w:tr>
      <w:tr w:rsidR="00C03B8E" w:rsidRPr="00B457F5" w14:paraId="60961CE4" w14:textId="77777777" w:rsidTr="006C7000">
        <w:trPr>
          <w:trHeight w:val="20"/>
        </w:trPr>
        <w:tc>
          <w:tcPr>
            <w:tcW w:w="1937" w:type="dxa"/>
          </w:tcPr>
          <w:p w14:paraId="5318F172" w14:textId="77777777"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MD</w:t>
            </w:r>
          </w:p>
        </w:tc>
        <w:tc>
          <w:tcPr>
            <w:tcW w:w="7723" w:type="dxa"/>
          </w:tcPr>
          <w:p w14:paraId="7EF38DDC" w14:textId="77777777" w:rsidR="00C03B8E" w:rsidRPr="00B457F5" w:rsidRDefault="00C03B8E"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Ministria e Drejtësisë</w:t>
            </w:r>
          </w:p>
        </w:tc>
      </w:tr>
      <w:tr w:rsidR="00C03B8E" w:rsidRPr="00B457F5" w14:paraId="00A70460" w14:textId="77777777" w:rsidTr="006C7000">
        <w:trPr>
          <w:trHeight w:val="20"/>
        </w:trPr>
        <w:tc>
          <w:tcPr>
            <w:tcW w:w="1937" w:type="dxa"/>
          </w:tcPr>
          <w:p w14:paraId="79DF4D49" w14:textId="77777777"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MDK</w:t>
            </w:r>
          </w:p>
        </w:tc>
        <w:tc>
          <w:tcPr>
            <w:tcW w:w="7723" w:type="dxa"/>
          </w:tcPr>
          <w:p w14:paraId="06A4F065" w14:textId="77777777" w:rsidR="00C03B8E" w:rsidRPr="00B457F5" w:rsidRDefault="00C03B8E"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Misionet Diplomatike dhe Konsullore</w:t>
            </w:r>
          </w:p>
        </w:tc>
      </w:tr>
      <w:tr w:rsidR="00C03B8E" w:rsidRPr="00B457F5" w14:paraId="208B7914" w14:textId="77777777" w:rsidTr="006C7000">
        <w:trPr>
          <w:trHeight w:val="20"/>
        </w:trPr>
        <w:tc>
          <w:tcPr>
            <w:tcW w:w="1937" w:type="dxa"/>
          </w:tcPr>
          <w:p w14:paraId="225F7466" w14:textId="77777777"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MEPJ</w:t>
            </w:r>
          </w:p>
        </w:tc>
        <w:tc>
          <w:tcPr>
            <w:tcW w:w="7723" w:type="dxa"/>
          </w:tcPr>
          <w:p w14:paraId="43013643" w14:textId="77777777" w:rsidR="00C03B8E" w:rsidRPr="00B457F5" w:rsidRDefault="00C03B8E"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Ministria për Evropën dhe Punët e Jashtme</w:t>
            </w:r>
          </w:p>
        </w:tc>
      </w:tr>
      <w:tr w:rsidR="00C03B8E" w:rsidRPr="00B457F5" w14:paraId="62A970EA" w14:textId="77777777" w:rsidTr="006C7000">
        <w:trPr>
          <w:trHeight w:val="20"/>
        </w:trPr>
        <w:tc>
          <w:tcPr>
            <w:tcW w:w="1937" w:type="dxa"/>
          </w:tcPr>
          <w:p w14:paraId="21B0B010" w14:textId="13A8E3AA"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MF</w:t>
            </w:r>
          </w:p>
        </w:tc>
        <w:tc>
          <w:tcPr>
            <w:tcW w:w="7723" w:type="dxa"/>
          </w:tcPr>
          <w:p w14:paraId="125F0758" w14:textId="5132AC06" w:rsidR="00C03B8E" w:rsidRPr="00B457F5" w:rsidRDefault="00C03B8E"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 xml:space="preserve">Ministria e Financave </w:t>
            </w:r>
          </w:p>
        </w:tc>
      </w:tr>
      <w:tr w:rsidR="00272570" w:rsidRPr="00B457F5" w14:paraId="002D3ED4" w14:textId="77777777" w:rsidTr="006C7000">
        <w:trPr>
          <w:trHeight w:val="20"/>
        </w:trPr>
        <w:tc>
          <w:tcPr>
            <w:tcW w:w="1937" w:type="dxa"/>
          </w:tcPr>
          <w:p w14:paraId="00EDE5DD" w14:textId="08FF0D9D" w:rsidR="00272570" w:rsidRPr="00B457F5" w:rsidRDefault="00272570"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MEKI</w:t>
            </w:r>
          </w:p>
        </w:tc>
        <w:tc>
          <w:tcPr>
            <w:tcW w:w="7723" w:type="dxa"/>
          </w:tcPr>
          <w:p w14:paraId="4198060F" w14:textId="575D868C" w:rsidR="00272570" w:rsidRPr="00B457F5" w:rsidRDefault="00272570"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 xml:space="preserve">Ministria e </w:t>
            </w:r>
            <w:r w:rsidR="00A03DDD" w:rsidRPr="00B457F5">
              <w:rPr>
                <w:rFonts w:ascii="Garamond" w:hAnsi="Garamond" w:cs="Times New Roman"/>
                <w:color w:val="000000" w:themeColor="text1"/>
                <w:sz w:val="16"/>
                <w:szCs w:val="16"/>
              </w:rPr>
              <w:t>Ekonomisë</w:t>
            </w:r>
            <w:r w:rsidRPr="00B457F5">
              <w:rPr>
                <w:rFonts w:ascii="Garamond" w:hAnsi="Garamond" w:cs="Times New Roman"/>
                <w:color w:val="000000" w:themeColor="text1"/>
                <w:sz w:val="16"/>
                <w:szCs w:val="16"/>
              </w:rPr>
              <w:t>, Kulturës dhe Inovacionit</w:t>
            </w:r>
          </w:p>
        </w:tc>
      </w:tr>
      <w:tr w:rsidR="00C03B8E" w:rsidRPr="00B457F5" w14:paraId="0F02367B" w14:textId="77777777" w:rsidTr="006C7000">
        <w:trPr>
          <w:trHeight w:val="20"/>
        </w:trPr>
        <w:tc>
          <w:tcPr>
            <w:tcW w:w="1937" w:type="dxa"/>
          </w:tcPr>
          <w:p w14:paraId="6A131AF1" w14:textId="77777777"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MSHMS</w:t>
            </w:r>
          </w:p>
        </w:tc>
        <w:tc>
          <w:tcPr>
            <w:tcW w:w="7723" w:type="dxa"/>
          </w:tcPr>
          <w:p w14:paraId="79FD8C74" w14:textId="77777777" w:rsidR="00C03B8E" w:rsidRPr="00B457F5" w:rsidRDefault="00C03B8E"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Ministria e Shëndetësisë dhe Mbrojtjes Sociale</w:t>
            </w:r>
          </w:p>
        </w:tc>
      </w:tr>
      <w:tr w:rsidR="00C03B8E" w:rsidRPr="00B457F5" w14:paraId="66B521CF" w14:textId="77777777" w:rsidTr="006C7000">
        <w:trPr>
          <w:trHeight w:val="20"/>
        </w:trPr>
        <w:tc>
          <w:tcPr>
            <w:tcW w:w="1937" w:type="dxa"/>
          </w:tcPr>
          <w:p w14:paraId="62F0B55E" w14:textId="2B47D598"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MSH</w:t>
            </w:r>
            <w:r w:rsidR="004B4230" w:rsidRPr="00B457F5">
              <w:rPr>
                <w:rFonts w:ascii="Garamond" w:hAnsi="Garamond" w:cs="Times New Roman"/>
                <w:color w:val="000000" w:themeColor="text1"/>
                <w:sz w:val="16"/>
                <w:szCs w:val="16"/>
              </w:rPr>
              <w:t>Ç</w:t>
            </w:r>
            <w:r w:rsidRPr="00B457F5">
              <w:rPr>
                <w:rFonts w:ascii="Garamond" w:hAnsi="Garamond" w:cs="Times New Roman"/>
                <w:color w:val="000000" w:themeColor="text1"/>
                <w:sz w:val="16"/>
                <w:szCs w:val="16"/>
              </w:rPr>
              <w:t>V</w:t>
            </w:r>
          </w:p>
        </w:tc>
        <w:tc>
          <w:tcPr>
            <w:tcW w:w="7723" w:type="dxa"/>
          </w:tcPr>
          <w:p w14:paraId="476AC930" w14:textId="6584BBB6" w:rsidR="00C03B8E" w:rsidRPr="00B457F5" w:rsidRDefault="004B4230"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Ministri i Shtetit për Çështjet Vendore</w:t>
            </w:r>
          </w:p>
        </w:tc>
      </w:tr>
      <w:tr w:rsidR="00C03B8E" w:rsidRPr="00B457F5" w14:paraId="0EB45470" w14:textId="77777777" w:rsidTr="006C7000">
        <w:trPr>
          <w:trHeight w:val="20"/>
        </w:trPr>
        <w:tc>
          <w:tcPr>
            <w:tcW w:w="1937" w:type="dxa"/>
          </w:tcPr>
          <w:p w14:paraId="4DDEE734" w14:textId="77777777"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MB</w:t>
            </w:r>
          </w:p>
        </w:tc>
        <w:tc>
          <w:tcPr>
            <w:tcW w:w="7723" w:type="dxa"/>
          </w:tcPr>
          <w:p w14:paraId="7B588A08" w14:textId="77777777" w:rsidR="00C03B8E" w:rsidRPr="00B457F5" w:rsidRDefault="00C03B8E"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Ministria e Brendshme</w:t>
            </w:r>
          </w:p>
        </w:tc>
      </w:tr>
      <w:tr w:rsidR="00C03B8E" w:rsidRPr="00B457F5" w14:paraId="3722C71B" w14:textId="77777777" w:rsidTr="006C7000">
        <w:trPr>
          <w:trHeight w:val="20"/>
        </w:trPr>
        <w:tc>
          <w:tcPr>
            <w:tcW w:w="1937" w:type="dxa"/>
          </w:tcPr>
          <w:p w14:paraId="37180629" w14:textId="77777777"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OJF</w:t>
            </w:r>
          </w:p>
        </w:tc>
        <w:tc>
          <w:tcPr>
            <w:tcW w:w="7723" w:type="dxa"/>
          </w:tcPr>
          <w:p w14:paraId="2FB11296" w14:textId="43D89338" w:rsidR="00C03B8E" w:rsidRPr="00B457F5" w:rsidRDefault="00C03B8E"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Organizata Jo</w:t>
            </w:r>
            <w:r w:rsidR="00130AF0" w:rsidRPr="00B457F5">
              <w:rPr>
                <w:rFonts w:ascii="Garamond" w:hAnsi="Garamond" w:cs="Times New Roman"/>
                <w:color w:val="000000" w:themeColor="text1"/>
                <w:sz w:val="16"/>
                <w:szCs w:val="16"/>
              </w:rPr>
              <w:t>f</w:t>
            </w:r>
            <w:r w:rsidRPr="00B457F5">
              <w:rPr>
                <w:rFonts w:ascii="Garamond" w:hAnsi="Garamond" w:cs="Times New Roman"/>
                <w:color w:val="000000" w:themeColor="text1"/>
                <w:sz w:val="16"/>
                <w:szCs w:val="16"/>
              </w:rPr>
              <w:t>itimprurëse</w:t>
            </w:r>
            <w:r w:rsidR="00A22C5B" w:rsidRPr="00B457F5">
              <w:rPr>
                <w:rFonts w:ascii="Garamond" w:hAnsi="Garamond" w:cs="Times New Roman"/>
                <w:color w:val="000000" w:themeColor="text1"/>
                <w:sz w:val="16"/>
                <w:szCs w:val="16"/>
              </w:rPr>
              <w:t xml:space="preserve"> NPO</w:t>
            </w:r>
          </w:p>
        </w:tc>
      </w:tr>
      <w:tr w:rsidR="00C03B8E" w:rsidRPr="00B457F5" w14:paraId="6533DC67" w14:textId="77777777" w:rsidTr="006C7000">
        <w:trPr>
          <w:trHeight w:val="20"/>
        </w:trPr>
        <w:tc>
          <w:tcPr>
            <w:tcW w:w="1937" w:type="dxa"/>
          </w:tcPr>
          <w:p w14:paraId="4C3D1CA4" w14:textId="77777777"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OSHC</w:t>
            </w:r>
          </w:p>
        </w:tc>
        <w:tc>
          <w:tcPr>
            <w:tcW w:w="7723" w:type="dxa"/>
          </w:tcPr>
          <w:p w14:paraId="5F80A481" w14:textId="77777777" w:rsidR="00C03B8E" w:rsidRPr="00B457F5" w:rsidRDefault="00C03B8E"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Organizatat e Shoqërisë Civile</w:t>
            </w:r>
          </w:p>
        </w:tc>
      </w:tr>
      <w:tr w:rsidR="00C03B8E" w:rsidRPr="00B457F5" w14:paraId="1C64C0CE" w14:textId="77777777" w:rsidTr="006C7000">
        <w:trPr>
          <w:trHeight w:val="20"/>
        </w:trPr>
        <w:tc>
          <w:tcPr>
            <w:tcW w:w="1937" w:type="dxa"/>
          </w:tcPr>
          <w:p w14:paraId="04ED3F38" w14:textId="77777777"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NJVV</w:t>
            </w:r>
          </w:p>
        </w:tc>
        <w:tc>
          <w:tcPr>
            <w:tcW w:w="7723" w:type="dxa"/>
          </w:tcPr>
          <w:p w14:paraId="1C9F0A8F" w14:textId="00CADABA" w:rsidR="00C03B8E" w:rsidRPr="00B457F5" w:rsidRDefault="00A03DDD"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Njësitë</w:t>
            </w:r>
            <w:r w:rsidR="00C03B8E" w:rsidRPr="00B457F5">
              <w:rPr>
                <w:rFonts w:ascii="Garamond" w:hAnsi="Garamond" w:cs="Times New Roman"/>
                <w:color w:val="000000" w:themeColor="text1"/>
                <w:sz w:val="16"/>
                <w:szCs w:val="16"/>
              </w:rPr>
              <w:t xml:space="preserve"> e Vetë</w:t>
            </w:r>
            <w:r w:rsidRPr="00B457F5">
              <w:rPr>
                <w:rFonts w:ascii="Garamond" w:hAnsi="Garamond" w:cs="Times New Roman"/>
                <w:color w:val="000000" w:themeColor="text1"/>
                <w:sz w:val="16"/>
                <w:szCs w:val="16"/>
              </w:rPr>
              <w:t>q</w:t>
            </w:r>
            <w:r w:rsidR="00C03B8E" w:rsidRPr="00B457F5">
              <w:rPr>
                <w:rFonts w:ascii="Garamond" w:hAnsi="Garamond" w:cs="Times New Roman"/>
                <w:color w:val="000000" w:themeColor="text1"/>
                <w:sz w:val="16"/>
                <w:szCs w:val="16"/>
              </w:rPr>
              <w:t>everisjes Vendore</w:t>
            </w:r>
            <w:r w:rsidR="00146626" w:rsidRPr="00B457F5">
              <w:rPr>
                <w:rFonts w:ascii="Garamond" w:hAnsi="Garamond"/>
                <w:color w:val="000000" w:themeColor="text1"/>
                <w:sz w:val="16"/>
                <w:szCs w:val="16"/>
              </w:rPr>
              <w:t xml:space="preserve"> </w:t>
            </w:r>
          </w:p>
        </w:tc>
      </w:tr>
      <w:tr w:rsidR="00146626" w:rsidRPr="00B457F5" w14:paraId="1630310D" w14:textId="77777777" w:rsidTr="006C7000">
        <w:trPr>
          <w:trHeight w:val="20"/>
        </w:trPr>
        <w:tc>
          <w:tcPr>
            <w:tcW w:w="1937" w:type="dxa"/>
          </w:tcPr>
          <w:p w14:paraId="69E6A91F" w14:textId="6546A355" w:rsidR="00146626" w:rsidRPr="00B457F5" w:rsidRDefault="00146626"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QKB</w:t>
            </w:r>
          </w:p>
        </w:tc>
        <w:tc>
          <w:tcPr>
            <w:tcW w:w="7723" w:type="dxa"/>
          </w:tcPr>
          <w:p w14:paraId="50F305BE" w14:textId="15BCA35F" w:rsidR="00146626" w:rsidRPr="00B457F5" w:rsidRDefault="00146626"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Qendra Kombëtare e Biznesit</w:t>
            </w:r>
            <w:r w:rsidR="003D4A4F" w:rsidRPr="00B457F5">
              <w:rPr>
                <w:rFonts w:ascii="Garamond" w:hAnsi="Garamond" w:cs="Times New Roman"/>
                <w:color w:val="000000" w:themeColor="text1"/>
                <w:sz w:val="16"/>
                <w:szCs w:val="16"/>
              </w:rPr>
              <w:t xml:space="preserve"> </w:t>
            </w:r>
          </w:p>
        </w:tc>
      </w:tr>
      <w:tr w:rsidR="000A7769" w:rsidRPr="00B457F5" w14:paraId="327BEE5F" w14:textId="77777777" w:rsidTr="006C7000">
        <w:trPr>
          <w:trHeight w:val="20"/>
        </w:trPr>
        <w:tc>
          <w:tcPr>
            <w:tcW w:w="1937" w:type="dxa"/>
          </w:tcPr>
          <w:p w14:paraId="138F1CB1" w14:textId="49CD1869" w:rsidR="000A7769" w:rsidRPr="00B457F5" w:rsidRDefault="000A7769"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QPA</w:t>
            </w:r>
          </w:p>
        </w:tc>
        <w:tc>
          <w:tcPr>
            <w:tcW w:w="7723" w:type="dxa"/>
          </w:tcPr>
          <w:p w14:paraId="744C6998" w14:textId="6E7C8536" w:rsidR="000A7769" w:rsidRPr="00B457F5" w:rsidRDefault="000A7769"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 xml:space="preserve">Qendrës së Pritjes për Azil </w:t>
            </w:r>
          </w:p>
        </w:tc>
      </w:tr>
      <w:tr w:rsidR="00C03B8E" w:rsidRPr="00B457F5" w14:paraId="583A3DA2" w14:textId="77777777" w:rsidTr="006C7000">
        <w:trPr>
          <w:trHeight w:val="20"/>
        </w:trPr>
        <w:tc>
          <w:tcPr>
            <w:tcW w:w="1937" w:type="dxa"/>
          </w:tcPr>
          <w:p w14:paraId="604562CB" w14:textId="77777777"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SHISH</w:t>
            </w:r>
          </w:p>
        </w:tc>
        <w:tc>
          <w:tcPr>
            <w:tcW w:w="7723" w:type="dxa"/>
          </w:tcPr>
          <w:p w14:paraId="60EBFC48" w14:textId="4020A096" w:rsidR="00C03B8E" w:rsidRPr="00B457F5" w:rsidRDefault="004B4230"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Shërbimi Informativ i Shtetit</w:t>
            </w:r>
            <w:r w:rsidR="00EA35B1" w:rsidRPr="00B457F5">
              <w:rPr>
                <w:rFonts w:ascii="Garamond" w:hAnsi="Garamond" w:cs="Times New Roman"/>
                <w:color w:val="000000" w:themeColor="text1"/>
                <w:sz w:val="16"/>
                <w:szCs w:val="16"/>
              </w:rPr>
              <w:t xml:space="preserve"> </w:t>
            </w:r>
          </w:p>
        </w:tc>
      </w:tr>
      <w:tr w:rsidR="00C03B8E" w:rsidRPr="00B457F5" w14:paraId="603D687C" w14:textId="77777777" w:rsidTr="006C7000">
        <w:trPr>
          <w:trHeight w:val="20"/>
        </w:trPr>
        <w:tc>
          <w:tcPr>
            <w:tcW w:w="1937" w:type="dxa"/>
          </w:tcPr>
          <w:p w14:paraId="4D5B43C5" w14:textId="77777777"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UNICEF</w:t>
            </w:r>
          </w:p>
        </w:tc>
        <w:tc>
          <w:tcPr>
            <w:tcW w:w="7723" w:type="dxa"/>
          </w:tcPr>
          <w:p w14:paraId="4143C731" w14:textId="77777777" w:rsidR="00C03B8E" w:rsidRPr="00B457F5" w:rsidRDefault="00C03B8E"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Fondi i Kombeve të Bashkuara për Fëmijët</w:t>
            </w:r>
          </w:p>
        </w:tc>
      </w:tr>
      <w:tr w:rsidR="00C03B8E" w:rsidRPr="00B457F5" w14:paraId="34BC8443" w14:textId="77777777" w:rsidTr="006C7000">
        <w:trPr>
          <w:trHeight w:val="20"/>
        </w:trPr>
        <w:tc>
          <w:tcPr>
            <w:tcW w:w="1937" w:type="dxa"/>
          </w:tcPr>
          <w:p w14:paraId="2EDE340A" w14:textId="77777777"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UNHCR</w:t>
            </w:r>
          </w:p>
        </w:tc>
        <w:tc>
          <w:tcPr>
            <w:tcW w:w="7723" w:type="dxa"/>
          </w:tcPr>
          <w:p w14:paraId="1D7F390E" w14:textId="77777777" w:rsidR="00C03B8E" w:rsidRPr="00B457F5" w:rsidRDefault="00C03B8E"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Komisioneri i Lartë i Kombeve të Bashkuara për Refugjatët</w:t>
            </w:r>
          </w:p>
        </w:tc>
      </w:tr>
      <w:tr w:rsidR="00C03B8E" w:rsidRPr="00B457F5" w14:paraId="5A3BB504" w14:textId="77777777" w:rsidTr="006C7000">
        <w:trPr>
          <w:trHeight w:val="20"/>
        </w:trPr>
        <w:tc>
          <w:tcPr>
            <w:tcW w:w="1937" w:type="dxa"/>
          </w:tcPr>
          <w:p w14:paraId="6EF94E8B" w14:textId="77777777" w:rsidR="00C03B8E" w:rsidRPr="00B457F5" w:rsidRDefault="00C03B8E" w:rsidP="007761FF">
            <w:pPr>
              <w:pStyle w:val="BodyText"/>
              <w:numPr>
                <w:ilvl w:val="0"/>
                <w:numId w:val="1"/>
              </w:numPr>
              <w:spacing w:before="0" w:after="0" w:line="240" w:lineRule="auto"/>
              <w:ind w:left="0" w:firstLine="0"/>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ZVMD</w:t>
            </w:r>
          </w:p>
        </w:tc>
        <w:tc>
          <w:tcPr>
            <w:tcW w:w="7723" w:type="dxa"/>
          </w:tcPr>
          <w:p w14:paraId="6D470FF2" w14:textId="77777777" w:rsidR="00C03B8E" w:rsidRPr="00B457F5" w:rsidRDefault="00C03B8E" w:rsidP="006C7000">
            <w:pPr>
              <w:pStyle w:val="BodyText"/>
              <w:spacing w:before="0" w:after="0" w:line="240" w:lineRule="auto"/>
              <w:rPr>
                <w:rFonts w:ascii="Garamond" w:hAnsi="Garamond" w:cs="Times New Roman"/>
                <w:color w:val="000000" w:themeColor="text1"/>
                <w:sz w:val="16"/>
                <w:szCs w:val="16"/>
              </w:rPr>
            </w:pPr>
            <w:r w:rsidRPr="00B457F5">
              <w:rPr>
                <w:rFonts w:ascii="Garamond" w:hAnsi="Garamond" w:cs="Times New Roman"/>
                <w:color w:val="000000" w:themeColor="text1"/>
                <w:sz w:val="16"/>
                <w:szCs w:val="16"/>
              </w:rPr>
              <w:t>Zyrat Vendore për Migracionin dhe Diasporën</w:t>
            </w:r>
          </w:p>
        </w:tc>
      </w:tr>
    </w:tbl>
    <w:p w14:paraId="417C80F4" w14:textId="77777777" w:rsidR="00C03B8E" w:rsidRPr="00B457F5" w:rsidRDefault="00C03B8E" w:rsidP="002E693B">
      <w:pPr>
        <w:pStyle w:val="BodyText"/>
        <w:spacing w:before="0" w:after="0" w:line="240" w:lineRule="auto"/>
        <w:ind w:firstLine="284"/>
        <w:rPr>
          <w:rFonts w:ascii="Garamond" w:hAnsi="Garamond" w:cs="Times New Roman"/>
          <w:b/>
          <w:bCs/>
        </w:rPr>
      </w:pPr>
    </w:p>
    <w:p w14:paraId="368147A0" w14:textId="77777777" w:rsidR="007814B4" w:rsidRDefault="007814B4" w:rsidP="002E693B">
      <w:pPr>
        <w:pStyle w:val="BodyText"/>
        <w:spacing w:before="0" w:after="0" w:line="240" w:lineRule="auto"/>
        <w:ind w:firstLine="284"/>
        <w:rPr>
          <w:rFonts w:ascii="Garamond" w:hAnsi="Garamond" w:cs="Times New Roman"/>
          <w:b/>
          <w:bCs/>
        </w:rPr>
      </w:pPr>
    </w:p>
    <w:p w14:paraId="50C99D39" w14:textId="2E9C1FEB" w:rsidR="000B146C" w:rsidRPr="00B457F5" w:rsidRDefault="000B146C" w:rsidP="002E693B">
      <w:pPr>
        <w:pStyle w:val="BodyText"/>
        <w:spacing w:before="0" w:after="0" w:line="240" w:lineRule="auto"/>
        <w:ind w:firstLine="284"/>
        <w:rPr>
          <w:rFonts w:ascii="Garamond" w:hAnsi="Garamond" w:cs="Times New Roman"/>
          <w:b/>
          <w:bCs/>
        </w:rPr>
      </w:pPr>
      <w:r w:rsidRPr="00B457F5">
        <w:rPr>
          <w:rFonts w:ascii="Garamond" w:hAnsi="Garamond" w:cs="Times New Roman"/>
          <w:b/>
          <w:bCs/>
        </w:rPr>
        <w:lastRenderedPageBreak/>
        <w:t xml:space="preserve">Monitorimi dhe </w:t>
      </w:r>
      <w:r w:rsidR="00815CC5" w:rsidRPr="00B457F5">
        <w:rPr>
          <w:rFonts w:ascii="Garamond" w:hAnsi="Garamond" w:cs="Times New Roman"/>
          <w:b/>
          <w:bCs/>
        </w:rPr>
        <w:t>v</w:t>
      </w:r>
      <w:r w:rsidRPr="00B457F5">
        <w:rPr>
          <w:rFonts w:ascii="Garamond" w:hAnsi="Garamond" w:cs="Times New Roman"/>
          <w:b/>
          <w:bCs/>
        </w:rPr>
        <w:t>lerësimi</w:t>
      </w:r>
    </w:p>
    <w:p w14:paraId="47CBF516" w14:textId="74D61E7B" w:rsidR="00712F33" w:rsidRPr="00B457F5" w:rsidRDefault="000B146C" w:rsidP="002E693B">
      <w:pPr>
        <w:pStyle w:val="BodyText"/>
        <w:spacing w:before="0" w:after="0" w:line="240" w:lineRule="auto"/>
        <w:ind w:firstLine="284"/>
        <w:rPr>
          <w:rFonts w:ascii="Garamond" w:hAnsi="Garamond" w:cs="Times New Roman"/>
        </w:rPr>
      </w:pPr>
      <w:r w:rsidRPr="00B457F5">
        <w:rPr>
          <w:rFonts w:ascii="Garamond" w:hAnsi="Garamond" w:cs="Times New Roman"/>
        </w:rPr>
        <w:t>Monitorimi është një proces i vazhdueshëm i mbledhjes dhe analizimit të informacionit</w:t>
      </w:r>
      <w:r w:rsidR="00C05230" w:rsidRPr="00B457F5">
        <w:rPr>
          <w:rFonts w:ascii="Garamond" w:hAnsi="Garamond" w:cs="Times New Roman"/>
        </w:rPr>
        <w:t>,</w:t>
      </w:r>
      <w:r w:rsidRPr="00B457F5">
        <w:rPr>
          <w:rFonts w:ascii="Garamond" w:hAnsi="Garamond" w:cs="Times New Roman"/>
        </w:rPr>
        <w:t xml:space="preserve"> në lidhje me zbatimin e veprimeve dhe masave prioritare. Monitorimi gjurmon rregullisht veprimet, ndërhyrjet, burimet financiare të alokuara dhe të shpenzuara</w:t>
      </w:r>
      <w:r w:rsidR="00C05230" w:rsidRPr="00B457F5">
        <w:rPr>
          <w:rFonts w:ascii="Garamond" w:hAnsi="Garamond" w:cs="Times New Roman"/>
        </w:rPr>
        <w:t>,</w:t>
      </w:r>
      <w:r w:rsidRPr="00B457F5">
        <w:rPr>
          <w:rFonts w:ascii="Garamond" w:hAnsi="Garamond" w:cs="Times New Roman"/>
        </w:rPr>
        <w:t xml:space="preserve"> dhe i kontrollon ato në raport me planin e veprimit për të vlerësuar shkallën në të cilën po zbatohet </w:t>
      </w:r>
      <w:r w:rsidR="00C05230" w:rsidRPr="00B457F5">
        <w:rPr>
          <w:rFonts w:ascii="Garamond" w:hAnsi="Garamond" w:cs="Times New Roman"/>
        </w:rPr>
        <w:t>s</w:t>
      </w:r>
      <w:r w:rsidRPr="00B457F5">
        <w:rPr>
          <w:rFonts w:ascii="Garamond" w:hAnsi="Garamond" w:cs="Times New Roman"/>
        </w:rPr>
        <w:t>trategjia.</w:t>
      </w:r>
    </w:p>
    <w:p w14:paraId="23A73A67" w14:textId="77777777" w:rsidR="000B146C" w:rsidRPr="00B457F5" w:rsidRDefault="000B146C" w:rsidP="002E693B">
      <w:pPr>
        <w:pStyle w:val="BodyText"/>
        <w:spacing w:before="0" w:after="0" w:line="240" w:lineRule="auto"/>
        <w:ind w:firstLine="284"/>
        <w:rPr>
          <w:rFonts w:ascii="Garamond" w:hAnsi="Garamond" w:cs="Times New Roman"/>
        </w:rPr>
      </w:pPr>
      <w:r w:rsidRPr="00B457F5">
        <w:rPr>
          <w:rFonts w:ascii="Garamond" w:hAnsi="Garamond" w:cs="Times New Roman"/>
        </w:rPr>
        <w:t>Monitorimi i performancës, nga ana tjetër, shikon rezultatet e arritura në nivele të ndryshme:</w:t>
      </w:r>
    </w:p>
    <w:p w14:paraId="136E7FC8" w14:textId="045FAB5C" w:rsidR="00151C91" w:rsidRPr="00B457F5" w:rsidRDefault="00151C91"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Times New Roman"/>
          <w:color w:val="000000"/>
          <w:szCs w:val="24"/>
        </w:rPr>
        <w:t>i.</w:t>
      </w:r>
      <w:r w:rsidR="006C7000" w:rsidRPr="00B457F5">
        <w:rPr>
          <w:rFonts w:ascii="Garamond" w:eastAsiaTheme="minorHAnsi" w:hAnsi="Garamond" w:cs="Times New Roman"/>
          <w:color w:val="000000"/>
          <w:szCs w:val="24"/>
        </w:rPr>
        <w:t xml:space="preserve"> </w:t>
      </w:r>
      <w:r w:rsidRPr="00B457F5">
        <w:rPr>
          <w:rFonts w:ascii="Garamond" w:eastAsiaTheme="minorHAnsi" w:hAnsi="Garamond" w:cs="Times New Roman"/>
          <w:color w:val="000000"/>
          <w:szCs w:val="24"/>
        </w:rPr>
        <w:t>masat prioritare</w:t>
      </w:r>
      <w:r w:rsidR="00A03DDD" w:rsidRPr="00B457F5">
        <w:rPr>
          <w:rFonts w:ascii="Garamond" w:eastAsiaTheme="minorHAnsi" w:hAnsi="Garamond" w:cs="Times New Roman"/>
          <w:color w:val="000000"/>
          <w:szCs w:val="24"/>
        </w:rPr>
        <w:t>;</w:t>
      </w:r>
    </w:p>
    <w:p w14:paraId="1128D98D" w14:textId="67533437" w:rsidR="00151C91" w:rsidRPr="00B457F5" w:rsidRDefault="00151C91"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Times New Roman"/>
          <w:color w:val="000000"/>
          <w:szCs w:val="24"/>
        </w:rPr>
        <w:t>ii.</w:t>
      </w:r>
      <w:r w:rsidR="006C7000" w:rsidRPr="00B457F5">
        <w:rPr>
          <w:rFonts w:ascii="Garamond" w:eastAsiaTheme="minorHAnsi" w:hAnsi="Garamond" w:cs="Times New Roman"/>
          <w:color w:val="000000"/>
          <w:szCs w:val="24"/>
        </w:rPr>
        <w:t xml:space="preserve"> </w:t>
      </w:r>
      <w:r w:rsidRPr="00B457F5">
        <w:rPr>
          <w:rFonts w:ascii="Garamond" w:eastAsiaTheme="minorHAnsi" w:hAnsi="Garamond" w:cs="Times New Roman"/>
          <w:color w:val="000000"/>
          <w:szCs w:val="24"/>
        </w:rPr>
        <w:t>objektivat specifik</w:t>
      </w:r>
      <w:r w:rsidR="00AF4731" w:rsidRPr="00B457F5">
        <w:rPr>
          <w:rFonts w:ascii="Garamond" w:eastAsiaTheme="minorHAnsi" w:hAnsi="Garamond" w:cs="Times New Roman"/>
          <w:color w:val="000000"/>
          <w:szCs w:val="24"/>
        </w:rPr>
        <w:t>ë</w:t>
      </w:r>
      <w:r w:rsidR="00A03DDD" w:rsidRPr="00B457F5">
        <w:rPr>
          <w:rFonts w:ascii="Garamond" w:eastAsiaTheme="minorHAnsi" w:hAnsi="Garamond" w:cs="Times New Roman"/>
          <w:color w:val="000000"/>
          <w:szCs w:val="24"/>
        </w:rPr>
        <w:t>;</w:t>
      </w:r>
    </w:p>
    <w:p w14:paraId="672EAB0C" w14:textId="49C34C40" w:rsidR="00151C91" w:rsidRPr="00B457F5" w:rsidRDefault="00151C91" w:rsidP="002E693B">
      <w:pPr>
        <w:autoSpaceDE w:val="0"/>
        <w:autoSpaceDN w:val="0"/>
        <w:adjustRightInd w:val="0"/>
        <w:spacing w:before="0" w:after="0"/>
        <w:ind w:firstLine="284"/>
        <w:rPr>
          <w:rFonts w:ascii="Garamond" w:eastAsiaTheme="minorHAnsi" w:hAnsi="Garamond" w:cs="Times New Roman"/>
          <w:color w:val="000000"/>
          <w:szCs w:val="24"/>
        </w:rPr>
      </w:pPr>
      <w:r w:rsidRPr="00B457F5">
        <w:rPr>
          <w:rFonts w:ascii="Garamond" w:eastAsiaTheme="minorHAnsi" w:hAnsi="Garamond" w:cs="Times New Roman"/>
          <w:color w:val="000000"/>
          <w:szCs w:val="24"/>
        </w:rPr>
        <w:t>iii.</w:t>
      </w:r>
      <w:r w:rsidR="006C7000" w:rsidRPr="00B457F5">
        <w:rPr>
          <w:rFonts w:ascii="Garamond" w:eastAsiaTheme="minorHAnsi" w:hAnsi="Garamond" w:cs="Times New Roman"/>
          <w:color w:val="000000"/>
          <w:szCs w:val="24"/>
        </w:rPr>
        <w:t xml:space="preserve"> </w:t>
      </w:r>
      <w:r w:rsidRPr="00B457F5">
        <w:rPr>
          <w:rFonts w:ascii="Garamond" w:eastAsiaTheme="minorHAnsi" w:hAnsi="Garamond" w:cs="Times New Roman"/>
          <w:color w:val="000000"/>
          <w:szCs w:val="24"/>
        </w:rPr>
        <w:t>qëllimet afatgjata të cilat përcaktohen si qëllime politikash dhe objektiva specifik</w:t>
      </w:r>
      <w:r w:rsidR="00AF4731" w:rsidRPr="00B457F5">
        <w:rPr>
          <w:rFonts w:ascii="Garamond" w:eastAsia="MS Mincho" w:hAnsi="Garamond" w:cs="Times New Roman"/>
          <w:szCs w:val="24"/>
        </w:rPr>
        <w:t>ë</w:t>
      </w:r>
      <w:r w:rsidRPr="00B457F5">
        <w:rPr>
          <w:rFonts w:ascii="Garamond" w:eastAsiaTheme="minorHAnsi" w:hAnsi="Garamond" w:cs="Times New Roman"/>
          <w:color w:val="000000"/>
          <w:szCs w:val="24"/>
        </w:rPr>
        <w:t>.</w:t>
      </w:r>
    </w:p>
    <w:p w14:paraId="4E96019E" w14:textId="37173D4F" w:rsidR="008414BD" w:rsidRPr="00B457F5" w:rsidRDefault="000B146C" w:rsidP="002E693B">
      <w:pPr>
        <w:pStyle w:val="BodyText"/>
        <w:spacing w:before="0" w:after="0" w:line="240" w:lineRule="auto"/>
        <w:ind w:firstLine="284"/>
        <w:rPr>
          <w:rFonts w:ascii="Garamond" w:hAnsi="Garamond" w:cs="Times New Roman"/>
        </w:rPr>
      </w:pPr>
      <w:r w:rsidRPr="00B457F5">
        <w:rPr>
          <w:rFonts w:ascii="Garamond" w:hAnsi="Garamond" w:cs="Times New Roman"/>
        </w:rPr>
        <w:t xml:space="preserve">Monitorimi do të mbështetet në informacionin e mbledhur rregullisht përmes sistemit të monitorimit (IPSIS). Sidoqoftë, monitorimi i zbatimit të veprimeve dhe ndërhyrjeve nën masat prioritare, dhe monitorimi i burimeve financiare të alokuara dhe të shpenzuara do të bëhet në bazë të një plani vjetor të punës të institucioneve përgjegjëse për zbatimin e strategjisë, si dhe në përputhje me planin e veprimit të </w:t>
      </w:r>
      <w:r w:rsidR="00C05230" w:rsidRPr="00B457F5">
        <w:rPr>
          <w:rFonts w:ascii="Garamond" w:hAnsi="Garamond" w:cs="Times New Roman"/>
        </w:rPr>
        <w:t>s</w:t>
      </w:r>
      <w:r w:rsidRPr="00B457F5">
        <w:rPr>
          <w:rFonts w:ascii="Garamond" w:hAnsi="Garamond" w:cs="Times New Roman"/>
        </w:rPr>
        <w:t>trategjisë. Nga ana tjetër, monitorimi i performancës ose monitorimi i daljes do të bazohet në kornizën e monitorimit dhe vlerësimit që është zhvilluar për këtë qëllim (</w:t>
      </w:r>
      <w:r w:rsidR="00C05230" w:rsidRPr="00B457F5">
        <w:rPr>
          <w:rFonts w:ascii="Garamond" w:hAnsi="Garamond" w:cs="Times New Roman"/>
        </w:rPr>
        <w:t>s</w:t>
      </w:r>
      <w:r w:rsidRPr="00B457F5">
        <w:rPr>
          <w:rFonts w:ascii="Garamond" w:hAnsi="Garamond" w:cs="Times New Roman"/>
        </w:rPr>
        <w:t>htojca 2), e cila përshkruan treguesit e performancës për masat prioritare, objektivat specifik</w:t>
      </w:r>
      <w:r w:rsidR="00AF4731" w:rsidRPr="00B457F5">
        <w:rPr>
          <w:rFonts w:ascii="Garamond" w:hAnsi="Garamond" w:cs="Times New Roman"/>
        </w:rPr>
        <w:t>ë</w:t>
      </w:r>
      <w:r w:rsidRPr="00B457F5">
        <w:rPr>
          <w:rFonts w:ascii="Garamond" w:hAnsi="Garamond" w:cs="Times New Roman"/>
        </w:rPr>
        <w:t xml:space="preserve"> dhe qëllimet kryesore të politikës</w:t>
      </w:r>
      <w:r w:rsidR="00C05230" w:rsidRPr="00B457F5">
        <w:rPr>
          <w:rFonts w:ascii="Garamond" w:hAnsi="Garamond" w:cs="Times New Roman"/>
        </w:rPr>
        <w:t>,</w:t>
      </w:r>
      <w:r w:rsidRPr="00B457F5">
        <w:rPr>
          <w:rFonts w:ascii="Garamond" w:hAnsi="Garamond" w:cs="Times New Roman"/>
        </w:rPr>
        <w:t xml:space="preserve"> dhe përcakton përgjegjësin</w:t>
      </w:r>
      <w:r w:rsidR="00DD7F5B" w:rsidRPr="00B457F5">
        <w:rPr>
          <w:rFonts w:ascii="Garamond" w:hAnsi="Garamond" w:cs="Times New Roman"/>
        </w:rPr>
        <w:t>ë</w:t>
      </w:r>
      <w:r w:rsidRPr="00B457F5">
        <w:rPr>
          <w:rFonts w:ascii="Garamond" w:hAnsi="Garamond" w:cs="Times New Roman"/>
        </w:rPr>
        <w:t xml:space="preserve"> e mbledhjes s</w:t>
      </w:r>
      <w:r w:rsidR="00DD7F5B" w:rsidRPr="00B457F5">
        <w:rPr>
          <w:rFonts w:ascii="Garamond" w:hAnsi="Garamond" w:cs="Times New Roman"/>
        </w:rPr>
        <w:t>ë</w:t>
      </w:r>
      <w:r w:rsidRPr="00B457F5">
        <w:rPr>
          <w:rFonts w:ascii="Garamond" w:hAnsi="Garamond" w:cs="Times New Roman"/>
        </w:rPr>
        <w:t xml:space="preserve"> të dhënave.</w:t>
      </w:r>
    </w:p>
    <w:p w14:paraId="729F95D1" w14:textId="1309FAD5" w:rsidR="000B146C" w:rsidRPr="00B457F5" w:rsidRDefault="000B146C" w:rsidP="002E693B">
      <w:pPr>
        <w:pStyle w:val="BodyText"/>
        <w:spacing w:before="0" w:after="0" w:line="240" w:lineRule="auto"/>
        <w:ind w:firstLine="284"/>
        <w:rPr>
          <w:rFonts w:ascii="Garamond" w:hAnsi="Garamond" w:cs="Times New Roman"/>
        </w:rPr>
      </w:pPr>
      <w:r w:rsidRPr="00B457F5">
        <w:rPr>
          <w:rFonts w:ascii="Garamond" w:hAnsi="Garamond" w:cs="Times New Roman"/>
        </w:rPr>
        <w:t xml:space="preserve">Për sa i përket rishikimit ose vlerësimit të </w:t>
      </w:r>
      <w:r w:rsidR="00C05230" w:rsidRPr="00B457F5">
        <w:rPr>
          <w:rFonts w:ascii="Garamond" w:hAnsi="Garamond" w:cs="Times New Roman"/>
        </w:rPr>
        <w:t>s</w:t>
      </w:r>
      <w:r w:rsidRPr="00B457F5">
        <w:rPr>
          <w:rFonts w:ascii="Garamond" w:hAnsi="Garamond" w:cs="Times New Roman"/>
        </w:rPr>
        <w:t>trategjisë, do të kryhen dy ushtrime vlerësimi. Njëra do të bëhet me përfundimin e fazës së parë të zbatimit (2024</w:t>
      </w:r>
      <w:r w:rsidR="00A03DDD" w:rsidRPr="00B457F5">
        <w:rPr>
          <w:rStyle w:val="contentpasted1"/>
          <w:rFonts w:ascii="Garamond" w:hAnsi="Garamond" w:cs="Times New Roman"/>
          <w:color w:val="000000"/>
        </w:rPr>
        <w:t>–</w:t>
      </w:r>
      <w:r w:rsidRPr="00B457F5">
        <w:rPr>
          <w:rFonts w:ascii="Garamond" w:hAnsi="Garamond" w:cs="Times New Roman"/>
        </w:rPr>
        <w:t xml:space="preserve">2027) dhe tjetra në përfundim të </w:t>
      </w:r>
      <w:r w:rsidR="00C05230" w:rsidRPr="00B457F5">
        <w:rPr>
          <w:rFonts w:ascii="Garamond" w:hAnsi="Garamond" w:cs="Times New Roman"/>
        </w:rPr>
        <w:t>s</w:t>
      </w:r>
      <w:r w:rsidRPr="00B457F5">
        <w:rPr>
          <w:rFonts w:ascii="Garamond" w:hAnsi="Garamond" w:cs="Times New Roman"/>
        </w:rPr>
        <w:t>trategjisë, gjatë vitit 2030</w:t>
      </w:r>
      <w:r w:rsidR="00C05230" w:rsidRPr="00B457F5">
        <w:rPr>
          <w:rFonts w:ascii="Garamond" w:hAnsi="Garamond" w:cs="Times New Roman"/>
        </w:rPr>
        <w:t>,</w:t>
      </w:r>
      <w:r w:rsidRPr="00B457F5">
        <w:rPr>
          <w:rFonts w:ascii="Garamond" w:hAnsi="Garamond" w:cs="Times New Roman"/>
        </w:rPr>
        <w:t xml:space="preserve"> Mekanizmi Ndërinstitucional i Koordinimit dhe Monitorimit (KTM dhe GDM) do të jetë përgjegjës për koordinimin e vler</w:t>
      </w:r>
      <w:r w:rsidR="00DD7F5B" w:rsidRPr="00B457F5">
        <w:rPr>
          <w:rFonts w:ascii="Garamond" w:hAnsi="Garamond" w:cs="Times New Roman"/>
        </w:rPr>
        <w:t>ë</w:t>
      </w:r>
      <w:r w:rsidRPr="00B457F5">
        <w:rPr>
          <w:rFonts w:ascii="Garamond" w:hAnsi="Garamond" w:cs="Times New Roman"/>
        </w:rPr>
        <w:t xml:space="preserve">simit afatmesëm </w:t>
      </w:r>
      <w:r w:rsidR="00C05230" w:rsidRPr="00B457F5">
        <w:rPr>
          <w:rFonts w:ascii="Garamond" w:hAnsi="Garamond" w:cs="Times New Roman"/>
        </w:rPr>
        <w:t xml:space="preserve">dhe </w:t>
      </w:r>
      <w:r w:rsidRPr="00B457F5">
        <w:rPr>
          <w:rFonts w:ascii="Garamond" w:hAnsi="Garamond" w:cs="Times New Roman"/>
        </w:rPr>
        <w:t>atij përfundimtar.</w:t>
      </w:r>
    </w:p>
    <w:p w14:paraId="481EAD54" w14:textId="719D0373" w:rsidR="000B146C" w:rsidRPr="00B457F5" w:rsidRDefault="000B146C" w:rsidP="002E693B">
      <w:pPr>
        <w:pStyle w:val="BodyText"/>
        <w:spacing w:before="0" w:after="0" w:line="240" w:lineRule="auto"/>
        <w:ind w:firstLine="284"/>
        <w:rPr>
          <w:rFonts w:ascii="Garamond" w:hAnsi="Garamond" w:cs="Times New Roman"/>
        </w:rPr>
      </w:pPr>
      <w:r w:rsidRPr="00B457F5">
        <w:rPr>
          <w:rFonts w:ascii="Garamond" w:hAnsi="Garamond" w:cs="Times New Roman"/>
        </w:rPr>
        <w:t xml:space="preserve">Ushtrimi i parë i vlerësimit do të shikojë zbatimin e masave prioritare dhe rezultatet e arritura. Duke krahasuar rezultatet me situatën bazë, vlerësimi i ndërmjetëm do të nxjerrë në pah ndryshimet në kontekstin e përgjithshëm dhe do të shqyrtojë nëse objektivat, masat prioritare dhe ndërhyrjet mbeten të rëndësishme përpara fillimit të fazës së dytë të </w:t>
      </w:r>
      <w:r w:rsidR="00C05230" w:rsidRPr="00B457F5">
        <w:rPr>
          <w:rFonts w:ascii="Garamond" w:hAnsi="Garamond" w:cs="Times New Roman"/>
        </w:rPr>
        <w:t>s</w:t>
      </w:r>
      <w:r w:rsidRPr="00B457F5">
        <w:rPr>
          <w:rFonts w:ascii="Garamond" w:hAnsi="Garamond" w:cs="Times New Roman"/>
        </w:rPr>
        <w:t>trategjisë.</w:t>
      </w:r>
    </w:p>
    <w:p w14:paraId="7413DBED" w14:textId="5C27F547" w:rsidR="000B146C" w:rsidRPr="00B457F5" w:rsidRDefault="000B146C" w:rsidP="002E693B">
      <w:pPr>
        <w:pStyle w:val="BodyText"/>
        <w:spacing w:before="0" w:after="0" w:line="240" w:lineRule="auto"/>
        <w:ind w:firstLine="284"/>
        <w:rPr>
          <w:rFonts w:ascii="Garamond" w:hAnsi="Garamond" w:cs="Times New Roman"/>
        </w:rPr>
      </w:pPr>
      <w:r w:rsidRPr="00B457F5">
        <w:rPr>
          <w:rFonts w:ascii="Garamond" w:hAnsi="Garamond" w:cs="Times New Roman"/>
        </w:rPr>
        <w:t>Ky vlerësim do të shqyrtojë</w:t>
      </w:r>
      <w:r w:rsidR="00C05230" w:rsidRPr="00B457F5">
        <w:rPr>
          <w:rFonts w:ascii="Garamond" w:hAnsi="Garamond" w:cs="Times New Roman"/>
        </w:rPr>
        <w:t>,</w:t>
      </w:r>
      <w:r w:rsidRPr="00B457F5">
        <w:rPr>
          <w:rFonts w:ascii="Garamond" w:hAnsi="Garamond" w:cs="Times New Roman"/>
        </w:rPr>
        <w:t xml:space="preserve"> gjithashtu</w:t>
      </w:r>
      <w:r w:rsidR="00C05230" w:rsidRPr="00B457F5">
        <w:rPr>
          <w:rFonts w:ascii="Garamond" w:hAnsi="Garamond" w:cs="Times New Roman"/>
        </w:rPr>
        <w:t>,</w:t>
      </w:r>
      <w:r w:rsidRPr="00B457F5">
        <w:rPr>
          <w:rFonts w:ascii="Garamond" w:hAnsi="Garamond" w:cs="Times New Roman"/>
        </w:rPr>
        <w:t xml:space="preserve"> nëse ka ende konsistencë të plotë midis objektivave të strategjisë dhe prioriteteve</w:t>
      </w:r>
      <w:r w:rsidR="00C05230" w:rsidRPr="00B457F5">
        <w:rPr>
          <w:rFonts w:ascii="Garamond" w:hAnsi="Garamond" w:cs="Times New Roman"/>
        </w:rPr>
        <w:t>,</w:t>
      </w:r>
      <w:r w:rsidRPr="00B457F5">
        <w:rPr>
          <w:rFonts w:ascii="Garamond" w:hAnsi="Garamond" w:cs="Times New Roman"/>
        </w:rPr>
        <w:t xml:space="preserve"> dhe politikave kombëtare. Vlerësimi do të marrë në konsideratë tendencat e migracionit, do të mbështesë informacionin e minuar nga sistemi i monitorimit dhe nga konteksti i përgjithshëm</w:t>
      </w:r>
      <w:r w:rsidR="00C05230" w:rsidRPr="00B457F5">
        <w:rPr>
          <w:rFonts w:ascii="Garamond" w:hAnsi="Garamond" w:cs="Times New Roman"/>
        </w:rPr>
        <w:t>,</w:t>
      </w:r>
      <w:r w:rsidRPr="00B457F5">
        <w:rPr>
          <w:rFonts w:ascii="Garamond" w:hAnsi="Garamond" w:cs="Times New Roman"/>
        </w:rPr>
        <w:t xml:space="preserve"> dhe do të sigurojë udhëzime për rishikimin e planit të veprimit të strategjisë, por edhe për zhvillimin e planeve më të hollësishme vjetore operacionale për mandatin e ardhshëm që do të mbulojë periudhën midis 2028</w:t>
      </w:r>
      <w:r w:rsidR="00C05230" w:rsidRPr="00B457F5">
        <w:rPr>
          <w:rFonts w:ascii="Garamond" w:hAnsi="Garamond" w:cs="Times New Roman"/>
        </w:rPr>
        <w:t>-s</w:t>
      </w:r>
      <w:r w:rsidRPr="00B457F5">
        <w:rPr>
          <w:rFonts w:ascii="Garamond" w:hAnsi="Garamond" w:cs="Times New Roman"/>
        </w:rPr>
        <w:t xml:space="preserve"> dhe 2030</w:t>
      </w:r>
      <w:r w:rsidR="00C05230" w:rsidRPr="00B457F5">
        <w:rPr>
          <w:rFonts w:ascii="Garamond" w:hAnsi="Garamond" w:cs="Times New Roman"/>
        </w:rPr>
        <w:t>-s</w:t>
      </w:r>
      <w:r w:rsidRPr="00B457F5">
        <w:rPr>
          <w:rFonts w:ascii="Garamond" w:hAnsi="Garamond" w:cs="Times New Roman"/>
        </w:rPr>
        <w:t>.</w:t>
      </w:r>
    </w:p>
    <w:p w14:paraId="0CF433BA" w14:textId="21A13221" w:rsidR="000B146C" w:rsidRPr="00B457F5" w:rsidRDefault="000B146C" w:rsidP="002E693B">
      <w:pPr>
        <w:pStyle w:val="BodyText"/>
        <w:spacing w:before="0" w:after="0" w:line="240" w:lineRule="auto"/>
        <w:ind w:firstLine="284"/>
        <w:rPr>
          <w:rFonts w:ascii="Garamond" w:hAnsi="Garamond" w:cs="Times New Roman"/>
        </w:rPr>
      </w:pPr>
      <w:r w:rsidRPr="00B457F5">
        <w:rPr>
          <w:rFonts w:ascii="Garamond" w:hAnsi="Garamond" w:cs="Times New Roman"/>
        </w:rPr>
        <w:t xml:space="preserve">Vlerësimi përfundimtar, që do të kryhet ndërmjet viteve 2030 dhe 2031, do të shikojë progresin e përgjithshëm të </w:t>
      </w:r>
      <w:r w:rsidR="00C05230" w:rsidRPr="00B457F5">
        <w:rPr>
          <w:rFonts w:ascii="Garamond" w:hAnsi="Garamond" w:cs="Times New Roman"/>
        </w:rPr>
        <w:t>s</w:t>
      </w:r>
      <w:r w:rsidRPr="00B457F5">
        <w:rPr>
          <w:rFonts w:ascii="Garamond" w:hAnsi="Garamond" w:cs="Times New Roman"/>
        </w:rPr>
        <w:t>trategjisë. Ai do të raportojë mbi efektivitetin (d.m.th. shkallën në të cilën janë arritur rezultatet e pritura), rëndësinë (d.m.th. masën në të cilën objektivat e politikës së punësimit përputheshin me nevojat dhe prioritetet kombëtare), efikasitetin (d.m.th. nëse objektivat u arritën me koston më të ulët të mundshme) dhe qëndrueshmërin</w:t>
      </w:r>
      <w:r w:rsidR="00DD7F5B" w:rsidRPr="00B457F5">
        <w:rPr>
          <w:rFonts w:ascii="Garamond" w:hAnsi="Garamond" w:cs="Times New Roman"/>
        </w:rPr>
        <w:t>ë</w:t>
      </w:r>
      <w:r w:rsidRPr="00B457F5">
        <w:rPr>
          <w:rFonts w:ascii="Garamond" w:hAnsi="Garamond" w:cs="Times New Roman"/>
        </w:rPr>
        <w:t xml:space="preserve"> (d.m.th. shkalla në të cilën rezultatet, duke përfshirë ndryshimet institucionale, janë të qëndrueshme me kalimin e kohës) të masave prioritare të </w:t>
      </w:r>
      <w:r w:rsidR="00C05230" w:rsidRPr="00B457F5">
        <w:rPr>
          <w:rFonts w:ascii="Garamond" w:hAnsi="Garamond" w:cs="Times New Roman"/>
        </w:rPr>
        <w:t>s</w:t>
      </w:r>
      <w:r w:rsidRPr="00B457F5">
        <w:rPr>
          <w:rFonts w:ascii="Garamond" w:hAnsi="Garamond" w:cs="Times New Roman"/>
        </w:rPr>
        <w:t>trategjisë.</w:t>
      </w:r>
    </w:p>
    <w:p w14:paraId="511FDD04" w14:textId="6E6885D3" w:rsidR="000B146C" w:rsidRPr="00B457F5" w:rsidRDefault="006C7000" w:rsidP="002E693B">
      <w:pPr>
        <w:pStyle w:val="BodyText"/>
        <w:spacing w:before="0" w:after="0" w:line="240" w:lineRule="auto"/>
        <w:ind w:firstLine="284"/>
        <w:rPr>
          <w:rFonts w:ascii="Garamond" w:hAnsi="Garamond" w:cs="Times New Roman"/>
        </w:rPr>
      </w:pPr>
      <w:r w:rsidRPr="00B457F5">
        <w:rPr>
          <w:rFonts w:ascii="Garamond" w:hAnsi="Garamond" w:cs="Times New Roman"/>
        </w:rPr>
        <w:t>PJESA IV – PLANI I VEPRIMIT DHE ZBATIMI I BURIMEVE FINANCIARE</w:t>
      </w:r>
    </w:p>
    <w:p w14:paraId="0DF724D2" w14:textId="400CEF29" w:rsidR="003F42F9" w:rsidRPr="00B457F5" w:rsidRDefault="00A619CA" w:rsidP="002E693B">
      <w:pPr>
        <w:spacing w:before="0" w:after="0"/>
        <w:ind w:firstLine="284"/>
        <w:rPr>
          <w:rFonts w:ascii="Garamond" w:hAnsi="Garamond" w:cs="Times New Roman"/>
          <w:i/>
          <w:szCs w:val="24"/>
        </w:rPr>
      </w:pPr>
      <w:r w:rsidRPr="00B457F5">
        <w:rPr>
          <w:rFonts w:ascii="Garamond" w:hAnsi="Garamond" w:cs="Times New Roman"/>
          <w:i/>
          <w:szCs w:val="24"/>
        </w:rPr>
        <w:t>Pjesa</w:t>
      </w:r>
      <w:r w:rsidRPr="00B457F5">
        <w:rPr>
          <w:rFonts w:ascii="Garamond" w:hAnsi="Garamond" w:cs="Times New Roman"/>
          <w:i/>
          <w:spacing w:val="-1"/>
          <w:szCs w:val="24"/>
        </w:rPr>
        <w:t xml:space="preserve"> </w:t>
      </w:r>
      <w:r w:rsidRPr="00B457F5">
        <w:rPr>
          <w:rFonts w:ascii="Garamond" w:hAnsi="Garamond" w:cs="Times New Roman"/>
          <w:i/>
          <w:szCs w:val="24"/>
        </w:rPr>
        <w:t>m</w:t>
      </w:r>
      <w:r w:rsidR="00852F31" w:rsidRPr="00B457F5">
        <w:rPr>
          <w:rFonts w:ascii="Garamond" w:hAnsi="Garamond" w:cs="Times New Roman"/>
          <w:i/>
          <w:szCs w:val="24"/>
        </w:rPr>
        <w:t>ë</w:t>
      </w:r>
      <w:r w:rsidRPr="00B457F5">
        <w:rPr>
          <w:rFonts w:ascii="Garamond" w:hAnsi="Garamond" w:cs="Times New Roman"/>
          <w:i/>
          <w:spacing w:val="-3"/>
          <w:szCs w:val="24"/>
        </w:rPr>
        <w:t xml:space="preserve"> </w:t>
      </w:r>
      <w:r w:rsidRPr="00B457F5">
        <w:rPr>
          <w:rFonts w:ascii="Garamond" w:hAnsi="Garamond" w:cs="Times New Roman"/>
          <w:i/>
          <w:szCs w:val="24"/>
        </w:rPr>
        <w:t>posht</w:t>
      </w:r>
      <w:r w:rsidR="00852F31" w:rsidRPr="00B457F5">
        <w:rPr>
          <w:rFonts w:ascii="Garamond" w:hAnsi="Garamond" w:cs="Times New Roman"/>
          <w:i/>
          <w:szCs w:val="24"/>
        </w:rPr>
        <w:t>ë</w:t>
      </w:r>
      <w:r w:rsidRPr="00B457F5">
        <w:rPr>
          <w:rFonts w:ascii="Garamond" w:hAnsi="Garamond" w:cs="Times New Roman"/>
          <w:i/>
          <w:spacing w:val="-1"/>
          <w:szCs w:val="24"/>
        </w:rPr>
        <w:t xml:space="preserve"> </w:t>
      </w:r>
      <w:r w:rsidR="00852F31" w:rsidRPr="00B457F5">
        <w:rPr>
          <w:rFonts w:ascii="Garamond" w:hAnsi="Garamond" w:cs="Times New Roman"/>
          <w:i/>
          <w:szCs w:val="24"/>
        </w:rPr>
        <w:t>ë</w:t>
      </w:r>
      <w:r w:rsidRPr="00B457F5">
        <w:rPr>
          <w:rFonts w:ascii="Garamond" w:hAnsi="Garamond" w:cs="Times New Roman"/>
          <w:i/>
          <w:szCs w:val="24"/>
        </w:rPr>
        <w:t>sht</w:t>
      </w:r>
      <w:r w:rsidR="00852F31" w:rsidRPr="00B457F5">
        <w:rPr>
          <w:rFonts w:ascii="Garamond" w:hAnsi="Garamond" w:cs="Times New Roman"/>
          <w:i/>
          <w:szCs w:val="24"/>
        </w:rPr>
        <w:t>ë</w:t>
      </w:r>
      <w:r w:rsidRPr="00B457F5">
        <w:rPr>
          <w:rFonts w:ascii="Garamond" w:hAnsi="Garamond" w:cs="Times New Roman"/>
          <w:i/>
          <w:spacing w:val="-4"/>
          <w:szCs w:val="24"/>
        </w:rPr>
        <w:t xml:space="preserve"> </w:t>
      </w:r>
      <w:r w:rsidRPr="00B457F5">
        <w:rPr>
          <w:rFonts w:ascii="Garamond" w:hAnsi="Garamond" w:cs="Times New Roman"/>
          <w:i/>
          <w:szCs w:val="24"/>
        </w:rPr>
        <w:t>sqarim</w:t>
      </w:r>
      <w:r w:rsidRPr="00B457F5">
        <w:rPr>
          <w:rFonts w:ascii="Garamond" w:hAnsi="Garamond" w:cs="Times New Roman"/>
          <w:i/>
          <w:spacing w:val="-1"/>
          <w:szCs w:val="24"/>
        </w:rPr>
        <w:t xml:space="preserve"> </w:t>
      </w:r>
      <w:r w:rsidRPr="00B457F5">
        <w:rPr>
          <w:rFonts w:ascii="Garamond" w:hAnsi="Garamond" w:cs="Times New Roman"/>
          <w:i/>
          <w:szCs w:val="24"/>
        </w:rPr>
        <w:t>n</w:t>
      </w:r>
      <w:r w:rsidR="00852F31" w:rsidRPr="00B457F5">
        <w:rPr>
          <w:rFonts w:ascii="Garamond" w:hAnsi="Garamond" w:cs="Times New Roman"/>
          <w:i/>
          <w:szCs w:val="24"/>
        </w:rPr>
        <w:t>ë</w:t>
      </w:r>
      <w:r w:rsidRPr="00B457F5">
        <w:rPr>
          <w:rFonts w:ascii="Garamond" w:hAnsi="Garamond" w:cs="Times New Roman"/>
          <w:i/>
          <w:spacing w:val="-1"/>
          <w:szCs w:val="24"/>
        </w:rPr>
        <w:t xml:space="preserve"> </w:t>
      </w:r>
      <w:r w:rsidRPr="00B457F5">
        <w:rPr>
          <w:rFonts w:ascii="Garamond" w:hAnsi="Garamond" w:cs="Times New Roman"/>
          <w:i/>
          <w:szCs w:val="24"/>
        </w:rPr>
        <w:t>lidhje</w:t>
      </w:r>
      <w:r w:rsidRPr="00B457F5">
        <w:rPr>
          <w:rFonts w:ascii="Garamond" w:hAnsi="Garamond" w:cs="Times New Roman"/>
          <w:i/>
          <w:spacing w:val="-2"/>
          <w:szCs w:val="24"/>
        </w:rPr>
        <w:t xml:space="preserve"> </w:t>
      </w:r>
      <w:r w:rsidRPr="00B457F5">
        <w:rPr>
          <w:rFonts w:ascii="Garamond" w:hAnsi="Garamond" w:cs="Times New Roman"/>
          <w:i/>
          <w:szCs w:val="24"/>
        </w:rPr>
        <w:t>me</w:t>
      </w:r>
      <w:r w:rsidRPr="00B457F5">
        <w:rPr>
          <w:rFonts w:ascii="Garamond" w:hAnsi="Garamond" w:cs="Times New Roman"/>
          <w:i/>
          <w:spacing w:val="-1"/>
          <w:szCs w:val="24"/>
        </w:rPr>
        <w:t xml:space="preserve"> </w:t>
      </w:r>
      <w:r w:rsidRPr="00B457F5">
        <w:rPr>
          <w:rFonts w:ascii="Garamond" w:hAnsi="Garamond" w:cs="Times New Roman"/>
          <w:i/>
          <w:szCs w:val="24"/>
        </w:rPr>
        <w:t>pjes</w:t>
      </w:r>
      <w:r w:rsidR="00852F31" w:rsidRPr="00B457F5">
        <w:rPr>
          <w:rFonts w:ascii="Garamond" w:hAnsi="Garamond" w:cs="Times New Roman"/>
          <w:i/>
          <w:szCs w:val="24"/>
        </w:rPr>
        <w:t>ë</w:t>
      </w:r>
      <w:r w:rsidRPr="00B457F5">
        <w:rPr>
          <w:rFonts w:ascii="Garamond" w:hAnsi="Garamond" w:cs="Times New Roman"/>
          <w:i/>
          <w:szCs w:val="24"/>
        </w:rPr>
        <w:t>n</w:t>
      </w:r>
      <w:r w:rsidRPr="00B457F5">
        <w:rPr>
          <w:rFonts w:ascii="Garamond" w:hAnsi="Garamond" w:cs="Times New Roman"/>
          <w:i/>
          <w:spacing w:val="-2"/>
          <w:szCs w:val="24"/>
        </w:rPr>
        <w:t xml:space="preserve"> </w:t>
      </w:r>
      <w:r w:rsidRPr="00B457F5">
        <w:rPr>
          <w:rFonts w:ascii="Garamond" w:hAnsi="Garamond" w:cs="Times New Roman"/>
          <w:i/>
          <w:szCs w:val="24"/>
        </w:rPr>
        <w:t>narrative</w:t>
      </w:r>
      <w:r w:rsidRPr="00B457F5">
        <w:rPr>
          <w:rFonts w:ascii="Garamond" w:hAnsi="Garamond" w:cs="Times New Roman"/>
          <w:i/>
          <w:spacing w:val="-2"/>
          <w:szCs w:val="24"/>
        </w:rPr>
        <w:t xml:space="preserve"> </w:t>
      </w:r>
      <w:r w:rsidRPr="00B457F5">
        <w:rPr>
          <w:rFonts w:ascii="Garamond" w:hAnsi="Garamond" w:cs="Times New Roman"/>
          <w:i/>
          <w:szCs w:val="24"/>
        </w:rPr>
        <w:t>të</w:t>
      </w:r>
      <w:r w:rsidRPr="00B457F5">
        <w:rPr>
          <w:rFonts w:ascii="Garamond" w:hAnsi="Garamond" w:cs="Times New Roman"/>
          <w:i/>
          <w:spacing w:val="-1"/>
          <w:szCs w:val="24"/>
        </w:rPr>
        <w:t xml:space="preserve"> </w:t>
      </w:r>
      <w:r w:rsidRPr="00B457F5">
        <w:rPr>
          <w:rFonts w:ascii="Garamond" w:hAnsi="Garamond" w:cs="Times New Roman"/>
          <w:i/>
          <w:szCs w:val="24"/>
        </w:rPr>
        <w:t>këtij</w:t>
      </w:r>
      <w:r w:rsidRPr="00B457F5">
        <w:rPr>
          <w:rFonts w:ascii="Garamond" w:hAnsi="Garamond" w:cs="Times New Roman"/>
          <w:i/>
          <w:spacing w:val="-2"/>
          <w:szCs w:val="24"/>
        </w:rPr>
        <w:t xml:space="preserve"> </w:t>
      </w:r>
      <w:r w:rsidRPr="00B457F5">
        <w:rPr>
          <w:rFonts w:ascii="Garamond" w:hAnsi="Garamond" w:cs="Times New Roman"/>
          <w:i/>
          <w:szCs w:val="24"/>
        </w:rPr>
        <w:t>nënseksioni.</w:t>
      </w:r>
    </w:p>
    <w:p w14:paraId="5D4C569E" w14:textId="1EAFC6B2" w:rsidR="003F42F9" w:rsidRPr="00B457F5" w:rsidRDefault="00A619CA" w:rsidP="002E693B">
      <w:pPr>
        <w:pStyle w:val="BodyText"/>
        <w:spacing w:before="0" w:after="0" w:line="240" w:lineRule="auto"/>
        <w:ind w:firstLine="284"/>
        <w:rPr>
          <w:rFonts w:ascii="Garamond" w:hAnsi="Garamond" w:cs="Times New Roman"/>
        </w:rPr>
      </w:pPr>
      <w:r w:rsidRPr="00B457F5">
        <w:rPr>
          <w:rFonts w:ascii="Garamond" w:hAnsi="Garamond" w:cs="Times New Roman"/>
        </w:rPr>
        <w:t>Në</w:t>
      </w:r>
      <w:r w:rsidRPr="00B457F5">
        <w:rPr>
          <w:rFonts w:ascii="Garamond" w:hAnsi="Garamond" w:cs="Times New Roman"/>
          <w:spacing w:val="-2"/>
        </w:rPr>
        <w:t xml:space="preserve"> </w:t>
      </w:r>
      <w:r w:rsidRPr="00B457F5">
        <w:rPr>
          <w:rFonts w:ascii="Garamond" w:hAnsi="Garamond" w:cs="Times New Roman"/>
        </w:rPr>
        <w:t>këtë</w:t>
      </w:r>
      <w:r w:rsidRPr="00B457F5">
        <w:rPr>
          <w:rFonts w:ascii="Garamond" w:hAnsi="Garamond" w:cs="Times New Roman"/>
          <w:spacing w:val="-2"/>
        </w:rPr>
        <w:t xml:space="preserve"> </w:t>
      </w:r>
      <w:r w:rsidRPr="00B457F5">
        <w:rPr>
          <w:rFonts w:ascii="Garamond" w:hAnsi="Garamond" w:cs="Times New Roman"/>
        </w:rPr>
        <w:t>seksion</w:t>
      </w:r>
      <w:r w:rsidRPr="00B457F5">
        <w:rPr>
          <w:rFonts w:ascii="Garamond" w:hAnsi="Garamond" w:cs="Times New Roman"/>
          <w:spacing w:val="-1"/>
        </w:rPr>
        <w:t xml:space="preserve"> </w:t>
      </w:r>
      <w:r w:rsidRPr="00B457F5">
        <w:rPr>
          <w:rFonts w:ascii="Garamond" w:hAnsi="Garamond" w:cs="Times New Roman"/>
        </w:rPr>
        <w:t>bëhet një</w:t>
      </w:r>
      <w:r w:rsidRPr="00B457F5">
        <w:rPr>
          <w:rFonts w:ascii="Garamond" w:hAnsi="Garamond" w:cs="Times New Roman"/>
          <w:spacing w:val="-2"/>
        </w:rPr>
        <w:t xml:space="preserve"> </w:t>
      </w:r>
      <w:r w:rsidRPr="00B457F5">
        <w:rPr>
          <w:rFonts w:ascii="Garamond" w:hAnsi="Garamond" w:cs="Times New Roman"/>
        </w:rPr>
        <w:t>shpjegim</w:t>
      </w:r>
      <w:r w:rsidRPr="00B457F5">
        <w:rPr>
          <w:rFonts w:ascii="Garamond" w:hAnsi="Garamond" w:cs="Times New Roman"/>
          <w:spacing w:val="-1"/>
        </w:rPr>
        <w:t xml:space="preserve"> </w:t>
      </w:r>
      <w:r w:rsidRPr="00B457F5">
        <w:rPr>
          <w:rFonts w:ascii="Garamond" w:hAnsi="Garamond" w:cs="Times New Roman"/>
        </w:rPr>
        <w:t>narrativ</w:t>
      </w:r>
      <w:r w:rsidRPr="00B457F5">
        <w:rPr>
          <w:rFonts w:ascii="Garamond" w:hAnsi="Garamond" w:cs="Times New Roman"/>
          <w:spacing w:val="-2"/>
        </w:rPr>
        <w:t xml:space="preserve"> </w:t>
      </w:r>
      <w:r w:rsidRPr="00B457F5">
        <w:rPr>
          <w:rFonts w:ascii="Garamond" w:hAnsi="Garamond" w:cs="Times New Roman"/>
        </w:rPr>
        <w:t>përmbledhës,</w:t>
      </w:r>
      <w:r w:rsidRPr="00B457F5">
        <w:rPr>
          <w:rFonts w:ascii="Garamond" w:hAnsi="Garamond" w:cs="Times New Roman"/>
          <w:spacing w:val="-2"/>
        </w:rPr>
        <w:t xml:space="preserve"> </w:t>
      </w:r>
      <w:r w:rsidRPr="00B457F5">
        <w:rPr>
          <w:rFonts w:ascii="Garamond" w:hAnsi="Garamond" w:cs="Times New Roman"/>
        </w:rPr>
        <w:t>grafik</w:t>
      </w:r>
      <w:r w:rsidRPr="00B457F5">
        <w:rPr>
          <w:rFonts w:ascii="Garamond" w:hAnsi="Garamond" w:cs="Times New Roman"/>
          <w:spacing w:val="-2"/>
        </w:rPr>
        <w:t xml:space="preserve"> </w:t>
      </w:r>
      <w:r w:rsidRPr="00B457F5">
        <w:rPr>
          <w:rFonts w:ascii="Garamond" w:hAnsi="Garamond" w:cs="Times New Roman"/>
        </w:rPr>
        <w:t>dhe</w:t>
      </w:r>
      <w:r w:rsidRPr="00B457F5">
        <w:rPr>
          <w:rFonts w:ascii="Garamond" w:hAnsi="Garamond" w:cs="Times New Roman"/>
          <w:spacing w:val="-2"/>
        </w:rPr>
        <w:t xml:space="preserve"> </w:t>
      </w:r>
      <w:r w:rsidR="00C05230" w:rsidRPr="00B457F5">
        <w:rPr>
          <w:rFonts w:ascii="Garamond" w:hAnsi="Garamond" w:cs="Times New Roman"/>
        </w:rPr>
        <w:t>tabelor,</w:t>
      </w:r>
      <w:r w:rsidRPr="00B457F5">
        <w:rPr>
          <w:rFonts w:ascii="Garamond" w:hAnsi="Garamond" w:cs="Times New Roman"/>
          <w:spacing w:val="-1"/>
        </w:rPr>
        <w:t xml:space="preserve"> </w:t>
      </w:r>
      <w:r w:rsidRPr="00B457F5">
        <w:rPr>
          <w:rFonts w:ascii="Garamond" w:hAnsi="Garamond" w:cs="Times New Roman"/>
        </w:rPr>
        <w:t>në</w:t>
      </w:r>
      <w:r w:rsidRPr="00B457F5">
        <w:rPr>
          <w:rFonts w:ascii="Garamond" w:hAnsi="Garamond" w:cs="Times New Roman"/>
          <w:spacing w:val="-2"/>
        </w:rPr>
        <w:t xml:space="preserve"> </w:t>
      </w:r>
      <w:r w:rsidRPr="00B457F5">
        <w:rPr>
          <w:rFonts w:ascii="Garamond" w:hAnsi="Garamond" w:cs="Times New Roman"/>
        </w:rPr>
        <w:t>lidhje</w:t>
      </w:r>
      <w:r w:rsidR="00852F31" w:rsidRPr="00B457F5">
        <w:rPr>
          <w:rFonts w:ascii="Garamond" w:hAnsi="Garamond" w:cs="Times New Roman"/>
        </w:rPr>
        <w:t xml:space="preserve"> me</w:t>
      </w:r>
      <w:r w:rsidRPr="00B457F5">
        <w:rPr>
          <w:rFonts w:ascii="Garamond" w:hAnsi="Garamond" w:cs="Times New Roman"/>
        </w:rPr>
        <w:t>:</w:t>
      </w:r>
    </w:p>
    <w:p w14:paraId="267CC56F" w14:textId="6C6DF798" w:rsidR="006C7000" w:rsidRPr="00B457F5" w:rsidRDefault="006A63AF" w:rsidP="006C7000">
      <w:pPr>
        <w:tabs>
          <w:tab w:val="left" w:pos="360"/>
        </w:tabs>
        <w:autoSpaceDE w:val="0"/>
        <w:autoSpaceDN w:val="0"/>
        <w:adjustRightInd w:val="0"/>
        <w:spacing w:before="0" w:after="0"/>
        <w:ind w:firstLine="280"/>
        <w:rPr>
          <w:rFonts w:ascii="Garamond" w:eastAsiaTheme="minorHAnsi" w:hAnsi="Garamond" w:cs="Garamond"/>
          <w:color w:val="000000"/>
          <w:szCs w:val="24"/>
        </w:rPr>
      </w:pPr>
      <w:r w:rsidRPr="00B457F5">
        <w:rPr>
          <w:rFonts w:ascii="Garamond" w:eastAsiaTheme="minorHAnsi" w:hAnsi="Garamond" w:cs="Symbol"/>
          <w:color w:val="000000"/>
          <w:szCs w:val="24"/>
        </w:rPr>
        <w:t xml:space="preserve">- </w:t>
      </w:r>
      <w:r w:rsidR="006C7000" w:rsidRPr="00B457F5">
        <w:rPr>
          <w:rFonts w:ascii="Garamond" w:eastAsiaTheme="minorHAnsi" w:hAnsi="Garamond" w:cs="Garamond"/>
          <w:color w:val="000000"/>
          <w:szCs w:val="24"/>
        </w:rPr>
        <w:t>buxhetimin</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e gjithsej</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për</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3</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vitet</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e</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para</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të</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PBA-së.</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Për</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vitet</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e</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PBA-së</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aktuale,</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mbulimi</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me</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financim</w:t>
      </w:r>
      <w:r w:rsidR="006C7000" w:rsidRPr="00B457F5">
        <w:rPr>
          <w:rFonts w:ascii="Garamond" w:eastAsiaTheme="minorHAnsi" w:hAnsi="Garamond" w:cs="Garamond"/>
          <w:color w:val="000000"/>
          <w:spacing w:val="-35"/>
          <w:szCs w:val="24"/>
        </w:rPr>
        <w:t xml:space="preserve"> </w:t>
      </w:r>
      <w:r w:rsidR="006C7000" w:rsidRPr="00B457F5">
        <w:rPr>
          <w:rFonts w:ascii="Garamond" w:eastAsiaTheme="minorHAnsi" w:hAnsi="Garamond" w:cs="Garamond"/>
          <w:color w:val="000000"/>
          <w:szCs w:val="24"/>
        </w:rPr>
        <w:t>i</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strategjisë</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duhet</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të</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jetë</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100%</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(pa</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hendek</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financiar),</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duke</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specifikuar:</w:t>
      </w:r>
    </w:p>
    <w:p w14:paraId="1BAF085F" w14:textId="50045ABF" w:rsidR="006C7000" w:rsidRPr="00B457F5" w:rsidRDefault="006C7000" w:rsidP="006C7000">
      <w:pPr>
        <w:tabs>
          <w:tab w:val="left" w:pos="620"/>
        </w:tabs>
        <w:autoSpaceDE w:val="0"/>
        <w:autoSpaceDN w:val="0"/>
        <w:adjustRightInd w:val="0"/>
        <w:spacing w:before="0" w:after="0"/>
        <w:ind w:firstLine="280"/>
        <w:rPr>
          <w:rFonts w:ascii="Garamond" w:eastAsiaTheme="minorHAnsi" w:hAnsi="Garamond" w:cs="Garamond"/>
          <w:color w:val="000000"/>
          <w:szCs w:val="24"/>
        </w:rPr>
      </w:pPr>
      <w:r w:rsidRPr="00B457F5">
        <w:rPr>
          <w:rFonts w:ascii="Garamond" w:eastAsiaTheme="minorHAnsi" w:hAnsi="Garamond" w:cs="Courier New"/>
          <w:color w:val="000000"/>
          <w:szCs w:val="24"/>
        </w:rPr>
        <w:t xml:space="preserve">- </w:t>
      </w:r>
      <w:r w:rsidRPr="00B457F5">
        <w:rPr>
          <w:rFonts w:ascii="Garamond" w:eastAsiaTheme="minorHAnsi" w:hAnsi="Garamond" w:cs="Garamond"/>
          <w:color w:val="000000"/>
          <w:szCs w:val="24"/>
        </w:rPr>
        <w:t>përqindjen që mbulohet me</w:t>
      </w:r>
      <w:r w:rsidRPr="00B457F5">
        <w:rPr>
          <w:rFonts w:ascii="Garamond" w:eastAsiaTheme="minorHAnsi" w:hAnsi="Garamond" w:cs="Garamond"/>
          <w:color w:val="000000"/>
          <w:spacing w:val="-15"/>
          <w:szCs w:val="24"/>
        </w:rPr>
        <w:t xml:space="preserve"> </w:t>
      </w:r>
      <w:r w:rsidRPr="00B457F5">
        <w:rPr>
          <w:rFonts w:ascii="Garamond" w:eastAsiaTheme="minorHAnsi" w:hAnsi="Garamond" w:cs="Garamond"/>
          <w:color w:val="000000"/>
          <w:szCs w:val="24"/>
        </w:rPr>
        <w:t>financim</w:t>
      </w:r>
      <w:r w:rsidRPr="00B457F5">
        <w:rPr>
          <w:rFonts w:ascii="Garamond" w:eastAsiaTheme="minorHAnsi" w:hAnsi="Garamond" w:cs="Garamond"/>
          <w:color w:val="000000"/>
          <w:spacing w:val="-15"/>
          <w:szCs w:val="24"/>
        </w:rPr>
        <w:t xml:space="preserve"> </w:t>
      </w:r>
      <w:r w:rsidRPr="00B457F5">
        <w:rPr>
          <w:rFonts w:ascii="Garamond" w:eastAsiaTheme="minorHAnsi" w:hAnsi="Garamond" w:cs="Garamond"/>
          <w:color w:val="000000"/>
          <w:szCs w:val="24"/>
        </w:rPr>
        <w:t>nga</w:t>
      </w:r>
      <w:r w:rsidRPr="00B457F5">
        <w:rPr>
          <w:rFonts w:ascii="Garamond" w:eastAsiaTheme="minorHAnsi" w:hAnsi="Garamond" w:cs="Garamond"/>
          <w:color w:val="000000"/>
          <w:spacing w:val="-15"/>
          <w:szCs w:val="24"/>
        </w:rPr>
        <w:t xml:space="preserve"> </w:t>
      </w:r>
      <w:r w:rsidRPr="00B457F5">
        <w:rPr>
          <w:rFonts w:ascii="Garamond" w:eastAsiaTheme="minorHAnsi" w:hAnsi="Garamond" w:cs="Garamond"/>
          <w:color w:val="000000"/>
          <w:szCs w:val="24"/>
        </w:rPr>
        <w:t>PBA-ja</w:t>
      </w:r>
      <w:r w:rsidR="00C05230" w:rsidRPr="00B457F5">
        <w:rPr>
          <w:rFonts w:ascii="Garamond" w:eastAsiaTheme="minorHAnsi" w:hAnsi="Garamond" w:cs="Garamond"/>
          <w:color w:val="000000"/>
          <w:szCs w:val="24"/>
        </w:rPr>
        <w:t>,</w:t>
      </w:r>
      <w:r w:rsidRPr="00B457F5">
        <w:rPr>
          <w:rFonts w:ascii="Garamond" w:eastAsiaTheme="minorHAnsi" w:hAnsi="Garamond" w:cs="Garamond"/>
          <w:color w:val="000000"/>
          <w:spacing w:val="-15"/>
          <w:szCs w:val="24"/>
        </w:rPr>
        <w:t xml:space="preserve"> </w:t>
      </w:r>
      <w:r w:rsidRPr="00B457F5">
        <w:rPr>
          <w:rFonts w:ascii="Garamond" w:eastAsiaTheme="minorHAnsi" w:hAnsi="Garamond" w:cs="Garamond"/>
          <w:color w:val="000000"/>
          <w:szCs w:val="24"/>
        </w:rPr>
        <w:t>si edhe</w:t>
      </w:r>
      <w:r w:rsidRPr="00B457F5">
        <w:rPr>
          <w:rFonts w:ascii="Garamond" w:eastAsiaTheme="minorHAnsi" w:hAnsi="Garamond" w:cs="Garamond"/>
          <w:color w:val="000000"/>
          <w:spacing w:val="15"/>
          <w:szCs w:val="24"/>
        </w:rPr>
        <w:t xml:space="preserve"> </w:t>
      </w:r>
      <w:r w:rsidRPr="00B457F5">
        <w:rPr>
          <w:rFonts w:ascii="Garamond" w:eastAsiaTheme="minorHAnsi" w:hAnsi="Garamond" w:cs="Garamond"/>
          <w:color w:val="000000"/>
          <w:szCs w:val="24"/>
        </w:rPr>
        <w:t>sa</w:t>
      </w:r>
      <w:r w:rsidRPr="00B457F5">
        <w:rPr>
          <w:rFonts w:ascii="Garamond" w:eastAsiaTheme="minorHAnsi" w:hAnsi="Garamond" w:cs="Garamond"/>
          <w:color w:val="000000"/>
          <w:spacing w:val="-15"/>
          <w:szCs w:val="24"/>
        </w:rPr>
        <w:t xml:space="preserve"> </w:t>
      </w:r>
      <w:r w:rsidRPr="00B457F5">
        <w:rPr>
          <w:rFonts w:ascii="Garamond" w:eastAsiaTheme="minorHAnsi" w:hAnsi="Garamond" w:cs="Garamond"/>
          <w:color w:val="000000"/>
          <w:szCs w:val="24"/>
        </w:rPr>
        <w:t>përqindjen që mbulohet</w:t>
      </w:r>
      <w:r w:rsidRPr="00B457F5">
        <w:rPr>
          <w:rFonts w:ascii="Garamond" w:eastAsiaTheme="minorHAnsi" w:hAnsi="Garamond" w:cs="Garamond"/>
          <w:color w:val="000000"/>
          <w:spacing w:val="-15"/>
          <w:szCs w:val="24"/>
        </w:rPr>
        <w:t xml:space="preserve"> </w:t>
      </w:r>
      <w:r w:rsidRPr="00B457F5">
        <w:rPr>
          <w:rFonts w:ascii="Garamond" w:eastAsiaTheme="minorHAnsi" w:hAnsi="Garamond" w:cs="Garamond"/>
          <w:color w:val="000000"/>
          <w:szCs w:val="24"/>
        </w:rPr>
        <w:t>nga</w:t>
      </w:r>
      <w:r w:rsidRPr="00B457F5">
        <w:rPr>
          <w:rFonts w:ascii="Garamond" w:eastAsiaTheme="minorHAnsi" w:hAnsi="Garamond" w:cs="Garamond"/>
          <w:color w:val="000000"/>
          <w:spacing w:val="-15"/>
          <w:szCs w:val="24"/>
        </w:rPr>
        <w:t xml:space="preserve"> </w:t>
      </w:r>
      <w:r w:rsidRPr="00B457F5">
        <w:rPr>
          <w:rFonts w:ascii="Garamond" w:eastAsiaTheme="minorHAnsi" w:hAnsi="Garamond" w:cs="Garamond"/>
          <w:color w:val="000000"/>
          <w:szCs w:val="24"/>
        </w:rPr>
        <w:t>donatorët,</w:t>
      </w:r>
      <w:r w:rsidRPr="00B457F5">
        <w:rPr>
          <w:rFonts w:ascii="Garamond" w:eastAsiaTheme="minorHAnsi" w:hAnsi="Garamond" w:cs="Garamond"/>
          <w:color w:val="000000"/>
          <w:spacing w:val="-15"/>
          <w:szCs w:val="24"/>
        </w:rPr>
        <w:t xml:space="preserve"> </w:t>
      </w:r>
      <w:r w:rsidRPr="00B457F5">
        <w:rPr>
          <w:rFonts w:ascii="Garamond" w:eastAsiaTheme="minorHAnsi" w:hAnsi="Garamond" w:cs="Garamond"/>
          <w:color w:val="000000"/>
          <w:szCs w:val="24"/>
        </w:rPr>
        <w:t>në</w:t>
      </w:r>
      <w:r w:rsidRPr="00B457F5">
        <w:rPr>
          <w:rFonts w:ascii="Garamond" w:eastAsiaTheme="minorHAnsi" w:hAnsi="Garamond" w:cs="Garamond"/>
          <w:color w:val="000000"/>
          <w:spacing w:val="-15"/>
          <w:szCs w:val="24"/>
        </w:rPr>
        <w:t xml:space="preserve"> </w:t>
      </w:r>
      <w:r w:rsidRPr="00B457F5">
        <w:rPr>
          <w:rFonts w:ascii="Garamond" w:eastAsiaTheme="minorHAnsi" w:hAnsi="Garamond" w:cs="Garamond"/>
          <w:color w:val="000000"/>
          <w:szCs w:val="24"/>
        </w:rPr>
        <w:t>tr</w:t>
      </w:r>
      <w:r w:rsidR="00C05230" w:rsidRPr="00B457F5">
        <w:rPr>
          <w:rFonts w:ascii="Garamond" w:eastAsiaTheme="minorHAnsi" w:hAnsi="Garamond" w:cs="Garamond"/>
          <w:color w:val="000000"/>
          <w:szCs w:val="24"/>
        </w:rPr>
        <w:t>i</w:t>
      </w:r>
      <w:r w:rsidRPr="00B457F5">
        <w:rPr>
          <w:rFonts w:ascii="Garamond" w:eastAsiaTheme="minorHAnsi" w:hAnsi="Garamond" w:cs="Garamond"/>
          <w:color w:val="000000"/>
          <w:szCs w:val="24"/>
        </w:rPr>
        <w:t xml:space="preserve"> vitet e</w:t>
      </w:r>
      <w:r w:rsidRPr="00B457F5">
        <w:rPr>
          <w:rFonts w:ascii="Garamond" w:eastAsiaTheme="minorHAnsi" w:hAnsi="Garamond" w:cs="Garamond"/>
          <w:color w:val="000000"/>
          <w:spacing w:val="-15"/>
          <w:szCs w:val="24"/>
        </w:rPr>
        <w:t xml:space="preserve"> </w:t>
      </w:r>
      <w:r w:rsidRPr="00B457F5">
        <w:rPr>
          <w:rFonts w:ascii="Garamond" w:eastAsiaTheme="minorHAnsi" w:hAnsi="Garamond" w:cs="Garamond"/>
          <w:color w:val="000000"/>
          <w:szCs w:val="24"/>
        </w:rPr>
        <w:t>para;</w:t>
      </w:r>
    </w:p>
    <w:p w14:paraId="24E0DE35" w14:textId="386A8BDB" w:rsidR="006C7000" w:rsidRPr="00B457F5" w:rsidRDefault="006C7000" w:rsidP="006C7000">
      <w:pPr>
        <w:tabs>
          <w:tab w:val="left" w:pos="620"/>
        </w:tabs>
        <w:autoSpaceDE w:val="0"/>
        <w:autoSpaceDN w:val="0"/>
        <w:adjustRightInd w:val="0"/>
        <w:spacing w:before="0" w:after="0"/>
        <w:ind w:firstLine="280"/>
        <w:rPr>
          <w:rFonts w:ascii="Garamond" w:eastAsiaTheme="minorHAnsi" w:hAnsi="Garamond" w:cs="Garamond"/>
          <w:color w:val="000000"/>
          <w:szCs w:val="24"/>
        </w:rPr>
      </w:pPr>
      <w:r w:rsidRPr="00B457F5">
        <w:rPr>
          <w:rFonts w:ascii="Garamond" w:eastAsiaTheme="minorHAnsi" w:hAnsi="Garamond" w:cs="Courier New"/>
          <w:color w:val="000000"/>
          <w:szCs w:val="24"/>
        </w:rPr>
        <w:t xml:space="preserve">- </w:t>
      </w:r>
      <w:r w:rsidRPr="00B457F5">
        <w:rPr>
          <w:rFonts w:ascii="Garamond" w:eastAsiaTheme="minorHAnsi" w:hAnsi="Garamond" w:cs="Garamond"/>
          <w:color w:val="000000"/>
          <w:szCs w:val="24"/>
        </w:rPr>
        <w:t>tabelën</w:t>
      </w:r>
      <w:r w:rsidRPr="00B457F5">
        <w:rPr>
          <w:rFonts w:ascii="Garamond" w:eastAsiaTheme="minorHAnsi" w:hAnsi="Garamond" w:cs="Garamond"/>
          <w:color w:val="000000"/>
          <w:spacing w:val="200"/>
          <w:szCs w:val="24"/>
        </w:rPr>
        <w:t xml:space="preserve"> </w:t>
      </w:r>
      <w:r w:rsidRPr="00B457F5">
        <w:rPr>
          <w:rFonts w:ascii="Garamond" w:eastAsiaTheme="minorHAnsi" w:hAnsi="Garamond" w:cs="Garamond"/>
          <w:color w:val="000000"/>
          <w:szCs w:val="24"/>
        </w:rPr>
        <w:t>përmbledhëse</w:t>
      </w:r>
      <w:r w:rsidRPr="00B457F5">
        <w:rPr>
          <w:rFonts w:ascii="Garamond" w:eastAsiaTheme="minorHAnsi" w:hAnsi="Garamond" w:cs="Garamond"/>
          <w:color w:val="000000"/>
          <w:spacing w:val="200"/>
          <w:szCs w:val="24"/>
        </w:rPr>
        <w:t xml:space="preserve"> </w:t>
      </w:r>
      <w:r w:rsidRPr="00B457F5">
        <w:rPr>
          <w:rFonts w:ascii="Garamond" w:eastAsiaTheme="minorHAnsi" w:hAnsi="Garamond" w:cs="Garamond"/>
          <w:color w:val="000000"/>
          <w:szCs w:val="24"/>
        </w:rPr>
        <w:t>të</w:t>
      </w:r>
      <w:r w:rsidRPr="00B457F5">
        <w:rPr>
          <w:rFonts w:ascii="Garamond" w:eastAsiaTheme="minorHAnsi" w:hAnsi="Garamond" w:cs="Garamond"/>
          <w:color w:val="000000"/>
          <w:spacing w:val="200"/>
          <w:szCs w:val="24"/>
        </w:rPr>
        <w:t xml:space="preserve"> </w:t>
      </w:r>
      <w:r w:rsidRPr="00B457F5">
        <w:rPr>
          <w:rFonts w:ascii="Garamond" w:eastAsiaTheme="minorHAnsi" w:hAnsi="Garamond" w:cs="Garamond"/>
          <w:color w:val="000000"/>
          <w:szCs w:val="24"/>
        </w:rPr>
        <w:t>buxhetit,</w:t>
      </w:r>
      <w:r w:rsidRPr="00B457F5">
        <w:rPr>
          <w:rFonts w:ascii="Garamond" w:eastAsiaTheme="minorHAnsi" w:hAnsi="Garamond" w:cs="Garamond"/>
          <w:color w:val="000000"/>
          <w:spacing w:val="200"/>
          <w:szCs w:val="24"/>
        </w:rPr>
        <w:t xml:space="preserve"> </w:t>
      </w:r>
      <w:r w:rsidRPr="00B457F5">
        <w:rPr>
          <w:rFonts w:ascii="Garamond" w:eastAsiaTheme="minorHAnsi" w:hAnsi="Garamond" w:cs="Garamond"/>
          <w:color w:val="000000"/>
          <w:szCs w:val="24"/>
        </w:rPr>
        <w:t>të</w:t>
      </w:r>
      <w:r w:rsidRPr="00B457F5">
        <w:rPr>
          <w:rFonts w:ascii="Garamond" w:eastAsiaTheme="minorHAnsi" w:hAnsi="Garamond" w:cs="Garamond"/>
          <w:color w:val="000000"/>
          <w:spacing w:val="200"/>
          <w:szCs w:val="24"/>
        </w:rPr>
        <w:t xml:space="preserve"> </w:t>
      </w:r>
      <w:r w:rsidRPr="00B457F5">
        <w:rPr>
          <w:rFonts w:ascii="Garamond" w:eastAsiaTheme="minorHAnsi" w:hAnsi="Garamond" w:cs="Garamond"/>
          <w:color w:val="000000"/>
          <w:szCs w:val="24"/>
        </w:rPr>
        <w:t>parashikuar</w:t>
      </w:r>
      <w:r w:rsidRPr="00B457F5">
        <w:rPr>
          <w:rFonts w:ascii="Garamond" w:eastAsiaTheme="minorHAnsi" w:hAnsi="Garamond" w:cs="Garamond"/>
          <w:color w:val="000000"/>
          <w:spacing w:val="200"/>
          <w:szCs w:val="24"/>
        </w:rPr>
        <w:t xml:space="preserve"> </w:t>
      </w:r>
      <w:r w:rsidRPr="00B457F5">
        <w:rPr>
          <w:rFonts w:ascii="Garamond" w:eastAsiaTheme="minorHAnsi" w:hAnsi="Garamond" w:cs="Garamond"/>
          <w:color w:val="000000"/>
          <w:szCs w:val="24"/>
        </w:rPr>
        <w:t>sipas</w:t>
      </w:r>
      <w:r w:rsidRPr="00B457F5">
        <w:rPr>
          <w:rFonts w:ascii="Garamond" w:eastAsiaTheme="minorHAnsi" w:hAnsi="Garamond" w:cs="Garamond"/>
          <w:color w:val="000000"/>
          <w:spacing w:val="200"/>
          <w:szCs w:val="24"/>
        </w:rPr>
        <w:t xml:space="preserve"> </w:t>
      </w:r>
      <w:r w:rsidRPr="00B457F5">
        <w:rPr>
          <w:rFonts w:ascii="Garamond" w:eastAsiaTheme="minorHAnsi" w:hAnsi="Garamond" w:cs="Garamond"/>
          <w:color w:val="000000"/>
          <w:szCs w:val="24"/>
        </w:rPr>
        <w:t>qëllimeve</w:t>
      </w:r>
      <w:r w:rsidRPr="00B457F5">
        <w:rPr>
          <w:rFonts w:ascii="Garamond" w:eastAsiaTheme="minorHAnsi" w:hAnsi="Garamond" w:cs="Garamond"/>
          <w:color w:val="000000"/>
          <w:spacing w:val="200"/>
          <w:szCs w:val="24"/>
        </w:rPr>
        <w:t xml:space="preserve"> </w:t>
      </w:r>
      <w:r w:rsidRPr="00B457F5">
        <w:rPr>
          <w:rFonts w:ascii="Garamond" w:eastAsiaTheme="minorHAnsi" w:hAnsi="Garamond" w:cs="Garamond"/>
          <w:color w:val="000000"/>
          <w:szCs w:val="24"/>
        </w:rPr>
        <w:t>të</w:t>
      </w:r>
      <w:r w:rsidRPr="00B457F5">
        <w:rPr>
          <w:rFonts w:ascii="Garamond" w:eastAsiaTheme="minorHAnsi" w:hAnsi="Garamond" w:cs="Garamond"/>
          <w:color w:val="000000"/>
          <w:spacing w:val="200"/>
          <w:szCs w:val="24"/>
        </w:rPr>
        <w:t xml:space="preserve"> </w:t>
      </w:r>
      <w:r w:rsidRPr="00B457F5">
        <w:rPr>
          <w:rFonts w:ascii="Garamond" w:eastAsiaTheme="minorHAnsi" w:hAnsi="Garamond" w:cs="Garamond"/>
          <w:color w:val="000000"/>
          <w:szCs w:val="24"/>
        </w:rPr>
        <w:t>politikave/</w:t>
      </w:r>
      <w:r w:rsidRPr="00B457F5">
        <w:rPr>
          <w:rFonts w:ascii="Garamond" w:eastAsiaTheme="minorHAnsi" w:hAnsi="Garamond" w:cs="Garamond"/>
          <w:color w:val="000000"/>
          <w:spacing w:val="-35"/>
          <w:szCs w:val="24"/>
        </w:rPr>
        <w:t xml:space="preserve"> </w:t>
      </w:r>
      <w:r w:rsidRPr="00B457F5">
        <w:rPr>
          <w:rFonts w:ascii="Garamond" w:eastAsiaTheme="minorHAnsi" w:hAnsi="Garamond" w:cs="Garamond"/>
          <w:color w:val="000000"/>
          <w:szCs w:val="24"/>
        </w:rPr>
        <w:t>programeve</w:t>
      </w:r>
      <w:r w:rsidRPr="00B457F5">
        <w:rPr>
          <w:rFonts w:ascii="Garamond" w:eastAsiaTheme="minorHAnsi" w:hAnsi="Garamond" w:cs="Garamond"/>
          <w:color w:val="000000"/>
          <w:spacing w:val="-15"/>
          <w:szCs w:val="24"/>
        </w:rPr>
        <w:t xml:space="preserve"> </w:t>
      </w:r>
      <w:r w:rsidRPr="00B457F5">
        <w:rPr>
          <w:rFonts w:ascii="Garamond" w:eastAsiaTheme="minorHAnsi" w:hAnsi="Garamond" w:cs="Garamond"/>
          <w:color w:val="000000"/>
          <w:szCs w:val="24"/>
        </w:rPr>
        <w:t>të buxhetit</w:t>
      </w:r>
      <w:r w:rsidRPr="00B457F5">
        <w:rPr>
          <w:rFonts w:ascii="Garamond" w:eastAsiaTheme="minorHAnsi" w:hAnsi="Garamond" w:cs="Garamond"/>
          <w:color w:val="000000"/>
          <w:spacing w:val="15"/>
          <w:szCs w:val="24"/>
        </w:rPr>
        <w:t xml:space="preserve"> </w:t>
      </w:r>
      <w:r w:rsidRPr="00B457F5">
        <w:rPr>
          <w:rFonts w:ascii="Garamond" w:eastAsiaTheme="minorHAnsi" w:hAnsi="Garamond" w:cs="Garamond"/>
          <w:color w:val="000000"/>
          <w:szCs w:val="24"/>
        </w:rPr>
        <w:t>për</w:t>
      </w:r>
      <w:r w:rsidRPr="00B457F5">
        <w:rPr>
          <w:rFonts w:ascii="Garamond" w:eastAsiaTheme="minorHAnsi" w:hAnsi="Garamond" w:cs="Garamond"/>
          <w:color w:val="000000"/>
          <w:spacing w:val="-15"/>
          <w:szCs w:val="24"/>
        </w:rPr>
        <w:t xml:space="preserve"> </w:t>
      </w:r>
      <w:r w:rsidRPr="00B457F5">
        <w:rPr>
          <w:rFonts w:ascii="Garamond" w:eastAsiaTheme="minorHAnsi" w:hAnsi="Garamond" w:cs="Garamond"/>
          <w:color w:val="000000"/>
          <w:szCs w:val="24"/>
        </w:rPr>
        <w:t>3</w:t>
      </w:r>
      <w:r w:rsidRPr="00B457F5">
        <w:rPr>
          <w:rFonts w:ascii="Garamond" w:eastAsiaTheme="minorHAnsi" w:hAnsi="Garamond" w:cs="Garamond"/>
          <w:color w:val="000000"/>
          <w:spacing w:val="15"/>
          <w:szCs w:val="24"/>
        </w:rPr>
        <w:t xml:space="preserve"> </w:t>
      </w:r>
      <w:r w:rsidRPr="00B457F5">
        <w:rPr>
          <w:rFonts w:ascii="Garamond" w:eastAsiaTheme="minorHAnsi" w:hAnsi="Garamond" w:cs="Garamond"/>
          <w:color w:val="000000"/>
          <w:szCs w:val="24"/>
        </w:rPr>
        <w:t>vitet</w:t>
      </w:r>
      <w:r w:rsidRPr="00B457F5">
        <w:rPr>
          <w:rFonts w:ascii="Garamond" w:eastAsiaTheme="minorHAnsi" w:hAnsi="Garamond" w:cs="Garamond"/>
          <w:color w:val="000000"/>
          <w:spacing w:val="15"/>
          <w:szCs w:val="24"/>
        </w:rPr>
        <w:t xml:space="preserve"> </w:t>
      </w:r>
      <w:r w:rsidRPr="00B457F5">
        <w:rPr>
          <w:rFonts w:ascii="Garamond" w:eastAsiaTheme="minorHAnsi" w:hAnsi="Garamond" w:cs="Garamond"/>
          <w:color w:val="000000"/>
          <w:szCs w:val="24"/>
        </w:rPr>
        <w:t>e</w:t>
      </w:r>
      <w:r w:rsidRPr="00B457F5">
        <w:rPr>
          <w:rFonts w:ascii="Garamond" w:eastAsiaTheme="minorHAnsi" w:hAnsi="Garamond" w:cs="Garamond"/>
          <w:color w:val="000000"/>
          <w:spacing w:val="-15"/>
          <w:szCs w:val="24"/>
        </w:rPr>
        <w:t xml:space="preserve"> </w:t>
      </w:r>
      <w:r w:rsidRPr="00B457F5">
        <w:rPr>
          <w:rFonts w:ascii="Garamond" w:eastAsiaTheme="minorHAnsi" w:hAnsi="Garamond" w:cs="Garamond"/>
          <w:color w:val="000000"/>
          <w:szCs w:val="24"/>
        </w:rPr>
        <w:t>PBA-së</w:t>
      </w:r>
      <w:r w:rsidRPr="00B457F5">
        <w:rPr>
          <w:rFonts w:ascii="Garamond" w:eastAsiaTheme="minorHAnsi" w:hAnsi="Garamond" w:cs="Garamond"/>
          <w:color w:val="000000"/>
          <w:spacing w:val="-15"/>
          <w:szCs w:val="24"/>
        </w:rPr>
        <w:t xml:space="preserve"> </w:t>
      </w:r>
      <w:r w:rsidRPr="00B457F5">
        <w:rPr>
          <w:rFonts w:ascii="Garamond" w:eastAsiaTheme="minorHAnsi" w:hAnsi="Garamond" w:cs="Garamond"/>
          <w:color w:val="000000"/>
          <w:szCs w:val="24"/>
        </w:rPr>
        <w:t>aktuale;</w:t>
      </w:r>
    </w:p>
    <w:p w14:paraId="61B96BD9" w14:textId="521A26E1" w:rsidR="006C7000" w:rsidRPr="00B457F5" w:rsidRDefault="00303226" w:rsidP="006C7000">
      <w:pPr>
        <w:tabs>
          <w:tab w:val="left" w:pos="360"/>
        </w:tabs>
        <w:autoSpaceDE w:val="0"/>
        <w:autoSpaceDN w:val="0"/>
        <w:adjustRightInd w:val="0"/>
        <w:spacing w:before="0" w:after="0"/>
        <w:ind w:firstLine="280"/>
        <w:rPr>
          <w:rFonts w:ascii="Garamond" w:eastAsiaTheme="minorHAnsi" w:hAnsi="Garamond" w:cs="Garamond"/>
          <w:color w:val="000000"/>
          <w:szCs w:val="24"/>
        </w:rPr>
      </w:pPr>
      <w:r w:rsidRPr="00B457F5">
        <w:rPr>
          <w:rFonts w:ascii="Garamond" w:eastAsiaTheme="minorHAnsi" w:hAnsi="Garamond" w:cs="Symbol"/>
          <w:color w:val="000000"/>
          <w:szCs w:val="24"/>
        </w:rPr>
        <w:t xml:space="preserve">- </w:t>
      </w:r>
      <w:r w:rsidR="00815CC5" w:rsidRPr="00B457F5">
        <w:rPr>
          <w:rFonts w:ascii="Garamond" w:eastAsiaTheme="minorHAnsi" w:hAnsi="Garamond" w:cs="Garamond"/>
          <w:color w:val="000000"/>
          <w:szCs w:val="24"/>
        </w:rPr>
        <w:t>a</w:t>
      </w:r>
      <w:r w:rsidR="006C7000" w:rsidRPr="00B457F5">
        <w:rPr>
          <w:rFonts w:ascii="Garamond" w:eastAsiaTheme="minorHAnsi" w:hAnsi="Garamond" w:cs="Garamond"/>
          <w:color w:val="000000"/>
          <w:szCs w:val="24"/>
        </w:rPr>
        <w:t>naliza</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për</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koston/buxhetin</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e</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nevojshëm</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gjithsej</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për</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zbatimin</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e</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strategjisë,</w:t>
      </w:r>
      <w:r w:rsidR="006C7000" w:rsidRPr="00B457F5">
        <w:rPr>
          <w:rFonts w:ascii="Garamond" w:eastAsiaTheme="minorHAnsi" w:hAnsi="Garamond" w:cs="Garamond"/>
          <w:color w:val="000000"/>
          <w:spacing w:val="15"/>
          <w:szCs w:val="24"/>
        </w:rPr>
        <w:t xml:space="preserve"> </w:t>
      </w:r>
      <w:r w:rsidR="006C7000" w:rsidRPr="00B457F5">
        <w:rPr>
          <w:rFonts w:ascii="Garamond" w:eastAsiaTheme="minorHAnsi" w:hAnsi="Garamond" w:cs="Garamond"/>
          <w:color w:val="000000"/>
          <w:szCs w:val="24"/>
        </w:rPr>
        <w:t>duke</w:t>
      </w:r>
      <w:r w:rsidR="00C05230" w:rsidRPr="00B457F5">
        <w:rPr>
          <w:rFonts w:ascii="Garamond" w:eastAsiaTheme="minorHAnsi" w:hAnsi="Garamond" w:cs="Garamond"/>
          <w:color w:val="000000"/>
          <w:szCs w:val="24"/>
        </w:rPr>
        <w:t xml:space="preserve"> </w:t>
      </w:r>
      <w:r w:rsidR="006C7000" w:rsidRPr="00B457F5">
        <w:rPr>
          <w:rFonts w:ascii="Garamond" w:eastAsiaTheme="minorHAnsi" w:hAnsi="Garamond" w:cs="Garamond"/>
          <w:color w:val="000000"/>
          <w:szCs w:val="24"/>
        </w:rPr>
        <w:t>pasqyruar:</w:t>
      </w:r>
    </w:p>
    <w:p w14:paraId="216B4072" w14:textId="67A0EBEA" w:rsidR="006C7000" w:rsidRPr="00B457F5" w:rsidRDefault="006C7000" w:rsidP="006C7000">
      <w:pPr>
        <w:tabs>
          <w:tab w:val="left" w:pos="540"/>
        </w:tabs>
        <w:autoSpaceDE w:val="0"/>
        <w:autoSpaceDN w:val="0"/>
        <w:adjustRightInd w:val="0"/>
        <w:spacing w:before="0" w:after="0"/>
        <w:ind w:firstLine="280"/>
        <w:rPr>
          <w:rFonts w:ascii="Garamond" w:eastAsiaTheme="minorHAnsi" w:hAnsi="Garamond" w:cs="Garamond"/>
          <w:color w:val="000000"/>
          <w:szCs w:val="24"/>
        </w:rPr>
      </w:pPr>
      <w:r w:rsidRPr="00B457F5">
        <w:rPr>
          <w:rFonts w:ascii="Garamond" w:eastAsiaTheme="minorHAnsi" w:hAnsi="Garamond" w:cs="Courier New"/>
          <w:color w:val="000000"/>
          <w:szCs w:val="24"/>
        </w:rPr>
        <w:t xml:space="preserve">- </w:t>
      </w:r>
      <w:r w:rsidR="00815CC5" w:rsidRPr="00B457F5">
        <w:rPr>
          <w:rFonts w:ascii="Garamond" w:eastAsiaTheme="minorHAnsi" w:hAnsi="Garamond" w:cs="Garamond"/>
          <w:color w:val="000000"/>
          <w:szCs w:val="24"/>
        </w:rPr>
        <w:t>b</w:t>
      </w:r>
      <w:r w:rsidRPr="00B457F5">
        <w:rPr>
          <w:rFonts w:ascii="Garamond" w:eastAsiaTheme="minorHAnsi" w:hAnsi="Garamond" w:cs="Garamond"/>
          <w:color w:val="000000"/>
          <w:szCs w:val="24"/>
        </w:rPr>
        <w:t>uxhetimin</w:t>
      </w:r>
      <w:r w:rsidRPr="00B457F5">
        <w:rPr>
          <w:rFonts w:ascii="Garamond" w:eastAsiaTheme="minorHAnsi" w:hAnsi="Garamond" w:cs="Garamond"/>
          <w:color w:val="000000"/>
          <w:spacing w:val="-15"/>
          <w:szCs w:val="24"/>
        </w:rPr>
        <w:t xml:space="preserve"> </w:t>
      </w:r>
      <w:r w:rsidRPr="00B457F5">
        <w:rPr>
          <w:rFonts w:ascii="Garamond" w:eastAsiaTheme="minorHAnsi" w:hAnsi="Garamond" w:cs="Garamond"/>
          <w:color w:val="000000"/>
          <w:szCs w:val="24"/>
        </w:rPr>
        <w:t>gjithsej</w:t>
      </w:r>
      <w:r w:rsidRPr="00B457F5">
        <w:rPr>
          <w:rFonts w:ascii="Garamond" w:eastAsiaTheme="minorHAnsi" w:hAnsi="Garamond" w:cs="Garamond"/>
          <w:color w:val="000000"/>
          <w:spacing w:val="-15"/>
          <w:szCs w:val="24"/>
        </w:rPr>
        <w:t xml:space="preserve"> </w:t>
      </w:r>
      <w:r w:rsidRPr="00B457F5">
        <w:rPr>
          <w:rFonts w:ascii="Garamond" w:eastAsiaTheme="minorHAnsi" w:hAnsi="Garamond" w:cs="Garamond"/>
          <w:color w:val="000000"/>
          <w:szCs w:val="24"/>
        </w:rPr>
        <w:t>të</w:t>
      </w:r>
      <w:r w:rsidRPr="00B457F5">
        <w:rPr>
          <w:rFonts w:ascii="Garamond" w:eastAsiaTheme="minorHAnsi" w:hAnsi="Garamond" w:cs="Garamond"/>
          <w:color w:val="000000"/>
          <w:spacing w:val="-15"/>
          <w:szCs w:val="24"/>
        </w:rPr>
        <w:t xml:space="preserve"> </w:t>
      </w:r>
      <w:r w:rsidRPr="00B457F5">
        <w:rPr>
          <w:rFonts w:ascii="Garamond" w:eastAsiaTheme="minorHAnsi" w:hAnsi="Garamond" w:cs="Garamond"/>
          <w:color w:val="000000"/>
          <w:szCs w:val="24"/>
        </w:rPr>
        <w:t>strategjisë</w:t>
      </w:r>
      <w:r w:rsidRPr="00B457F5">
        <w:rPr>
          <w:rFonts w:ascii="Garamond" w:eastAsiaTheme="minorHAnsi" w:hAnsi="Garamond" w:cs="Garamond"/>
          <w:color w:val="000000"/>
          <w:spacing w:val="-15"/>
          <w:szCs w:val="24"/>
        </w:rPr>
        <w:t xml:space="preserve"> </w:t>
      </w:r>
      <w:r w:rsidRPr="00B457F5">
        <w:rPr>
          <w:rFonts w:ascii="Garamond" w:eastAsiaTheme="minorHAnsi" w:hAnsi="Garamond" w:cs="Garamond"/>
          <w:color w:val="000000"/>
          <w:szCs w:val="24"/>
        </w:rPr>
        <w:t>(në</w:t>
      </w:r>
      <w:r w:rsidRPr="00B457F5">
        <w:rPr>
          <w:rFonts w:ascii="Garamond" w:eastAsiaTheme="minorHAnsi" w:hAnsi="Garamond" w:cs="Garamond"/>
          <w:color w:val="000000"/>
          <w:spacing w:val="-15"/>
          <w:szCs w:val="24"/>
        </w:rPr>
        <w:t xml:space="preserve"> </w:t>
      </w:r>
      <w:r w:rsidRPr="00B457F5">
        <w:rPr>
          <w:rFonts w:ascii="Garamond" w:eastAsiaTheme="minorHAnsi" w:hAnsi="Garamond" w:cs="Garamond"/>
          <w:color w:val="000000"/>
          <w:szCs w:val="24"/>
        </w:rPr>
        <w:t>shifra</w:t>
      </w:r>
      <w:r w:rsidRPr="00B457F5">
        <w:rPr>
          <w:rFonts w:ascii="Garamond" w:eastAsiaTheme="minorHAnsi" w:hAnsi="Garamond" w:cs="Garamond"/>
          <w:color w:val="000000"/>
          <w:spacing w:val="-15"/>
          <w:szCs w:val="24"/>
        </w:rPr>
        <w:t xml:space="preserve"> </w:t>
      </w:r>
      <w:r w:rsidRPr="00B457F5">
        <w:rPr>
          <w:rFonts w:ascii="Garamond" w:eastAsiaTheme="minorHAnsi" w:hAnsi="Garamond" w:cs="Garamond"/>
          <w:color w:val="000000"/>
          <w:szCs w:val="24"/>
        </w:rPr>
        <w:t>dhe</w:t>
      </w:r>
      <w:r w:rsidRPr="00B457F5">
        <w:rPr>
          <w:rFonts w:ascii="Garamond" w:eastAsiaTheme="minorHAnsi" w:hAnsi="Garamond" w:cs="Garamond"/>
          <w:color w:val="000000"/>
          <w:spacing w:val="-15"/>
          <w:szCs w:val="24"/>
        </w:rPr>
        <w:t xml:space="preserve"> </w:t>
      </w:r>
      <w:r w:rsidRPr="00B457F5">
        <w:rPr>
          <w:rFonts w:ascii="Garamond" w:eastAsiaTheme="minorHAnsi" w:hAnsi="Garamond" w:cs="Garamond"/>
          <w:color w:val="000000"/>
          <w:szCs w:val="24"/>
        </w:rPr>
        <w:t>%), dhe</w:t>
      </w:r>
      <w:r w:rsidRPr="00B457F5">
        <w:rPr>
          <w:rFonts w:ascii="Garamond" w:eastAsiaTheme="minorHAnsi" w:hAnsi="Garamond" w:cs="Garamond"/>
          <w:color w:val="000000"/>
          <w:spacing w:val="-15"/>
          <w:szCs w:val="24"/>
        </w:rPr>
        <w:t xml:space="preserve"> </w:t>
      </w:r>
      <w:r w:rsidRPr="00B457F5">
        <w:rPr>
          <w:rFonts w:ascii="Garamond" w:eastAsiaTheme="minorHAnsi" w:hAnsi="Garamond" w:cs="Garamond"/>
          <w:color w:val="000000"/>
          <w:szCs w:val="24"/>
        </w:rPr>
        <w:t>të</w:t>
      </w:r>
      <w:r w:rsidRPr="00B457F5">
        <w:rPr>
          <w:rFonts w:ascii="Garamond" w:eastAsiaTheme="minorHAnsi" w:hAnsi="Garamond" w:cs="Garamond"/>
          <w:color w:val="000000"/>
          <w:spacing w:val="-15"/>
          <w:szCs w:val="24"/>
        </w:rPr>
        <w:t xml:space="preserve"> </w:t>
      </w:r>
      <w:r w:rsidRPr="00B457F5">
        <w:rPr>
          <w:rFonts w:ascii="Garamond" w:eastAsiaTheme="minorHAnsi" w:hAnsi="Garamond" w:cs="Garamond"/>
          <w:color w:val="000000"/>
          <w:szCs w:val="24"/>
        </w:rPr>
        <w:t>specifikuar</w:t>
      </w:r>
      <w:r w:rsidRPr="00B457F5">
        <w:rPr>
          <w:rFonts w:ascii="Garamond" w:eastAsiaTheme="minorHAnsi" w:hAnsi="Garamond" w:cs="Garamond"/>
          <w:color w:val="000000"/>
          <w:spacing w:val="-15"/>
          <w:szCs w:val="24"/>
        </w:rPr>
        <w:t xml:space="preserve"> </w:t>
      </w:r>
      <w:r w:rsidRPr="00B457F5">
        <w:rPr>
          <w:rFonts w:ascii="Garamond" w:eastAsiaTheme="minorHAnsi" w:hAnsi="Garamond" w:cs="Garamond"/>
          <w:color w:val="000000"/>
          <w:szCs w:val="24"/>
        </w:rPr>
        <w:t>sipas:</w:t>
      </w:r>
      <w:r w:rsidRPr="00B457F5">
        <w:rPr>
          <w:rFonts w:ascii="Garamond" w:eastAsiaTheme="minorHAnsi" w:hAnsi="Garamond" w:cs="Garamond"/>
          <w:color w:val="000000"/>
          <w:spacing w:val="-15"/>
          <w:szCs w:val="24"/>
        </w:rPr>
        <w:t xml:space="preserve"> </w:t>
      </w:r>
      <w:r w:rsidRPr="00B457F5">
        <w:rPr>
          <w:rFonts w:ascii="Garamond" w:eastAsiaTheme="minorHAnsi" w:hAnsi="Garamond" w:cs="Garamond"/>
          <w:color w:val="000000"/>
          <w:szCs w:val="24"/>
        </w:rPr>
        <w:t>i</w:t>
      </w:r>
      <w:r w:rsidR="00303226" w:rsidRPr="00B457F5">
        <w:rPr>
          <w:rFonts w:ascii="Garamond" w:eastAsiaTheme="minorHAnsi" w:hAnsi="Garamond" w:cs="Garamond"/>
          <w:color w:val="000000"/>
          <w:szCs w:val="24"/>
        </w:rPr>
        <w:t>.</w:t>
      </w:r>
      <w:r w:rsidRPr="00B457F5">
        <w:rPr>
          <w:rFonts w:ascii="Garamond" w:eastAsiaTheme="minorHAnsi" w:hAnsi="Garamond" w:cs="Garamond"/>
          <w:color w:val="000000"/>
          <w:spacing w:val="200"/>
          <w:szCs w:val="24"/>
        </w:rPr>
        <w:t xml:space="preserve"> </w:t>
      </w:r>
      <w:r w:rsidRPr="00B457F5">
        <w:rPr>
          <w:rFonts w:ascii="Garamond" w:eastAsiaTheme="minorHAnsi" w:hAnsi="Garamond" w:cs="Garamond"/>
          <w:color w:val="000000"/>
          <w:szCs w:val="24"/>
        </w:rPr>
        <w:t>buxhetimit</w:t>
      </w:r>
      <w:r w:rsidR="0006016F" w:rsidRPr="00B457F5">
        <w:rPr>
          <w:rFonts w:ascii="Garamond" w:eastAsiaTheme="minorHAnsi" w:hAnsi="Garamond" w:cs="Garamond"/>
          <w:color w:val="000000"/>
          <w:szCs w:val="24"/>
        </w:rPr>
        <w:t xml:space="preserve"> </w:t>
      </w:r>
      <w:r w:rsidRPr="00B457F5">
        <w:rPr>
          <w:rFonts w:ascii="Garamond" w:eastAsiaTheme="minorHAnsi" w:hAnsi="Garamond" w:cs="Garamond"/>
          <w:color w:val="000000"/>
          <w:szCs w:val="24"/>
        </w:rPr>
        <w:t>sipas</w:t>
      </w:r>
      <w:r w:rsidRPr="00B457F5">
        <w:rPr>
          <w:rFonts w:ascii="Garamond" w:eastAsiaTheme="minorHAnsi" w:hAnsi="Garamond" w:cs="Garamond"/>
          <w:color w:val="000000"/>
          <w:spacing w:val="200"/>
          <w:szCs w:val="24"/>
        </w:rPr>
        <w:t xml:space="preserve"> </w:t>
      </w:r>
      <w:r w:rsidRPr="00B457F5">
        <w:rPr>
          <w:rFonts w:ascii="Garamond" w:eastAsiaTheme="minorHAnsi" w:hAnsi="Garamond" w:cs="Garamond"/>
          <w:color w:val="000000"/>
          <w:szCs w:val="24"/>
        </w:rPr>
        <w:t>viteve</w:t>
      </w:r>
      <w:r w:rsidRPr="00B457F5">
        <w:rPr>
          <w:rFonts w:ascii="Garamond" w:eastAsiaTheme="minorHAnsi" w:hAnsi="Garamond" w:cs="Garamond"/>
          <w:color w:val="000000"/>
          <w:spacing w:val="15"/>
          <w:szCs w:val="24"/>
        </w:rPr>
        <w:t xml:space="preserve"> </w:t>
      </w:r>
      <w:r w:rsidRPr="00B457F5">
        <w:rPr>
          <w:rFonts w:ascii="Garamond" w:eastAsiaTheme="minorHAnsi" w:hAnsi="Garamond" w:cs="Garamond"/>
          <w:color w:val="000000"/>
          <w:szCs w:val="24"/>
        </w:rPr>
        <w:t>gjatë të cilave</w:t>
      </w:r>
      <w:r w:rsidRPr="00B457F5">
        <w:rPr>
          <w:rFonts w:ascii="Garamond" w:eastAsiaTheme="minorHAnsi" w:hAnsi="Garamond" w:cs="Garamond"/>
          <w:color w:val="000000"/>
          <w:spacing w:val="15"/>
          <w:szCs w:val="24"/>
        </w:rPr>
        <w:t xml:space="preserve"> </w:t>
      </w:r>
      <w:r w:rsidRPr="00B457F5">
        <w:rPr>
          <w:rFonts w:ascii="Garamond" w:eastAsiaTheme="minorHAnsi" w:hAnsi="Garamond" w:cs="Garamond"/>
          <w:color w:val="000000"/>
          <w:szCs w:val="24"/>
        </w:rPr>
        <w:t>shtrihet</w:t>
      </w:r>
      <w:r w:rsidRPr="00B457F5">
        <w:rPr>
          <w:rFonts w:ascii="Garamond" w:eastAsiaTheme="minorHAnsi" w:hAnsi="Garamond" w:cs="Garamond"/>
          <w:color w:val="000000"/>
          <w:spacing w:val="200"/>
          <w:szCs w:val="24"/>
        </w:rPr>
        <w:t xml:space="preserve"> </w:t>
      </w:r>
      <w:r w:rsidRPr="00B457F5">
        <w:rPr>
          <w:rFonts w:ascii="Garamond" w:eastAsiaTheme="minorHAnsi" w:hAnsi="Garamond" w:cs="Garamond"/>
          <w:color w:val="000000"/>
          <w:szCs w:val="24"/>
        </w:rPr>
        <w:t>strategjia</w:t>
      </w:r>
      <w:r w:rsidR="00303226" w:rsidRPr="00F441ED">
        <w:rPr>
          <w:rFonts w:ascii="Garamond" w:eastAsiaTheme="minorHAnsi" w:hAnsi="Garamond" w:cs="Garamond"/>
          <w:color w:val="000000"/>
          <w:szCs w:val="24"/>
        </w:rPr>
        <w:t>;</w:t>
      </w:r>
      <w:r w:rsidRPr="00F441ED">
        <w:rPr>
          <w:rFonts w:ascii="Garamond" w:eastAsiaTheme="minorHAnsi" w:hAnsi="Garamond" w:cs="Garamond"/>
          <w:color w:val="000000"/>
          <w:spacing w:val="15"/>
          <w:szCs w:val="24"/>
        </w:rPr>
        <w:t xml:space="preserve"> </w:t>
      </w:r>
      <w:r w:rsidRPr="00F441ED">
        <w:rPr>
          <w:rFonts w:ascii="Garamond" w:eastAsiaTheme="minorHAnsi" w:hAnsi="Garamond" w:cs="Garamond"/>
          <w:color w:val="000000"/>
          <w:szCs w:val="24"/>
        </w:rPr>
        <w:t>ii</w:t>
      </w:r>
      <w:r w:rsidR="00303226" w:rsidRPr="00F441ED">
        <w:rPr>
          <w:rFonts w:ascii="Garamond" w:eastAsiaTheme="minorHAnsi" w:hAnsi="Garamond" w:cs="Garamond"/>
          <w:color w:val="000000"/>
          <w:szCs w:val="24"/>
        </w:rPr>
        <w:t>.</w:t>
      </w:r>
      <w:r w:rsidRPr="00F441ED">
        <w:rPr>
          <w:rFonts w:ascii="Garamond" w:eastAsiaTheme="minorHAnsi" w:hAnsi="Garamond" w:cs="Garamond"/>
          <w:color w:val="000000"/>
          <w:spacing w:val="200"/>
          <w:szCs w:val="24"/>
        </w:rPr>
        <w:t xml:space="preserve"> </w:t>
      </w:r>
      <w:r w:rsidRPr="00F441ED">
        <w:rPr>
          <w:rFonts w:ascii="Garamond" w:eastAsiaTheme="minorHAnsi" w:hAnsi="Garamond" w:cs="Garamond"/>
          <w:color w:val="000000"/>
          <w:szCs w:val="24"/>
        </w:rPr>
        <w:t>buxhetimin</w:t>
      </w:r>
      <w:r w:rsidRPr="00F441ED">
        <w:rPr>
          <w:rFonts w:ascii="Garamond" w:eastAsiaTheme="minorHAnsi" w:hAnsi="Garamond" w:cs="Garamond"/>
          <w:color w:val="000000"/>
          <w:spacing w:val="200"/>
          <w:szCs w:val="24"/>
        </w:rPr>
        <w:t xml:space="preserve"> </w:t>
      </w:r>
      <w:r w:rsidRPr="00F441ED">
        <w:rPr>
          <w:rFonts w:ascii="Garamond" w:eastAsiaTheme="minorHAnsi" w:hAnsi="Garamond" w:cs="Garamond"/>
          <w:color w:val="000000"/>
          <w:szCs w:val="24"/>
        </w:rPr>
        <w:t>sipas</w:t>
      </w:r>
      <w:r w:rsidRPr="00F441ED">
        <w:rPr>
          <w:rFonts w:ascii="Garamond" w:eastAsiaTheme="minorHAnsi" w:hAnsi="Garamond" w:cs="Garamond"/>
          <w:color w:val="000000"/>
          <w:spacing w:val="200"/>
          <w:szCs w:val="24"/>
        </w:rPr>
        <w:t xml:space="preserve"> </w:t>
      </w:r>
      <w:r w:rsidR="00C05230" w:rsidRPr="00F441ED">
        <w:rPr>
          <w:rFonts w:ascii="Garamond" w:eastAsiaTheme="minorHAnsi" w:hAnsi="Garamond" w:cs="Garamond"/>
          <w:color w:val="000000"/>
          <w:szCs w:val="24"/>
        </w:rPr>
        <w:t>qëllimit</w:t>
      </w:r>
      <w:r w:rsidR="00C05230" w:rsidRPr="00F441ED">
        <w:rPr>
          <w:rFonts w:ascii="Garamond" w:eastAsiaTheme="minorHAnsi" w:hAnsi="Garamond" w:cs="Garamond"/>
          <w:color w:val="000000"/>
          <w:spacing w:val="200"/>
          <w:szCs w:val="24"/>
        </w:rPr>
        <w:t xml:space="preserve"> </w:t>
      </w:r>
      <w:r w:rsidR="00C05230" w:rsidRPr="00F441ED">
        <w:rPr>
          <w:rFonts w:ascii="Garamond" w:eastAsiaTheme="minorHAnsi" w:hAnsi="Garamond" w:cs="Garamond"/>
          <w:color w:val="000000"/>
          <w:szCs w:val="24"/>
        </w:rPr>
        <w:t>të</w:t>
      </w:r>
      <w:r w:rsidR="00C05230" w:rsidRPr="00F441ED">
        <w:rPr>
          <w:rFonts w:ascii="Garamond" w:eastAsiaTheme="minorHAnsi" w:hAnsi="Garamond" w:cs="Garamond"/>
          <w:color w:val="000000"/>
          <w:spacing w:val="15"/>
          <w:szCs w:val="24"/>
        </w:rPr>
        <w:t xml:space="preserve"> </w:t>
      </w:r>
      <w:r w:rsidR="00C05230" w:rsidRPr="00F441ED">
        <w:rPr>
          <w:rFonts w:ascii="Garamond" w:eastAsiaTheme="minorHAnsi" w:hAnsi="Garamond" w:cs="Garamond"/>
          <w:color w:val="000000"/>
          <w:szCs w:val="24"/>
        </w:rPr>
        <w:t>politikave</w:t>
      </w:r>
      <w:r w:rsidRPr="00F441ED">
        <w:rPr>
          <w:rFonts w:ascii="Garamond" w:eastAsiaTheme="minorHAnsi" w:hAnsi="Garamond" w:cs="Garamond"/>
          <w:color w:val="000000"/>
          <w:szCs w:val="24"/>
        </w:rPr>
        <w:t>;</w:t>
      </w:r>
      <w:r w:rsidRPr="00F441ED">
        <w:rPr>
          <w:rFonts w:ascii="Garamond" w:eastAsiaTheme="minorHAnsi" w:hAnsi="Garamond" w:cs="Garamond"/>
          <w:color w:val="000000"/>
          <w:spacing w:val="200"/>
          <w:szCs w:val="24"/>
        </w:rPr>
        <w:t xml:space="preserve"> </w:t>
      </w:r>
      <w:r w:rsidRPr="00F441ED">
        <w:rPr>
          <w:rFonts w:ascii="Garamond" w:eastAsiaTheme="minorHAnsi" w:hAnsi="Garamond" w:cs="Garamond"/>
          <w:color w:val="000000"/>
          <w:szCs w:val="24"/>
        </w:rPr>
        <w:t>iv</w:t>
      </w:r>
      <w:r w:rsidR="00303226" w:rsidRPr="00F441ED">
        <w:rPr>
          <w:rFonts w:ascii="Garamond" w:eastAsiaTheme="minorHAnsi" w:hAnsi="Garamond" w:cs="Garamond"/>
          <w:color w:val="000000"/>
          <w:szCs w:val="24"/>
        </w:rPr>
        <w:t>.</w:t>
      </w:r>
      <w:r w:rsidRPr="00F441ED">
        <w:rPr>
          <w:rFonts w:ascii="Garamond" w:eastAsiaTheme="minorHAnsi" w:hAnsi="Garamond" w:cs="Garamond"/>
          <w:color w:val="000000"/>
          <w:szCs w:val="24"/>
        </w:rPr>
        <w:t xml:space="preserve"> sipas burimeve të financimit (buxheti apo financim i huaj); v</w:t>
      </w:r>
      <w:r w:rsidR="00303226" w:rsidRPr="00F441ED">
        <w:rPr>
          <w:rFonts w:ascii="Garamond" w:eastAsiaTheme="minorHAnsi" w:hAnsi="Garamond" w:cs="Garamond"/>
          <w:color w:val="000000"/>
          <w:szCs w:val="24"/>
        </w:rPr>
        <w:t>.</w:t>
      </w:r>
      <w:r w:rsidRPr="00F441ED">
        <w:rPr>
          <w:rFonts w:ascii="Garamond" w:eastAsiaTheme="minorHAnsi" w:hAnsi="Garamond" w:cs="Garamond"/>
          <w:color w:val="000000"/>
          <w:szCs w:val="24"/>
        </w:rPr>
        <w:t xml:space="preserve"> buxhet për shpenzime korrente (601; 602)</w:t>
      </w:r>
      <w:r w:rsidRPr="00B457F5">
        <w:rPr>
          <w:rFonts w:ascii="Garamond" w:eastAsiaTheme="minorHAnsi" w:hAnsi="Garamond" w:cs="Garamond"/>
          <w:color w:val="000000"/>
          <w:szCs w:val="24"/>
        </w:rPr>
        <w:t xml:space="preserve"> kundrejt buxhetit për investime (231)</w:t>
      </w:r>
      <w:r w:rsidR="00303226" w:rsidRPr="00B457F5">
        <w:rPr>
          <w:rFonts w:ascii="Garamond" w:eastAsiaTheme="minorHAnsi" w:hAnsi="Garamond" w:cs="Garamond"/>
          <w:color w:val="000000"/>
          <w:szCs w:val="24"/>
        </w:rPr>
        <w:t>;</w:t>
      </w:r>
    </w:p>
    <w:p w14:paraId="2A941C5F" w14:textId="5C7A7A8D" w:rsidR="006C7000" w:rsidRPr="00B457F5" w:rsidRDefault="00303226" w:rsidP="006C7000">
      <w:pPr>
        <w:tabs>
          <w:tab w:val="left" w:pos="540"/>
        </w:tabs>
        <w:autoSpaceDE w:val="0"/>
        <w:autoSpaceDN w:val="0"/>
        <w:adjustRightInd w:val="0"/>
        <w:spacing w:before="0" w:after="0"/>
        <w:ind w:firstLine="280"/>
        <w:rPr>
          <w:rFonts w:ascii="Garamond" w:eastAsiaTheme="minorHAnsi" w:hAnsi="Garamond" w:cs="Garamond"/>
          <w:color w:val="000000"/>
          <w:szCs w:val="24"/>
        </w:rPr>
      </w:pPr>
      <w:r w:rsidRPr="00B457F5">
        <w:rPr>
          <w:rFonts w:ascii="Garamond" w:eastAsiaTheme="minorHAnsi" w:hAnsi="Garamond" w:cs="Symbol"/>
          <w:color w:val="000000"/>
          <w:szCs w:val="24"/>
        </w:rPr>
        <w:lastRenderedPageBreak/>
        <w:t xml:space="preserve">- </w:t>
      </w:r>
      <w:r w:rsidR="00815CC5" w:rsidRPr="00B457F5">
        <w:rPr>
          <w:rFonts w:ascii="Garamond" w:eastAsiaTheme="minorHAnsi" w:hAnsi="Garamond" w:cs="Garamond"/>
          <w:color w:val="000000"/>
          <w:szCs w:val="24"/>
        </w:rPr>
        <w:t>o</w:t>
      </w:r>
      <w:r w:rsidR="006C7000" w:rsidRPr="00B457F5">
        <w:rPr>
          <w:rFonts w:ascii="Garamond" w:eastAsiaTheme="minorHAnsi" w:hAnsi="Garamond" w:cs="Garamond"/>
          <w:color w:val="000000"/>
          <w:szCs w:val="24"/>
        </w:rPr>
        <w:t>psionet e mundshëm të buxhetimit, duke modeluar:</w:t>
      </w:r>
    </w:p>
    <w:p w14:paraId="0F1142E1" w14:textId="043A614C" w:rsidR="006C7000" w:rsidRPr="00B457F5" w:rsidRDefault="006C7000" w:rsidP="006C7000">
      <w:pPr>
        <w:tabs>
          <w:tab w:val="left" w:pos="540"/>
        </w:tabs>
        <w:autoSpaceDE w:val="0"/>
        <w:autoSpaceDN w:val="0"/>
        <w:adjustRightInd w:val="0"/>
        <w:spacing w:before="0" w:after="0"/>
        <w:ind w:firstLine="280"/>
        <w:rPr>
          <w:rFonts w:ascii="Garamond" w:eastAsiaTheme="minorHAnsi" w:hAnsi="Garamond" w:cs="Garamond"/>
          <w:color w:val="000000"/>
          <w:szCs w:val="24"/>
        </w:rPr>
      </w:pPr>
      <w:r w:rsidRPr="00B457F5">
        <w:rPr>
          <w:rFonts w:ascii="Garamond" w:eastAsiaTheme="minorHAnsi" w:hAnsi="Garamond" w:cs="Courier New"/>
          <w:color w:val="000000"/>
          <w:szCs w:val="24"/>
        </w:rPr>
        <w:t xml:space="preserve">- </w:t>
      </w:r>
      <w:r w:rsidR="00815CC5" w:rsidRPr="00B457F5">
        <w:rPr>
          <w:rFonts w:ascii="Garamond" w:eastAsiaTheme="minorHAnsi" w:hAnsi="Garamond" w:cs="Garamond"/>
          <w:color w:val="000000"/>
          <w:szCs w:val="24"/>
        </w:rPr>
        <w:t>o</w:t>
      </w:r>
      <w:r w:rsidRPr="00B457F5">
        <w:rPr>
          <w:rFonts w:ascii="Garamond" w:eastAsiaTheme="minorHAnsi" w:hAnsi="Garamond" w:cs="Garamond"/>
          <w:color w:val="000000"/>
          <w:szCs w:val="24"/>
        </w:rPr>
        <w:t>psionin 0</w:t>
      </w:r>
      <w:r w:rsidR="00303226" w:rsidRPr="00B457F5">
        <w:rPr>
          <w:rFonts w:ascii="Garamond" w:eastAsiaTheme="minorHAnsi" w:hAnsi="Garamond" w:cs="Garamond"/>
          <w:color w:val="000000"/>
          <w:szCs w:val="24"/>
        </w:rPr>
        <w:t xml:space="preserve"> </w:t>
      </w:r>
      <w:r w:rsidRPr="00B457F5">
        <w:rPr>
          <w:rFonts w:ascii="Garamond" w:eastAsiaTheme="minorHAnsi" w:hAnsi="Garamond" w:cs="Garamond"/>
          <w:color w:val="000000"/>
          <w:szCs w:val="24"/>
        </w:rPr>
        <w:t>- me tavanet aktuale të buxhetit dhe angazhimet aktuale efektive të donatorëve</w:t>
      </w:r>
      <w:r w:rsidR="001743B4" w:rsidRPr="00B457F5">
        <w:rPr>
          <w:rFonts w:ascii="Garamond" w:eastAsiaTheme="minorHAnsi" w:hAnsi="Garamond" w:cs="Garamond"/>
          <w:color w:val="000000"/>
          <w:szCs w:val="24"/>
        </w:rPr>
        <w:t>;</w:t>
      </w:r>
    </w:p>
    <w:p w14:paraId="243F6777" w14:textId="0D2ACAC3" w:rsidR="006C7000" w:rsidRPr="00B457F5" w:rsidRDefault="006C7000" w:rsidP="006C7000">
      <w:pPr>
        <w:tabs>
          <w:tab w:val="left" w:pos="540"/>
        </w:tabs>
        <w:autoSpaceDE w:val="0"/>
        <w:autoSpaceDN w:val="0"/>
        <w:adjustRightInd w:val="0"/>
        <w:spacing w:before="0" w:after="0"/>
        <w:ind w:firstLine="280"/>
        <w:rPr>
          <w:rFonts w:ascii="Garamond" w:eastAsiaTheme="minorHAnsi" w:hAnsi="Garamond" w:cs="Garamond"/>
          <w:color w:val="000000"/>
          <w:szCs w:val="24"/>
        </w:rPr>
      </w:pPr>
      <w:r w:rsidRPr="00B457F5">
        <w:rPr>
          <w:rFonts w:ascii="Garamond" w:eastAsiaTheme="minorHAnsi" w:hAnsi="Garamond" w:cs="Courier New"/>
          <w:color w:val="000000"/>
          <w:szCs w:val="24"/>
        </w:rPr>
        <w:t xml:space="preserve">- </w:t>
      </w:r>
      <w:r w:rsidR="00815CC5" w:rsidRPr="00B457F5">
        <w:rPr>
          <w:rFonts w:ascii="Garamond" w:eastAsiaTheme="minorHAnsi" w:hAnsi="Garamond" w:cs="Garamond"/>
          <w:color w:val="000000"/>
          <w:szCs w:val="24"/>
        </w:rPr>
        <w:t>o</w:t>
      </w:r>
      <w:r w:rsidRPr="00B457F5">
        <w:rPr>
          <w:rFonts w:ascii="Garamond" w:eastAsiaTheme="minorHAnsi" w:hAnsi="Garamond" w:cs="Garamond"/>
          <w:color w:val="000000"/>
          <w:szCs w:val="24"/>
        </w:rPr>
        <w:t>psionet 2 dhe 3 - me rritje minimale dhe rritje maksimale të tavaneve të buxhetit (duke marrë si variabla rritjen ekonomike mesatare të parashikuar në Programin e Reformave Ekonomike (</w:t>
      </w:r>
      <w:r w:rsidRPr="00B457F5">
        <w:rPr>
          <w:rFonts w:ascii="Garamond" w:eastAsiaTheme="minorHAnsi" w:hAnsi="Garamond" w:cs="Garamond"/>
          <w:i/>
          <w:iCs/>
          <w:color w:val="000000"/>
          <w:szCs w:val="24"/>
        </w:rPr>
        <w:t xml:space="preserve">Economic Reform Program) </w:t>
      </w:r>
      <w:r w:rsidRPr="00B457F5">
        <w:rPr>
          <w:rFonts w:ascii="Garamond" w:eastAsiaTheme="minorHAnsi" w:hAnsi="Garamond" w:cs="Garamond"/>
          <w:color w:val="000000"/>
          <w:szCs w:val="24"/>
        </w:rPr>
        <w:t xml:space="preserve">më të fundit). </w:t>
      </w:r>
    </w:p>
    <w:p w14:paraId="049670C2" w14:textId="3CA5F7B8" w:rsidR="00151C91" w:rsidRPr="00B457F5" w:rsidRDefault="001743B4" w:rsidP="006C7000">
      <w:pPr>
        <w:spacing w:before="0" w:after="0"/>
        <w:ind w:firstLine="284"/>
        <w:rPr>
          <w:rFonts w:ascii="Garamond" w:hAnsi="Garamond"/>
        </w:rPr>
      </w:pPr>
      <w:bookmarkStart w:id="73" w:name="_Toc155620748"/>
      <w:r w:rsidRPr="00B457F5">
        <w:rPr>
          <w:rFonts w:ascii="Garamond" w:hAnsi="Garamond"/>
        </w:rPr>
        <w:t>SHTOJCA 1: FORMATI I PËRMBLEDHUR I PLANIT TË VEPRIMIT</w:t>
      </w:r>
      <w:bookmarkEnd w:id="73"/>
      <w:r w:rsidRPr="00B457F5">
        <w:rPr>
          <w:rFonts w:ascii="Garamond" w:hAnsi="Garamond"/>
        </w:rPr>
        <w:tab/>
      </w:r>
    </w:p>
    <w:p w14:paraId="1A707EA6" w14:textId="5076E845" w:rsidR="00151C91" w:rsidRPr="00B457F5" w:rsidRDefault="00151C91" w:rsidP="006C7000">
      <w:pPr>
        <w:spacing w:before="0" w:after="0"/>
        <w:ind w:firstLine="284"/>
        <w:rPr>
          <w:rFonts w:ascii="Garamond" w:hAnsi="Garamond"/>
        </w:rPr>
      </w:pPr>
      <w:r w:rsidRPr="00B457F5">
        <w:rPr>
          <w:rFonts w:ascii="Garamond" w:hAnsi="Garamond"/>
        </w:rPr>
        <w:t xml:space="preserve">Formati 1 i Planit të Veprimit – si </w:t>
      </w:r>
      <w:r w:rsidR="006A63AF" w:rsidRPr="00B457F5">
        <w:rPr>
          <w:rFonts w:ascii="Garamond" w:hAnsi="Garamond"/>
        </w:rPr>
        <w:t>s</w:t>
      </w:r>
      <w:r w:rsidRPr="00B457F5">
        <w:rPr>
          <w:rFonts w:ascii="Garamond" w:hAnsi="Garamond"/>
        </w:rPr>
        <w:t>htojcë</w:t>
      </w:r>
    </w:p>
    <w:p w14:paraId="68B7544F" w14:textId="1C58C112" w:rsidR="00151C91" w:rsidRPr="00B457F5" w:rsidRDefault="001743B4" w:rsidP="006C7000">
      <w:pPr>
        <w:spacing w:before="0" w:after="0"/>
        <w:ind w:firstLine="284"/>
        <w:rPr>
          <w:rFonts w:ascii="Garamond" w:hAnsi="Garamond"/>
        </w:rPr>
      </w:pPr>
      <w:bookmarkStart w:id="74" w:name="_bookmark18"/>
      <w:bookmarkStart w:id="75" w:name="_Toc155620749"/>
      <w:bookmarkEnd w:id="74"/>
      <w:r w:rsidRPr="00B457F5">
        <w:rPr>
          <w:rFonts w:ascii="Garamond" w:hAnsi="Garamond"/>
        </w:rPr>
        <w:t>SHTOJCA 2: FORMATI I KOSTUAR DHE I DETAJUAR I PLANIT TË VEPRIMIT</w:t>
      </w:r>
      <w:bookmarkEnd w:id="75"/>
    </w:p>
    <w:p w14:paraId="5C2A48C4" w14:textId="77777777" w:rsidR="00151C91" w:rsidRPr="00B457F5" w:rsidRDefault="00151C91" w:rsidP="006C7000">
      <w:pPr>
        <w:spacing w:before="0" w:after="0"/>
        <w:ind w:firstLine="284"/>
        <w:rPr>
          <w:rFonts w:ascii="Garamond" w:hAnsi="Garamond"/>
        </w:rPr>
      </w:pPr>
      <w:r w:rsidRPr="00B457F5">
        <w:rPr>
          <w:rFonts w:ascii="Garamond" w:hAnsi="Garamond"/>
        </w:rPr>
        <w:t>Formatet e lidhura me kostimin (instrumentet e kostimit)</w:t>
      </w:r>
    </w:p>
    <w:p w14:paraId="5D3680E3" w14:textId="0BD2C49B" w:rsidR="00151C91" w:rsidRPr="00B457F5" w:rsidRDefault="001743B4" w:rsidP="006C7000">
      <w:pPr>
        <w:spacing w:before="0" w:after="0"/>
        <w:ind w:firstLine="284"/>
        <w:rPr>
          <w:rFonts w:ascii="Garamond" w:hAnsi="Garamond"/>
        </w:rPr>
      </w:pPr>
      <w:bookmarkStart w:id="76" w:name="_bookmark19"/>
      <w:bookmarkStart w:id="77" w:name="_Toc155620750"/>
      <w:bookmarkEnd w:id="76"/>
      <w:r w:rsidRPr="00B457F5">
        <w:rPr>
          <w:rFonts w:ascii="Garamond" w:hAnsi="Garamond"/>
        </w:rPr>
        <w:t>SHTOJCA 3: FORMATET E PASAPORTAVE TË INDIKATORËVE</w:t>
      </w:r>
      <w:bookmarkEnd w:id="77"/>
      <w:r w:rsidRPr="00B457F5">
        <w:rPr>
          <w:rFonts w:ascii="Garamond" w:hAnsi="Garamond"/>
        </w:rPr>
        <w:tab/>
      </w:r>
    </w:p>
    <w:p w14:paraId="0EFB5DB5" w14:textId="77777777" w:rsidR="00151C91" w:rsidRPr="00B457F5" w:rsidRDefault="00151C91" w:rsidP="006C7000">
      <w:pPr>
        <w:spacing w:before="0" w:after="0"/>
        <w:ind w:firstLine="284"/>
        <w:rPr>
          <w:rFonts w:ascii="Garamond" w:hAnsi="Garamond"/>
        </w:rPr>
      </w:pPr>
      <w:r w:rsidRPr="00B457F5">
        <w:rPr>
          <w:rFonts w:ascii="Garamond" w:hAnsi="Garamond"/>
        </w:rPr>
        <w:t>Treguesit e performancës mund të përcaktohen në të gjitha nivelet, si më poshtë vijon:</w:t>
      </w:r>
    </w:p>
    <w:p w14:paraId="5C46A90A" w14:textId="3B61F7A7" w:rsidR="00151C91" w:rsidRPr="00B457F5" w:rsidRDefault="006A63AF" w:rsidP="006A63AF">
      <w:pPr>
        <w:spacing w:before="0" w:after="0"/>
        <w:ind w:firstLine="284"/>
        <w:rPr>
          <w:rFonts w:ascii="Garamond" w:hAnsi="Garamond"/>
        </w:rPr>
      </w:pPr>
      <w:r w:rsidRPr="00B457F5">
        <w:rPr>
          <w:rFonts w:ascii="Garamond" w:hAnsi="Garamond"/>
        </w:rPr>
        <w:t xml:space="preserve">- </w:t>
      </w:r>
      <w:r w:rsidR="00151C91" w:rsidRPr="00B457F5">
        <w:rPr>
          <w:rFonts w:ascii="Garamond" w:hAnsi="Garamond"/>
        </w:rPr>
        <w:t xml:space="preserve">Qëllimit të </w:t>
      </w:r>
      <w:r w:rsidRPr="00B457F5">
        <w:rPr>
          <w:rFonts w:ascii="Garamond" w:hAnsi="Garamond"/>
        </w:rPr>
        <w:t>p</w:t>
      </w:r>
      <w:r w:rsidR="00151C91" w:rsidRPr="00B457F5">
        <w:rPr>
          <w:rFonts w:ascii="Garamond" w:hAnsi="Garamond"/>
        </w:rPr>
        <w:t>olitikës (ndikimi/rezultati)</w:t>
      </w:r>
      <w:r w:rsidRPr="00B457F5">
        <w:rPr>
          <w:rFonts w:ascii="Garamond" w:hAnsi="Garamond"/>
        </w:rPr>
        <w:t>;</w:t>
      </w:r>
    </w:p>
    <w:p w14:paraId="1DCFDEFE" w14:textId="548A92D3" w:rsidR="00151C91" w:rsidRPr="00B457F5" w:rsidRDefault="006A63AF" w:rsidP="006C7000">
      <w:pPr>
        <w:spacing w:before="0" w:after="0"/>
        <w:ind w:firstLine="284"/>
        <w:rPr>
          <w:rFonts w:ascii="Garamond" w:hAnsi="Garamond"/>
        </w:rPr>
      </w:pPr>
      <w:r w:rsidRPr="00B457F5">
        <w:rPr>
          <w:rFonts w:ascii="Garamond" w:hAnsi="Garamond"/>
        </w:rPr>
        <w:t xml:space="preserve">- </w:t>
      </w:r>
      <w:r w:rsidR="00151C91" w:rsidRPr="00B457F5">
        <w:rPr>
          <w:rFonts w:ascii="Garamond" w:hAnsi="Garamond"/>
        </w:rPr>
        <w:t>Objektivit specifik (rezultatit)</w:t>
      </w:r>
      <w:r w:rsidRPr="00B457F5">
        <w:rPr>
          <w:rFonts w:ascii="Garamond" w:hAnsi="Garamond"/>
        </w:rPr>
        <w:t>;</w:t>
      </w:r>
    </w:p>
    <w:p w14:paraId="4AAA8180" w14:textId="6CFD88A1" w:rsidR="00151C91" w:rsidRPr="00B457F5" w:rsidRDefault="006A63AF" w:rsidP="006C7000">
      <w:pPr>
        <w:spacing w:before="0" w:after="0"/>
        <w:ind w:firstLine="284"/>
        <w:rPr>
          <w:rFonts w:ascii="Garamond" w:hAnsi="Garamond"/>
        </w:rPr>
      </w:pPr>
      <w:r w:rsidRPr="00B457F5">
        <w:rPr>
          <w:rFonts w:ascii="Garamond" w:hAnsi="Garamond"/>
        </w:rPr>
        <w:t xml:space="preserve">- </w:t>
      </w:r>
      <w:r w:rsidR="00151C91" w:rsidRPr="00B457F5">
        <w:rPr>
          <w:rFonts w:ascii="Garamond" w:hAnsi="Garamond"/>
        </w:rPr>
        <w:t>Rezultatit/</w:t>
      </w:r>
      <w:r w:rsidRPr="00B457F5">
        <w:rPr>
          <w:rFonts w:ascii="Garamond" w:hAnsi="Garamond"/>
        </w:rPr>
        <w:t>p</w:t>
      </w:r>
      <w:r w:rsidR="00151C91" w:rsidRPr="00B457F5">
        <w:rPr>
          <w:rFonts w:ascii="Garamond" w:hAnsi="Garamond"/>
        </w:rPr>
        <w:t>roduktit</w:t>
      </w:r>
      <w:r w:rsidRPr="00B457F5">
        <w:rPr>
          <w:rFonts w:ascii="Garamond" w:hAnsi="Garamond"/>
        </w:rPr>
        <w:t>;</w:t>
      </w:r>
    </w:p>
    <w:p w14:paraId="0A36F36E" w14:textId="2EBCCF70" w:rsidR="00151C91" w:rsidRPr="00B457F5" w:rsidRDefault="006A63AF" w:rsidP="006C7000">
      <w:pPr>
        <w:spacing w:before="0" w:after="0"/>
        <w:ind w:firstLine="284"/>
        <w:rPr>
          <w:rFonts w:ascii="Garamond" w:hAnsi="Garamond"/>
        </w:rPr>
      </w:pPr>
      <w:r w:rsidRPr="00B457F5">
        <w:rPr>
          <w:rFonts w:ascii="Garamond" w:hAnsi="Garamond"/>
        </w:rPr>
        <w:t xml:space="preserve">- </w:t>
      </w:r>
      <w:r w:rsidR="00151C91" w:rsidRPr="00B457F5">
        <w:rPr>
          <w:rFonts w:ascii="Garamond" w:hAnsi="Garamond"/>
        </w:rPr>
        <w:t>Masës prioritare</w:t>
      </w:r>
      <w:r w:rsidRPr="00B457F5">
        <w:rPr>
          <w:rFonts w:ascii="Garamond" w:hAnsi="Garamond"/>
        </w:rPr>
        <w:t>.</w:t>
      </w:r>
    </w:p>
    <w:p w14:paraId="792573F6" w14:textId="64AEBE27" w:rsidR="00151C91" w:rsidRPr="00B457F5" w:rsidRDefault="00151C91" w:rsidP="006C7000">
      <w:pPr>
        <w:spacing w:before="0" w:after="0"/>
        <w:ind w:firstLine="284"/>
        <w:rPr>
          <w:rFonts w:ascii="Garamond" w:hAnsi="Garamond"/>
        </w:rPr>
      </w:pPr>
      <w:r w:rsidRPr="00B457F5">
        <w:rPr>
          <w:rFonts w:ascii="Garamond" w:hAnsi="Garamond"/>
        </w:rPr>
        <w:t>Indikatorët mund të jenë nivel i agreguar, i kompozuar nga një ose më shumë indikatorë të thjeshtë; indikatorë në nivel produkti për projektet</w:t>
      </w:r>
      <w:r w:rsidR="0006016F" w:rsidRPr="00B457F5">
        <w:rPr>
          <w:rFonts w:ascii="Garamond" w:hAnsi="Garamond"/>
        </w:rPr>
        <w:t xml:space="preserve"> </w:t>
      </w:r>
      <w:r w:rsidRPr="00B457F5">
        <w:rPr>
          <w:rFonts w:ascii="Garamond" w:hAnsi="Garamond"/>
        </w:rPr>
        <w:t>e investimeve (të programuar në buxhetet vjetore dhe afatmesme të institucioneve).</w:t>
      </w:r>
    </w:p>
    <w:p w14:paraId="2CDE9CA1" w14:textId="57E79AB6" w:rsidR="00151C91" w:rsidRPr="00B457F5" w:rsidRDefault="00151C91" w:rsidP="006C7000">
      <w:pPr>
        <w:spacing w:before="0" w:after="0"/>
        <w:ind w:firstLine="284"/>
      </w:pPr>
      <w:bookmarkStart w:id="78" w:name="_bookmark20"/>
      <w:bookmarkEnd w:id="78"/>
      <w:r w:rsidRPr="00B457F5">
        <w:rPr>
          <w:rFonts w:ascii="Garamond" w:hAnsi="Garamond"/>
          <w:b/>
        </w:rPr>
        <w:t xml:space="preserve"> </w:t>
      </w:r>
      <w:bookmarkStart w:id="79" w:name="_Toc155620751"/>
      <w:r w:rsidR="001743B4" w:rsidRPr="00B457F5">
        <w:rPr>
          <w:rFonts w:ascii="Garamond" w:hAnsi="Garamond"/>
        </w:rPr>
        <w:t>SHTOJCA 4: FORMATET E MASAVE PRIORITAR</w:t>
      </w:r>
      <w:bookmarkEnd w:id="79"/>
      <w:r w:rsidR="001743B4" w:rsidRPr="00B457F5">
        <w:rPr>
          <w:rFonts w:ascii="Garamond" w:hAnsi="Garamond"/>
        </w:rPr>
        <w:t>E</w:t>
      </w:r>
    </w:p>
    <w:p w14:paraId="732B947E" w14:textId="7B5F8A84" w:rsidR="00151C91" w:rsidRPr="00B457F5" w:rsidRDefault="00151C91" w:rsidP="002E693B">
      <w:pPr>
        <w:pStyle w:val="BodyText"/>
        <w:spacing w:before="0" w:after="0" w:line="240" w:lineRule="auto"/>
        <w:ind w:firstLine="284"/>
        <w:rPr>
          <w:rFonts w:ascii="Garamond" w:hAnsi="Garamond" w:cs="Times New Roman"/>
        </w:rPr>
      </w:pPr>
      <w:r w:rsidRPr="00B457F5">
        <w:rPr>
          <w:rFonts w:ascii="Garamond" w:hAnsi="Garamond" w:cs="Times New Roman"/>
          <w:spacing w:val="-1"/>
        </w:rPr>
        <w:t>Formatet</w:t>
      </w:r>
      <w:r w:rsidRPr="00B457F5">
        <w:rPr>
          <w:rFonts w:ascii="Garamond" w:hAnsi="Garamond" w:cs="Times New Roman"/>
          <w:spacing w:val="-10"/>
        </w:rPr>
        <w:t xml:space="preserve"> </w:t>
      </w:r>
      <w:r w:rsidRPr="00B457F5">
        <w:rPr>
          <w:rFonts w:ascii="Garamond" w:hAnsi="Garamond" w:cs="Times New Roman"/>
          <w:spacing w:val="-1"/>
        </w:rPr>
        <w:t>e</w:t>
      </w:r>
      <w:r w:rsidRPr="00B457F5">
        <w:rPr>
          <w:rFonts w:ascii="Garamond" w:hAnsi="Garamond" w:cs="Times New Roman"/>
          <w:spacing w:val="-11"/>
        </w:rPr>
        <w:t xml:space="preserve"> </w:t>
      </w:r>
      <w:r w:rsidRPr="00B457F5">
        <w:rPr>
          <w:rFonts w:ascii="Garamond" w:hAnsi="Garamond" w:cs="Times New Roman"/>
          <w:spacing w:val="-1"/>
        </w:rPr>
        <w:t>lidhura</w:t>
      </w:r>
      <w:r w:rsidRPr="00B457F5">
        <w:rPr>
          <w:rFonts w:ascii="Garamond" w:hAnsi="Garamond" w:cs="Times New Roman"/>
          <w:spacing w:val="-10"/>
        </w:rPr>
        <w:t xml:space="preserve"> </w:t>
      </w:r>
      <w:r w:rsidRPr="00B457F5">
        <w:rPr>
          <w:rFonts w:ascii="Garamond" w:hAnsi="Garamond" w:cs="Times New Roman"/>
          <w:spacing w:val="-1"/>
        </w:rPr>
        <w:t>me</w:t>
      </w:r>
      <w:r w:rsidRPr="00B457F5">
        <w:rPr>
          <w:rFonts w:ascii="Garamond" w:hAnsi="Garamond" w:cs="Times New Roman"/>
          <w:spacing w:val="-12"/>
        </w:rPr>
        <w:t xml:space="preserve"> </w:t>
      </w:r>
      <w:r w:rsidR="001743B4" w:rsidRPr="00B457F5">
        <w:rPr>
          <w:rFonts w:ascii="Garamond" w:hAnsi="Garamond" w:cs="Times New Roman"/>
          <w:spacing w:val="-1"/>
        </w:rPr>
        <w:t>fishat</w:t>
      </w:r>
      <w:r w:rsidR="001743B4" w:rsidRPr="00B457F5">
        <w:rPr>
          <w:rFonts w:ascii="Garamond" w:hAnsi="Garamond" w:cs="Times New Roman"/>
          <w:spacing w:val="-10"/>
        </w:rPr>
        <w:t xml:space="preserve"> </w:t>
      </w:r>
      <w:r w:rsidR="001743B4" w:rsidRPr="00B457F5">
        <w:rPr>
          <w:rFonts w:ascii="Garamond" w:hAnsi="Garamond" w:cs="Times New Roman"/>
          <w:spacing w:val="-1"/>
        </w:rPr>
        <w:t>e</w:t>
      </w:r>
      <w:r w:rsidR="001743B4" w:rsidRPr="00B457F5">
        <w:rPr>
          <w:rFonts w:ascii="Garamond" w:hAnsi="Garamond" w:cs="Times New Roman"/>
          <w:spacing w:val="-13"/>
        </w:rPr>
        <w:t xml:space="preserve"> </w:t>
      </w:r>
      <w:r w:rsidR="001743B4" w:rsidRPr="00B457F5">
        <w:rPr>
          <w:rFonts w:ascii="Garamond" w:hAnsi="Garamond" w:cs="Times New Roman"/>
          <w:spacing w:val="-1"/>
        </w:rPr>
        <w:t>masave</w:t>
      </w:r>
      <w:r w:rsidR="001743B4" w:rsidRPr="00B457F5">
        <w:rPr>
          <w:rFonts w:ascii="Garamond" w:hAnsi="Garamond" w:cs="Times New Roman"/>
          <w:spacing w:val="-10"/>
        </w:rPr>
        <w:t xml:space="preserve"> </w:t>
      </w:r>
      <w:r w:rsidR="001743B4" w:rsidRPr="00B457F5">
        <w:rPr>
          <w:rFonts w:ascii="Garamond" w:hAnsi="Garamond" w:cs="Times New Roman"/>
          <w:spacing w:val="-1"/>
        </w:rPr>
        <w:t>priorit</w:t>
      </w:r>
      <w:r w:rsidRPr="00B457F5">
        <w:rPr>
          <w:rFonts w:ascii="Garamond" w:hAnsi="Garamond" w:cs="Times New Roman"/>
          <w:spacing w:val="-1"/>
        </w:rPr>
        <w:t>are</w:t>
      </w:r>
      <w:r w:rsidRPr="00B457F5">
        <w:rPr>
          <w:rFonts w:ascii="Garamond" w:hAnsi="Garamond" w:cs="Times New Roman"/>
          <w:spacing w:val="-11"/>
        </w:rPr>
        <w:t xml:space="preserve"> </w:t>
      </w:r>
      <w:r w:rsidRPr="00B457F5">
        <w:rPr>
          <w:rFonts w:ascii="Garamond" w:hAnsi="Garamond" w:cs="Times New Roman"/>
          <w:spacing w:val="-1"/>
        </w:rPr>
        <w:t>(</w:t>
      </w:r>
      <w:r w:rsidR="006A63AF" w:rsidRPr="00B457F5">
        <w:rPr>
          <w:rFonts w:ascii="Garamond" w:hAnsi="Garamond" w:cs="Times New Roman"/>
          <w:spacing w:val="-1"/>
        </w:rPr>
        <w:t>projektet</w:t>
      </w:r>
      <w:r w:rsidR="006A63AF" w:rsidRPr="00B457F5">
        <w:rPr>
          <w:rFonts w:ascii="Garamond" w:hAnsi="Garamond" w:cs="Times New Roman"/>
          <w:spacing w:val="-10"/>
        </w:rPr>
        <w:t xml:space="preserve"> </w:t>
      </w:r>
      <w:r w:rsidR="006A63AF" w:rsidRPr="00B457F5">
        <w:rPr>
          <w:rFonts w:ascii="Garamond" w:hAnsi="Garamond" w:cs="Times New Roman"/>
          <w:spacing w:val="-1"/>
        </w:rPr>
        <w:t>kombëtare</w:t>
      </w:r>
      <w:r w:rsidR="006A63AF" w:rsidRPr="00B457F5">
        <w:rPr>
          <w:rFonts w:ascii="Garamond" w:hAnsi="Garamond" w:cs="Times New Roman"/>
          <w:spacing w:val="-11"/>
        </w:rPr>
        <w:t xml:space="preserve"> </w:t>
      </w:r>
      <w:r w:rsidR="006A63AF" w:rsidRPr="00B457F5">
        <w:rPr>
          <w:rFonts w:ascii="Garamond" w:hAnsi="Garamond" w:cs="Times New Roman"/>
          <w:spacing w:val="-1"/>
        </w:rPr>
        <w:t>dhe/ose</w:t>
      </w:r>
      <w:r w:rsidR="006A63AF" w:rsidRPr="00B457F5">
        <w:rPr>
          <w:rFonts w:ascii="Garamond" w:hAnsi="Garamond" w:cs="Times New Roman"/>
          <w:spacing w:val="-10"/>
        </w:rPr>
        <w:t xml:space="preserve"> </w:t>
      </w:r>
      <w:r w:rsidR="006A63AF" w:rsidRPr="00B457F5">
        <w:rPr>
          <w:rFonts w:ascii="Garamond" w:hAnsi="Garamond" w:cs="Times New Roman"/>
          <w:spacing w:val="-1"/>
        </w:rPr>
        <w:t>programet</w:t>
      </w:r>
      <w:r w:rsidR="006A63AF" w:rsidRPr="00B457F5">
        <w:rPr>
          <w:rFonts w:ascii="Garamond" w:hAnsi="Garamond" w:cs="Times New Roman"/>
          <w:spacing w:val="-12"/>
        </w:rPr>
        <w:t xml:space="preserve"> </w:t>
      </w:r>
      <w:r w:rsidR="006A63AF" w:rsidRPr="00B457F5">
        <w:rPr>
          <w:rFonts w:ascii="Garamond" w:hAnsi="Garamond" w:cs="Times New Roman"/>
          <w:spacing w:val="-1"/>
        </w:rPr>
        <w:t>kombëtare</w:t>
      </w:r>
      <w:r w:rsidR="006A63AF" w:rsidRPr="00B457F5">
        <w:rPr>
          <w:rFonts w:ascii="Garamond" w:hAnsi="Garamond" w:cs="Times New Roman"/>
          <w:spacing w:val="-10"/>
        </w:rPr>
        <w:t xml:space="preserve"> </w:t>
      </w:r>
      <w:r w:rsidR="006A63AF" w:rsidRPr="00B457F5">
        <w:rPr>
          <w:rFonts w:ascii="Garamond" w:hAnsi="Garamond" w:cs="Times New Roman"/>
          <w:spacing w:val="-1"/>
        </w:rPr>
        <w:t>strategjike)</w:t>
      </w:r>
    </w:p>
    <w:p w14:paraId="69EC94F7" w14:textId="1B51E61D" w:rsidR="00151C91" w:rsidRPr="00B457F5" w:rsidRDefault="00151C91" w:rsidP="002E693B">
      <w:pPr>
        <w:spacing w:before="0" w:after="0"/>
        <w:ind w:firstLine="284"/>
        <w:rPr>
          <w:rFonts w:ascii="Garamond" w:hAnsi="Garamond" w:cs="Times New Roman"/>
          <w:i/>
          <w:szCs w:val="24"/>
        </w:rPr>
      </w:pPr>
      <w:r w:rsidRPr="00B457F5">
        <w:rPr>
          <w:rFonts w:ascii="Garamond" w:hAnsi="Garamond" w:cs="Times New Roman"/>
          <w:i/>
          <w:szCs w:val="24"/>
        </w:rPr>
        <w:t>Plotësohen vetëm nëse strategjia parashikon projekte/programe strategjike kombëtare, të cilat janë në fazën e projektidesë (apo të studimit</w:t>
      </w:r>
      <w:r w:rsidRPr="00B457F5">
        <w:rPr>
          <w:rFonts w:ascii="Garamond" w:hAnsi="Garamond" w:cs="Times New Roman"/>
          <w:i/>
          <w:spacing w:val="1"/>
          <w:szCs w:val="24"/>
        </w:rPr>
        <w:t xml:space="preserve"> </w:t>
      </w:r>
      <w:r w:rsidRPr="00B457F5">
        <w:rPr>
          <w:rFonts w:ascii="Garamond" w:hAnsi="Garamond" w:cs="Times New Roman"/>
          <w:i/>
          <w:szCs w:val="24"/>
        </w:rPr>
        <w:t xml:space="preserve">paraprak të fizibilitetit të projektit, apo studimeve </w:t>
      </w:r>
      <w:r w:rsidR="00164C66" w:rsidRPr="00B457F5">
        <w:rPr>
          <w:rFonts w:ascii="Garamond" w:hAnsi="Garamond" w:cs="Times New Roman"/>
          <w:bCs/>
          <w:i/>
          <w:color w:val="0D0D0D" w:themeColor="text1" w:themeTint="F2"/>
          <w:szCs w:val="24"/>
        </w:rPr>
        <w:t>të</w:t>
      </w:r>
      <w:r w:rsidRPr="00B457F5">
        <w:rPr>
          <w:rFonts w:ascii="Garamond" w:hAnsi="Garamond" w:cs="Times New Roman"/>
          <w:i/>
          <w:szCs w:val="24"/>
        </w:rPr>
        <w:t xml:space="preserve"> tjera), me një portofol mbi 100 mln lekë investime, si edhe afat mbi 5 vjet</w:t>
      </w:r>
      <w:r w:rsidRPr="00B457F5">
        <w:rPr>
          <w:rFonts w:ascii="Garamond" w:hAnsi="Garamond" w:cs="Times New Roman"/>
          <w:i/>
          <w:spacing w:val="1"/>
          <w:szCs w:val="24"/>
        </w:rPr>
        <w:t xml:space="preserve"> </w:t>
      </w:r>
      <w:r w:rsidRPr="00B457F5">
        <w:rPr>
          <w:rFonts w:ascii="Garamond" w:hAnsi="Garamond" w:cs="Times New Roman"/>
          <w:i/>
          <w:szCs w:val="24"/>
        </w:rPr>
        <w:t>cikël</w:t>
      </w:r>
      <w:r w:rsidRPr="00B457F5">
        <w:rPr>
          <w:rFonts w:ascii="Garamond" w:hAnsi="Garamond" w:cs="Times New Roman"/>
          <w:i/>
          <w:spacing w:val="-1"/>
          <w:szCs w:val="24"/>
        </w:rPr>
        <w:t xml:space="preserve"> </w:t>
      </w:r>
      <w:r w:rsidRPr="00B457F5">
        <w:rPr>
          <w:rFonts w:ascii="Garamond" w:hAnsi="Garamond" w:cs="Times New Roman"/>
          <w:i/>
          <w:szCs w:val="24"/>
        </w:rPr>
        <w:t>përgatitjeje dhe zbatimi.</w:t>
      </w:r>
    </w:p>
    <w:p w14:paraId="668F829A" w14:textId="53FCC348" w:rsidR="00151C91" w:rsidRPr="00B457F5" w:rsidRDefault="00151C91" w:rsidP="006C7000">
      <w:pPr>
        <w:spacing w:before="0" w:after="0"/>
        <w:ind w:firstLine="284"/>
        <w:rPr>
          <w:rFonts w:ascii="Garamond" w:hAnsi="Garamond" w:cs="Times New Roman"/>
          <w:szCs w:val="24"/>
        </w:rPr>
      </w:pPr>
      <w:r w:rsidRPr="00B457F5">
        <w:rPr>
          <w:rFonts w:ascii="Garamond" w:hAnsi="Garamond" w:cs="Times New Roman"/>
          <w:i/>
          <w:szCs w:val="24"/>
        </w:rPr>
        <w:t xml:space="preserve">Fishat e </w:t>
      </w:r>
      <w:r w:rsidR="006A63AF" w:rsidRPr="00B457F5">
        <w:rPr>
          <w:rFonts w:ascii="Garamond" w:hAnsi="Garamond" w:cs="Times New Roman"/>
          <w:i/>
          <w:szCs w:val="24"/>
        </w:rPr>
        <w:t xml:space="preserve">masave prioritare </w:t>
      </w:r>
      <w:r w:rsidRPr="00B457F5">
        <w:rPr>
          <w:rFonts w:ascii="Garamond" w:hAnsi="Garamond" w:cs="Times New Roman"/>
          <w:i/>
          <w:szCs w:val="24"/>
        </w:rPr>
        <w:t xml:space="preserve">lidhen me përgatitjen e </w:t>
      </w:r>
      <w:r w:rsidR="006A63AF" w:rsidRPr="00B457F5">
        <w:rPr>
          <w:rFonts w:ascii="Garamond" w:hAnsi="Garamond" w:cs="Times New Roman"/>
          <w:i/>
          <w:szCs w:val="24"/>
        </w:rPr>
        <w:t xml:space="preserve">paketës sektoriale të projekteve/programeve strategjike </w:t>
      </w:r>
      <w:r w:rsidRPr="00B457F5">
        <w:rPr>
          <w:rFonts w:ascii="Garamond" w:hAnsi="Garamond" w:cs="Times New Roman"/>
          <w:i/>
          <w:szCs w:val="24"/>
        </w:rPr>
        <w:t>(National Single Project</w:t>
      </w:r>
      <w:r w:rsidRPr="00B457F5">
        <w:rPr>
          <w:rFonts w:ascii="Garamond" w:hAnsi="Garamond" w:cs="Times New Roman"/>
          <w:i/>
          <w:spacing w:val="1"/>
          <w:szCs w:val="24"/>
        </w:rPr>
        <w:t xml:space="preserve"> </w:t>
      </w:r>
      <w:r w:rsidRPr="00B457F5">
        <w:rPr>
          <w:rFonts w:ascii="Garamond" w:hAnsi="Garamond" w:cs="Times New Roman"/>
          <w:i/>
          <w:szCs w:val="24"/>
        </w:rPr>
        <w:t xml:space="preserve">Pipeline). Nëse </w:t>
      </w:r>
      <w:r w:rsidR="00815CC5" w:rsidRPr="00B457F5">
        <w:rPr>
          <w:rFonts w:ascii="Garamond" w:hAnsi="Garamond" w:cs="Times New Roman"/>
          <w:i/>
          <w:szCs w:val="24"/>
        </w:rPr>
        <w:t>s</w:t>
      </w:r>
      <w:r w:rsidRPr="00B457F5">
        <w:rPr>
          <w:rFonts w:ascii="Garamond" w:hAnsi="Garamond" w:cs="Times New Roman"/>
          <w:i/>
          <w:szCs w:val="24"/>
        </w:rPr>
        <w:t>ektori nuk ka investime të tilla, kjo pjesë</w:t>
      </w:r>
      <w:r w:rsidRPr="00B457F5">
        <w:rPr>
          <w:rFonts w:ascii="Garamond" w:hAnsi="Garamond" w:cs="Times New Roman"/>
          <w:i/>
          <w:spacing w:val="-3"/>
          <w:szCs w:val="24"/>
        </w:rPr>
        <w:t xml:space="preserve"> </w:t>
      </w:r>
      <w:r w:rsidRPr="00B457F5">
        <w:rPr>
          <w:rFonts w:ascii="Garamond" w:hAnsi="Garamond" w:cs="Times New Roman"/>
          <w:i/>
          <w:szCs w:val="24"/>
        </w:rPr>
        <w:t>nuk</w:t>
      </w:r>
      <w:r w:rsidRPr="00B457F5">
        <w:rPr>
          <w:rFonts w:ascii="Garamond" w:hAnsi="Garamond" w:cs="Times New Roman"/>
          <w:i/>
          <w:spacing w:val="-2"/>
          <w:szCs w:val="24"/>
        </w:rPr>
        <w:t xml:space="preserve"> </w:t>
      </w:r>
      <w:r w:rsidRPr="00B457F5">
        <w:rPr>
          <w:rFonts w:ascii="Garamond" w:hAnsi="Garamond" w:cs="Times New Roman"/>
          <w:i/>
          <w:szCs w:val="24"/>
        </w:rPr>
        <w:t xml:space="preserve">plotësohet. </w:t>
      </w:r>
    </w:p>
    <w:p w14:paraId="46EFDA74" w14:textId="77777777" w:rsidR="00151C91" w:rsidRPr="00B457F5" w:rsidRDefault="00151C91" w:rsidP="002E693B">
      <w:pPr>
        <w:tabs>
          <w:tab w:val="left" w:pos="540"/>
        </w:tabs>
        <w:spacing w:before="0" w:after="0"/>
        <w:ind w:firstLine="284"/>
        <w:rPr>
          <w:rFonts w:ascii="Garamond" w:hAnsi="Garamond" w:cs="Times New Roman"/>
          <w:szCs w:val="24"/>
        </w:rPr>
      </w:pPr>
    </w:p>
    <w:p w14:paraId="60648EA3" w14:textId="77777777" w:rsidR="00151C91" w:rsidRPr="00B457F5" w:rsidRDefault="00151C91" w:rsidP="002E693B">
      <w:pPr>
        <w:tabs>
          <w:tab w:val="left" w:pos="540"/>
        </w:tabs>
        <w:spacing w:before="0" w:after="0"/>
        <w:ind w:firstLine="284"/>
        <w:rPr>
          <w:rFonts w:ascii="Garamond" w:hAnsi="Garamond" w:cs="Times New Roman"/>
          <w:szCs w:val="24"/>
        </w:rPr>
      </w:pPr>
    </w:p>
    <w:p w14:paraId="0DA83FB5" w14:textId="77777777" w:rsidR="00C260C3" w:rsidRPr="00B457F5" w:rsidRDefault="00C260C3" w:rsidP="002E693B">
      <w:pPr>
        <w:tabs>
          <w:tab w:val="left" w:pos="540"/>
        </w:tabs>
        <w:spacing w:before="0" w:after="0"/>
        <w:ind w:firstLine="284"/>
        <w:rPr>
          <w:rFonts w:ascii="Garamond" w:hAnsi="Garamond" w:cs="Times New Roman"/>
          <w:szCs w:val="24"/>
        </w:rPr>
        <w:sectPr w:rsidR="00C260C3" w:rsidRPr="00B457F5" w:rsidSect="00C260C3">
          <w:pgSz w:w="11907" w:h="16840" w:code="9"/>
          <w:pgMar w:top="1304" w:right="1304" w:bottom="1304" w:left="1304" w:header="1304" w:footer="1134" w:gutter="0"/>
          <w:pgNumType w:fmt="lowerRoman" w:start="1"/>
          <w:cols w:space="720"/>
        </w:sectPr>
      </w:pPr>
    </w:p>
    <w:tbl>
      <w:tblPr>
        <w:tblW w:w="5000" w:type="pct"/>
        <w:tblLook w:val="04A0" w:firstRow="1" w:lastRow="0" w:firstColumn="1" w:lastColumn="0" w:noHBand="0" w:noVBand="1"/>
      </w:tblPr>
      <w:tblGrid>
        <w:gridCol w:w="359"/>
        <w:gridCol w:w="970"/>
        <w:gridCol w:w="544"/>
        <w:gridCol w:w="465"/>
        <w:gridCol w:w="675"/>
        <w:gridCol w:w="370"/>
        <w:gridCol w:w="417"/>
        <w:gridCol w:w="448"/>
        <w:gridCol w:w="426"/>
        <w:gridCol w:w="445"/>
        <w:gridCol w:w="454"/>
        <w:gridCol w:w="448"/>
        <w:gridCol w:w="448"/>
        <w:gridCol w:w="448"/>
        <w:gridCol w:w="406"/>
        <w:gridCol w:w="446"/>
        <w:gridCol w:w="455"/>
        <w:gridCol w:w="449"/>
        <w:gridCol w:w="455"/>
        <w:gridCol w:w="449"/>
        <w:gridCol w:w="427"/>
        <w:gridCol w:w="449"/>
        <w:gridCol w:w="446"/>
        <w:gridCol w:w="427"/>
        <w:gridCol w:w="603"/>
        <w:gridCol w:w="452"/>
        <w:gridCol w:w="382"/>
        <w:gridCol w:w="390"/>
        <w:gridCol w:w="351"/>
        <w:gridCol w:w="485"/>
      </w:tblGrid>
      <w:tr w:rsidR="00C260C3" w:rsidRPr="00B457F5" w14:paraId="547B2A6F" w14:textId="77777777" w:rsidTr="00C260C3">
        <w:trPr>
          <w:trHeight w:val="20"/>
        </w:trPr>
        <w:tc>
          <w:tcPr>
            <w:tcW w:w="5000" w:type="pct"/>
            <w:gridSpan w:val="30"/>
            <w:tcBorders>
              <w:top w:val="single" w:sz="8" w:space="0" w:color="auto"/>
              <w:left w:val="single" w:sz="8" w:space="0" w:color="auto"/>
              <w:bottom w:val="single" w:sz="8" w:space="0" w:color="auto"/>
              <w:right w:val="single" w:sz="4" w:space="0" w:color="auto"/>
            </w:tcBorders>
            <w:shd w:val="clear" w:color="000000" w:fill="F2F2F2"/>
            <w:vAlign w:val="center"/>
            <w:hideMark/>
          </w:tcPr>
          <w:p w14:paraId="0A7F6610" w14:textId="7C05780D" w:rsidR="00C260C3" w:rsidRPr="00B457F5" w:rsidRDefault="00C260C3" w:rsidP="00C260C3">
            <w:pPr>
              <w:spacing w:before="0" w:after="0"/>
              <w:jc w:val="center"/>
              <w:rPr>
                <w:rFonts w:ascii="Garamond" w:eastAsia="Times New Roman" w:hAnsi="Garamond" w:cs="Times New Roman"/>
                <w:b/>
                <w:bCs/>
                <w:color w:val="000000"/>
                <w:sz w:val="4"/>
                <w:szCs w:val="10"/>
              </w:rPr>
            </w:pPr>
            <w:bookmarkStart w:id="80" w:name="RANGE!B2:AR247"/>
            <w:r w:rsidRPr="00B457F5">
              <w:rPr>
                <w:rFonts w:ascii="Garamond" w:eastAsia="Times New Roman" w:hAnsi="Garamond" w:cs="Times New Roman"/>
                <w:b/>
                <w:bCs/>
                <w:color w:val="000000"/>
                <w:sz w:val="4"/>
                <w:szCs w:val="10"/>
              </w:rPr>
              <w:lastRenderedPageBreak/>
              <w:t>PLANI I VEPRIMIT NË ZBATIM TË DOKUMENTIT STRATEGJIK TË MIGRACIONIT 2024–2030</w:t>
            </w:r>
            <w:r w:rsidRPr="00B457F5">
              <w:rPr>
                <w:rFonts w:ascii="Garamond" w:eastAsia="Times New Roman" w:hAnsi="Garamond" w:cs="Times New Roman"/>
                <w:b/>
                <w:bCs/>
                <w:color w:val="000000"/>
                <w:sz w:val="4"/>
                <w:szCs w:val="10"/>
              </w:rPr>
              <w:br/>
              <w:t xml:space="preserve"> </w:t>
            </w:r>
            <w:bookmarkEnd w:id="80"/>
          </w:p>
        </w:tc>
      </w:tr>
      <w:tr w:rsidR="00C260C3" w:rsidRPr="00B457F5" w14:paraId="704B6761" w14:textId="77777777" w:rsidTr="00C260C3">
        <w:trPr>
          <w:trHeight w:val="20"/>
        </w:trPr>
        <w:tc>
          <w:tcPr>
            <w:tcW w:w="5000" w:type="pct"/>
            <w:gridSpan w:val="30"/>
            <w:tcBorders>
              <w:top w:val="single" w:sz="8" w:space="0" w:color="auto"/>
              <w:left w:val="single" w:sz="8" w:space="0" w:color="auto"/>
              <w:bottom w:val="single" w:sz="8" w:space="0" w:color="auto"/>
              <w:right w:val="single" w:sz="4" w:space="0" w:color="auto"/>
            </w:tcBorders>
            <w:shd w:val="clear" w:color="000000" w:fill="F2F2F2"/>
            <w:vAlign w:val="center"/>
            <w:hideMark/>
          </w:tcPr>
          <w:p w14:paraId="1417CE20" w14:textId="76AAEEEF"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II. Qëllimi i </w:t>
            </w:r>
            <w:r w:rsidR="006A63AF" w:rsidRPr="00B457F5">
              <w:rPr>
                <w:rFonts w:ascii="Garamond" w:eastAsia="Times New Roman" w:hAnsi="Garamond" w:cs="Times New Roman"/>
                <w:b/>
                <w:bCs/>
                <w:color w:val="000000"/>
                <w:sz w:val="4"/>
                <w:szCs w:val="10"/>
              </w:rPr>
              <w:t xml:space="preserve">politikës </w:t>
            </w:r>
            <w:r w:rsidRPr="00B457F5">
              <w:rPr>
                <w:rFonts w:ascii="Garamond" w:eastAsia="Times New Roman" w:hAnsi="Garamond" w:cs="Times New Roman"/>
                <w:b/>
                <w:bCs/>
                <w:color w:val="000000"/>
                <w:sz w:val="4"/>
                <w:szCs w:val="10"/>
              </w:rPr>
              <w:t>1:</w:t>
            </w:r>
            <w:r w:rsidR="0006016F" w:rsidRPr="00B457F5">
              <w:rPr>
                <w:rFonts w:ascii="Garamond" w:eastAsia="Times New Roman" w:hAnsi="Garamond" w:cs="Times New Roman"/>
                <w:b/>
                <w:bCs/>
                <w:color w:val="000000"/>
                <w:sz w:val="4"/>
                <w:szCs w:val="10"/>
              </w:rPr>
              <w:t xml:space="preserve"> </w:t>
            </w:r>
            <w:r w:rsidRPr="00B457F5">
              <w:rPr>
                <w:rFonts w:ascii="Garamond" w:eastAsia="Times New Roman" w:hAnsi="Garamond" w:cs="Times New Roman"/>
                <w:b/>
                <w:bCs/>
                <w:color w:val="000000"/>
                <w:sz w:val="4"/>
                <w:szCs w:val="10"/>
              </w:rPr>
              <w:t>Garantimi i qeverisjes strategjike të migracionit në Shqipëri</w:t>
            </w:r>
          </w:p>
        </w:tc>
      </w:tr>
      <w:tr w:rsidR="00C260C3" w:rsidRPr="00B457F5" w14:paraId="3A517DC3" w14:textId="77777777" w:rsidTr="00C260C3">
        <w:trPr>
          <w:trHeight w:val="20"/>
        </w:trPr>
        <w:tc>
          <w:tcPr>
            <w:tcW w:w="5000" w:type="pct"/>
            <w:gridSpan w:val="30"/>
            <w:tcBorders>
              <w:top w:val="single" w:sz="8" w:space="0" w:color="auto"/>
              <w:left w:val="single" w:sz="8" w:space="0" w:color="auto"/>
              <w:bottom w:val="single" w:sz="8" w:space="0" w:color="auto"/>
              <w:right w:val="single" w:sz="4" w:space="0" w:color="auto"/>
            </w:tcBorders>
            <w:shd w:val="clear" w:color="000000" w:fill="F2F2F2"/>
            <w:vAlign w:val="center"/>
            <w:hideMark/>
          </w:tcPr>
          <w:p w14:paraId="17C9F890" w14:textId="0FC1E365"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II. Programi buxhetor që kontribuon për qëllimin e politikës: 01110 Planifikimi, Menaxhimi dhe Administrimi (16), 01110 Planifikimi, Menaxhimi dhe Administrimi (15), 01110 Planifikimi, Menaxhimi dhe Administrimi (14), 01110 Planifikimi, Menaxhimi dhe Administrimi (10), 01330 Menaxhimi dhe Zhvillimi i Administratës Publike (87), 09230 Arsimi i </w:t>
            </w:r>
            <w:r w:rsidR="006A63AF" w:rsidRPr="00B457F5">
              <w:rPr>
                <w:rFonts w:ascii="Garamond" w:eastAsia="Times New Roman" w:hAnsi="Garamond" w:cs="Times New Roman"/>
                <w:b/>
                <w:bCs/>
                <w:color w:val="FF0000"/>
                <w:sz w:val="4"/>
                <w:szCs w:val="10"/>
              </w:rPr>
              <w:t>Mesëm</w:t>
            </w:r>
            <w:r w:rsidRPr="00B457F5">
              <w:rPr>
                <w:rFonts w:ascii="Garamond" w:eastAsia="Times New Roman" w:hAnsi="Garamond" w:cs="Times New Roman"/>
                <w:b/>
                <w:bCs/>
                <w:color w:val="FF0000"/>
                <w:sz w:val="4"/>
                <w:szCs w:val="10"/>
              </w:rPr>
              <w:t xml:space="preserve"> (i </w:t>
            </w:r>
            <w:r w:rsidR="006A63AF" w:rsidRPr="00B457F5">
              <w:rPr>
                <w:rFonts w:ascii="Garamond" w:eastAsia="Times New Roman" w:hAnsi="Garamond" w:cs="Times New Roman"/>
                <w:b/>
                <w:bCs/>
                <w:color w:val="FF0000"/>
                <w:sz w:val="4"/>
                <w:szCs w:val="10"/>
              </w:rPr>
              <w:t>përgjithshëm</w:t>
            </w:r>
            <w:r w:rsidRPr="00B457F5">
              <w:rPr>
                <w:rFonts w:ascii="Garamond" w:eastAsia="Times New Roman" w:hAnsi="Garamond" w:cs="Times New Roman"/>
                <w:b/>
                <w:bCs/>
                <w:color w:val="FF0000"/>
                <w:sz w:val="4"/>
                <w:szCs w:val="10"/>
              </w:rPr>
              <w:t>), 09240 Arsimi i</w:t>
            </w:r>
            <w:r w:rsidR="0006016F" w:rsidRPr="00B457F5">
              <w:rPr>
                <w:rFonts w:ascii="Garamond" w:eastAsia="Times New Roman" w:hAnsi="Garamond" w:cs="Times New Roman"/>
                <w:b/>
                <w:bCs/>
                <w:color w:val="FF0000"/>
                <w:sz w:val="4"/>
                <w:szCs w:val="10"/>
              </w:rPr>
              <w:t xml:space="preserve"> </w:t>
            </w:r>
            <w:r w:rsidR="006A63AF" w:rsidRPr="00B457F5">
              <w:rPr>
                <w:rFonts w:ascii="Garamond" w:eastAsia="Times New Roman" w:hAnsi="Garamond" w:cs="Times New Roman"/>
                <w:b/>
                <w:bCs/>
                <w:color w:val="FF0000"/>
                <w:sz w:val="4"/>
                <w:szCs w:val="10"/>
              </w:rPr>
              <w:t>Mesëm</w:t>
            </w:r>
            <w:r w:rsidRPr="00B457F5">
              <w:rPr>
                <w:rFonts w:ascii="Garamond" w:eastAsia="Times New Roman" w:hAnsi="Garamond" w:cs="Times New Roman"/>
                <w:b/>
                <w:bCs/>
                <w:color w:val="FF0000"/>
                <w:sz w:val="4"/>
                <w:szCs w:val="10"/>
              </w:rPr>
              <w:t xml:space="preserve"> (profesional), 10550 Tregu i </w:t>
            </w:r>
            <w:r w:rsidR="006A63AF" w:rsidRPr="00B457F5">
              <w:rPr>
                <w:rFonts w:ascii="Garamond" w:eastAsia="Times New Roman" w:hAnsi="Garamond" w:cs="Times New Roman"/>
                <w:b/>
                <w:bCs/>
                <w:color w:val="FF0000"/>
                <w:sz w:val="4"/>
                <w:szCs w:val="10"/>
              </w:rPr>
              <w:t>Punës</w:t>
            </w:r>
            <w:r w:rsidRPr="00B457F5">
              <w:rPr>
                <w:rFonts w:ascii="Garamond" w:eastAsia="Times New Roman" w:hAnsi="Garamond" w:cs="Times New Roman"/>
                <w:b/>
                <w:bCs/>
                <w:color w:val="FF0000"/>
                <w:sz w:val="4"/>
                <w:szCs w:val="10"/>
              </w:rPr>
              <w:t xml:space="preserve">, 01140 </w:t>
            </w:r>
            <w:r w:rsidRPr="00B457F5">
              <w:rPr>
                <w:rFonts w:ascii="Garamond" w:eastAsia="Times New Roman" w:hAnsi="Garamond" w:cs="Times New Roman"/>
                <w:b/>
                <w:bCs/>
                <w:i/>
                <w:color w:val="FF0000"/>
                <w:sz w:val="4"/>
                <w:szCs w:val="10"/>
              </w:rPr>
              <w:t>e-Qeverisja</w:t>
            </w:r>
            <w:r w:rsidRPr="00B457F5">
              <w:rPr>
                <w:rFonts w:ascii="Garamond" w:eastAsia="Times New Roman" w:hAnsi="Garamond" w:cs="Times New Roman"/>
                <w:b/>
                <w:bCs/>
                <w:color w:val="FF0000"/>
                <w:sz w:val="4"/>
                <w:szCs w:val="10"/>
              </w:rPr>
              <w:t xml:space="preserve"> (87),</w:t>
            </w:r>
            <w:r w:rsidR="0006016F" w:rsidRPr="00B457F5">
              <w:rPr>
                <w:rFonts w:ascii="Garamond" w:eastAsia="Times New Roman" w:hAnsi="Garamond" w:cs="Times New Roman"/>
                <w:b/>
                <w:bCs/>
                <w:color w:val="FF0000"/>
                <w:sz w:val="4"/>
                <w:szCs w:val="10"/>
              </w:rPr>
              <w:t xml:space="preserve"> </w:t>
            </w:r>
            <w:r w:rsidRPr="00B457F5">
              <w:rPr>
                <w:rFonts w:ascii="Garamond" w:eastAsia="Times New Roman" w:hAnsi="Garamond" w:cs="Times New Roman"/>
                <w:b/>
                <w:bCs/>
                <w:color w:val="FF0000"/>
                <w:sz w:val="4"/>
                <w:szCs w:val="10"/>
              </w:rPr>
              <w:t>01320 Veprimtaria Statistikore (50), 03140 Policia e Shtetit, 01330 Menaxhimi dhe Zhvillimi i Administratës Publike (89)</w:t>
            </w:r>
          </w:p>
        </w:tc>
      </w:tr>
      <w:tr w:rsidR="00C260C3" w:rsidRPr="00B457F5" w14:paraId="73759C1F" w14:textId="77777777" w:rsidTr="00C260C3">
        <w:trPr>
          <w:trHeight w:val="20"/>
        </w:trPr>
        <w:tc>
          <w:tcPr>
            <w:tcW w:w="131" w:type="pct"/>
            <w:vMerge w:val="restart"/>
            <w:tcBorders>
              <w:top w:val="nil"/>
              <w:left w:val="single" w:sz="8" w:space="0" w:color="auto"/>
              <w:bottom w:val="single" w:sz="8" w:space="0" w:color="000000"/>
              <w:right w:val="single" w:sz="4" w:space="0" w:color="auto"/>
            </w:tcBorders>
            <w:shd w:val="clear" w:color="auto" w:fill="auto"/>
            <w:vAlign w:val="center"/>
            <w:hideMark/>
          </w:tcPr>
          <w:p w14:paraId="63526653"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Nr.</w:t>
            </w:r>
          </w:p>
        </w:tc>
        <w:tc>
          <w:tcPr>
            <w:tcW w:w="281" w:type="pct"/>
            <w:vMerge w:val="restart"/>
            <w:tcBorders>
              <w:top w:val="nil"/>
              <w:left w:val="single" w:sz="4" w:space="0" w:color="auto"/>
              <w:bottom w:val="single" w:sz="8" w:space="0" w:color="000000"/>
              <w:right w:val="single" w:sz="4" w:space="0" w:color="auto"/>
            </w:tcBorders>
            <w:shd w:val="clear" w:color="auto" w:fill="auto"/>
            <w:vAlign w:val="center"/>
            <w:hideMark/>
          </w:tcPr>
          <w:p w14:paraId="6B2C58BD"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Titulli</w:t>
            </w:r>
          </w:p>
        </w:tc>
        <w:tc>
          <w:tcPr>
            <w:tcW w:w="186" w:type="pct"/>
            <w:tcBorders>
              <w:top w:val="nil"/>
              <w:left w:val="nil"/>
              <w:bottom w:val="single" w:sz="4" w:space="0" w:color="auto"/>
              <w:right w:val="single" w:sz="4" w:space="0" w:color="auto"/>
            </w:tcBorders>
            <w:shd w:val="clear" w:color="auto" w:fill="auto"/>
            <w:vAlign w:val="center"/>
            <w:hideMark/>
          </w:tcPr>
          <w:p w14:paraId="1F553BA8"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Programi buxhetor</w:t>
            </w:r>
          </w:p>
        </w:tc>
        <w:tc>
          <w:tcPr>
            <w:tcW w:w="412" w:type="pct"/>
            <w:gridSpan w:val="2"/>
            <w:tcBorders>
              <w:top w:val="single" w:sz="8" w:space="0" w:color="auto"/>
              <w:left w:val="nil"/>
              <w:bottom w:val="single" w:sz="4" w:space="0" w:color="auto"/>
              <w:right w:val="single" w:sz="4" w:space="0" w:color="auto"/>
            </w:tcBorders>
            <w:shd w:val="clear" w:color="auto" w:fill="auto"/>
            <w:vAlign w:val="center"/>
            <w:hideMark/>
          </w:tcPr>
          <w:p w14:paraId="23DE4C36"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Institucionet përgjegjëse</w:t>
            </w:r>
          </w:p>
        </w:tc>
        <w:tc>
          <w:tcPr>
            <w:tcW w:w="287" w:type="pct"/>
            <w:gridSpan w:val="2"/>
            <w:tcBorders>
              <w:top w:val="single" w:sz="8" w:space="0" w:color="auto"/>
              <w:left w:val="nil"/>
              <w:bottom w:val="single" w:sz="4" w:space="0" w:color="auto"/>
              <w:right w:val="single" w:sz="4" w:space="0" w:color="auto"/>
            </w:tcBorders>
            <w:shd w:val="clear" w:color="auto" w:fill="auto"/>
            <w:vAlign w:val="center"/>
            <w:hideMark/>
          </w:tcPr>
          <w:p w14:paraId="221E8597"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Afati i Zbatimit </w:t>
            </w:r>
          </w:p>
        </w:tc>
        <w:tc>
          <w:tcPr>
            <w:tcW w:w="480" w:type="pct"/>
            <w:gridSpan w:val="3"/>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07F7C0C2"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Kostot treguese/2024</w:t>
            </w:r>
          </w:p>
        </w:tc>
        <w:tc>
          <w:tcPr>
            <w:tcW w:w="491" w:type="pct"/>
            <w:gridSpan w:val="3"/>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46AA9038"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Kostot treguese/2025</w:t>
            </w:r>
          </w:p>
        </w:tc>
        <w:tc>
          <w:tcPr>
            <w:tcW w:w="473" w:type="pct"/>
            <w:gridSpan w:val="3"/>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186B8199"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Kostot treguese/2026</w:t>
            </w:r>
          </w:p>
        </w:tc>
        <w:tc>
          <w:tcPr>
            <w:tcW w:w="493" w:type="pct"/>
            <w:gridSpan w:val="3"/>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6F578878"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Kostot treguese totale</w:t>
            </w:r>
          </w:p>
        </w:tc>
        <w:tc>
          <w:tcPr>
            <w:tcW w:w="1180" w:type="pct"/>
            <w:gridSpan w:val="7"/>
            <w:tcBorders>
              <w:top w:val="single" w:sz="8" w:space="0" w:color="auto"/>
              <w:left w:val="nil"/>
              <w:bottom w:val="single" w:sz="4" w:space="0" w:color="auto"/>
              <w:right w:val="single" w:sz="4" w:space="0" w:color="auto"/>
            </w:tcBorders>
            <w:shd w:val="clear" w:color="auto" w:fill="auto"/>
            <w:vAlign w:val="center"/>
            <w:hideMark/>
          </w:tcPr>
          <w:p w14:paraId="0C1B6526" w14:textId="4D6618ED"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Burimi </w:t>
            </w:r>
            <w:r w:rsidR="006A63AF" w:rsidRPr="00B457F5">
              <w:rPr>
                <w:rFonts w:ascii="Garamond" w:eastAsia="Times New Roman" w:hAnsi="Garamond" w:cs="Times New Roman"/>
                <w:b/>
                <w:bCs/>
                <w:color w:val="000000"/>
                <w:sz w:val="4"/>
                <w:szCs w:val="10"/>
              </w:rPr>
              <w:t>i</w:t>
            </w:r>
            <w:r w:rsidRPr="00B457F5">
              <w:rPr>
                <w:rFonts w:ascii="Garamond" w:eastAsia="Times New Roman" w:hAnsi="Garamond" w:cs="Times New Roman"/>
                <w:b/>
                <w:bCs/>
                <w:color w:val="000000"/>
                <w:sz w:val="4"/>
                <w:szCs w:val="10"/>
              </w:rPr>
              <w:t xml:space="preserve"> financimit</w:t>
            </w:r>
          </w:p>
        </w:tc>
        <w:tc>
          <w:tcPr>
            <w:tcW w:w="409" w:type="pct"/>
            <w:gridSpan w:val="3"/>
            <w:tcBorders>
              <w:top w:val="single" w:sz="8" w:space="0" w:color="auto"/>
              <w:left w:val="nil"/>
              <w:bottom w:val="single" w:sz="4" w:space="0" w:color="auto"/>
              <w:right w:val="single" w:sz="4" w:space="0" w:color="auto"/>
            </w:tcBorders>
            <w:shd w:val="clear" w:color="auto" w:fill="auto"/>
            <w:vAlign w:val="center"/>
            <w:hideMark/>
          </w:tcPr>
          <w:p w14:paraId="12041888" w14:textId="1DEF9C0C"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Burimi i </w:t>
            </w:r>
            <w:r w:rsidR="006A63AF" w:rsidRPr="00B457F5">
              <w:rPr>
                <w:rFonts w:ascii="Garamond" w:eastAsia="Times New Roman" w:hAnsi="Garamond" w:cs="Times New Roman"/>
                <w:b/>
                <w:bCs/>
                <w:color w:val="000000"/>
                <w:sz w:val="4"/>
                <w:szCs w:val="10"/>
              </w:rPr>
              <w:t>f</w:t>
            </w:r>
            <w:r w:rsidRPr="00B457F5">
              <w:rPr>
                <w:rFonts w:ascii="Garamond" w:eastAsia="Times New Roman" w:hAnsi="Garamond" w:cs="Times New Roman"/>
                <w:b/>
                <w:bCs/>
                <w:color w:val="000000"/>
                <w:sz w:val="4"/>
                <w:szCs w:val="10"/>
              </w:rPr>
              <w:t>inancimit</w:t>
            </w:r>
          </w:p>
        </w:tc>
        <w:tc>
          <w:tcPr>
            <w:tcW w:w="177" w:type="pct"/>
            <w:vMerge w:val="restart"/>
            <w:tcBorders>
              <w:top w:val="nil"/>
              <w:left w:val="single" w:sz="4" w:space="0" w:color="auto"/>
              <w:bottom w:val="single" w:sz="4" w:space="0" w:color="auto"/>
              <w:right w:val="single" w:sz="8" w:space="0" w:color="auto"/>
            </w:tcBorders>
            <w:shd w:val="clear" w:color="auto" w:fill="auto"/>
            <w:vAlign w:val="center"/>
            <w:hideMark/>
          </w:tcPr>
          <w:p w14:paraId="422DD5F3"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Hendeku financiar </w:t>
            </w:r>
          </w:p>
        </w:tc>
      </w:tr>
      <w:tr w:rsidR="00C260C3" w:rsidRPr="00B457F5" w14:paraId="3D385CD0" w14:textId="77777777" w:rsidTr="00C260C3">
        <w:trPr>
          <w:trHeight w:val="20"/>
        </w:trPr>
        <w:tc>
          <w:tcPr>
            <w:tcW w:w="131" w:type="pct"/>
            <w:vMerge/>
            <w:tcBorders>
              <w:top w:val="nil"/>
              <w:left w:val="single" w:sz="8" w:space="0" w:color="auto"/>
              <w:bottom w:val="single" w:sz="8" w:space="0" w:color="000000"/>
              <w:right w:val="single" w:sz="4" w:space="0" w:color="auto"/>
            </w:tcBorders>
            <w:vAlign w:val="center"/>
            <w:hideMark/>
          </w:tcPr>
          <w:p w14:paraId="01F35118"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281" w:type="pct"/>
            <w:vMerge/>
            <w:tcBorders>
              <w:top w:val="nil"/>
              <w:left w:val="single" w:sz="4" w:space="0" w:color="auto"/>
              <w:bottom w:val="single" w:sz="8" w:space="0" w:color="000000"/>
              <w:right w:val="single" w:sz="4" w:space="0" w:color="auto"/>
            </w:tcBorders>
            <w:vAlign w:val="center"/>
            <w:hideMark/>
          </w:tcPr>
          <w:p w14:paraId="6E7AB4B2"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186" w:type="pct"/>
            <w:vMerge w:val="restart"/>
            <w:tcBorders>
              <w:top w:val="nil"/>
              <w:left w:val="single" w:sz="4" w:space="0" w:color="auto"/>
              <w:bottom w:val="single" w:sz="8" w:space="0" w:color="000000"/>
              <w:right w:val="single" w:sz="4" w:space="0" w:color="auto"/>
            </w:tcBorders>
            <w:shd w:val="clear" w:color="auto" w:fill="auto"/>
            <w:vAlign w:val="center"/>
            <w:hideMark/>
          </w:tcPr>
          <w:p w14:paraId="74730C98" w14:textId="78DFC41B"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Emri i BP/dhe kodi</w:t>
            </w:r>
            <w:r w:rsidR="0006016F" w:rsidRPr="00B457F5">
              <w:rPr>
                <w:rFonts w:ascii="Garamond" w:eastAsia="Times New Roman" w:hAnsi="Garamond" w:cs="Times New Roman"/>
                <w:b/>
                <w:bCs/>
                <w:color w:val="000000"/>
                <w:sz w:val="4"/>
                <w:szCs w:val="10"/>
              </w:rPr>
              <w:t xml:space="preserve"> </w:t>
            </w:r>
          </w:p>
        </w:tc>
        <w:tc>
          <w:tcPr>
            <w:tcW w:w="169" w:type="pct"/>
            <w:vMerge w:val="restart"/>
            <w:tcBorders>
              <w:top w:val="nil"/>
              <w:left w:val="single" w:sz="4" w:space="0" w:color="auto"/>
              <w:bottom w:val="single" w:sz="8" w:space="0" w:color="000000"/>
              <w:right w:val="single" w:sz="4" w:space="0" w:color="auto"/>
            </w:tcBorders>
            <w:shd w:val="clear" w:color="auto" w:fill="auto"/>
            <w:vAlign w:val="center"/>
            <w:hideMark/>
          </w:tcPr>
          <w:p w14:paraId="7CB724C4"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Institucioni përgjegjës</w:t>
            </w:r>
          </w:p>
        </w:tc>
        <w:tc>
          <w:tcPr>
            <w:tcW w:w="244" w:type="pct"/>
            <w:vMerge w:val="restart"/>
            <w:tcBorders>
              <w:top w:val="nil"/>
              <w:left w:val="single" w:sz="4" w:space="0" w:color="auto"/>
              <w:bottom w:val="single" w:sz="8" w:space="0" w:color="000000"/>
              <w:right w:val="single" w:sz="4" w:space="0" w:color="auto"/>
            </w:tcBorders>
            <w:shd w:val="clear" w:color="auto" w:fill="auto"/>
            <w:vAlign w:val="center"/>
            <w:hideMark/>
          </w:tcPr>
          <w:p w14:paraId="190A75A8" w14:textId="14C25673"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Institucionet </w:t>
            </w:r>
            <w:r w:rsidR="001743B4" w:rsidRPr="00B457F5">
              <w:rPr>
                <w:rFonts w:ascii="Garamond" w:eastAsia="Times New Roman" w:hAnsi="Garamond" w:cs="Times New Roman"/>
                <w:b/>
                <w:bCs/>
                <w:color w:val="000000"/>
                <w:sz w:val="4"/>
                <w:szCs w:val="10"/>
              </w:rPr>
              <w:t>kontribuuese</w:t>
            </w:r>
          </w:p>
        </w:tc>
        <w:tc>
          <w:tcPr>
            <w:tcW w:w="135"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41506AA6" w14:textId="04CA6270"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Afati </w:t>
            </w:r>
            <w:r w:rsidR="006A63AF" w:rsidRPr="00B457F5">
              <w:rPr>
                <w:rFonts w:ascii="Garamond" w:eastAsia="Times New Roman" w:hAnsi="Garamond" w:cs="Times New Roman"/>
                <w:b/>
                <w:bCs/>
                <w:color w:val="000000"/>
                <w:sz w:val="4"/>
                <w:szCs w:val="10"/>
              </w:rPr>
              <w:t>i f</w:t>
            </w:r>
            <w:r w:rsidRPr="00B457F5">
              <w:rPr>
                <w:rFonts w:ascii="Garamond" w:eastAsia="Times New Roman" w:hAnsi="Garamond" w:cs="Times New Roman"/>
                <w:b/>
                <w:bCs/>
                <w:color w:val="000000"/>
                <w:sz w:val="4"/>
                <w:szCs w:val="10"/>
              </w:rPr>
              <w:t>illimit</w:t>
            </w:r>
          </w:p>
        </w:tc>
        <w:tc>
          <w:tcPr>
            <w:tcW w:w="152"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45183A1F"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Afati i realizimit</w:t>
            </w:r>
          </w:p>
        </w:tc>
        <w:tc>
          <w:tcPr>
            <w:tcW w:w="480" w:type="pct"/>
            <w:gridSpan w:val="3"/>
            <w:vMerge/>
            <w:tcBorders>
              <w:top w:val="nil"/>
              <w:left w:val="single" w:sz="4" w:space="0" w:color="auto"/>
              <w:bottom w:val="single" w:sz="8" w:space="0" w:color="000000"/>
              <w:right w:val="single" w:sz="4" w:space="0" w:color="auto"/>
            </w:tcBorders>
            <w:vAlign w:val="center"/>
            <w:hideMark/>
          </w:tcPr>
          <w:p w14:paraId="4D7A8C9B"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491" w:type="pct"/>
            <w:gridSpan w:val="3"/>
            <w:vMerge/>
            <w:tcBorders>
              <w:top w:val="nil"/>
              <w:left w:val="single" w:sz="4" w:space="0" w:color="auto"/>
              <w:bottom w:val="single" w:sz="8" w:space="0" w:color="000000"/>
              <w:right w:val="single" w:sz="4" w:space="0" w:color="auto"/>
            </w:tcBorders>
            <w:vAlign w:val="center"/>
            <w:hideMark/>
          </w:tcPr>
          <w:p w14:paraId="7170EBE0"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473" w:type="pct"/>
            <w:gridSpan w:val="3"/>
            <w:vMerge/>
            <w:tcBorders>
              <w:top w:val="nil"/>
              <w:left w:val="single" w:sz="4" w:space="0" w:color="auto"/>
              <w:bottom w:val="single" w:sz="8" w:space="0" w:color="000000"/>
              <w:right w:val="single" w:sz="4" w:space="0" w:color="auto"/>
            </w:tcBorders>
            <w:vAlign w:val="center"/>
            <w:hideMark/>
          </w:tcPr>
          <w:p w14:paraId="1415DADA"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493" w:type="pct"/>
            <w:gridSpan w:val="3"/>
            <w:vMerge/>
            <w:tcBorders>
              <w:top w:val="nil"/>
              <w:left w:val="single" w:sz="4" w:space="0" w:color="auto"/>
              <w:bottom w:val="single" w:sz="8" w:space="0" w:color="000000"/>
              <w:right w:val="single" w:sz="4" w:space="0" w:color="auto"/>
            </w:tcBorders>
            <w:vAlign w:val="center"/>
            <w:hideMark/>
          </w:tcPr>
          <w:p w14:paraId="25799505"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481" w:type="pct"/>
            <w:gridSpan w:val="3"/>
            <w:tcBorders>
              <w:top w:val="single" w:sz="4" w:space="0" w:color="auto"/>
              <w:left w:val="nil"/>
              <w:bottom w:val="single" w:sz="4" w:space="0" w:color="auto"/>
              <w:right w:val="single" w:sz="4" w:space="0" w:color="auto"/>
            </w:tcBorders>
            <w:shd w:val="clear" w:color="auto" w:fill="auto"/>
            <w:vAlign w:val="center"/>
            <w:hideMark/>
          </w:tcPr>
          <w:p w14:paraId="4456A0A8" w14:textId="0EC61B85"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PBA 2024</w:t>
            </w:r>
            <w:r w:rsidR="006A63AF" w:rsidRPr="00B457F5">
              <w:rPr>
                <w:rFonts w:ascii="Garamond" w:eastAsia="Times New Roman" w:hAnsi="Garamond" w:cs="Times New Roman"/>
                <w:b/>
                <w:bCs/>
                <w:color w:val="000000"/>
                <w:sz w:val="4"/>
                <w:szCs w:val="10"/>
              </w:rPr>
              <w:t>–</w:t>
            </w:r>
            <w:r w:rsidRPr="00B457F5">
              <w:rPr>
                <w:rFonts w:ascii="Garamond" w:eastAsia="Times New Roman" w:hAnsi="Garamond" w:cs="Times New Roman"/>
                <w:b/>
                <w:bCs/>
                <w:color w:val="000000"/>
                <w:sz w:val="4"/>
                <w:szCs w:val="10"/>
              </w:rPr>
              <w:t>2026 (në lekë)</w:t>
            </w:r>
          </w:p>
        </w:tc>
        <w:tc>
          <w:tcPr>
            <w:tcW w:w="698" w:type="pct"/>
            <w:gridSpan w:val="4"/>
            <w:tcBorders>
              <w:top w:val="single" w:sz="4" w:space="0" w:color="auto"/>
              <w:left w:val="nil"/>
              <w:bottom w:val="single" w:sz="4" w:space="0" w:color="auto"/>
              <w:right w:val="single" w:sz="4" w:space="0" w:color="auto"/>
            </w:tcBorders>
            <w:shd w:val="clear" w:color="auto" w:fill="auto"/>
            <w:vAlign w:val="center"/>
            <w:hideMark/>
          </w:tcPr>
          <w:p w14:paraId="4A5E1D94" w14:textId="47B4D951"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Financim i </w:t>
            </w:r>
            <w:r w:rsidR="006A63AF" w:rsidRPr="00B457F5">
              <w:rPr>
                <w:rFonts w:ascii="Garamond" w:eastAsia="Times New Roman" w:hAnsi="Garamond" w:cs="Times New Roman"/>
                <w:b/>
                <w:bCs/>
                <w:color w:val="000000"/>
                <w:sz w:val="4"/>
                <w:szCs w:val="10"/>
              </w:rPr>
              <w:t>h</w:t>
            </w:r>
            <w:r w:rsidRPr="00B457F5">
              <w:rPr>
                <w:rFonts w:ascii="Garamond" w:eastAsia="Times New Roman" w:hAnsi="Garamond" w:cs="Times New Roman"/>
                <w:b/>
                <w:bCs/>
                <w:color w:val="000000"/>
                <w:sz w:val="4"/>
                <w:szCs w:val="10"/>
              </w:rPr>
              <w:t>uaj</w:t>
            </w:r>
            <w:r w:rsidR="0006016F" w:rsidRPr="00B457F5">
              <w:rPr>
                <w:rFonts w:ascii="Garamond" w:eastAsia="Times New Roman" w:hAnsi="Garamond" w:cs="Times New Roman"/>
                <w:b/>
                <w:bCs/>
                <w:color w:val="000000"/>
                <w:sz w:val="4"/>
                <w:szCs w:val="10"/>
              </w:rPr>
              <w:t xml:space="preserve"> </w:t>
            </w:r>
            <w:r w:rsidRPr="00B457F5">
              <w:rPr>
                <w:rFonts w:ascii="Garamond" w:eastAsia="Times New Roman" w:hAnsi="Garamond" w:cs="Times New Roman"/>
                <w:b/>
                <w:bCs/>
                <w:color w:val="000000"/>
                <w:sz w:val="4"/>
                <w:szCs w:val="10"/>
              </w:rPr>
              <w:t>(në</w:t>
            </w:r>
            <w:r w:rsidR="0006016F" w:rsidRPr="00B457F5">
              <w:rPr>
                <w:rFonts w:ascii="Garamond" w:eastAsia="Times New Roman" w:hAnsi="Garamond" w:cs="Times New Roman"/>
                <w:b/>
                <w:bCs/>
                <w:color w:val="000000"/>
                <w:sz w:val="4"/>
                <w:szCs w:val="10"/>
              </w:rPr>
              <w:t xml:space="preserve"> </w:t>
            </w:r>
            <w:r w:rsidRPr="00B457F5">
              <w:rPr>
                <w:rFonts w:ascii="Garamond" w:eastAsia="Times New Roman" w:hAnsi="Garamond" w:cs="Times New Roman"/>
                <w:b/>
                <w:bCs/>
                <w:color w:val="000000"/>
                <w:sz w:val="4"/>
                <w:szCs w:val="10"/>
              </w:rPr>
              <w:t xml:space="preserve">lekë)/ose </w:t>
            </w:r>
            <w:r w:rsidR="006A63AF" w:rsidRPr="00B457F5">
              <w:rPr>
                <w:rFonts w:ascii="Garamond" w:eastAsia="Times New Roman" w:hAnsi="Garamond" w:cs="Times New Roman"/>
                <w:b/>
                <w:bCs/>
                <w:color w:val="000000"/>
                <w:sz w:val="4"/>
                <w:szCs w:val="10"/>
              </w:rPr>
              <w:t>jashtë</w:t>
            </w:r>
            <w:r w:rsidRPr="00B457F5">
              <w:rPr>
                <w:rFonts w:ascii="Garamond" w:eastAsia="Times New Roman" w:hAnsi="Garamond" w:cs="Times New Roman"/>
                <w:b/>
                <w:bCs/>
                <w:color w:val="000000"/>
                <w:sz w:val="4"/>
                <w:szCs w:val="10"/>
              </w:rPr>
              <w:t xml:space="preserve"> buxhetit</w:t>
            </w:r>
          </w:p>
        </w:tc>
        <w:tc>
          <w:tcPr>
            <w:tcW w:w="409" w:type="pct"/>
            <w:gridSpan w:val="3"/>
            <w:tcBorders>
              <w:top w:val="single" w:sz="4" w:space="0" w:color="auto"/>
              <w:left w:val="nil"/>
              <w:bottom w:val="single" w:sz="4" w:space="0" w:color="auto"/>
              <w:right w:val="single" w:sz="4" w:space="0" w:color="auto"/>
            </w:tcBorders>
            <w:shd w:val="clear" w:color="auto" w:fill="auto"/>
            <w:noWrap/>
            <w:vAlign w:val="center"/>
            <w:hideMark/>
          </w:tcPr>
          <w:p w14:paraId="17A19AB9" w14:textId="0F13CEFB"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Buxheti 2027</w:t>
            </w:r>
            <w:r w:rsidR="006A63AF" w:rsidRPr="00B457F5">
              <w:rPr>
                <w:rFonts w:ascii="Garamond" w:eastAsia="Times New Roman" w:hAnsi="Garamond" w:cs="Times New Roman"/>
                <w:b/>
                <w:bCs/>
                <w:color w:val="000000"/>
                <w:sz w:val="4"/>
                <w:szCs w:val="10"/>
              </w:rPr>
              <w:t>–</w:t>
            </w:r>
            <w:r w:rsidRPr="00B457F5">
              <w:rPr>
                <w:rFonts w:ascii="Garamond" w:eastAsia="Times New Roman" w:hAnsi="Garamond" w:cs="Times New Roman"/>
                <w:b/>
                <w:bCs/>
                <w:color w:val="000000"/>
                <w:sz w:val="4"/>
                <w:szCs w:val="10"/>
              </w:rPr>
              <w:t>2030 (në lekë)</w:t>
            </w:r>
          </w:p>
        </w:tc>
        <w:tc>
          <w:tcPr>
            <w:tcW w:w="177" w:type="pct"/>
            <w:vMerge/>
            <w:tcBorders>
              <w:top w:val="nil"/>
              <w:left w:val="single" w:sz="4" w:space="0" w:color="auto"/>
              <w:bottom w:val="single" w:sz="4" w:space="0" w:color="auto"/>
              <w:right w:val="single" w:sz="8" w:space="0" w:color="auto"/>
            </w:tcBorders>
            <w:vAlign w:val="center"/>
            <w:hideMark/>
          </w:tcPr>
          <w:p w14:paraId="2DB96A86"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r>
      <w:tr w:rsidR="00C260C3" w:rsidRPr="00B457F5" w14:paraId="63C712F9" w14:textId="77777777" w:rsidTr="00C260C3">
        <w:trPr>
          <w:trHeight w:val="20"/>
        </w:trPr>
        <w:tc>
          <w:tcPr>
            <w:tcW w:w="131" w:type="pct"/>
            <w:vMerge/>
            <w:tcBorders>
              <w:top w:val="nil"/>
              <w:left w:val="single" w:sz="8" w:space="0" w:color="auto"/>
              <w:bottom w:val="single" w:sz="8" w:space="0" w:color="000000"/>
              <w:right w:val="single" w:sz="4" w:space="0" w:color="auto"/>
            </w:tcBorders>
            <w:vAlign w:val="center"/>
            <w:hideMark/>
          </w:tcPr>
          <w:p w14:paraId="364D7200"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281" w:type="pct"/>
            <w:vMerge/>
            <w:tcBorders>
              <w:top w:val="nil"/>
              <w:left w:val="single" w:sz="4" w:space="0" w:color="auto"/>
              <w:bottom w:val="single" w:sz="8" w:space="0" w:color="000000"/>
              <w:right w:val="single" w:sz="4" w:space="0" w:color="auto"/>
            </w:tcBorders>
            <w:vAlign w:val="center"/>
            <w:hideMark/>
          </w:tcPr>
          <w:p w14:paraId="541B4D0E"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186" w:type="pct"/>
            <w:vMerge/>
            <w:tcBorders>
              <w:top w:val="nil"/>
              <w:left w:val="single" w:sz="4" w:space="0" w:color="auto"/>
              <w:bottom w:val="single" w:sz="8" w:space="0" w:color="000000"/>
              <w:right w:val="single" w:sz="4" w:space="0" w:color="auto"/>
            </w:tcBorders>
            <w:vAlign w:val="center"/>
            <w:hideMark/>
          </w:tcPr>
          <w:p w14:paraId="3667F0DF"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169" w:type="pct"/>
            <w:vMerge/>
            <w:tcBorders>
              <w:top w:val="nil"/>
              <w:left w:val="single" w:sz="4" w:space="0" w:color="auto"/>
              <w:bottom w:val="single" w:sz="8" w:space="0" w:color="000000"/>
              <w:right w:val="single" w:sz="4" w:space="0" w:color="auto"/>
            </w:tcBorders>
            <w:vAlign w:val="center"/>
            <w:hideMark/>
          </w:tcPr>
          <w:p w14:paraId="4C906C3C"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244" w:type="pct"/>
            <w:vMerge/>
            <w:tcBorders>
              <w:top w:val="nil"/>
              <w:left w:val="single" w:sz="4" w:space="0" w:color="auto"/>
              <w:bottom w:val="single" w:sz="8" w:space="0" w:color="000000"/>
              <w:right w:val="single" w:sz="4" w:space="0" w:color="auto"/>
            </w:tcBorders>
            <w:vAlign w:val="center"/>
            <w:hideMark/>
          </w:tcPr>
          <w:p w14:paraId="5B950FBD"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135" w:type="pct"/>
            <w:vMerge/>
            <w:tcBorders>
              <w:top w:val="nil"/>
              <w:left w:val="single" w:sz="4" w:space="0" w:color="auto"/>
              <w:bottom w:val="single" w:sz="8" w:space="0" w:color="000000"/>
              <w:right w:val="single" w:sz="4" w:space="0" w:color="auto"/>
            </w:tcBorders>
            <w:vAlign w:val="center"/>
            <w:hideMark/>
          </w:tcPr>
          <w:p w14:paraId="0089AC9E"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152" w:type="pct"/>
            <w:vMerge/>
            <w:tcBorders>
              <w:top w:val="nil"/>
              <w:left w:val="single" w:sz="4" w:space="0" w:color="auto"/>
              <w:bottom w:val="single" w:sz="8" w:space="0" w:color="000000"/>
              <w:right w:val="single" w:sz="4" w:space="0" w:color="auto"/>
            </w:tcBorders>
            <w:vAlign w:val="center"/>
            <w:hideMark/>
          </w:tcPr>
          <w:p w14:paraId="3CAFCC8A"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163" w:type="pct"/>
            <w:tcBorders>
              <w:top w:val="nil"/>
              <w:left w:val="nil"/>
              <w:bottom w:val="nil"/>
              <w:right w:val="single" w:sz="4" w:space="0" w:color="auto"/>
            </w:tcBorders>
            <w:shd w:val="clear" w:color="auto" w:fill="auto"/>
            <w:vAlign w:val="center"/>
            <w:hideMark/>
          </w:tcPr>
          <w:p w14:paraId="3F46AB3E"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5" w:type="pct"/>
            <w:tcBorders>
              <w:top w:val="nil"/>
              <w:left w:val="nil"/>
              <w:bottom w:val="nil"/>
              <w:right w:val="single" w:sz="4" w:space="0" w:color="auto"/>
            </w:tcBorders>
            <w:shd w:val="clear" w:color="auto" w:fill="auto"/>
            <w:vAlign w:val="center"/>
            <w:hideMark/>
          </w:tcPr>
          <w:p w14:paraId="1524380D"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2" w:type="pct"/>
            <w:tcBorders>
              <w:top w:val="nil"/>
              <w:left w:val="nil"/>
              <w:bottom w:val="nil"/>
              <w:right w:val="single" w:sz="4" w:space="0" w:color="auto"/>
            </w:tcBorders>
            <w:shd w:val="clear" w:color="auto" w:fill="auto"/>
            <w:vAlign w:val="center"/>
            <w:hideMark/>
          </w:tcPr>
          <w:p w14:paraId="29870BFD"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5" w:type="pct"/>
            <w:tcBorders>
              <w:top w:val="nil"/>
              <w:left w:val="nil"/>
              <w:bottom w:val="nil"/>
              <w:right w:val="single" w:sz="4" w:space="0" w:color="auto"/>
            </w:tcBorders>
            <w:shd w:val="clear" w:color="auto" w:fill="auto"/>
            <w:vAlign w:val="center"/>
            <w:hideMark/>
          </w:tcPr>
          <w:p w14:paraId="3CE3A467"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nil"/>
              <w:right w:val="single" w:sz="4" w:space="0" w:color="auto"/>
            </w:tcBorders>
            <w:shd w:val="clear" w:color="auto" w:fill="auto"/>
            <w:vAlign w:val="center"/>
            <w:hideMark/>
          </w:tcPr>
          <w:p w14:paraId="0426E5CE"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nil"/>
              <w:right w:val="single" w:sz="4" w:space="0" w:color="auto"/>
            </w:tcBorders>
            <w:shd w:val="clear" w:color="auto" w:fill="auto"/>
            <w:vAlign w:val="center"/>
            <w:hideMark/>
          </w:tcPr>
          <w:p w14:paraId="634AAFE7"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nil"/>
              <w:right w:val="single" w:sz="4" w:space="0" w:color="auto"/>
            </w:tcBorders>
            <w:shd w:val="clear" w:color="auto" w:fill="auto"/>
            <w:vAlign w:val="center"/>
            <w:hideMark/>
          </w:tcPr>
          <w:p w14:paraId="434B273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48" w:type="pct"/>
            <w:tcBorders>
              <w:top w:val="nil"/>
              <w:left w:val="nil"/>
              <w:bottom w:val="nil"/>
              <w:right w:val="single" w:sz="4" w:space="0" w:color="auto"/>
            </w:tcBorders>
            <w:shd w:val="clear" w:color="auto" w:fill="auto"/>
            <w:vAlign w:val="center"/>
            <w:hideMark/>
          </w:tcPr>
          <w:p w14:paraId="352CD50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nil"/>
              <w:left w:val="nil"/>
              <w:bottom w:val="nil"/>
              <w:right w:val="single" w:sz="4" w:space="0" w:color="auto"/>
            </w:tcBorders>
            <w:shd w:val="clear" w:color="auto" w:fill="auto"/>
            <w:vAlign w:val="center"/>
            <w:hideMark/>
          </w:tcPr>
          <w:p w14:paraId="13F467A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nil"/>
              <w:left w:val="nil"/>
              <w:bottom w:val="nil"/>
              <w:right w:val="single" w:sz="4" w:space="0" w:color="auto"/>
            </w:tcBorders>
            <w:shd w:val="clear" w:color="auto" w:fill="auto"/>
            <w:vAlign w:val="center"/>
            <w:hideMark/>
          </w:tcPr>
          <w:p w14:paraId="22390E7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nil"/>
              <w:right w:val="single" w:sz="4" w:space="0" w:color="auto"/>
            </w:tcBorders>
            <w:shd w:val="clear" w:color="auto" w:fill="auto"/>
            <w:vAlign w:val="center"/>
            <w:hideMark/>
          </w:tcPr>
          <w:p w14:paraId="01EBD54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nil"/>
              <w:left w:val="nil"/>
              <w:bottom w:val="nil"/>
              <w:right w:val="single" w:sz="4" w:space="0" w:color="auto"/>
            </w:tcBorders>
            <w:shd w:val="clear" w:color="auto" w:fill="auto"/>
            <w:vAlign w:val="center"/>
            <w:hideMark/>
          </w:tcPr>
          <w:p w14:paraId="4F62B30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nil"/>
              <w:right w:val="single" w:sz="4" w:space="0" w:color="auto"/>
            </w:tcBorders>
            <w:shd w:val="clear" w:color="auto" w:fill="auto"/>
            <w:vAlign w:val="center"/>
            <w:hideMark/>
          </w:tcPr>
          <w:p w14:paraId="187BEFE4"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5" w:type="pct"/>
            <w:tcBorders>
              <w:top w:val="nil"/>
              <w:left w:val="nil"/>
              <w:bottom w:val="nil"/>
              <w:right w:val="single" w:sz="4" w:space="0" w:color="auto"/>
            </w:tcBorders>
            <w:shd w:val="clear" w:color="auto" w:fill="auto"/>
            <w:vAlign w:val="center"/>
            <w:hideMark/>
          </w:tcPr>
          <w:p w14:paraId="65AEB31A"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nil"/>
              <w:right w:val="single" w:sz="4" w:space="0" w:color="auto"/>
            </w:tcBorders>
            <w:shd w:val="clear" w:color="auto" w:fill="auto"/>
            <w:vAlign w:val="center"/>
            <w:hideMark/>
          </w:tcPr>
          <w:p w14:paraId="7A19CBE7"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2" w:type="pct"/>
            <w:tcBorders>
              <w:top w:val="nil"/>
              <w:left w:val="nil"/>
              <w:bottom w:val="nil"/>
              <w:right w:val="single" w:sz="4" w:space="0" w:color="auto"/>
            </w:tcBorders>
            <w:shd w:val="clear" w:color="auto" w:fill="auto"/>
            <w:vAlign w:val="center"/>
            <w:hideMark/>
          </w:tcPr>
          <w:p w14:paraId="4AB0467E"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5" w:type="pct"/>
            <w:tcBorders>
              <w:top w:val="nil"/>
              <w:left w:val="nil"/>
              <w:bottom w:val="nil"/>
              <w:right w:val="single" w:sz="4" w:space="0" w:color="auto"/>
            </w:tcBorders>
            <w:shd w:val="clear" w:color="auto" w:fill="auto"/>
            <w:noWrap/>
            <w:vAlign w:val="center"/>
            <w:hideMark/>
          </w:tcPr>
          <w:p w14:paraId="678D2710"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18" w:type="pct"/>
            <w:tcBorders>
              <w:top w:val="nil"/>
              <w:left w:val="nil"/>
              <w:bottom w:val="nil"/>
              <w:right w:val="single" w:sz="4" w:space="0" w:color="auto"/>
            </w:tcBorders>
            <w:shd w:val="clear" w:color="auto" w:fill="auto"/>
            <w:noWrap/>
            <w:vAlign w:val="center"/>
            <w:hideMark/>
          </w:tcPr>
          <w:p w14:paraId="2D20821B"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nil"/>
              <w:right w:val="single" w:sz="4" w:space="0" w:color="auto"/>
            </w:tcBorders>
            <w:shd w:val="clear" w:color="auto" w:fill="auto"/>
            <w:noWrap/>
            <w:vAlign w:val="center"/>
            <w:hideMark/>
          </w:tcPr>
          <w:p w14:paraId="532C11DC"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39" w:type="pct"/>
            <w:tcBorders>
              <w:top w:val="nil"/>
              <w:left w:val="nil"/>
              <w:bottom w:val="nil"/>
              <w:right w:val="single" w:sz="4" w:space="0" w:color="auto"/>
            </w:tcBorders>
            <w:shd w:val="clear" w:color="auto" w:fill="auto"/>
            <w:noWrap/>
            <w:vAlign w:val="center"/>
            <w:hideMark/>
          </w:tcPr>
          <w:p w14:paraId="5CB60CC5"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42" w:type="pct"/>
            <w:tcBorders>
              <w:top w:val="nil"/>
              <w:left w:val="nil"/>
              <w:bottom w:val="nil"/>
              <w:right w:val="single" w:sz="4" w:space="0" w:color="auto"/>
            </w:tcBorders>
            <w:shd w:val="clear" w:color="auto" w:fill="auto"/>
            <w:noWrap/>
            <w:vAlign w:val="center"/>
            <w:hideMark/>
          </w:tcPr>
          <w:p w14:paraId="4F14D854"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28" w:type="pct"/>
            <w:tcBorders>
              <w:top w:val="nil"/>
              <w:left w:val="nil"/>
              <w:bottom w:val="nil"/>
              <w:right w:val="single" w:sz="4" w:space="0" w:color="auto"/>
            </w:tcBorders>
            <w:shd w:val="clear" w:color="auto" w:fill="auto"/>
            <w:noWrap/>
            <w:vAlign w:val="center"/>
            <w:hideMark/>
          </w:tcPr>
          <w:p w14:paraId="6DBBE488"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77" w:type="pct"/>
            <w:tcBorders>
              <w:top w:val="nil"/>
              <w:left w:val="nil"/>
              <w:bottom w:val="nil"/>
              <w:right w:val="single" w:sz="8" w:space="0" w:color="auto"/>
            </w:tcBorders>
            <w:shd w:val="clear" w:color="auto" w:fill="auto"/>
            <w:vAlign w:val="center"/>
            <w:hideMark/>
          </w:tcPr>
          <w:p w14:paraId="5C3B2353"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r>
      <w:tr w:rsidR="00C260C3" w:rsidRPr="00B457F5" w14:paraId="3A0E0403" w14:textId="77777777" w:rsidTr="00C260C3">
        <w:trPr>
          <w:trHeight w:val="20"/>
        </w:trPr>
        <w:tc>
          <w:tcPr>
            <w:tcW w:w="131" w:type="pct"/>
            <w:vMerge/>
            <w:tcBorders>
              <w:top w:val="nil"/>
              <w:left w:val="single" w:sz="8" w:space="0" w:color="auto"/>
              <w:bottom w:val="single" w:sz="8" w:space="0" w:color="000000"/>
              <w:right w:val="single" w:sz="4" w:space="0" w:color="auto"/>
            </w:tcBorders>
            <w:vAlign w:val="center"/>
            <w:hideMark/>
          </w:tcPr>
          <w:p w14:paraId="672FC2E8"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281" w:type="pct"/>
            <w:vMerge/>
            <w:tcBorders>
              <w:top w:val="nil"/>
              <w:left w:val="single" w:sz="4" w:space="0" w:color="auto"/>
              <w:bottom w:val="single" w:sz="8" w:space="0" w:color="000000"/>
              <w:right w:val="single" w:sz="4" w:space="0" w:color="auto"/>
            </w:tcBorders>
            <w:vAlign w:val="center"/>
            <w:hideMark/>
          </w:tcPr>
          <w:p w14:paraId="2E552010"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186" w:type="pct"/>
            <w:vMerge/>
            <w:tcBorders>
              <w:top w:val="nil"/>
              <w:left w:val="single" w:sz="4" w:space="0" w:color="auto"/>
              <w:bottom w:val="single" w:sz="8" w:space="0" w:color="000000"/>
              <w:right w:val="single" w:sz="4" w:space="0" w:color="auto"/>
            </w:tcBorders>
            <w:vAlign w:val="center"/>
            <w:hideMark/>
          </w:tcPr>
          <w:p w14:paraId="12BBE13A"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169" w:type="pct"/>
            <w:vMerge/>
            <w:tcBorders>
              <w:top w:val="nil"/>
              <w:left w:val="single" w:sz="4" w:space="0" w:color="auto"/>
              <w:bottom w:val="single" w:sz="8" w:space="0" w:color="000000"/>
              <w:right w:val="single" w:sz="4" w:space="0" w:color="auto"/>
            </w:tcBorders>
            <w:vAlign w:val="center"/>
            <w:hideMark/>
          </w:tcPr>
          <w:p w14:paraId="4CBC38A0"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244" w:type="pct"/>
            <w:vMerge/>
            <w:tcBorders>
              <w:top w:val="nil"/>
              <w:left w:val="single" w:sz="4" w:space="0" w:color="auto"/>
              <w:bottom w:val="single" w:sz="8" w:space="0" w:color="000000"/>
              <w:right w:val="single" w:sz="4" w:space="0" w:color="auto"/>
            </w:tcBorders>
            <w:vAlign w:val="center"/>
            <w:hideMark/>
          </w:tcPr>
          <w:p w14:paraId="6BD521B2"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135" w:type="pct"/>
            <w:vMerge/>
            <w:tcBorders>
              <w:top w:val="nil"/>
              <w:left w:val="single" w:sz="4" w:space="0" w:color="auto"/>
              <w:bottom w:val="single" w:sz="8" w:space="0" w:color="000000"/>
              <w:right w:val="single" w:sz="4" w:space="0" w:color="auto"/>
            </w:tcBorders>
            <w:vAlign w:val="center"/>
            <w:hideMark/>
          </w:tcPr>
          <w:p w14:paraId="6A7AA61E"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152" w:type="pct"/>
            <w:vMerge/>
            <w:tcBorders>
              <w:top w:val="nil"/>
              <w:left w:val="single" w:sz="4" w:space="0" w:color="auto"/>
              <w:bottom w:val="single" w:sz="8" w:space="0" w:color="000000"/>
              <w:right w:val="single" w:sz="4" w:space="0" w:color="auto"/>
            </w:tcBorders>
            <w:vAlign w:val="center"/>
            <w:hideMark/>
          </w:tcPr>
          <w:p w14:paraId="7E43C1DC"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163" w:type="pct"/>
            <w:tcBorders>
              <w:top w:val="single" w:sz="4" w:space="0" w:color="auto"/>
              <w:left w:val="nil"/>
              <w:bottom w:val="single" w:sz="8" w:space="0" w:color="auto"/>
              <w:right w:val="single" w:sz="4" w:space="0" w:color="auto"/>
            </w:tcBorders>
            <w:shd w:val="clear" w:color="auto" w:fill="auto"/>
            <w:vAlign w:val="center"/>
            <w:hideMark/>
          </w:tcPr>
          <w:p w14:paraId="08710385" w14:textId="632F1A0F"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Kor</w:t>
            </w:r>
            <w:r w:rsidR="006A63AF" w:rsidRPr="00B457F5">
              <w:rPr>
                <w:rFonts w:ascii="Garamond" w:eastAsia="Times New Roman" w:hAnsi="Garamond" w:cs="Times New Roman"/>
                <w:b/>
                <w:bCs/>
                <w:color w:val="000000"/>
                <w:sz w:val="4"/>
                <w:szCs w:val="10"/>
              </w:rPr>
              <w:t>r</w:t>
            </w:r>
            <w:r w:rsidRPr="00B457F5">
              <w:rPr>
                <w:rFonts w:ascii="Garamond" w:eastAsia="Times New Roman" w:hAnsi="Garamond" w:cs="Times New Roman"/>
                <w:b/>
                <w:bCs/>
                <w:color w:val="000000"/>
                <w:sz w:val="4"/>
                <w:szCs w:val="10"/>
              </w:rPr>
              <w:t>ente</w:t>
            </w:r>
          </w:p>
        </w:tc>
        <w:tc>
          <w:tcPr>
            <w:tcW w:w="155" w:type="pct"/>
            <w:tcBorders>
              <w:top w:val="single" w:sz="4" w:space="0" w:color="auto"/>
              <w:left w:val="nil"/>
              <w:bottom w:val="single" w:sz="8" w:space="0" w:color="auto"/>
              <w:right w:val="single" w:sz="4" w:space="0" w:color="auto"/>
            </w:tcBorders>
            <w:shd w:val="clear" w:color="auto" w:fill="auto"/>
            <w:vAlign w:val="center"/>
            <w:hideMark/>
          </w:tcPr>
          <w:p w14:paraId="72A0BCB0"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Kapitale</w:t>
            </w:r>
          </w:p>
        </w:tc>
        <w:tc>
          <w:tcPr>
            <w:tcW w:w="162" w:type="pct"/>
            <w:tcBorders>
              <w:top w:val="single" w:sz="4" w:space="0" w:color="auto"/>
              <w:left w:val="nil"/>
              <w:bottom w:val="single" w:sz="8" w:space="0" w:color="auto"/>
              <w:right w:val="single" w:sz="4" w:space="0" w:color="auto"/>
            </w:tcBorders>
            <w:shd w:val="clear" w:color="auto" w:fill="auto"/>
            <w:vAlign w:val="center"/>
            <w:hideMark/>
          </w:tcPr>
          <w:p w14:paraId="1B738EB2" w14:textId="338BE919"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 Kosto</w:t>
            </w:r>
            <w:r w:rsidR="006A63AF" w:rsidRPr="00B457F5">
              <w:rPr>
                <w:rFonts w:ascii="Garamond" w:eastAsia="Times New Roman" w:hAnsi="Garamond" w:cs="Times New Roman"/>
                <w:b/>
                <w:bCs/>
                <w:color w:val="000000"/>
                <w:sz w:val="4"/>
                <w:szCs w:val="10"/>
              </w:rPr>
              <w:t>ja</w:t>
            </w:r>
            <w:r w:rsidRPr="00B457F5">
              <w:rPr>
                <w:rFonts w:ascii="Garamond" w:eastAsia="Times New Roman" w:hAnsi="Garamond" w:cs="Times New Roman"/>
                <w:b/>
                <w:bCs/>
                <w:color w:val="000000"/>
                <w:sz w:val="4"/>
                <w:szCs w:val="10"/>
              </w:rPr>
              <w:t xml:space="preserve"> </w:t>
            </w:r>
            <w:r w:rsidR="006A63AF" w:rsidRPr="00B457F5">
              <w:rPr>
                <w:rFonts w:ascii="Garamond" w:eastAsia="Times New Roman" w:hAnsi="Garamond" w:cs="Times New Roman"/>
                <w:b/>
                <w:bCs/>
                <w:color w:val="000000"/>
                <w:sz w:val="4"/>
                <w:szCs w:val="10"/>
              </w:rPr>
              <w:t>t</w:t>
            </w:r>
            <w:r w:rsidRPr="00B457F5">
              <w:rPr>
                <w:rFonts w:ascii="Garamond" w:eastAsia="Times New Roman" w:hAnsi="Garamond" w:cs="Times New Roman"/>
                <w:b/>
                <w:bCs/>
                <w:color w:val="000000"/>
                <w:sz w:val="4"/>
                <w:szCs w:val="10"/>
              </w:rPr>
              <w:t>otal</w:t>
            </w:r>
            <w:r w:rsidR="006A63AF" w:rsidRPr="00B457F5">
              <w:rPr>
                <w:rFonts w:ascii="Garamond" w:eastAsia="Times New Roman" w:hAnsi="Garamond" w:cs="Times New Roman"/>
                <w:b/>
                <w:bCs/>
                <w:color w:val="000000"/>
                <w:sz w:val="4"/>
                <w:szCs w:val="10"/>
              </w:rPr>
              <w:t>e</w:t>
            </w:r>
          </w:p>
        </w:tc>
        <w:tc>
          <w:tcPr>
            <w:tcW w:w="165" w:type="pct"/>
            <w:tcBorders>
              <w:top w:val="single" w:sz="4" w:space="0" w:color="auto"/>
              <w:left w:val="nil"/>
              <w:bottom w:val="single" w:sz="8" w:space="0" w:color="auto"/>
              <w:right w:val="single" w:sz="4" w:space="0" w:color="auto"/>
            </w:tcBorders>
            <w:shd w:val="clear" w:color="auto" w:fill="auto"/>
            <w:vAlign w:val="center"/>
            <w:hideMark/>
          </w:tcPr>
          <w:p w14:paraId="3B3605BA" w14:textId="197A3A41"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Kor</w:t>
            </w:r>
            <w:r w:rsidR="006A63AF" w:rsidRPr="00B457F5">
              <w:rPr>
                <w:rFonts w:ascii="Garamond" w:eastAsia="Times New Roman" w:hAnsi="Garamond" w:cs="Times New Roman"/>
                <w:b/>
                <w:bCs/>
                <w:color w:val="000000"/>
                <w:sz w:val="4"/>
                <w:szCs w:val="10"/>
              </w:rPr>
              <w:t>r</w:t>
            </w:r>
            <w:r w:rsidRPr="00B457F5">
              <w:rPr>
                <w:rFonts w:ascii="Garamond" w:eastAsia="Times New Roman" w:hAnsi="Garamond" w:cs="Times New Roman"/>
                <w:b/>
                <w:bCs/>
                <w:color w:val="000000"/>
                <w:sz w:val="4"/>
                <w:szCs w:val="10"/>
              </w:rPr>
              <w:t>ente</w:t>
            </w:r>
          </w:p>
        </w:tc>
        <w:tc>
          <w:tcPr>
            <w:tcW w:w="163" w:type="pct"/>
            <w:tcBorders>
              <w:top w:val="single" w:sz="4" w:space="0" w:color="auto"/>
              <w:left w:val="nil"/>
              <w:bottom w:val="single" w:sz="8" w:space="0" w:color="auto"/>
              <w:right w:val="single" w:sz="4" w:space="0" w:color="auto"/>
            </w:tcBorders>
            <w:shd w:val="clear" w:color="auto" w:fill="auto"/>
            <w:vAlign w:val="center"/>
            <w:hideMark/>
          </w:tcPr>
          <w:p w14:paraId="228679DA"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Kapitale</w:t>
            </w:r>
          </w:p>
        </w:tc>
        <w:tc>
          <w:tcPr>
            <w:tcW w:w="163" w:type="pct"/>
            <w:tcBorders>
              <w:top w:val="single" w:sz="4" w:space="0" w:color="auto"/>
              <w:left w:val="nil"/>
              <w:bottom w:val="single" w:sz="8" w:space="0" w:color="auto"/>
              <w:right w:val="single" w:sz="4" w:space="0" w:color="auto"/>
            </w:tcBorders>
            <w:shd w:val="clear" w:color="auto" w:fill="auto"/>
            <w:vAlign w:val="center"/>
            <w:hideMark/>
          </w:tcPr>
          <w:p w14:paraId="1BFD6C66" w14:textId="4A20228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Total </w:t>
            </w:r>
            <w:r w:rsidR="006A63AF" w:rsidRPr="00B457F5">
              <w:rPr>
                <w:rFonts w:ascii="Garamond" w:eastAsia="Times New Roman" w:hAnsi="Garamond" w:cs="Times New Roman"/>
                <w:b/>
                <w:bCs/>
                <w:color w:val="000000"/>
                <w:sz w:val="4"/>
                <w:szCs w:val="10"/>
              </w:rPr>
              <w:t>k</w:t>
            </w:r>
            <w:r w:rsidRPr="00B457F5">
              <w:rPr>
                <w:rFonts w:ascii="Garamond" w:eastAsia="Times New Roman" w:hAnsi="Garamond" w:cs="Times New Roman"/>
                <w:b/>
                <w:bCs/>
                <w:color w:val="000000"/>
                <w:sz w:val="4"/>
                <w:szCs w:val="10"/>
              </w:rPr>
              <w:t>osto</w:t>
            </w:r>
          </w:p>
        </w:tc>
        <w:tc>
          <w:tcPr>
            <w:tcW w:w="163" w:type="pct"/>
            <w:tcBorders>
              <w:top w:val="single" w:sz="4" w:space="0" w:color="auto"/>
              <w:left w:val="nil"/>
              <w:bottom w:val="single" w:sz="8" w:space="0" w:color="auto"/>
              <w:right w:val="single" w:sz="4" w:space="0" w:color="auto"/>
            </w:tcBorders>
            <w:shd w:val="clear" w:color="auto" w:fill="auto"/>
            <w:vAlign w:val="center"/>
            <w:hideMark/>
          </w:tcPr>
          <w:p w14:paraId="6434547A" w14:textId="4DD97746"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w:t>
            </w:r>
            <w:r w:rsidR="006A63AF" w:rsidRPr="00B457F5">
              <w:rPr>
                <w:rFonts w:ascii="Garamond" w:eastAsia="Times New Roman" w:hAnsi="Garamond" w:cs="Times New Roman"/>
                <w:b/>
                <w:bCs/>
                <w:color w:val="000000"/>
                <w:sz w:val="4"/>
                <w:szCs w:val="10"/>
              </w:rPr>
              <w:t>r</w:t>
            </w:r>
            <w:r w:rsidRPr="00B457F5">
              <w:rPr>
                <w:rFonts w:ascii="Garamond" w:eastAsia="Times New Roman" w:hAnsi="Garamond" w:cs="Times New Roman"/>
                <w:b/>
                <w:bCs/>
                <w:color w:val="000000"/>
                <w:sz w:val="4"/>
                <w:szCs w:val="10"/>
              </w:rPr>
              <w:t>rente</w:t>
            </w:r>
          </w:p>
        </w:tc>
        <w:tc>
          <w:tcPr>
            <w:tcW w:w="148" w:type="pct"/>
            <w:tcBorders>
              <w:top w:val="single" w:sz="4" w:space="0" w:color="auto"/>
              <w:left w:val="nil"/>
              <w:bottom w:val="single" w:sz="8" w:space="0" w:color="auto"/>
              <w:right w:val="single" w:sz="4" w:space="0" w:color="auto"/>
            </w:tcBorders>
            <w:shd w:val="clear" w:color="auto" w:fill="auto"/>
            <w:vAlign w:val="center"/>
            <w:hideMark/>
          </w:tcPr>
          <w:p w14:paraId="4699BAD7"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Kapitale</w:t>
            </w:r>
          </w:p>
        </w:tc>
        <w:tc>
          <w:tcPr>
            <w:tcW w:w="162" w:type="pct"/>
            <w:tcBorders>
              <w:top w:val="single" w:sz="4" w:space="0" w:color="auto"/>
              <w:left w:val="nil"/>
              <w:bottom w:val="single" w:sz="8" w:space="0" w:color="auto"/>
              <w:right w:val="single" w:sz="4" w:space="0" w:color="auto"/>
            </w:tcBorders>
            <w:shd w:val="clear" w:color="auto" w:fill="auto"/>
            <w:vAlign w:val="center"/>
            <w:hideMark/>
          </w:tcPr>
          <w:p w14:paraId="12A1A0E0" w14:textId="06AEEB8F"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Total </w:t>
            </w:r>
            <w:r w:rsidR="006A63AF" w:rsidRPr="00B457F5">
              <w:rPr>
                <w:rFonts w:ascii="Garamond" w:eastAsia="Times New Roman" w:hAnsi="Garamond" w:cs="Times New Roman"/>
                <w:b/>
                <w:bCs/>
                <w:color w:val="000000"/>
                <w:sz w:val="4"/>
                <w:szCs w:val="10"/>
              </w:rPr>
              <w:t>k</w:t>
            </w:r>
            <w:r w:rsidRPr="00B457F5">
              <w:rPr>
                <w:rFonts w:ascii="Garamond" w:eastAsia="Times New Roman" w:hAnsi="Garamond" w:cs="Times New Roman"/>
                <w:b/>
                <w:bCs/>
                <w:color w:val="000000"/>
                <w:sz w:val="4"/>
                <w:szCs w:val="10"/>
              </w:rPr>
              <w:t>osto</w:t>
            </w:r>
          </w:p>
        </w:tc>
        <w:tc>
          <w:tcPr>
            <w:tcW w:w="165" w:type="pct"/>
            <w:tcBorders>
              <w:top w:val="single" w:sz="4" w:space="0" w:color="auto"/>
              <w:left w:val="nil"/>
              <w:bottom w:val="single" w:sz="8" w:space="0" w:color="auto"/>
              <w:right w:val="single" w:sz="4" w:space="0" w:color="auto"/>
            </w:tcBorders>
            <w:shd w:val="clear" w:color="auto" w:fill="auto"/>
            <w:vAlign w:val="center"/>
            <w:hideMark/>
          </w:tcPr>
          <w:p w14:paraId="5DA571E3" w14:textId="7F8F9135"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Kor</w:t>
            </w:r>
            <w:r w:rsidR="006A63AF" w:rsidRPr="00B457F5">
              <w:rPr>
                <w:rFonts w:ascii="Garamond" w:eastAsia="Times New Roman" w:hAnsi="Garamond" w:cs="Times New Roman"/>
                <w:b/>
                <w:bCs/>
                <w:color w:val="000000"/>
                <w:sz w:val="4"/>
                <w:szCs w:val="10"/>
              </w:rPr>
              <w:t>r</w:t>
            </w:r>
            <w:r w:rsidRPr="00B457F5">
              <w:rPr>
                <w:rFonts w:ascii="Garamond" w:eastAsia="Times New Roman" w:hAnsi="Garamond" w:cs="Times New Roman"/>
                <w:b/>
                <w:bCs/>
                <w:color w:val="000000"/>
                <w:sz w:val="4"/>
                <w:szCs w:val="10"/>
              </w:rPr>
              <w:t>ente</w:t>
            </w:r>
          </w:p>
        </w:tc>
        <w:tc>
          <w:tcPr>
            <w:tcW w:w="163" w:type="pct"/>
            <w:tcBorders>
              <w:top w:val="single" w:sz="4" w:space="0" w:color="auto"/>
              <w:left w:val="nil"/>
              <w:bottom w:val="single" w:sz="8" w:space="0" w:color="auto"/>
              <w:right w:val="single" w:sz="4" w:space="0" w:color="auto"/>
            </w:tcBorders>
            <w:shd w:val="clear" w:color="auto" w:fill="auto"/>
            <w:vAlign w:val="center"/>
            <w:hideMark/>
          </w:tcPr>
          <w:p w14:paraId="2F0EFA5E"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Kapitale</w:t>
            </w:r>
          </w:p>
        </w:tc>
        <w:tc>
          <w:tcPr>
            <w:tcW w:w="165" w:type="pct"/>
            <w:tcBorders>
              <w:top w:val="single" w:sz="4" w:space="0" w:color="auto"/>
              <w:left w:val="nil"/>
              <w:bottom w:val="single" w:sz="8" w:space="0" w:color="auto"/>
              <w:right w:val="single" w:sz="4" w:space="0" w:color="auto"/>
            </w:tcBorders>
            <w:shd w:val="clear" w:color="auto" w:fill="auto"/>
            <w:vAlign w:val="center"/>
            <w:hideMark/>
          </w:tcPr>
          <w:p w14:paraId="6CA7A703" w14:textId="618D9649"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Total </w:t>
            </w:r>
            <w:r w:rsidR="006A63AF" w:rsidRPr="00B457F5">
              <w:rPr>
                <w:rFonts w:ascii="Garamond" w:eastAsia="Times New Roman" w:hAnsi="Garamond" w:cs="Times New Roman"/>
                <w:b/>
                <w:bCs/>
                <w:color w:val="000000"/>
                <w:sz w:val="4"/>
                <w:szCs w:val="10"/>
              </w:rPr>
              <w:t>k</w:t>
            </w:r>
            <w:r w:rsidRPr="00B457F5">
              <w:rPr>
                <w:rFonts w:ascii="Garamond" w:eastAsia="Times New Roman" w:hAnsi="Garamond" w:cs="Times New Roman"/>
                <w:b/>
                <w:bCs/>
                <w:color w:val="000000"/>
                <w:sz w:val="4"/>
                <w:szCs w:val="10"/>
              </w:rPr>
              <w:t>osto</w:t>
            </w:r>
          </w:p>
        </w:tc>
        <w:tc>
          <w:tcPr>
            <w:tcW w:w="163" w:type="pct"/>
            <w:tcBorders>
              <w:top w:val="single" w:sz="4" w:space="0" w:color="auto"/>
              <w:left w:val="nil"/>
              <w:bottom w:val="single" w:sz="8" w:space="0" w:color="auto"/>
              <w:right w:val="single" w:sz="4" w:space="0" w:color="auto"/>
            </w:tcBorders>
            <w:shd w:val="clear" w:color="auto" w:fill="auto"/>
            <w:vAlign w:val="center"/>
            <w:hideMark/>
          </w:tcPr>
          <w:p w14:paraId="76BF0723" w14:textId="41C28A4D"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Kor</w:t>
            </w:r>
            <w:r w:rsidR="006A63AF" w:rsidRPr="00B457F5">
              <w:rPr>
                <w:rFonts w:ascii="Garamond" w:eastAsia="Times New Roman" w:hAnsi="Garamond" w:cs="Times New Roman"/>
                <w:b/>
                <w:bCs/>
                <w:color w:val="000000"/>
                <w:sz w:val="4"/>
                <w:szCs w:val="10"/>
              </w:rPr>
              <w:t>r</w:t>
            </w:r>
            <w:r w:rsidRPr="00B457F5">
              <w:rPr>
                <w:rFonts w:ascii="Garamond" w:eastAsia="Times New Roman" w:hAnsi="Garamond" w:cs="Times New Roman"/>
                <w:b/>
                <w:bCs/>
                <w:color w:val="000000"/>
                <w:sz w:val="4"/>
                <w:szCs w:val="10"/>
              </w:rPr>
              <w:t>ente</w:t>
            </w:r>
          </w:p>
        </w:tc>
        <w:tc>
          <w:tcPr>
            <w:tcW w:w="155" w:type="pct"/>
            <w:tcBorders>
              <w:top w:val="single" w:sz="4" w:space="0" w:color="auto"/>
              <w:left w:val="nil"/>
              <w:bottom w:val="single" w:sz="8" w:space="0" w:color="auto"/>
              <w:right w:val="single" w:sz="4" w:space="0" w:color="auto"/>
            </w:tcBorders>
            <w:shd w:val="clear" w:color="auto" w:fill="auto"/>
            <w:vAlign w:val="center"/>
            <w:hideMark/>
          </w:tcPr>
          <w:p w14:paraId="1981BD08"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Kapitale</w:t>
            </w:r>
          </w:p>
        </w:tc>
        <w:tc>
          <w:tcPr>
            <w:tcW w:w="163" w:type="pct"/>
            <w:tcBorders>
              <w:top w:val="single" w:sz="4" w:space="0" w:color="auto"/>
              <w:left w:val="nil"/>
              <w:bottom w:val="single" w:sz="8" w:space="0" w:color="auto"/>
              <w:right w:val="single" w:sz="4" w:space="0" w:color="auto"/>
            </w:tcBorders>
            <w:shd w:val="clear" w:color="auto" w:fill="auto"/>
            <w:vAlign w:val="center"/>
            <w:hideMark/>
          </w:tcPr>
          <w:p w14:paraId="213DA45D"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Totali BSH</w:t>
            </w:r>
          </w:p>
        </w:tc>
        <w:tc>
          <w:tcPr>
            <w:tcW w:w="162" w:type="pct"/>
            <w:tcBorders>
              <w:top w:val="single" w:sz="4" w:space="0" w:color="auto"/>
              <w:left w:val="nil"/>
              <w:bottom w:val="single" w:sz="8" w:space="0" w:color="auto"/>
              <w:right w:val="single" w:sz="4" w:space="0" w:color="auto"/>
            </w:tcBorders>
            <w:shd w:val="clear" w:color="auto" w:fill="auto"/>
            <w:vAlign w:val="center"/>
            <w:hideMark/>
          </w:tcPr>
          <w:p w14:paraId="54D75010" w14:textId="60D72AFD"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Kor</w:t>
            </w:r>
            <w:r w:rsidR="006A63AF" w:rsidRPr="00B457F5">
              <w:rPr>
                <w:rFonts w:ascii="Garamond" w:eastAsia="Times New Roman" w:hAnsi="Garamond" w:cs="Times New Roman"/>
                <w:b/>
                <w:bCs/>
                <w:color w:val="000000"/>
                <w:sz w:val="4"/>
                <w:szCs w:val="10"/>
              </w:rPr>
              <w:t>r</w:t>
            </w:r>
            <w:r w:rsidRPr="00B457F5">
              <w:rPr>
                <w:rFonts w:ascii="Garamond" w:eastAsia="Times New Roman" w:hAnsi="Garamond" w:cs="Times New Roman"/>
                <w:b/>
                <w:bCs/>
                <w:color w:val="000000"/>
                <w:sz w:val="4"/>
                <w:szCs w:val="10"/>
              </w:rPr>
              <w:t>ente</w:t>
            </w:r>
          </w:p>
        </w:tc>
        <w:tc>
          <w:tcPr>
            <w:tcW w:w="155" w:type="pct"/>
            <w:tcBorders>
              <w:top w:val="single" w:sz="4" w:space="0" w:color="auto"/>
              <w:left w:val="nil"/>
              <w:bottom w:val="single" w:sz="8" w:space="0" w:color="auto"/>
              <w:right w:val="single" w:sz="4" w:space="0" w:color="auto"/>
            </w:tcBorders>
            <w:shd w:val="clear" w:color="auto" w:fill="auto"/>
            <w:vAlign w:val="center"/>
            <w:hideMark/>
          </w:tcPr>
          <w:p w14:paraId="63274C34"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Kapitale</w:t>
            </w:r>
          </w:p>
        </w:tc>
        <w:tc>
          <w:tcPr>
            <w:tcW w:w="218" w:type="pct"/>
            <w:tcBorders>
              <w:top w:val="single" w:sz="4" w:space="0" w:color="auto"/>
              <w:left w:val="nil"/>
              <w:bottom w:val="single" w:sz="8" w:space="0" w:color="auto"/>
              <w:right w:val="single" w:sz="4" w:space="0" w:color="auto"/>
            </w:tcBorders>
            <w:shd w:val="clear" w:color="auto" w:fill="auto"/>
            <w:vAlign w:val="center"/>
            <w:hideMark/>
          </w:tcPr>
          <w:p w14:paraId="75A35149" w14:textId="7243BB16"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Emri </w:t>
            </w:r>
            <w:r w:rsidR="001743B4" w:rsidRPr="00B457F5">
              <w:rPr>
                <w:rFonts w:ascii="Garamond" w:eastAsia="Times New Roman" w:hAnsi="Garamond" w:cs="Times New Roman"/>
                <w:b/>
                <w:bCs/>
                <w:color w:val="000000"/>
                <w:sz w:val="4"/>
                <w:szCs w:val="10"/>
              </w:rPr>
              <w:t xml:space="preserve">i </w:t>
            </w:r>
            <w:r w:rsidRPr="00B457F5">
              <w:rPr>
                <w:rFonts w:ascii="Garamond" w:eastAsia="Times New Roman" w:hAnsi="Garamond" w:cs="Times New Roman"/>
                <w:b/>
                <w:bCs/>
                <w:color w:val="000000"/>
                <w:sz w:val="4"/>
                <w:szCs w:val="10"/>
              </w:rPr>
              <w:t>donatorit/</w:t>
            </w:r>
            <w:r w:rsidR="006A63AF" w:rsidRPr="00B457F5">
              <w:rPr>
                <w:rFonts w:ascii="Garamond" w:eastAsia="Times New Roman" w:hAnsi="Garamond" w:cs="Times New Roman"/>
                <w:b/>
                <w:bCs/>
                <w:color w:val="000000"/>
                <w:sz w:val="4"/>
                <w:szCs w:val="10"/>
              </w:rPr>
              <w:t>t</w:t>
            </w:r>
            <w:r w:rsidRPr="00B457F5">
              <w:rPr>
                <w:rFonts w:ascii="Garamond" w:eastAsia="Times New Roman" w:hAnsi="Garamond" w:cs="Times New Roman"/>
                <w:b/>
                <w:bCs/>
                <w:color w:val="000000"/>
                <w:sz w:val="4"/>
                <w:szCs w:val="10"/>
              </w:rPr>
              <w:t xml:space="preserve">itulli </w:t>
            </w:r>
            <w:r w:rsidR="001743B4" w:rsidRPr="00B457F5">
              <w:rPr>
                <w:rFonts w:ascii="Garamond" w:eastAsia="Times New Roman" w:hAnsi="Garamond" w:cs="Times New Roman"/>
                <w:b/>
                <w:bCs/>
                <w:color w:val="000000"/>
                <w:sz w:val="4"/>
                <w:szCs w:val="10"/>
              </w:rPr>
              <w:t>i</w:t>
            </w:r>
            <w:r w:rsidRPr="00B457F5">
              <w:rPr>
                <w:rFonts w:ascii="Garamond" w:eastAsia="Times New Roman" w:hAnsi="Garamond" w:cs="Times New Roman"/>
                <w:b/>
                <w:bCs/>
                <w:color w:val="000000"/>
                <w:sz w:val="4"/>
                <w:szCs w:val="10"/>
              </w:rPr>
              <w:t xml:space="preserve"> projektit </w:t>
            </w:r>
          </w:p>
        </w:tc>
        <w:tc>
          <w:tcPr>
            <w:tcW w:w="163" w:type="pct"/>
            <w:tcBorders>
              <w:top w:val="single" w:sz="4" w:space="0" w:color="auto"/>
              <w:left w:val="nil"/>
              <w:bottom w:val="single" w:sz="8" w:space="0" w:color="auto"/>
              <w:right w:val="single" w:sz="4" w:space="0" w:color="auto"/>
            </w:tcBorders>
            <w:shd w:val="clear" w:color="auto" w:fill="auto"/>
            <w:vAlign w:val="center"/>
            <w:hideMark/>
          </w:tcPr>
          <w:p w14:paraId="15725B07" w14:textId="6C22969F"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Total </w:t>
            </w:r>
            <w:r w:rsidR="006A63AF" w:rsidRPr="00B457F5">
              <w:rPr>
                <w:rFonts w:ascii="Garamond" w:eastAsia="Times New Roman" w:hAnsi="Garamond" w:cs="Times New Roman"/>
                <w:b/>
                <w:bCs/>
                <w:color w:val="000000"/>
                <w:sz w:val="4"/>
                <w:szCs w:val="10"/>
              </w:rPr>
              <w:t>f</w:t>
            </w:r>
            <w:r w:rsidRPr="00B457F5">
              <w:rPr>
                <w:rFonts w:ascii="Garamond" w:eastAsia="Times New Roman" w:hAnsi="Garamond" w:cs="Times New Roman"/>
                <w:b/>
                <w:bCs/>
                <w:color w:val="000000"/>
                <w:sz w:val="4"/>
                <w:szCs w:val="10"/>
              </w:rPr>
              <w:t xml:space="preserve">inancim i </w:t>
            </w:r>
            <w:r w:rsidR="006A63AF" w:rsidRPr="00B457F5">
              <w:rPr>
                <w:rFonts w:ascii="Garamond" w:eastAsia="Times New Roman" w:hAnsi="Garamond" w:cs="Times New Roman"/>
                <w:b/>
                <w:bCs/>
                <w:color w:val="000000"/>
                <w:sz w:val="4"/>
                <w:szCs w:val="10"/>
              </w:rPr>
              <w:t>h</w:t>
            </w:r>
            <w:r w:rsidRPr="00B457F5">
              <w:rPr>
                <w:rFonts w:ascii="Garamond" w:eastAsia="Times New Roman" w:hAnsi="Garamond" w:cs="Times New Roman"/>
                <w:b/>
                <w:bCs/>
                <w:color w:val="000000"/>
                <w:sz w:val="4"/>
                <w:szCs w:val="10"/>
              </w:rPr>
              <w:t>uaj</w:t>
            </w:r>
          </w:p>
        </w:tc>
        <w:tc>
          <w:tcPr>
            <w:tcW w:w="139" w:type="pct"/>
            <w:tcBorders>
              <w:top w:val="single" w:sz="4" w:space="0" w:color="auto"/>
              <w:left w:val="nil"/>
              <w:bottom w:val="single" w:sz="8" w:space="0" w:color="auto"/>
              <w:right w:val="single" w:sz="4" w:space="0" w:color="auto"/>
            </w:tcBorders>
            <w:shd w:val="clear" w:color="auto" w:fill="auto"/>
            <w:vAlign w:val="center"/>
            <w:hideMark/>
          </w:tcPr>
          <w:p w14:paraId="5F1AD89C" w14:textId="05F9391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Kor</w:t>
            </w:r>
            <w:r w:rsidR="006A63AF" w:rsidRPr="00B457F5">
              <w:rPr>
                <w:rFonts w:ascii="Garamond" w:eastAsia="Times New Roman" w:hAnsi="Garamond" w:cs="Times New Roman"/>
                <w:b/>
                <w:bCs/>
                <w:color w:val="000000"/>
                <w:sz w:val="4"/>
                <w:szCs w:val="10"/>
              </w:rPr>
              <w:t>r</w:t>
            </w:r>
            <w:r w:rsidRPr="00B457F5">
              <w:rPr>
                <w:rFonts w:ascii="Garamond" w:eastAsia="Times New Roman" w:hAnsi="Garamond" w:cs="Times New Roman"/>
                <w:b/>
                <w:bCs/>
                <w:color w:val="000000"/>
                <w:sz w:val="4"/>
                <w:szCs w:val="10"/>
              </w:rPr>
              <w:t>ente</w:t>
            </w:r>
          </w:p>
        </w:tc>
        <w:tc>
          <w:tcPr>
            <w:tcW w:w="142" w:type="pct"/>
            <w:tcBorders>
              <w:top w:val="single" w:sz="4" w:space="0" w:color="auto"/>
              <w:left w:val="nil"/>
              <w:bottom w:val="single" w:sz="8" w:space="0" w:color="auto"/>
              <w:right w:val="single" w:sz="4" w:space="0" w:color="auto"/>
            </w:tcBorders>
            <w:shd w:val="clear" w:color="auto" w:fill="auto"/>
            <w:vAlign w:val="center"/>
            <w:hideMark/>
          </w:tcPr>
          <w:p w14:paraId="23F4B3F0"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Kapitale</w:t>
            </w:r>
          </w:p>
        </w:tc>
        <w:tc>
          <w:tcPr>
            <w:tcW w:w="128" w:type="pct"/>
            <w:tcBorders>
              <w:top w:val="single" w:sz="4" w:space="0" w:color="auto"/>
              <w:left w:val="nil"/>
              <w:bottom w:val="single" w:sz="8" w:space="0" w:color="auto"/>
              <w:right w:val="single" w:sz="4" w:space="0" w:color="auto"/>
            </w:tcBorders>
            <w:shd w:val="clear" w:color="auto" w:fill="auto"/>
            <w:vAlign w:val="center"/>
            <w:hideMark/>
          </w:tcPr>
          <w:p w14:paraId="7DA7BACD"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Totali BSH</w:t>
            </w:r>
          </w:p>
        </w:tc>
        <w:tc>
          <w:tcPr>
            <w:tcW w:w="177" w:type="pct"/>
            <w:tcBorders>
              <w:top w:val="single" w:sz="4" w:space="0" w:color="auto"/>
              <w:left w:val="nil"/>
              <w:bottom w:val="single" w:sz="8" w:space="0" w:color="auto"/>
              <w:right w:val="single" w:sz="8" w:space="0" w:color="auto"/>
            </w:tcBorders>
            <w:shd w:val="clear" w:color="auto" w:fill="auto"/>
            <w:vAlign w:val="center"/>
            <w:hideMark/>
          </w:tcPr>
          <w:p w14:paraId="26B648A7"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r>
      <w:tr w:rsidR="00C260C3" w:rsidRPr="00B457F5" w14:paraId="2A27BA22"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center"/>
            <w:hideMark/>
          </w:tcPr>
          <w:p w14:paraId="46BCBCA8"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1.1</w:t>
            </w:r>
          </w:p>
        </w:tc>
        <w:tc>
          <w:tcPr>
            <w:tcW w:w="281" w:type="pct"/>
            <w:tcBorders>
              <w:top w:val="nil"/>
              <w:left w:val="nil"/>
              <w:bottom w:val="single" w:sz="4" w:space="0" w:color="auto"/>
              <w:right w:val="single" w:sz="4" w:space="0" w:color="auto"/>
            </w:tcBorders>
            <w:shd w:val="clear" w:color="auto" w:fill="auto"/>
            <w:vAlign w:val="center"/>
            <w:hideMark/>
          </w:tcPr>
          <w:p w14:paraId="519E6381" w14:textId="62BDF76C"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Objektivi specifik 1.1: Menaxhimi i migracionit nëpërmjet përmirësimit të kuadrit ligjor dhe institucional</w:t>
            </w:r>
            <w:r w:rsidR="0006016F" w:rsidRPr="00B457F5">
              <w:rPr>
                <w:rFonts w:ascii="Garamond" w:eastAsia="Times New Roman" w:hAnsi="Garamond" w:cs="Times New Roman"/>
                <w:b/>
                <w:bCs/>
                <w:color w:val="000000"/>
                <w:sz w:val="4"/>
                <w:szCs w:val="10"/>
              </w:rPr>
              <w:t xml:space="preserve"> </w:t>
            </w:r>
          </w:p>
        </w:tc>
        <w:tc>
          <w:tcPr>
            <w:tcW w:w="186" w:type="pct"/>
            <w:tcBorders>
              <w:top w:val="nil"/>
              <w:left w:val="nil"/>
              <w:bottom w:val="single" w:sz="4" w:space="0" w:color="auto"/>
              <w:right w:val="single" w:sz="4" w:space="0" w:color="auto"/>
            </w:tcBorders>
            <w:shd w:val="clear" w:color="auto" w:fill="auto"/>
            <w:vAlign w:val="center"/>
            <w:hideMark/>
          </w:tcPr>
          <w:p w14:paraId="445C29F9"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9" w:type="pct"/>
            <w:tcBorders>
              <w:top w:val="nil"/>
              <w:left w:val="nil"/>
              <w:bottom w:val="single" w:sz="4" w:space="0" w:color="auto"/>
              <w:right w:val="single" w:sz="4" w:space="0" w:color="auto"/>
            </w:tcBorders>
            <w:shd w:val="clear" w:color="auto" w:fill="auto"/>
            <w:vAlign w:val="center"/>
            <w:hideMark/>
          </w:tcPr>
          <w:p w14:paraId="1EC314B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244" w:type="pct"/>
            <w:tcBorders>
              <w:top w:val="nil"/>
              <w:left w:val="nil"/>
              <w:bottom w:val="single" w:sz="4" w:space="0" w:color="auto"/>
              <w:right w:val="single" w:sz="4" w:space="0" w:color="auto"/>
            </w:tcBorders>
            <w:shd w:val="clear" w:color="auto" w:fill="auto"/>
            <w:vAlign w:val="center"/>
            <w:hideMark/>
          </w:tcPr>
          <w:p w14:paraId="3CFD9EF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35" w:type="pct"/>
            <w:tcBorders>
              <w:top w:val="nil"/>
              <w:left w:val="nil"/>
              <w:bottom w:val="single" w:sz="4" w:space="0" w:color="auto"/>
              <w:right w:val="single" w:sz="4" w:space="0" w:color="auto"/>
            </w:tcBorders>
            <w:shd w:val="clear" w:color="auto" w:fill="auto"/>
            <w:vAlign w:val="center"/>
            <w:hideMark/>
          </w:tcPr>
          <w:p w14:paraId="68C873A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2" w:type="pct"/>
            <w:tcBorders>
              <w:top w:val="nil"/>
              <w:left w:val="nil"/>
              <w:bottom w:val="single" w:sz="4" w:space="0" w:color="auto"/>
              <w:right w:val="single" w:sz="4" w:space="0" w:color="auto"/>
            </w:tcBorders>
            <w:shd w:val="clear" w:color="auto" w:fill="auto"/>
            <w:vAlign w:val="center"/>
            <w:hideMark/>
          </w:tcPr>
          <w:p w14:paraId="6D0A76A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4577F25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nil"/>
              <w:left w:val="nil"/>
              <w:bottom w:val="single" w:sz="4" w:space="0" w:color="auto"/>
              <w:right w:val="single" w:sz="4" w:space="0" w:color="auto"/>
            </w:tcBorders>
            <w:shd w:val="clear" w:color="auto" w:fill="auto"/>
            <w:vAlign w:val="center"/>
            <w:hideMark/>
          </w:tcPr>
          <w:p w14:paraId="2597BFB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nil"/>
              <w:left w:val="nil"/>
              <w:bottom w:val="single" w:sz="4" w:space="0" w:color="auto"/>
              <w:right w:val="single" w:sz="4" w:space="0" w:color="auto"/>
            </w:tcBorders>
            <w:shd w:val="clear" w:color="auto" w:fill="auto"/>
            <w:vAlign w:val="center"/>
            <w:hideMark/>
          </w:tcPr>
          <w:p w14:paraId="49A231A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nil"/>
              <w:left w:val="nil"/>
              <w:bottom w:val="single" w:sz="4" w:space="0" w:color="auto"/>
              <w:right w:val="single" w:sz="4" w:space="0" w:color="auto"/>
            </w:tcBorders>
            <w:shd w:val="clear" w:color="auto" w:fill="auto"/>
            <w:vAlign w:val="center"/>
            <w:hideMark/>
          </w:tcPr>
          <w:p w14:paraId="6E57EEF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3E7874D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2E28466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5A21005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48" w:type="pct"/>
            <w:tcBorders>
              <w:top w:val="nil"/>
              <w:left w:val="nil"/>
              <w:bottom w:val="single" w:sz="4" w:space="0" w:color="auto"/>
              <w:right w:val="single" w:sz="4" w:space="0" w:color="auto"/>
            </w:tcBorders>
            <w:shd w:val="clear" w:color="auto" w:fill="auto"/>
            <w:vAlign w:val="center"/>
            <w:hideMark/>
          </w:tcPr>
          <w:p w14:paraId="3F178C5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nil"/>
              <w:left w:val="nil"/>
              <w:bottom w:val="single" w:sz="4" w:space="0" w:color="auto"/>
              <w:right w:val="single" w:sz="4" w:space="0" w:color="auto"/>
            </w:tcBorders>
            <w:shd w:val="clear" w:color="auto" w:fill="auto"/>
            <w:vAlign w:val="center"/>
            <w:hideMark/>
          </w:tcPr>
          <w:p w14:paraId="056F7A9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nil"/>
              <w:left w:val="nil"/>
              <w:bottom w:val="single" w:sz="4" w:space="0" w:color="auto"/>
              <w:right w:val="single" w:sz="4" w:space="0" w:color="auto"/>
            </w:tcBorders>
            <w:shd w:val="clear" w:color="auto" w:fill="auto"/>
            <w:vAlign w:val="center"/>
            <w:hideMark/>
          </w:tcPr>
          <w:p w14:paraId="20BEA0F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4C30E5D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nil"/>
              <w:left w:val="nil"/>
              <w:bottom w:val="single" w:sz="4" w:space="0" w:color="auto"/>
              <w:right w:val="single" w:sz="4" w:space="0" w:color="auto"/>
            </w:tcBorders>
            <w:shd w:val="clear" w:color="auto" w:fill="auto"/>
            <w:vAlign w:val="center"/>
            <w:hideMark/>
          </w:tcPr>
          <w:p w14:paraId="0AEF1E7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127154A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nil"/>
              <w:left w:val="nil"/>
              <w:bottom w:val="single" w:sz="4" w:space="0" w:color="auto"/>
              <w:right w:val="single" w:sz="4" w:space="0" w:color="auto"/>
            </w:tcBorders>
            <w:shd w:val="clear" w:color="auto" w:fill="auto"/>
            <w:vAlign w:val="center"/>
            <w:hideMark/>
          </w:tcPr>
          <w:p w14:paraId="20C9BA8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76058C6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nil"/>
              <w:left w:val="nil"/>
              <w:bottom w:val="single" w:sz="4" w:space="0" w:color="auto"/>
              <w:right w:val="single" w:sz="4" w:space="0" w:color="auto"/>
            </w:tcBorders>
            <w:shd w:val="clear" w:color="auto" w:fill="auto"/>
            <w:vAlign w:val="center"/>
            <w:hideMark/>
          </w:tcPr>
          <w:p w14:paraId="4DE94B6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nil"/>
              <w:left w:val="nil"/>
              <w:bottom w:val="single" w:sz="4" w:space="0" w:color="auto"/>
              <w:right w:val="single" w:sz="4" w:space="0" w:color="auto"/>
            </w:tcBorders>
            <w:shd w:val="clear" w:color="auto" w:fill="auto"/>
            <w:vAlign w:val="center"/>
            <w:hideMark/>
          </w:tcPr>
          <w:p w14:paraId="09FF6AF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218" w:type="pct"/>
            <w:tcBorders>
              <w:top w:val="nil"/>
              <w:left w:val="nil"/>
              <w:bottom w:val="single" w:sz="4" w:space="0" w:color="auto"/>
              <w:right w:val="single" w:sz="4" w:space="0" w:color="auto"/>
            </w:tcBorders>
            <w:shd w:val="clear" w:color="auto" w:fill="auto"/>
            <w:vAlign w:val="center"/>
            <w:hideMark/>
          </w:tcPr>
          <w:p w14:paraId="26B8564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08D3EBD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39" w:type="pct"/>
            <w:tcBorders>
              <w:top w:val="nil"/>
              <w:left w:val="nil"/>
              <w:bottom w:val="single" w:sz="4" w:space="0" w:color="auto"/>
              <w:right w:val="single" w:sz="4" w:space="0" w:color="auto"/>
            </w:tcBorders>
            <w:shd w:val="clear" w:color="auto" w:fill="auto"/>
            <w:vAlign w:val="center"/>
            <w:hideMark/>
          </w:tcPr>
          <w:p w14:paraId="450B7A7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42" w:type="pct"/>
            <w:tcBorders>
              <w:top w:val="nil"/>
              <w:left w:val="nil"/>
              <w:bottom w:val="single" w:sz="4" w:space="0" w:color="auto"/>
              <w:right w:val="single" w:sz="4" w:space="0" w:color="auto"/>
            </w:tcBorders>
            <w:shd w:val="clear" w:color="auto" w:fill="auto"/>
            <w:vAlign w:val="center"/>
            <w:hideMark/>
          </w:tcPr>
          <w:p w14:paraId="6465D52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28" w:type="pct"/>
            <w:tcBorders>
              <w:top w:val="nil"/>
              <w:left w:val="nil"/>
              <w:bottom w:val="single" w:sz="4" w:space="0" w:color="auto"/>
              <w:right w:val="single" w:sz="4" w:space="0" w:color="auto"/>
            </w:tcBorders>
            <w:shd w:val="clear" w:color="auto" w:fill="auto"/>
            <w:vAlign w:val="center"/>
            <w:hideMark/>
          </w:tcPr>
          <w:p w14:paraId="31AF6CF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77" w:type="pct"/>
            <w:tcBorders>
              <w:top w:val="nil"/>
              <w:left w:val="nil"/>
              <w:bottom w:val="single" w:sz="4" w:space="0" w:color="auto"/>
              <w:right w:val="single" w:sz="8" w:space="0" w:color="auto"/>
            </w:tcBorders>
            <w:shd w:val="clear" w:color="auto" w:fill="auto"/>
            <w:vAlign w:val="center"/>
            <w:hideMark/>
          </w:tcPr>
          <w:p w14:paraId="31F54A1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r>
      <w:tr w:rsidR="00C260C3" w:rsidRPr="00B457F5" w14:paraId="732D95F3"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center"/>
            <w:hideMark/>
          </w:tcPr>
          <w:p w14:paraId="511C6E29"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81" w:type="pct"/>
            <w:tcBorders>
              <w:top w:val="nil"/>
              <w:left w:val="nil"/>
              <w:bottom w:val="single" w:sz="4" w:space="0" w:color="auto"/>
              <w:right w:val="single" w:sz="4" w:space="0" w:color="auto"/>
            </w:tcBorders>
            <w:shd w:val="clear" w:color="auto" w:fill="auto"/>
            <w:vAlign w:val="center"/>
            <w:hideMark/>
          </w:tcPr>
          <w:p w14:paraId="4ABB037E" w14:textId="77777777" w:rsidR="00C260C3" w:rsidRPr="00B457F5" w:rsidRDefault="00C260C3" w:rsidP="00C260C3">
            <w:pPr>
              <w:spacing w:before="0" w:after="0"/>
              <w:jc w:val="left"/>
              <w:rPr>
                <w:rFonts w:ascii="Garamond" w:eastAsia="Times New Roman" w:hAnsi="Garamond" w:cs="Times New Roman"/>
                <w:b/>
                <w:bCs/>
                <w:i/>
                <w:iCs/>
                <w:color w:val="0066CC"/>
                <w:sz w:val="4"/>
                <w:szCs w:val="10"/>
              </w:rPr>
            </w:pPr>
            <w:r w:rsidRPr="00B457F5">
              <w:rPr>
                <w:rFonts w:ascii="Garamond" w:eastAsia="Times New Roman" w:hAnsi="Garamond" w:cs="Times New Roman"/>
                <w:b/>
                <w:bCs/>
                <w:i/>
                <w:iCs/>
                <w:color w:val="0066CC"/>
                <w:sz w:val="4"/>
                <w:szCs w:val="10"/>
              </w:rPr>
              <w:t>Masat</w:t>
            </w:r>
          </w:p>
        </w:tc>
        <w:tc>
          <w:tcPr>
            <w:tcW w:w="186" w:type="pct"/>
            <w:tcBorders>
              <w:top w:val="nil"/>
              <w:left w:val="nil"/>
              <w:bottom w:val="single" w:sz="4" w:space="0" w:color="auto"/>
              <w:right w:val="single" w:sz="4" w:space="0" w:color="auto"/>
            </w:tcBorders>
            <w:shd w:val="clear" w:color="auto" w:fill="auto"/>
            <w:vAlign w:val="center"/>
            <w:hideMark/>
          </w:tcPr>
          <w:p w14:paraId="0381E87F"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9" w:type="pct"/>
            <w:tcBorders>
              <w:top w:val="nil"/>
              <w:left w:val="nil"/>
              <w:bottom w:val="single" w:sz="4" w:space="0" w:color="auto"/>
              <w:right w:val="single" w:sz="4" w:space="0" w:color="auto"/>
            </w:tcBorders>
            <w:shd w:val="clear" w:color="auto" w:fill="auto"/>
            <w:vAlign w:val="center"/>
            <w:hideMark/>
          </w:tcPr>
          <w:p w14:paraId="29C0FCF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244" w:type="pct"/>
            <w:tcBorders>
              <w:top w:val="nil"/>
              <w:left w:val="nil"/>
              <w:bottom w:val="single" w:sz="4" w:space="0" w:color="auto"/>
              <w:right w:val="single" w:sz="4" w:space="0" w:color="auto"/>
            </w:tcBorders>
            <w:shd w:val="clear" w:color="auto" w:fill="auto"/>
            <w:vAlign w:val="center"/>
            <w:hideMark/>
          </w:tcPr>
          <w:p w14:paraId="6BB49B3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35" w:type="pct"/>
            <w:tcBorders>
              <w:top w:val="nil"/>
              <w:left w:val="nil"/>
              <w:bottom w:val="single" w:sz="4" w:space="0" w:color="auto"/>
              <w:right w:val="single" w:sz="4" w:space="0" w:color="auto"/>
            </w:tcBorders>
            <w:shd w:val="clear" w:color="auto" w:fill="auto"/>
            <w:vAlign w:val="center"/>
            <w:hideMark/>
          </w:tcPr>
          <w:p w14:paraId="0AB37BE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2" w:type="pct"/>
            <w:tcBorders>
              <w:top w:val="nil"/>
              <w:left w:val="nil"/>
              <w:bottom w:val="single" w:sz="4" w:space="0" w:color="auto"/>
              <w:right w:val="single" w:sz="4" w:space="0" w:color="auto"/>
            </w:tcBorders>
            <w:shd w:val="clear" w:color="auto" w:fill="auto"/>
            <w:vAlign w:val="center"/>
            <w:hideMark/>
          </w:tcPr>
          <w:p w14:paraId="22A4139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0B918D0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nil"/>
              <w:left w:val="nil"/>
              <w:bottom w:val="single" w:sz="4" w:space="0" w:color="auto"/>
              <w:right w:val="single" w:sz="4" w:space="0" w:color="auto"/>
            </w:tcBorders>
            <w:shd w:val="clear" w:color="auto" w:fill="auto"/>
            <w:vAlign w:val="center"/>
            <w:hideMark/>
          </w:tcPr>
          <w:p w14:paraId="69DC56A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nil"/>
              <w:left w:val="nil"/>
              <w:bottom w:val="single" w:sz="4" w:space="0" w:color="auto"/>
              <w:right w:val="single" w:sz="4" w:space="0" w:color="auto"/>
            </w:tcBorders>
            <w:shd w:val="clear" w:color="auto" w:fill="auto"/>
            <w:vAlign w:val="center"/>
            <w:hideMark/>
          </w:tcPr>
          <w:p w14:paraId="44F624D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nil"/>
              <w:left w:val="nil"/>
              <w:bottom w:val="single" w:sz="4" w:space="0" w:color="auto"/>
              <w:right w:val="single" w:sz="4" w:space="0" w:color="auto"/>
            </w:tcBorders>
            <w:shd w:val="clear" w:color="auto" w:fill="auto"/>
            <w:vAlign w:val="center"/>
            <w:hideMark/>
          </w:tcPr>
          <w:p w14:paraId="31EFCE2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57C39E2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06973A0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7299DBA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48" w:type="pct"/>
            <w:tcBorders>
              <w:top w:val="nil"/>
              <w:left w:val="nil"/>
              <w:bottom w:val="single" w:sz="4" w:space="0" w:color="auto"/>
              <w:right w:val="single" w:sz="4" w:space="0" w:color="auto"/>
            </w:tcBorders>
            <w:shd w:val="clear" w:color="auto" w:fill="auto"/>
            <w:vAlign w:val="center"/>
            <w:hideMark/>
          </w:tcPr>
          <w:p w14:paraId="138DAAC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nil"/>
              <w:left w:val="nil"/>
              <w:bottom w:val="single" w:sz="4" w:space="0" w:color="auto"/>
              <w:right w:val="single" w:sz="4" w:space="0" w:color="auto"/>
            </w:tcBorders>
            <w:shd w:val="clear" w:color="auto" w:fill="auto"/>
            <w:vAlign w:val="center"/>
            <w:hideMark/>
          </w:tcPr>
          <w:p w14:paraId="3CDE7FC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nil"/>
              <w:left w:val="nil"/>
              <w:bottom w:val="single" w:sz="4" w:space="0" w:color="auto"/>
              <w:right w:val="single" w:sz="4" w:space="0" w:color="auto"/>
            </w:tcBorders>
            <w:shd w:val="clear" w:color="auto" w:fill="auto"/>
            <w:vAlign w:val="center"/>
            <w:hideMark/>
          </w:tcPr>
          <w:p w14:paraId="3ED887B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13DBB84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nil"/>
              <w:left w:val="nil"/>
              <w:bottom w:val="single" w:sz="4" w:space="0" w:color="auto"/>
              <w:right w:val="single" w:sz="4" w:space="0" w:color="auto"/>
            </w:tcBorders>
            <w:shd w:val="clear" w:color="auto" w:fill="auto"/>
            <w:vAlign w:val="center"/>
            <w:hideMark/>
          </w:tcPr>
          <w:p w14:paraId="6F3916C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7C2B460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nil"/>
              <w:left w:val="nil"/>
              <w:bottom w:val="single" w:sz="4" w:space="0" w:color="auto"/>
              <w:right w:val="single" w:sz="4" w:space="0" w:color="auto"/>
            </w:tcBorders>
            <w:shd w:val="clear" w:color="auto" w:fill="auto"/>
            <w:vAlign w:val="center"/>
            <w:hideMark/>
          </w:tcPr>
          <w:p w14:paraId="232A58E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2AA07D9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nil"/>
              <w:left w:val="nil"/>
              <w:bottom w:val="single" w:sz="4" w:space="0" w:color="auto"/>
              <w:right w:val="single" w:sz="4" w:space="0" w:color="auto"/>
            </w:tcBorders>
            <w:shd w:val="clear" w:color="auto" w:fill="auto"/>
            <w:vAlign w:val="center"/>
            <w:hideMark/>
          </w:tcPr>
          <w:p w14:paraId="69FED92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nil"/>
              <w:left w:val="nil"/>
              <w:bottom w:val="single" w:sz="4" w:space="0" w:color="auto"/>
              <w:right w:val="single" w:sz="4" w:space="0" w:color="auto"/>
            </w:tcBorders>
            <w:shd w:val="clear" w:color="auto" w:fill="auto"/>
            <w:vAlign w:val="center"/>
            <w:hideMark/>
          </w:tcPr>
          <w:p w14:paraId="70DCA79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218" w:type="pct"/>
            <w:tcBorders>
              <w:top w:val="nil"/>
              <w:left w:val="nil"/>
              <w:bottom w:val="single" w:sz="4" w:space="0" w:color="auto"/>
              <w:right w:val="single" w:sz="4" w:space="0" w:color="auto"/>
            </w:tcBorders>
            <w:shd w:val="clear" w:color="auto" w:fill="auto"/>
            <w:vAlign w:val="center"/>
            <w:hideMark/>
          </w:tcPr>
          <w:p w14:paraId="5C156B0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3CB8917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39" w:type="pct"/>
            <w:tcBorders>
              <w:top w:val="nil"/>
              <w:left w:val="nil"/>
              <w:bottom w:val="single" w:sz="4" w:space="0" w:color="auto"/>
              <w:right w:val="single" w:sz="4" w:space="0" w:color="auto"/>
            </w:tcBorders>
            <w:shd w:val="clear" w:color="auto" w:fill="auto"/>
            <w:vAlign w:val="center"/>
            <w:hideMark/>
          </w:tcPr>
          <w:p w14:paraId="0FB231F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42" w:type="pct"/>
            <w:tcBorders>
              <w:top w:val="nil"/>
              <w:left w:val="nil"/>
              <w:bottom w:val="single" w:sz="4" w:space="0" w:color="auto"/>
              <w:right w:val="single" w:sz="4" w:space="0" w:color="auto"/>
            </w:tcBorders>
            <w:shd w:val="clear" w:color="auto" w:fill="auto"/>
            <w:vAlign w:val="center"/>
            <w:hideMark/>
          </w:tcPr>
          <w:p w14:paraId="42349EF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28" w:type="pct"/>
            <w:tcBorders>
              <w:top w:val="nil"/>
              <w:left w:val="nil"/>
              <w:bottom w:val="single" w:sz="4" w:space="0" w:color="auto"/>
              <w:right w:val="single" w:sz="4" w:space="0" w:color="auto"/>
            </w:tcBorders>
            <w:shd w:val="clear" w:color="auto" w:fill="auto"/>
            <w:vAlign w:val="center"/>
            <w:hideMark/>
          </w:tcPr>
          <w:p w14:paraId="77C40ED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77" w:type="pct"/>
            <w:tcBorders>
              <w:top w:val="nil"/>
              <w:left w:val="nil"/>
              <w:bottom w:val="single" w:sz="4" w:space="0" w:color="auto"/>
              <w:right w:val="single" w:sz="8" w:space="0" w:color="auto"/>
            </w:tcBorders>
            <w:shd w:val="clear" w:color="auto" w:fill="auto"/>
            <w:vAlign w:val="center"/>
            <w:hideMark/>
          </w:tcPr>
          <w:p w14:paraId="377A8AD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r>
      <w:tr w:rsidR="00C260C3" w:rsidRPr="00B457F5" w14:paraId="0EE995E6" w14:textId="77777777" w:rsidTr="00C260C3">
        <w:trPr>
          <w:trHeight w:val="20"/>
        </w:trPr>
        <w:tc>
          <w:tcPr>
            <w:tcW w:w="131" w:type="pct"/>
            <w:tcBorders>
              <w:top w:val="nil"/>
              <w:left w:val="single" w:sz="8" w:space="0" w:color="auto"/>
              <w:bottom w:val="single" w:sz="4" w:space="0" w:color="auto"/>
              <w:right w:val="single" w:sz="4" w:space="0" w:color="auto"/>
            </w:tcBorders>
            <w:shd w:val="clear" w:color="000000" w:fill="D9D9D9"/>
            <w:vAlign w:val="bottom"/>
            <w:hideMark/>
          </w:tcPr>
          <w:p w14:paraId="36DE736E"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1.1.1</w:t>
            </w:r>
          </w:p>
        </w:tc>
        <w:tc>
          <w:tcPr>
            <w:tcW w:w="281" w:type="pct"/>
            <w:tcBorders>
              <w:top w:val="nil"/>
              <w:left w:val="nil"/>
              <w:bottom w:val="single" w:sz="4" w:space="0" w:color="auto"/>
              <w:right w:val="single" w:sz="4" w:space="0" w:color="auto"/>
            </w:tcBorders>
            <w:shd w:val="clear" w:color="000000" w:fill="D9D9D9"/>
            <w:vAlign w:val="bottom"/>
            <w:hideMark/>
          </w:tcPr>
          <w:p w14:paraId="0EFF0906" w14:textId="0C424D1B"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1.1.1 Përmirësimi i kuadrit ligjor kombëtar me kuadrin ligjor të BE-së dhe ndërkombëtar për qeverisjen e migracionit</w:t>
            </w:r>
          </w:p>
        </w:tc>
        <w:tc>
          <w:tcPr>
            <w:tcW w:w="186" w:type="pct"/>
            <w:tcBorders>
              <w:top w:val="nil"/>
              <w:left w:val="nil"/>
              <w:bottom w:val="single" w:sz="4" w:space="0" w:color="auto"/>
              <w:right w:val="single" w:sz="4" w:space="0" w:color="auto"/>
            </w:tcBorders>
            <w:shd w:val="clear" w:color="000000" w:fill="D9D9D9"/>
            <w:vAlign w:val="bottom"/>
            <w:hideMark/>
          </w:tcPr>
          <w:p w14:paraId="6909D849"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 01110 Planifikimi, Menaxhimi dhe Administrimi (15)</w:t>
            </w:r>
          </w:p>
        </w:tc>
        <w:tc>
          <w:tcPr>
            <w:tcW w:w="169" w:type="pct"/>
            <w:tcBorders>
              <w:top w:val="nil"/>
              <w:left w:val="nil"/>
              <w:bottom w:val="single" w:sz="4" w:space="0" w:color="auto"/>
              <w:right w:val="single" w:sz="4" w:space="0" w:color="auto"/>
            </w:tcBorders>
            <w:shd w:val="clear" w:color="000000" w:fill="D9D9D9"/>
            <w:vAlign w:val="bottom"/>
            <w:hideMark/>
          </w:tcPr>
          <w:p w14:paraId="39BB4FB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 MEPJ</w:t>
            </w:r>
          </w:p>
        </w:tc>
        <w:tc>
          <w:tcPr>
            <w:tcW w:w="244" w:type="pct"/>
            <w:tcBorders>
              <w:top w:val="nil"/>
              <w:left w:val="nil"/>
              <w:bottom w:val="single" w:sz="4" w:space="0" w:color="auto"/>
              <w:right w:val="single" w:sz="4" w:space="0" w:color="auto"/>
            </w:tcBorders>
            <w:shd w:val="clear" w:color="000000" w:fill="D9D9D9"/>
            <w:vAlign w:val="bottom"/>
            <w:hideMark/>
          </w:tcPr>
          <w:p w14:paraId="61ED3E12" w14:textId="7761FE3C"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MB, MEPJ, MEKI, MSHMS, MD, DNJF, Inspektorati </w:t>
            </w:r>
            <w:r w:rsidR="001743B4" w:rsidRPr="00B457F5">
              <w:rPr>
                <w:rFonts w:ascii="Garamond" w:eastAsia="Times New Roman" w:hAnsi="Garamond" w:cs="Times New Roman"/>
                <w:color w:val="000000"/>
                <w:sz w:val="4"/>
                <w:szCs w:val="10"/>
              </w:rPr>
              <w:t xml:space="preserve">i </w:t>
            </w:r>
            <w:r w:rsidRPr="00B457F5">
              <w:rPr>
                <w:rFonts w:ascii="Garamond" w:eastAsia="Times New Roman" w:hAnsi="Garamond" w:cs="Times New Roman"/>
                <w:color w:val="000000"/>
                <w:sz w:val="4"/>
                <w:szCs w:val="10"/>
              </w:rPr>
              <w:t xml:space="preserve">Punës, AKPA, DKM, </w:t>
            </w:r>
            <w:r w:rsidR="001743B4" w:rsidRPr="00B457F5">
              <w:rPr>
                <w:rFonts w:ascii="Garamond" w:eastAsia="Times New Roman" w:hAnsi="Garamond" w:cs="Times New Roman"/>
                <w:color w:val="000000"/>
                <w:sz w:val="4"/>
                <w:szCs w:val="10"/>
              </w:rPr>
              <w:t>m</w:t>
            </w:r>
            <w:r w:rsidRPr="00B457F5">
              <w:rPr>
                <w:rFonts w:ascii="Garamond" w:eastAsia="Times New Roman" w:hAnsi="Garamond" w:cs="Times New Roman"/>
                <w:color w:val="000000"/>
                <w:sz w:val="4"/>
                <w:szCs w:val="10"/>
              </w:rPr>
              <w:t>inistritë e linjës</w:t>
            </w:r>
          </w:p>
        </w:tc>
        <w:tc>
          <w:tcPr>
            <w:tcW w:w="135" w:type="pct"/>
            <w:tcBorders>
              <w:top w:val="nil"/>
              <w:left w:val="nil"/>
              <w:bottom w:val="single" w:sz="4" w:space="0" w:color="auto"/>
              <w:right w:val="single" w:sz="4" w:space="0" w:color="auto"/>
            </w:tcBorders>
            <w:shd w:val="clear" w:color="000000" w:fill="D9D9D9"/>
            <w:vAlign w:val="bottom"/>
            <w:hideMark/>
          </w:tcPr>
          <w:p w14:paraId="657333A5"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9D9D9"/>
            <w:vAlign w:val="bottom"/>
            <w:hideMark/>
          </w:tcPr>
          <w:p w14:paraId="0F912B7E"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000000" w:fill="D9D9D9"/>
            <w:vAlign w:val="bottom"/>
            <w:hideMark/>
          </w:tcPr>
          <w:p w14:paraId="4F3E3F7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18,593,804</w:t>
            </w:r>
          </w:p>
        </w:tc>
        <w:tc>
          <w:tcPr>
            <w:tcW w:w="155" w:type="pct"/>
            <w:tcBorders>
              <w:top w:val="nil"/>
              <w:left w:val="nil"/>
              <w:bottom w:val="single" w:sz="4" w:space="0" w:color="auto"/>
              <w:right w:val="single" w:sz="4" w:space="0" w:color="auto"/>
            </w:tcBorders>
            <w:shd w:val="clear" w:color="000000" w:fill="D9D9D9"/>
            <w:vAlign w:val="bottom"/>
            <w:hideMark/>
          </w:tcPr>
          <w:p w14:paraId="2216798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D9D9D9"/>
            <w:vAlign w:val="bottom"/>
            <w:hideMark/>
          </w:tcPr>
          <w:p w14:paraId="5340DEB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18,593,804</w:t>
            </w:r>
          </w:p>
        </w:tc>
        <w:tc>
          <w:tcPr>
            <w:tcW w:w="165" w:type="pct"/>
            <w:tcBorders>
              <w:top w:val="nil"/>
              <w:left w:val="nil"/>
              <w:bottom w:val="single" w:sz="4" w:space="0" w:color="auto"/>
              <w:right w:val="single" w:sz="4" w:space="0" w:color="auto"/>
            </w:tcBorders>
            <w:shd w:val="clear" w:color="000000" w:fill="D9D9D9"/>
            <w:vAlign w:val="bottom"/>
            <w:hideMark/>
          </w:tcPr>
          <w:p w14:paraId="7AAD3F4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17,502,251</w:t>
            </w:r>
          </w:p>
        </w:tc>
        <w:tc>
          <w:tcPr>
            <w:tcW w:w="163" w:type="pct"/>
            <w:tcBorders>
              <w:top w:val="nil"/>
              <w:left w:val="nil"/>
              <w:bottom w:val="single" w:sz="4" w:space="0" w:color="auto"/>
              <w:right w:val="single" w:sz="4" w:space="0" w:color="auto"/>
            </w:tcBorders>
            <w:shd w:val="clear" w:color="000000" w:fill="D9D9D9"/>
            <w:vAlign w:val="bottom"/>
            <w:hideMark/>
          </w:tcPr>
          <w:p w14:paraId="6360E84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D9D9D9"/>
            <w:vAlign w:val="bottom"/>
            <w:hideMark/>
          </w:tcPr>
          <w:p w14:paraId="17BC884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17,502,251</w:t>
            </w:r>
          </w:p>
        </w:tc>
        <w:tc>
          <w:tcPr>
            <w:tcW w:w="163" w:type="pct"/>
            <w:tcBorders>
              <w:top w:val="nil"/>
              <w:left w:val="nil"/>
              <w:bottom w:val="single" w:sz="4" w:space="0" w:color="auto"/>
              <w:right w:val="single" w:sz="4" w:space="0" w:color="auto"/>
            </w:tcBorders>
            <w:shd w:val="clear" w:color="000000" w:fill="D9D9D9"/>
            <w:vAlign w:val="bottom"/>
            <w:hideMark/>
          </w:tcPr>
          <w:p w14:paraId="36C5998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17,574,251</w:t>
            </w:r>
          </w:p>
        </w:tc>
        <w:tc>
          <w:tcPr>
            <w:tcW w:w="148" w:type="pct"/>
            <w:tcBorders>
              <w:top w:val="nil"/>
              <w:left w:val="nil"/>
              <w:bottom w:val="single" w:sz="4" w:space="0" w:color="auto"/>
              <w:right w:val="single" w:sz="4" w:space="0" w:color="auto"/>
            </w:tcBorders>
            <w:shd w:val="clear" w:color="000000" w:fill="D9D9D9"/>
            <w:vAlign w:val="bottom"/>
            <w:hideMark/>
          </w:tcPr>
          <w:p w14:paraId="559FF30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D9D9D9"/>
            <w:vAlign w:val="bottom"/>
            <w:hideMark/>
          </w:tcPr>
          <w:p w14:paraId="743A968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17,574,251</w:t>
            </w:r>
          </w:p>
        </w:tc>
        <w:tc>
          <w:tcPr>
            <w:tcW w:w="165" w:type="pct"/>
            <w:tcBorders>
              <w:top w:val="nil"/>
              <w:left w:val="nil"/>
              <w:bottom w:val="single" w:sz="4" w:space="0" w:color="auto"/>
              <w:right w:val="single" w:sz="4" w:space="0" w:color="auto"/>
            </w:tcBorders>
            <w:shd w:val="clear" w:color="000000" w:fill="D9D9D9"/>
            <w:vAlign w:val="bottom"/>
            <w:hideMark/>
          </w:tcPr>
          <w:p w14:paraId="06AE7E9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53,670,306</w:t>
            </w:r>
          </w:p>
        </w:tc>
        <w:tc>
          <w:tcPr>
            <w:tcW w:w="163" w:type="pct"/>
            <w:tcBorders>
              <w:top w:val="nil"/>
              <w:left w:val="nil"/>
              <w:bottom w:val="single" w:sz="4" w:space="0" w:color="auto"/>
              <w:right w:val="single" w:sz="4" w:space="0" w:color="auto"/>
            </w:tcBorders>
            <w:shd w:val="clear" w:color="000000" w:fill="D9D9D9"/>
            <w:vAlign w:val="bottom"/>
            <w:hideMark/>
          </w:tcPr>
          <w:p w14:paraId="6F3BE2F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D9D9D9"/>
            <w:vAlign w:val="bottom"/>
            <w:hideMark/>
          </w:tcPr>
          <w:p w14:paraId="677FE63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53,670,306</w:t>
            </w:r>
          </w:p>
        </w:tc>
        <w:tc>
          <w:tcPr>
            <w:tcW w:w="163" w:type="pct"/>
            <w:tcBorders>
              <w:top w:val="nil"/>
              <w:left w:val="nil"/>
              <w:bottom w:val="single" w:sz="4" w:space="0" w:color="auto"/>
              <w:right w:val="single" w:sz="4" w:space="0" w:color="auto"/>
            </w:tcBorders>
            <w:shd w:val="clear" w:color="000000" w:fill="D9D9D9"/>
            <w:vAlign w:val="bottom"/>
            <w:hideMark/>
          </w:tcPr>
          <w:p w14:paraId="30AFB1C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45,180,306</w:t>
            </w:r>
          </w:p>
        </w:tc>
        <w:tc>
          <w:tcPr>
            <w:tcW w:w="155" w:type="pct"/>
            <w:tcBorders>
              <w:top w:val="nil"/>
              <w:left w:val="nil"/>
              <w:bottom w:val="single" w:sz="4" w:space="0" w:color="auto"/>
              <w:right w:val="single" w:sz="4" w:space="0" w:color="auto"/>
            </w:tcBorders>
            <w:shd w:val="clear" w:color="000000" w:fill="D9D9D9"/>
            <w:vAlign w:val="bottom"/>
            <w:hideMark/>
          </w:tcPr>
          <w:p w14:paraId="5F45264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D9D9D9"/>
            <w:vAlign w:val="bottom"/>
            <w:hideMark/>
          </w:tcPr>
          <w:p w14:paraId="7AD9F74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45,180,306</w:t>
            </w:r>
          </w:p>
        </w:tc>
        <w:tc>
          <w:tcPr>
            <w:tcW w:w="162" w:type="pct"/>
            <w:tcBorders>
              <w:top w:val="nil"/>
              <w:left w:val="nil"/>
              <w:bottom w:val="single" w:sz="4" w:space="0" w:color="auto"/>
              <w:right w:val="single" w:sz="4" w:space="0" w:color="auto"/>
            </w:tcBorders>
            <w:shd w:val="clear" w:color="000000" w:fill="D9D9D9"/>
            <w:vAlign w:val="bottom"/>
            <w:hideMark/>
          </w:tcPr>
          <w:p w14:paraId="16EFA92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000000" w:fill="D9D9D9"/>
            <w:vAlign w:val="bottom"/>
            <w:hideMark/>
          </w:tcPr>
          <w:p w14:paraId="0338C83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000000" w:fill="D9D9D9"/>
            <w:vAlign w:val="bottom"/>
            <w:hideMark/>
          </w:tcPr>
          <w:p w14:paraId="3464817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D9D9D9"/>
            <w:vAlign w:val="bottom"/>
            <w:hideMark/>
          </w:tcPr>
          <w:p w14:paraId="0EC6F27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000000" w:fill="D9D9D9"/>
            <w:vAlign w:val="bottom"/>
            <w:hideMark/>
          </w:tcPr>
          <w:p w14:paraId="0150C05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000000" w:fill="D9D9D9"/>
            <w:vAlign w:val="bottom"/>
            <w:hideMark/>
          </w:tcPr>
          <w:p w14:paraId="11EF557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D9D9D9"/>
            <w:vAlign w:val="bottom"/>
            <w:hideMark/>
          </w:tcPr>
          <w:p w14:paraId="25ADC4B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000000" w:fill="D9D9D9"/>
            <w:vAlign w:val="bottom"/>
            <w:hideMark/>
          </w:tcPr>
          <w:p w14:paraId="16607EB5" w14:textId="554A13C1"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(8,490,000)</w:t>
            </w:r>
          </w:p>
        </w:tc>
      </w:tr>
      <w:tr w:rsidR="00C260C3" w:rsidRPr="00B457F5" w14:paraId="1DE92058"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bottom"/>
            <w:hideMark/>
          </w:tcPr>
          <w:p w14:paraId="322853DD"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1.1.1.1</w:t>
            </w:r>
          </w:p>
        </w:tc>
        <w:tc>
          <w:tcPr>
            <w:tcW w:w="281" w:type="pct"/>
            <w:tcBorders>
              <w:top w:val="nil"/>
              <w:left w:val="nil"/>
              <w:bottom w:val="single" w:sz="4" w:space="0" w:color="auto"/>
              <w:right w:val="single" w:sz="4" w:space="0" w:color="auto"/>
            </w:tcBorders>
            <w:shd w:val="clear" w:color="auto" w:fill="auto"/>
            <w:vAlign w:val="bottom"/>
            <w:hideMark/>
          </w:tcPr>
          <w:p w14:paraId="50260310"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1.1.1.1 Rishikimi i kuadrit ligjor të migracionit dhe përcaktimi i përgjegjësive të institucioneve të përfshira, në nivel qendror dhe vendor</w:t>
            </w:r>
          </w:p>
        </w:tc>
        <w:tc>
          <w:tcPr>
            <w:tcW w:w="186" w:type="pct"/>
            <w:tcBorders>
              <w:top w:val="nil"/>
              <w:left w:val="nil"/>
              <w:bottom w:val="single" w:sz="4" w:space="0" w:color="auto"/>
              <w:right w:val="single" w:sz="4" w:space="0" w:color="auto"/>
            </w:tcBorders>
            <w:shd w:val="clear" w:color="auto" w:fill="auto"/>
            <w:vAlign w:val="bottom"/>
            <w:hideMark/>
          </w:tcPr>
          <w:p w14:paraId="5D5060BA"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noWrap/>
            <w:vAlign w:val="bottom"/>
            <w:hideMark/>
          </w:tcPr>
          <w:p w14:paraId="6F9BB4E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w:t>
            </w:r>
          </w:p>
        </w:tc>
        <w:tc>
          <w:tcPr>
            <w:tcW w:w="244" w:type="pct"/>
            <w:tcBorders>
              <w:top w:val="nil"/>
              <w:left w:val="nil"/>
              <w:bottom w:val="single" w:sz="4" w:space="0" w:color="auto"/>
              <w:right w:val="single" w:sz="4" w:space="0" w:color="auto"/>
            </w:tcBorders>
            <w:shd w:val="clear" w:color="auto" w:fill="auto"/>
            <w:vAlign w:val="bottom"/>
            <w:hideMark/>
          </w:tcPr>
          <w:p w14:paraId="4378135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MEPJ, MEKI, MSHMS</w:t>
            </w:r>
          </w:p>
        </w:tc>
        <w:tc>
          <w:tcPr>
            <w:tcW w:w="135" w:type="pct"/>
            <w:tcBorders>
              <w:top w:val="nil"/>
              <w:left w:val="nil"/>
              <w:bottom w:val="single" w:sz="4" w:space="0" w:color="auto"/>
              <w:right w:val="single" w:sz="4" w:space="0" w:color="auto"/>
            </w:tcBorders>
            <w:shd w:val="clear" w:color="000000" w:fill="DDEBF7"/>
            <w:vAlign w:val="bottom"/>
            <w:hideMark/>
          </w:tcPr>
          <w:p w14:paraId="708B5343"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bottom"/>
            <w:hideMark/>
          </w:tcPr>
          <w:p w14:paraId="2C061CF0"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bottom"/>
            <w:hideMark/>
          </w:tcPr>
          <w:p w14:paraId="0190F6B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3,636,512</w:t>
            </w:r>
          </w:p>
        </w:tc>
        <w:tc>
          <w:tcPr>
            <w:tcW w:w="155" w:type="pct"/>
            <w:tcBorders>
              <w:top w:val="nil"/>
              <w:left w:val="nil"/>
              <w:bottom w:val="single" w:sz="4" w:space="0" w:color="auto"/>
              <w:right w:val="single" w:sz="4" w:space="0" w:color="auto"/>
            </w:tcBorders>
            <w:shd w:val="clear" w:color="auto" w:fill="auto"/>
            <w:vAlign w:val="bottom"/>
            <w:hideMark/>
          </w:tcPr>
          <w:p w14:paraId="3156521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bottom"/>
            <w:hideMark/>
          </w:tcPr>
          <w:p w14:paraId="5797A38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3,636,512</w:t>
            </w:r>
          </w:p>
        </w:tc>
        <w:tc>
          <w:tcPr>
            <w:tcW w:w="165" w:type="pct"/>
            <w:tcBorders>
              <w:top w:val="nil"/>
              <w:left w:val="nil"/>
              <w:bottom w:val="single" w:sz="4" w:space="0" w:color="auto"/>
              <w:right w:val="single" w:sz="4" w:space="0" w:color="auto"/>
            </w:tcBorders>
            <w:shd w:val="clear" w:color="auto" w:fill="auto"/>
            <w:vAlign w:val="bottom"/>
            <w:hideMark/>
          </w:tcPr>
          <w:p w14:paraId="6F6A5F3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3,636,512</w:t>
            </w:r>
          </w:p>
        </w:tc>
        <w:tc>
          <w:tcPr>
            <w:tcW w:w="163" w:type="pct"/>
            <w:tcBorders>
              <w:top w:val="nil"/>
              <w:left w:val="nil"/>
              <w:bottom w:val="single" w:sz="4" w:space="0" w:color="auto"/>
              <w:right w:val="single" w:sz="4" w:space="0" w:color="auto"/>
            </w:tcBorders>
            <w:shd w:val="clear" w:color="auto" w:fill="auto"/>
            <w:noWrap/>
            <w:vAlign w:val="bottom"/>
            <w:hideMark/>
          </w:tcPr>
          <w:p w14:paraId="5ED3438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0 </w:t>
            </w:r>
          </w:p>
        </w:tc>
        <w:tc>
          <w:tcPr>
            <w:tcW w:w="163" w:type="pct"/>
            <w:tcBorders>
              <w:top w:val="nil"/>
              <w:left w:val="nil"/>
              <w:bottom w:val="single" w:sz="4" w:space="0" w:color="auto"/>
              <w:right w:val="single" w:sz="4" w:space="0" w:color="auto"/>
            </w:tcBorders>
            <w:shd w:val="clear" w:color="000000" w:fill="FFF2CC"/>
            <w:vAlign w:val="bottom"/>
            <w:hideMark/>
          </w:tcPr>
          <w:p w14:paraId="69D272C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3,636,512</w:t>
            </w:r>
          </w:p>
        </w:tc>
        <w:tc>
          <w:tcPr>
            <w:tcW w:w="163" w:type="pct"/>
            <w:tcBorders>
              <w:top w:val="nil"/>
              <w:left w:val="nil"/>
              <w:bottom w:val="single" w:sz="4" w:space="0" w:color="auto"/>
              <w:right w:val="single" w:sz="4" w:space="0" w:color="auto"/>
            </w:tcBorders>
            <w:shd w:val="clear" w:color="auto" w:fill="auto"/>
            <w:vAlign w:val="bottom"/>
            <w:hideMark/>
          </w:tcPr>
          <w:p w14:paraId="498A02E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3,636,512</w:t>
            </w:r>
          </w:p>
        </w:tc>
        <w:tc>
          <w:tcPr>
            <w:tcW w:w="148" w:type="pct"/>
            <w:tcBorders>
              <w:top w:val="nil"/>
              <w:left w:val="nil"/>
              <w:bottom w:val="single" w:sz="4" w:space="0" w:color="auto"/>
              <w:right w:val="single" w:sz="4" w:space="0" w:color="auto"/>
            </w:tcBorders>
            <w:shd w:val="clear" w:color="auto" w:fill="auto"/>
            <w:vAlign w:val="bottom"/>
            <w:hideMark/>
          </w:tcPr>
          <w:p w14:paraId="4E9D294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bottom"/>
            <w:hideMark/>
          </w:tcPr>
          <w:p w14:paraId="7E44B9A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3,636,512</w:t>
            </w:r>
          </w:p>
        </w:tc>
        <w:tc>
          <w:tcPr>
            <w:tcW w:w="165" w:type="pct"/>
            <w:tcBorders>
              <w:top w:val="nil"/>
              <w:left w:val="nil"/>
              <w:bottom w:val="single" w:sz="4" w:space="0" w:color="auto"/>
              <w:right w:val="single" w:sz="4" w:space="0" w:color="auto"/>
            </w:tcBorders>
            <w:shd w:val="clear" w:color="auto" w:fill="auto"/>
            <w:vAlign w:val="bottom"/>
            <w:hideMark/>
          </w:tcPr>
          <w:p w14:paraId="2D93B62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10,909,536</w:t>
            </w:r>
          </w:p>
        </w:tc>
        <w:tc>
          <w:tcPr>
            <w:tcW w:w="163" w:type="pct"/>
            <w:tcBorders>
              <w:top w:val="nil"/>
              <w:left w:val="nil"/>
              <w:bottom w:val="single" w:sz="4" w:space="0" w:color="auto"/>
              <w:right w:val="single" w:sz="4" w:space="0" w:color="auto"/>
            </w:tcBorders>
            <w:shd w:val="clear" w:color="auto" w:fill="auto"/>
            <w:vAlign w:val="bottom"/>
            <w:hideMark/>
          </w:tcPr>
          <w:p w14:paraId="16BFD8B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bottom"/>
            <w:hideMark/>
          </w:tcPr>
          <w:p w14:paraId="58E91F6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10,909,536</w:t>
            </w:r>
          </w:p>
        </w:tc>
        <w:tc>
          <w:tcPr>
            <w:tcW w:w="163" w:type="pct"/>
            <w:tcBorders>
              <w:top w:val="nil"/>
              <w:left w:val="nil"/>
              <w:bottom w:val="single" w:sz="4" w:space="0" w:color="auto"/>
              <w:right w:val="single" w:sz="4" w:space="0" w:color="auto"/>
            </w:tcBorders>
            <w:shd w:val="clear" w:color="auto" w:fill="auto"/>
            <w:vAlign w:val="bottom"/>
            <w:hideMark/>
          </w:tcPr>
          <w:p w14:paraId="026653C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10,909,536</w:t>
            </w:r>
          </w:p>
        </w:tc>
        <w:tc>
          <w:tcPr>
            <w:tcW w:w="155" w:type="pct"/>
            <w:tcBorders>
              <w:top w:val="nil"/>
              <w:left w:val="nil"/>
              <w:bottom w:val="single" w:sz="4" w:space="0" w:color="auto"/>
              <w:right w:val="single" w:sz="4" w:space="0" w:color="auto"/>
            </w:tcBorders>
            <w:shd w:val="clear" w:color="auto" w:fill="auto"/>
            <w:vAlign w:val="bottom"/>
            <w:hideMark/>
          </w:tcPr>
          <w:p w14:paraId="2AA8332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bottom"/>
            <w:hideMark/>
          </w:tcPr>
          <w:p w14:paraId="11BF852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10,909,536</w:t>
            </w:r>
          </w:p>
        </w:tc>
        <w:tc>
          <w:tcPr>
            <w:tcW w:w="162" w:type="pct"/>
            <w:tcBorders>
              <w:top w:val="nil"/>
              <w:left w:val="nil"/>
              <w:bottom w:val="single" w:sz="4" w:space="0" w:color="auto"/>
              <w:right w:val="single" w:sz="4" w:space="0" w:color="auto"/>
            </w:tcBorders>
            <w:shd w:val="clear" w:color="auto" w:fill="auto"/>
            <w:vAlign w:val="bottom"/>
            <w:hideMark/>
          </w:tcPr>
          <w:p w14:paraId="7B63670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bottom"/>
            <w:hideMark/>
          </w:tcPr>
          <w:p w14:paraId="2F7382A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bottom"/>
            <w:hideMark/>
          </w:tcPr>
          <w:p w14:paraId="7D68331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bottom"/>
            <w:hideMark/>
          </w:tcPr>
          <w:p w14:paraId="217C947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bottom"/>
            <w:hideMark/>
          </w:tcPr>
          <w:p w14:paraId="4359033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bottom"/>
            <w:hideMark/>
          </w:tcPr>
          <w:p w14:paraId="48DDD26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bottom"/>
            <w:hideMark/>
          </w:tcPr>
          <w:p w14:paraId="00DD05A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bottom"/>
            <w:hideMark/>
          </w:tcPr>
          <w:p w14:paraId="3A2E5113" w14:textId="656E9A7C"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6BFB06D2"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bottom"/>
            <w:hideMark/>
          </w:tcPr>
          <w:p w14:paraId="138A9821"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1.1.1.2</w:t>
            </w:r>
          </w:p>
        </w:tc>
        <w:tc>
          <w:tcPr>
            <w:tcW w:w="281" w:type="pct"/>
            <w:tcBorders>
              <w:top w:val="nil"/>
              <w:left w:val="nil"/>
              <w:bottom w:val="single" w:sz="4" w:space="0" w:color="auto"/>
              <w:right w:val="single" w:sz="4" w:space="0" w:color="auto"/>
            </w:tcBorders>
            <w:shd w:val="clear" w:color="auto" w:fill="auto"/>
            <w:vAlign w:val="bottom"/>
            <w:hideMark/>
          </w:tcPr>
          <w:p w14:paraId="46FADA64"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1.1.1.2 Propozime për ndërhyrje ligjore në ligjin </w:t>
            </w:r>
            <w:r w:rsidR="00A313A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Për emigrimin e shtetasve shqiptarë për motive punësimi</w:t>
            </w:r>
            <w:r w:rsidR="00A313A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ligjin </w:t>
            </w:r>
            <w:r w:rsidR="00A313A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Për të huajt</w:t>
            </w:r>
            <w:r w:rsidR="00A313A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dhe ligjin </w:t>
            </w:r>
            <w:r w:rsidR="00A313A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Për shtetësinë</w:t>
            </w:r>
            <w:r w:rsidR="00A313A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ligjin </w:t>
            </w:r>
            <w:r w:rsidR="00A313A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Për azilin në RSH</w:t>
            </w:r>
            <w:r w:rsidR="00A313AE" w:rsidRPr="00B457F5">
              <w:rPr>
                <w:rFonts w:ascii="Garamond" w:eastAsia="Times New Roman" w:hAnsi="Garamond" w:cs="Times New Roman"/>
                <w:color w:val="000000"/>
                <w:sz w:val="4"/>
                <w:szCs w:val="10"/>
              </w:rPr>
              <w:t>”</w:t>
            </w:r>
          </w:p>
        </w:tc>
        <w:tc>
          <w:tcPr>
            <w:tcW w:w="186" w:type="pct"/>
            <w:tcBorders>
              <w:top w:val="nil"/>
              <w:left w:val="nil"/>
              <w:bottom w:val="single" w:sz="4" w:space="0" w:color="auto"/>
              <w:right w:val="single" w:sz="4" w:space="0" w:color="auto"/>
            </w:tcBorders>
            <w:shd w:val="clear" w:color="auto" w:fill="auto"/>
            <w:vAlign w:val="bottom"/>
            <w:hideMark/>
          </w:tcPr>
          <w:p w14:paraId="20991535"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noWrap/>
            <w:vAlign w:val="bottom"/>
            <w:hideMark/>
          </w:tcPr>
          <w:p w14:paraId="2BCF54C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w:t>
            </w:r>
          </w:p>
        </w:tc>
        <w:tc>
          <w:tcPr>
            <w:tcW w:w="244" w:type="pct"/>
            <w:tcBorders>
              <w:top w:val="nil"/>
              <w:left w:val="nil"/>
              <w:bottom w:val="single" w:sz="4" w:space="0" w:color="auto"/>
              <w:right w:val="single" w:sz="4" w:space="0" w:color="auto"/>
            </w:tcBorders>
            <w:shd w:val="clear" w:color="auto" w:fill="auto"/>
            <w:vAlign w:val="bottom"/>
            <w:hideMark/>
          </w:tcPr>
          <w:p w14:paraId="4BF4AE9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MEPJ, MEKI, MSHMS</w:t>
            </w:r>
          </w:p>
        </w:tc>
        <w:tc>
          <w:tcPr>
            <w:tcW w:w="135" w:type="pct"/>
            <w:tcBorders>
              <w:top w:val="nil"/>
              <w:left w:val="nil"/>
              <w:bottom w:val="single" w:sz="4" w:space="0" w:color="auto"/>
              <w:right w:val="single" w:sz="4" w:space="0" w:color="auto"/>
            </w:tcBorders>
            <w:shd w:val="clear" w:color="000000" w:fill="DDEBF7"/>
            <w:vAlign w:val="bottom"/>
            <w:hideMark/>
          </w:tcPr>
          <w:p w14:paraId="04DB7FBA"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bottom"/>
            <w:hideMark/>
          </w:tcPr>
          <w:p w14:paraId="73BFA90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bottom"/>
            <w:hideMark/>
          </w:tcPr>
          <w:p w14:paraId="1AC3928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9,445,528</w:t>
            </w:r>
          </w:p>
        </w:tc>
        <w:tc>
          <w:tcPr>
            <w:tcW w:w="155" w:type="pct"/>
            <w:tcBorders>
              <w:top w:val="nil"/>
              <w:left w:val="nil"/>
              <w:bottom w:val="single" w:sz="4" w:space="0" w:color="auto"/>
              <w:right w:val="single" w:sz="4" w:space="0" w:color="auto"/>
            </w:tcBorders>
            <w:shd w:val="clear" w:color="auto" w:fill="auto"/>
            <w:vAlign w:val="bottom"/>
            <w:hideMark/>
          </w:tcPr>
          <w:p w14:paraId="5BD95F5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bottom"/>
            <w:hideMark/>
          </w:tcPr>
          <w:p w14:paraId="3D2AA68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9,445,528</w:t>
            </w:r>
          </w:p>
        </w:tc>
        <w:tc>
          <w:tcPr>
            <w:tcW w:w="165" w:type="pct"/>
            <w:tcBorders>
              <w:top w:val="nil"/>
              <w:left w:val="nil"/>
              <w:bottom w:val="single" w:sz="4" w:space="0" w:color="auto"/>
              <w:right w:val="single" w:sz="4" w:space="0" w:color="auto"/>
            </w:tcBorders>
            <w:shd w:val="clear" w:color="auto" w:fill="auto"/>
            <w:vAlign w:val="bottom"/>
            <w:hideMark/>
          </w:tcPr>
          <w:p w14:paraId="2844604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9,445,528</w:t>
            </w:r>
          </w:p>
        </w:tc>
        <w:tc>
          <w:tcPr>
            <w:tcW w:w="163" w:type="pct"/>
            <w:tcBorders>
              <w:top w:val="nil"/>
              <w:left w:val="nil"/>
              <w:bottom w:val="single" w:sz="4" w:space="0" w:color="auto"/>
              <w:right w:val="single" w:sz="4" w:space="0" w:color="auto"/>
            </w:tcBorders>
            <w:shd w:val="clear" w:color="auto" w:fill="auto"/>
            <w:noWrap/>
            <w:vAlign w:val="bottom"/>
            <w:hideMark/>
          </w:tcPr>
          <w:p w14:paraId="622ED46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0 </w:t>
            </w:r>
          </w:p>
        </w:tc>
        <w:tc>
          <w:tcPr>
            <w:tcW w:w="163" w:type="pct"/>
            <w:tcBorders>
              <w:top w:val="nil"/>
              <w:left w:val="nil"/>
              <w:bottom w:val="single" w:sz="4" w:space="0" w:color="auto"/>
              <w:right w:val="single" w:sz="4" w:space="0" w:color="auto"/>
            </w:tcBorders>
            <w:shd w:val="clear" w:color="000000" w:fill="FFF2CC"/>
            <w:vAlign w:val="bottom"/>
            <w:hideMark/>
          </w:tcPr>
          <w:p w14:paraId="3996F48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9,445,528</w:t>
            </w:r>
          </w:p>
        </w:tc>
        <w:tc>
          <w:tcPr>
            <w:tcW w:w="163" w:type="pct"/>
            <w:tcBorders>
              <w:top w:val="nil"/>
              <w:left w:val="nil"/>
              <w:bottom w:val="single" w:sz="4" w:space="0" w:color="auto"/>
              <w:right w:val="single" w:sz="4" w:space="0" w:color="auto"/>
            </w:tcBorders>
            <w:shd w:val="clear" w:color="auto" w:fill="auto"/>
            <w:vAlign w:val="bottom"/>
            <w:hideMark/>
          </w:tcPr>
          <w:p w14:paraId="6F3047C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9,517,528</w:t>
            </w:r>
          </w:p>
        </w:tc>
        <w:tc>
          <w:tcPr>
            <w:tcW w:w="148" w:type="pct"/>
            <w:tcBorders>
              <w:top w:val="nil"/>
              <w:left w:val="nil"/>
              <w:bottom w:val="single" w:sz="4" w:space="0" w:color="auto"/>
              <w:right w:val="single" w:sz="4" w:space="0" w:color="auto"/>
            </w:tcBorders>
            <w:shd w:val="clear" w:color="auto" w:fill="auto"/>
            <w:vAlign w:val="bottom"/>
            <w:hideMark/>
          </w:tcPr>
          <w:p w14:paraId="2A3E312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bottom"/>
            <w:hideMark/>
          </w:tcPr>
          <w:p w14:paraId="2EF05DE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9,517,528</w:t>
            </w:r>
          </w:p>
        </w:tc>
        <w:tc>
          <w:tcPr>
            <w:tcW w:w="165" w:type="pct"/>
            <w:tcBorders>
              <w:top w:val="nil"/>
              <w:left w:val="nil"/>
              <w:bottom w:val="single" w:sz="4" w:space="0" w:color="auto"/>
              <w:right w:val="single" w:sz="4" w:space="0" w:color="auto"/>
            </w:tcBorders>
            <w:shd w:val="clear" w:color="auto" w:fill="auto"/>
            <w:vAlign w:val="bottom"/>
            <w:hideMark/>
          </w:tcPr>
          <w:p w14:paraId="564EBA8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28,408,584</w:t>
            </w:r>
          </w:p>
        </w:tc>
        <w:tc>
          <w:tcPr>
            <w:tcW w:w="163" w:type="pct"/>
            <w:tcBorders>
              <w:top w:val="nil"/>
              <w:left w:val="nil"/>
              <w:bottom w:val="single" w:sz="4" w:space="0" w:color="auto"/>
              <w:right w:val="single" w:sz="4" w:space="0" w:color="auto"/>
            </w:tcBorders>
            <w:shd w:val="clear" w:color="auto" w:fill="auto"/>
            <w:vAlign w:val="bottom"/>
            <w:hideMark/>
          </w:tcPr>
          <w:p w14:paraId="2557EBC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bottom"/>
            <w:hideMark/>
          </w:tcPr>
          <w:p w14:paraId="38FCCD0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28,408,584</w:t>
            </w:r>
          </w:p>
        </w:tc>
        <w:tc>
          <w:tcPr>
            <w:tcW w:w="163" w:type="pct"/>
            <w:tcBorders>
              <w:top w:val="nil"/>
              <w:left w:val="nil"/>
              <w:bottom w:val="single" w:sz="4" w:space="0" w:color="auto"/>
              <w:right w:val="single" w:sz="4" w:space="0" w:color="auto"/>
            </w:tcBorders>
            <w:shd w:val="clear" w:color="auto" w:fill="auto"/>
            <w:vAlign w:val="bottom"/>
            <w:hideMark/>
          </w:tcPr>
          <w:p w14:paraId="5551F43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23,818,584</w:t>
            </w:r>
          </w:p>
        </w:tc>
        <w:tc>
          <w:tcPr>
            <w:tcW w:w="155" w:type="pct"/>
            <w:tcBorders>
              <w:top w:val="nil"/>
              <w:left w:val="nil"/>
              <w:bottom w:val="single" w:sz="4" w:space="0" w:color="auto"/>
              <w:right w:val="single" w:sz="4" w:space="0" w:color="auto"/>
            </w:tcBorders>
            <w:shd w:val="clear" w:color="auto" w:fill="auto"/>
            <w:vAlign w:val="bottom"/>
            <w:hideMark/>
          </w:tcPr>
          <w:p w14:paraId="44137D3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bottom"/>
            <w:hideMark/>
          </w:tcPr>
          <w:p w14:paraId="3AB74B2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23,818,584</w:t>
            </w:r>
          </w:p>
        </w:tc>
        <w:tc>
          <w:tcPr>
            <w:tcW w:w="162" w:type="pct"/>
            <w:tcBorders>
              <w:top w:val="nil"/>
              <w:left w:val="nil"/>
              <w:bottom w:val="single" w:sz="4" w:space="0" w:color="auto"/>
              <w:right w:val="single" w:sz="4" w:space="0" w:color="auto"/>
            </w:tcBorders>
            <w:shd w:val="clear" w:color="auto" w:fill="auto"/>
            <w:vAlign w:val="bottom"/>
            <w:hideMark/>
          </w:tcPr>
          <w:p w14:paraId="24CBA68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bottom"/>
            <w:hideMark/>
          </w:tcPr>
          <w:p w14:paraId="33C1920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bottom"/>
            <w:hideMark/>
          </w:tcPr>
          <w:p w14:paraId="240C7E8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bottom"/>
            <w:hideMark/>
          </w:tcPr>
          <w:p w14:paraId="0E5E9BF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bottom"/>
            <w:hideMark/>
          </w:tcPr>
          <w:p w14:paraId="5E914E6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bottom"/>
            <w:hideMark/>
          </w:tcPr>
          <w:p w14:paraId="0779CE2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bottom"/>
            <w:hideMark/>
          </w:tcPr>
          <w:p w14:paraId="66E6E7B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bottom"/>
            <w:hideMark/>
          </w:tcPr>
          <w:p w14:paraId="43534140" w14:textId="15E4BAD1"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(4,590,000)</w:t>
            </w:r>
          </w:p>
        </w:tc>
      </w:tr>
      <w:tr w:rsidR="00C260C3" w:rsidRPr="00B457F5" w14:paraId="1CA4EBDC"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bottom"/>
            <w:hideMark/>
          </w:tcPr>
          <w:p w14:paraId="18418693"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1.1.1.3</w:t>
            </w:r>
          </w:p>
        </w:tc>
        <w:tc>
          <w:tcPr>
            <w:tcW w:w="281" w:type="pct"/>
            <w:tcBorders>
              <w:top w:val="nil"/>
              <w:left w:val="nil"/>
              <w:bottom w:val="single" w:sz="4" w:space="0" w:color="auto"/>
              <w:right w:val="single" w:sz="4" w:space="0" w:color="auto"/>
            </w:tcBorders>
            <w:shd w:val="clear" w:color="auto" w:fill="auto"/>
            <w:vAlign w:val="bottom"/>
            <w:hideMark/>
          </w:tcPr>
          <w:p w14:paraId="24D4789D" w14:textId="11EFCE68"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1.1.1.3 Vlerësimi i nevojave për ndryshime ligjore n</w:t>
            </w:r>
            <w:r w:rsidR="002803F2" w:rsidRPr="00B457F5">
              <w:rPr>
                <w:rFonts w:ascii="Garamond" w:eastAsia="Times New Roman" w:hAnsi="Garamond" w:cs="Times New Roman"/>
                <w:color w:val="000000"/>
                <w:sz w:val="4"/>
                <w:szCs w:val="10"/>
              </w:rPr>
              <w:t>ë</w:t>
            </w:r>
            <w:r w:rsidRPr="00B457F5">
              <w:rPr>
                <w:rFonts w:ascii="Garamond" w:eastAsia="Times New Roman" w:hAnsi="Garamond" w:cs="Times New Roman"/>
                <w:color w:val="000000"/>
                <w:sz w:val="4"/>
                <w:szCs w:val="10"/>
              </w:rPr>
              <w:t xml:space="preserve"> ligjin nr.</w:t>
            </w:r>
            <w:r w:rsidR="006A63AF" w:rsidRPr="00B457F5">
              <w:rPr>
                <w:rFonts w:ascii="Garamond" w:eastAsia="Times New Roman" w:hAnsi="Garamond" w:cs="Times New Roman"/>
                <w:color w:val="000000"/>
                <w:sz w:val="4"/>
                <w:szCs w:val="10"/>
              </w:rPr>
              <w:t xml:space="preserve"> </w:t>
            </w:r>
            <w:r w:rsidRPr="00B457F5">
              <w:rPr>
                <w:rFonts w:ascii="Garamond" w:eastAsia="Times New Roman" w:hAnsi="Garamond" w:cs="Times New Roman"/>
                <w:color w:val="000000"/>
                <w:sz w:val="4"/>
                <w:szCs w:val="10"/>
              </w:rPr>
              <w:t>111/2017</w:t>
            </w:r>
            <w:r w:rsidR="006A63AF"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w:t>
            </w:r>
            <w:r w:rsidR="006A63AF"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Për ndihmën juridike të garantuar nga shteti</w:t>
            </w:r>
            <w:r w:rsidR="00A313AE" w:rsidRPr="00B457F5">
              <w:rPr>
                <w:rFonts w:ascii="Garamond" w:eastAsia="Times New Roman" w:hAnsi="Garamond" w:cs="Times New Roman"/>
                <w:color w:val="000000"/>
                <w:sz w:val="4"/>
                <w:szCs w:val="10"/>
              </w:rPr>
              <w:t>”</w:t>
            </w:r>
            <w:r w:rsidR="001743B4"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për përfshirjen në target</w:t>
            </w:r>
            <w:r w:rsidR="001743B4" w:rsidRPr="00B457F5">
              <w:rPr>
                <w:rFonts w:ascii="Garamond" w:eastAsia="Times New Roman" w:hAnsi="Garamond" w:cs="Times New Roman"/>
                <w:color w:val="000000"/>
                <w:sz w:val="4"/>
                <w:szCs w:val="10"/>
              </w:rPr>
              <w:t xml:space="preserve"> </w:t>
            </w:r>
            <w:r w:rsidRPr="00B457F5">
              <w:rPr>
                <w:rFonts w:ascii="Garamond" w:eastAsia="Times New Roman" w:hAnsi="Garamond" w:cs="Times New Roman"/>
                <w:color w:val="000000"/>
                <w:sz w:val="4"/>
                <w:szCs w:val="10"/>
              </w:rPr>
              <w:t xml:space="preserve">grupin e personave që përfitojnë ndihmë ligjore falas dhe migrantët e parregullt </w:t>
            </w:r>
          </w:p>
        </w:tc>
        <w:tc>
          <w:tcPr>
            <w:tcW w:w="186" w:type="pct"/>
            <w:tcBorders>
              <w:top w:val="nil"/>
              <w:left w:val="nil"/>
              <w:bottom w:val="single" w:sz="4" w:space="0" w:color="auto"/>
              <w:right w:val="single" w:sz="4" w:space="0" w:color="auto"/>
            </w:tcBorders>
            <w:shd w:val="clear" w:color="auto" w:fill="auto"/>
            <w:vAlign w:val="bottom"/>
            <w:hideMark/>
          </w:tcPr>
          <w:p w14:paraId="0623F64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bottom"/>
            <w:hideMark/>
          </w:tcPr>
          <w:p w14:paraId="2CAADF9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w:t>
            </w:r>
          </w:p>
        </w:tc>
        <w:tc>
          <w:tcPr>
            <w:tcW w:w="244" w:type="pct"/>
            <w:tcBorders>
              <w:top w:val="nil"/>
              <w:left w:val="nil"/>
              <w:bottom w:val="single" w:sz="4" w:space="0" w:color="auto"/>
              <w:right w:val="single" w:sz="4" w:space="0" w:color="auto"/>
            </w:tcBorders>
            <w:shd w:val="clear" w:color="auto" w:fill="auto"/>
            <w:vAlign w:val="bottom"/>
            <w:hideMark/>
          </w:tcPr>
          <w:p w14:paraId="324FDA9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MD, DNJF</w:t>
            </w:r>
          </w:p>
        </w:tc>
        <w:tc>
          <w:tcPr>
            <w:tcW w:w="135" w:type="pct"/>
            <w:tcBorders>
              <w:top w:val="nil"/>
              <w:left w:val="nil"/>
              <w:bottom w:val="single" w:sz="4" w:space="0" w:color="auto"/>
              <w:right w:val="single" w:sz="4" w:space="0" w:color="auto"/>
            </w:tcBorders>
            <w:shd w:val="clear" w:color="000000" w:fill="DDEBF7"/>
            <w:vAlign w:val="bottom"/>
            <w:hideMark/>
          </w:tcPr>
          <w:p w14:paraId="3C8120E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bottom"/>
            <w:hideMark/>
          </w:tcPr>
          <w:p w14:paraId="40D72BA9"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bottom"/>
            <w:hideMark/>
          </w:tcPr>
          <w:p w14:paraId="19B2B6A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1,289,441</w:t>
            </w:r>
          </w:p>
        </w:tc>
        <w:tc>
          <w:tcPr>
            <w:tcW w:w="155" w:type="pct"/>
            <w:tcBorders>
              <w:top w:val="nil"/>
              <w:left w:val="nil"/>
              <w:bottom w:val="single" w:sz="4" w:space="0" w:color="auto"/>
              <w:right w:val="single" w:sz="4" w:space="0" w:color="auto"/>
            </w:tcBorders>
            <w:shd w:val="clear" w:color="auto" w:fill="auto"/>
            <w:vAlign w:val="bottom"/>
            <w:hideMark/>
          </w:tcPr>
          <w:p w14:paraId="781610B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bottom"/>
            <w:hideMark/>
          </w:tcPr>
          <w:p w14:paraId="018C137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1,289,441</w:t>
            </w:r>
          </w:p>
        </w:tc>
        <w:tc>
          <w:tcPr>
            <w:tcW w:w="165" w:type="pct"/>
            <w:tcBorders>
              <w:top w:val="nil"/>
              <w:left w:val="nil"/>
              <w:bottom w:val="single" w:sz="4" w:space="0" w:color="auto"/>
              <w:right w:val="single" w:sz="4" w:space="0" w:color="auto"/>
            </w:tcBorders>
            <w:shd w:val="clear" w:color="auto" w:fill="auto"/>
            <w:vAlign w:val="bottom"/>
            <w:hideMark/>
          </w:tcPr>
          <w:p w14:paraId="75D3DE7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1,289,441</w:t>
            </w:r>
          </w:p>
        </w:tc>
        <w:tc>
          <w:tcPr>
            <w:tcW w:w="163" w:type="pct"/>
            <w:tcBorders>
              <w:top w:val="nil"/>
              <w:left w:val="nil"/>
              <w:bottom w:val="single" w:sz="4" w:space="0" w:color="auto"/>
              <w:right w:val="single" w:sz="4" w:space="0" w:color="auto"/>
            </w:tcBorders>
            <w:shd w:val="clear" w:color="auto" w:fill="auto"/>
            <w:noWrap/>
            <w:vAlign w:val="bottom"/>
            <w:hideMark/>
          </w:tcPr>
          <w:p w14:paraId="5C09C54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0 </w:t>
            </w:r>
          </w:p>
        </w:tc>
        <w:tc>
          <w:tcPr>
            <w:tcW w:w="163" w:type="pct"/>
            <w:tcBorders>
              <w:top w:val="nil"/>
              <w:left w:val="nil"/>
              <w:bottom w:val="single" w:sz="4" w:space="0" w:color="auto"/>
              <w:right w:val="single" w:sz="4" w:space="0" w:color="auto"/>
            </w:tcBorders>
            <w:shd w:val="clear" w:color="000000" w:fill="FFF2CC"/>
            <w:vAlign w:val="bottom"/>
            <w:hideMark/>
          </w:tcPr>
          <w:p w14:paraId="7DE248E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1,289,441</w:t>
            </w:r>
          </w:p>
        </w:tc>
        <w:tc>
          <w:tcPr>
            <w:tcW w:w="163" w:type="pct"/>
            <w:tcBorders>
              <w:top w:val="nil"/>
              <w:left w:val="nil"/>
              <w:bottom w:val="single" w:sz="4" w:space="0" w:color="auto"/>
              <w:right w:val="single" w:sz="4" w:space="0" w:color="auto"/>
            </w:tcBorders>
            <w:shd w:val="clear" w:color="auto" w:fill="auto"/>
            <w:vAlign w:val="bottom"/>
            <w:hideMark/>
          </w:tcPr>
          <w:p w14:paraId="6D1489E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1,289,441</w:t>
            </w:r>
          </w:p>
        </w:tc>
        <w:tc>
          <w:tcPr>
            <w:tcW w:w="148" w:type="pct"/>
            <w:tcBorders>
              <w:top w:val="nil"/>
              <w:left w:val="nil"/>
              <w:bottom w:val="single" w:sz="4" w:space="0" w:color="auto"/>
              <w:right w:val="single" w:sz="4" w:space="0" w:color="auto"/>
            </w:tcBorders>
            <w:shd w:val="clear" w:color="auto" w:fill="auto"/>
            <w:vAlign w:val="bottom"/>
            <w:hideMark/>
          </w:tcPr>
          <w:p w14:paraId="47FB730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bottom"/>
            <w:hideMark/>
          </w:tcPr>
          <w:p w14:paraId="1477D29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1,289,441</w:t>
            </w:r>
          </w:p>
        </w:tc>
        <w:tc>
          <w:tcPr>
            <w:tcW w:w="165" w:type="pct"/>
            <w:tcBorders>
              <w:top w:val="nil"/>
              <w:left w:val="nil"/>
              <w:bottom w:val="single" w:sz="4" w:space="0" w:color="auto"/>
              <w:right w:val="single" w:sz="4" w:space="0" w:color="auto"/>
            </w:tcBorders>
            <w:shd w:val="clear" w:color="auto" w:fill="auto"/>
            <w:vAlign w:val="bottom"/>
            <w:hideMark/>
          </w:tcPr>
          <w:p w14:paraId="53D6D3E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3,868,323</w:t>
            </w:r>
          </w:p>
        </w:tc>
        <w:tc>
          <w:tcPr>
            <w:tcW w:w="163" w:type="pct"/>
            <w:tcBorders>
              <w:top w:val="nil"/>
              <w:left w:val="nil"/>
              <w:bottom w:val="single" w:sz="4" w:space="0" w:color="auto"/>
              <w:right w:val="single" w:sz="4" w:space="0" w:color="auto"/>
            </w:tcBorders>
            <w:shd w:val="clear" w:color="auto" w:fill="auto"/>
            <w:vAlign w:val="bottom"/>
            <w:hideMark/>
          </w:tcPr>
          <w:p w14:paraId="738C381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bottom"/>
            <w:hideMark/>
          </w:tcPr>
          <w:p w14:paraId="65505E6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3,868,323</w:t>
            </w:r>
          </w:p>
        </w:tc>
        <w:tc>
          <w:tcPr>
            <w:tcW w:w="163" w:type="pct"/>
            <w:tcBorders>
              <w:top w:val="nil"/>
              <w:left w:val="nil"/>
              <w:bottom w:val="single" w:sz="4" w:space="0" w:color="auto"/>
              <w:right w:val="single" w:sz="4" w:space="0" w:color="auto"/>
            </w:tcBorders>
            <w:shd w:val="clear" w:color="auto" w:fill="auto"/>
            <w:vAlign w:val="bottom"/>
            <w:hideMark/>
          </w:tcPr>
          <w:p w14:paraId="5743BC3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2,968,323</w:t>
            </w:r>
          </w:p>
        </w:tc>
        <w:tc>
          <w:tcPr>
            <w:tcW w:w="155" w:type="pct"/>
            <w:tcBorders>
              <w:top w:val="nil"/>
              <w:left w:val="nil"/>
              <w:bottom w:val="single" w:sz="4" w:space="0" w:color="auto"/>
              <w:right w:val="single" w:sz="4" w:space="0" w:color="auto"/>
            </w:tcBorders>
            <w:shd w:val="clear" w:color="auto" w:fill="auto"/>
            <w:vAlign w:val="bottom"/>
            <w:hideMark/>
          </w:tcPr>
          <w:p w14:paraId="5C9949E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bottom"/>
            <w:hideMark/>
          </w:tcPr>
          <w:p w14:paraId="7FB5D3C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2,968,323</w:t>
            </w:r>
          </w:p>
        </w:tc>
        <w:tc>
          <w:tcPr>
            <w:tcW w:w="162" w:type="pct"/>
            <w:tcBorders>
              <w:top w:val="nil"/>
              <w:left w:val="nil"/>
              <w:bottom w:val="single" w:sz="4" w:space="0" w:color="auto"/>
              <w:right w:val="single" w:sz="4" w:space="0" w:color="auto"/>
            </w:tcBorders>
            <w:shd w:val="clear" w:color="auto" w:fill="auto"/>
            <w:vAlign w:val="bottom"/>
            <w:hideMark/>
          </w:tcPr>
          <w:p w14:paraId="7D8B3CF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bottom"/>
            <w:hideMark/>
          </w:tcPr>
          <w:p w14:paraId="61AF5D6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bottom"/>
            <w:hideMark/>
          </w:tcPr>
          <w:p w14:paraId="1F9EE16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bottom"/>
            <w:hideMark/>
          </w:tcPr>
          <w:p w14:paraId="2D3A13F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bottom"/>
            <w:hideMark/>
          </w:tcPr>
          <w:p w14:paraId="281CEBF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bottom"/>
            <w:hideMark/>
          </w:tcPr>
          <w:p w14:paraId="7895E2A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bottom"/>
            <w:hideMark/>
          </w:tcPr>
          <w:p w14:paraId="29263FF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bottom"/>
            <w:hideMark/>
          </w:tcPr>
          <w:p w14:paraId="3B71ED2F" w14:textId="05DDDD8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(900,000)</w:t>
            </w:r>
          </w:p>
        </w:tc>
      </w:tr>
      <w:tr w:rsidR="00C260C3" w:rsidRPr="00B457F5" w14:paraId="044CE18D"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bottom"/>
            <w:hideMark/>
          </w:tcPr>
          <w:p w14:paraId="7DF90AD8"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1.1.1.4</w:t>
            </w:r>
          </w:p>
        </w:tc>
        <w:tc>
          <w:tcPr>
            <w:tcW w:w="281" w:type="pct"/>
            <w:tcBorders>
              <w:top w:val="nil"/>
              <w:left w:val="nil"/>
              <w:bottom w:val="single" w:sz="4" w:space="0" w:color="auto"/>
              <w:right w:val="single" w:sz="4" w:space="0" w:color="auto"/>
            </w:tcBorders>
            <w:shd w:val="clear" w:color="auto" w:fill="auto"/>
            <w:vAlign w:val="bottom"/>
            <w:hideMark/>
          </w:tcPr>
          <w:p w14:paraId="5621FBF3"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1.1.1.4 Vlerësimi i statusit të ratifikimit, monitorimit dhe raportimit të nivelit të zbatimit të konventave të ratifikuara që kanë lidhje në mënyrë të drejtpërdrejtë ose të tërthortë me garantimin e të drejtave të migrantëve</w:t>
            </w:r>
          </w:p>
        </w:tc>
        <w:tc>
          <w:tcPr>
            <w:tcW w:w="186" w:type="pct"/>
            <w:tcBorders>
              <w:top w:val="nil"/>
              <w:left w:val="nil"/>
              <w:bottom w:val="single" w:sz="4" w:space="0" w:color="auto"/>
              <w:right w:val="single" w:sz="4" w:space="0" w:color="auto"/>
            </w:tcBorders>
            <w:shd w:val="clear" w:color="auto" w:fill="auto"/>
            <w:vAlign w:val="bottom"/>
            <w:hideMark/>
          </w:tcPr>
          <w:p w14:paraId="70CB804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(15)</w:t>
            </w:r>
          </w:p>
        </w:tc>
        <w:tc>
          <w:tcPr>
            <w:tcW w:w="169" w:type="pct"/>
            <w:tcBorders>
              <w:top w:val="nil"/>
              <w:left w:val="nil"/>
              <w:bottom w:val="single" w:sz="4" w:space="0" w:color="auto"/>
              <w:right w:val="single" w:sz="4" w:space="0" w:color="auto"/>
            </w:tcBorders>
            <w:shd w:val="clear" w:color="auto" w:fill="auto"/>
            <w:vAlign w:val="bottom"/>
            <w:hideMark/>
          </w:tcPr>
          <w:p w14:paraId="4A0600C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MEPJ </w:t>
            </w:r>
          </w:p>
        </w:tc>
        <w:tc>
          <w:tcPr>
            <w:tcW w:w="244" w:type="pct"/>
            <w:tcBorders>
              <w:top w:val="nil"/>
              <w:left w:val="nil"/>
              <w:bottom w:val="single" w:sz="4" w:space="0" w:color="auto"/>
              <w:right w:val="single" w:sz="4" w:space="0" w:color="auto"/>
            </w:tcBorders>
            <w:shd w:val="clear" w:color="auto" w:fill="auto"/>
            <w:vAlign w:val="bottom"/>
            <w:hideMark/>
          </w:tcPr>
          <w:p w14:paraId="6359E25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Të gjitha ministritë e linjës</w:t>
            </w:r>
          </w:p>
        </w:tc>
        <w:tc>
          <w:tcPr>
            <w:tcW w:w="135" w:type="pct"/>
            <w:tcBorders>
              <w:top w:val="nil"/>
              <w:left w:val="nil"/>
              <w:bottom w:val="single" w:sz="4" w:space="0" w:color="auto"/>
              <w:right w:val="single" w:sz="4" w:space="0" w:color="auto"/>
            </w:tcBorders>
            <w:shd w:val="clear" w:color="000000" w:fill="DDEBF7"/>
            <w:vAlign w:val="bottom"/>
            <w:hideMark/>
          </w:tcPr>
          <w:p w14:paraId="0A4CCE9E"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bottom"/>
            <w:hideMark/>
          </w:tcPr>
          <w:p w14:paraId="3F9F40EA"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bottom"/>
            <w:hideMark/>
          </w:tcPr>
          <w:p w14:paraId="5B8A2FB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1,349,776</w:t>
            </w:r>
          </w:p>
        </w:tc>
        <w:tc>
          <w:tcPr>
            <w:tcW w:w="155" w:type="pct"/>
            <w:tcBorders>
              <w:top w:val="nil"/>
              <w:left w:val="nil"/>
              <w:bottom w:val="single" w:sz="4" w:space="0" w:color="auto"/>
              <w:right w:val="single" w:sz="4" w:space="0" w:color="auto"/>
            </w:tcBorders>
            <w:shd w:val="clear" w:color="auto" w:fill="auto"/>
            <w:vAlign w:val="bottom"/>
            <w:hideMark/>
          </w:tcPr>
          <w:p w14:paraId="5F55701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bottom"/>
            <w:hideMark/>
          </w:tcPr>
          <w:p w14:paraId="6BBA492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1,349,776</w:t>
            </w:r>
          </w:p>
        </w:tc>
        <w:tc>
          <w:tcPr>
            <w:tcW w:w="165" w:type="pct"/>
            <w:tcBorders>
              <w:top w:val="nil"/>
              <w:left w:val="nil"/>
              <w:bottom w:val="single" w:sz="4" w:space="0" w:color="auto"/>
              <w:right w:val="single" w:sz="4" w:space="0" w:color="auto"/>
            </w:tcBorders>
            <w:shd w:val="clear" w:color="auto" w:fill="auto"/>
            <w:vAlign w:val="bottom"/>
            <w:hideMark/>
          </w:tcPr>
          <w:p w14:paraId="6494F70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1,349,776</w:t>
            </w:r>
          </w:p>
        </w:tc>
        <w:tc>
          <w:tcPr>
            <w:tcW w:w="163" w:type="pct"/>
            <w:tcBorders>
              <w:top w:val="nil"/>
              <w:left w:val="nil"/>
              <w:bottom w:val="single" w:sz="4" w:space="0" w:color="auto"/>
              <w:right w:val="single" w:sz="4" w:space="0" w:color="auto"/>
            </w:tcBorders>
            <w:shd w:val="clear" w:color="auto" w:fill="auto"/>
            <w:noWrap/>
            <w:vAlign w:val="bottom"/>
            <w:hideMark/>
          </w:tcPr>
          <w:p w14:paraId="41D547E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0 </w:t>
            </w:r>
          </w:p>
        </w:tc>
        <w:tc>
          <w:tcPr>
            <w:tcW w:w="163" w:type="pct"/>
            <w:tcBorders>
              <w:top w:val="nil"/>
              <w:left w:val="nil"/>
              <w:bottom w:val="single" w:sz="4" w:space="0" w:color="auto"/>
              <w:right w:val="single" w:sz="4" w:space="0" w:color="auto"/>
            </w:tcBorders>
            <w:shd w:val="clear" w:color="000000" w:fill="FFF2CC"/>
            <w:vAlign w:val="bottom"/>
            <w:hideMark/>
          </w:tcPr>
          <w:p w14:paraId="2E34D8B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1,349,776</w:t>
            </w:r>
          </w:p>
        </w:tc>
        <w:tc>
          <w:tcPr>
            <w:tcW w:w="163" w:type="pct"/>
            <w:tcBorders>
              <w:top w:val="nil"/>
              <w:left w:val="nil"/>
              <w:bottom w:val="single" w:sz="4" w:space="0" w:color="auto"/>
              <w:right w:val="single" w:sz="4" w:space="0" w:color="auto"/>
            </w:tcBorders>
            <w:shd w:val="clear" w:color="auto" w:fill="auto"/>
            <w:vAlign w:val="bottom"/>
            <w:hideMark/>
          </w:tcPr>
          <w:p w14:paraId="3C69BB5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1,349,776</w:t>
            </w:r>
          </w:p>
        </w:tc>
        <w:tc>
          <w:tcPr>
            <w:tcW w:w="148" w:type="pct"/>
            <w:tcBorders>
              <w:top w:val="nil"/>
              <w:left w:val="nil"/>
              <w:bottom w:val="single" w:sz="4" w:space="0" w:color="auto"/>
              <w:right w:val="single" w:sz="4" w:space="0" w:color="auto"/>
            </w:tcBorders>
            <w:shd w:val="clear" w:color="auto" w:fill="auto"/>
            <w:vAlign w:val="bottom"/>
            <w:hideMark/>
          </w:tcPr>
          <w:p w14:paraId="3F45E06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bottom"/>
            <w:hideMark/>
          </w:tcPr>
          <w:p w14:paraId="76BEFF1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1,349,776</w:t>
            </w:r>
          </w:p>
        </w:tc>
        <w:tc>
          <w:tcPr>
            <w:tcW w:w="165" w:type="pct"/>
            <w:tcBorders>
              <w:top w:val="nil"/>
              <w:left w:val="nil"/>
              <w:bottom w:val="single" w:sz="4" w:space="0" w:color="auto"/>
              <w:right w:val="single" w:sz="4" w:space="0" w:color="auto"/>
            </w:tcBorders>
            <w:shd w:val="clear" w:color="auto" w:fill="auto"/>
            <w:vAlign w:val="bottom"/>
            <w:hideMark/>
          </w:tcPr>
          <w:p w14:paraId="184E467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4,049,328</w:t>
            </w:r>
          </w:p>
        </w:tc>
        <w:tc>
          <w:tcPr>
            <w:tcW w:w="163" w:type="pct"/>
            <w:tcBorders>
              <w:top w:val="nil"/>
              <w:left w:val="nil"/>
              <w:bottom w:val="single" w:sz="4" w:space="0" w:color="auto"/>
              <w:right w:val="single" w:sz="4" w:space="0" w:color="auto"/>
            </w:tcBorders>
            <w:shd w:val="clear" w:color="auto" w:fill="auto"/>
            <w:vAlign w:val="bottom"/>
            <w:hideMark/>
          </w:tcPr>
          <w:p w14:paraId="0DF1326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bottom"/>
            <w:hideMark/>
          </w:tcPr>
          <w:p w14:paraId="7927224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4,049,328</w:t>
            </w:r>
          </w:p>
        </w:tc>
        <w:tc>
          <w:tcPr>
            <w:tcW w:w="163" w:type="pct"/>
            <w:tcBorders>
              <w:top w:val="nil"/>
              <w:left w:val="nil"/>
              <w:bottom w:val="single" w:sz="4" w:space="0" w:color="auto"/>
              <w:right w:val="single" w:sz="4" w:space="0" w:color="auto"/>
            </w:tcBorders>
            <w:shd w:val="clear" w:color="auto" w:fill="auto"/>
            <w:vAlign w:val="bottom"/>
            <w:hideMark/>
          </w:tcPr>
          <w:p w14:paraId="6D5A287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1,349,328</w:t>
            </w:r>
          </w:p>
        </w:tc>
        <w:tc>
          <w:tcPr>
            <w:tcW w:w="155" w:type="pct"/>
            <w:tcBorders>
              <w:top w:val="nil"/>
              <w:left w:val="nil"/>
              <w:bottom w:val="single" w:sz="4" w:space="0" w:color="auto"/>
              <w:right w:val="single" w:sz="4" w:space="0" w:color="auto"/>
            </w:tcBorders>
            <w:shd w:val="clear" w:color="auto" w:fill="auto"/>
            <w:vAlign w:val="bottom"/>
            <w:hideMark/>
          </w:tcPr>
          <w:p w14:paraId="36CEA1F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bottom"/>
            <w:hideMark/>
          </w:tcPr>
          <w:p w14:paraId="302840A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1,349,328</w:t>
            </w:r>
          </w:p>
        </w:tc>
        <w:tc>
          <w:tcPr>
            <w:tcW w:w="162" w:type="pct"/>
            <w:tcBorders>
              <w:top w:val="nil"/>
              <w:left w:val="nil"/>
              <w:bottom w:val="single" w:sz="4" w:space="0" w:color="auto"/>
              <w:right w:val="single" w:sz="4" w:space="0" w:color="auto"/>
            </w:tcBorders>
            <w:shd w:val="clear" w:color="auto" w:fill="auto"/>
            <w:vAlign w:val="bottom"/>
            <w:hideMark/>
          </w:tcPr>
          <w:p w14:paraId="1344D17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bottom"/>
            <w:hideMark/>
          </w:tcPr>
          <w:p w14:paraId="5224555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bottom"/>
            <w:hideMark/>
          </w:tcPr>
          <w:p w14:paraId="56EAAA4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bottom"/>
            <w:hideMark/>
          </w:tcPr>
          <w:p w14:paraId="0393E83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bottom"/>
            <w:hideMark/>
          </w:tcPr>
          <w:p w14:paraId="5C40988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bottom"/>
            <w:hideMark/>
          </w:tcPr>
          <w:p w14:paraId="3528CB1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bottom"/>
            <w:hideMark/>
          </w:tcPr>
          <w:p w14:paraId="7902F1F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bottom"/>
            <w:hideMark/>
          </w:tcPr>
          <w:p w14:paraId="010A5433" w14:textId="02DFA664"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(2,700,000)</w:t>
            </w:r>
          </w:p>
        </w:tc>
      </w:tr>
      <w:tr w:rsidR="00C260C3" w:rsidRPr="00B457F5" w14:paraId="223C027A"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bottom"/>
            <w:hideMark/>
          </w:tcPr>
          <w:p w14:paraId="14759A78"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1.1.1.5</w:t>
            </w:r>
          </w:p>
        </w:tc>
        <w:tc>
          <w:tcPr>
            <w:tcW w:w="281" w:type="pct"/>
            <w:tcBorders>
              <w:top w:val="nil"/>
              <w:left w:val="nil"/>
              <w:bottom w:val="single" w:sz="4" w:space="0" w:color="auto"/>
              <w:right w:val="single" w:sz="4" w:space="0" w:color="auto"/>
            </w:tcBorders>
            <w:shd w:val="clear" w:color="auto" w:fill="auto"/>
            <w:vAlign w:val="bottom"/>
            <w:hideMark/>
          </w:tcPr>
          <w:p w14:paraId="7EB3AE10"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1.1.1.5 Hartimi dhe miratimi i një udhëzimi të përbashkët për të rregulluar ndërveprimin institucional për monitorimin e periodik për hyrjen, qëndrimin dhe punësimin e të huajve</w:t>
            </w:r>
          </w:p>
        </w:tc>
        <w:tc>
          <w:tcPr>
            <w:tcW w:w="186" w:type="pct"/>
            <w:tcBorders>
              <w:top w:val="nil"/>
              <w:left w:val="nil"/>
              <w:bottom w:val="single" w:sz="4" w:space="0" w:color="auto"/>
              <w:right w:val="single" w:sz="4" w:space="0" w:color="auto"/>
            </w:tcBorders>
            <w:shd w:val="clear" w:color="auto" w:fill="auto"/>
            <w:vAlign w:val="bottom"/>
            <w:hideMark/>
          </w:tcPr>
          <w:p w14:paraId="4E298CC9"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bottom"/>
            <w:hideMark/>
          </w:tcPr>
          <w:p w14:paraId="2B0AD98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w:t>
            </w:r>
          </w:p>
        </w:tc>
        <w:tc>
          <w:tcPr>
            <w:tcW w:w="244" w:type="pct"/>
            <w:tcBorders>
              <w:top w:val="nil"/>
              <w:left w:val="nil"/>
              <w:bottom w:val="single" w:sz="4" w:space="0" w:color="auto"/>
              <w:right w:val="single" w:sz="4" w:space="0" w:color="auto"/>
            </w:tcBorders>
            <w:shd w:val="clear" w:color="auto" w:fill="auto"/>
            <w:vAlign w:val="bottom"/>
            <w:hideMark/>
          </w:tcPr>
          <w:p w14:paraId="5A470593" w14:textId="4C0CBE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Inspektorati </w:t>
            </w:r>
            <w:r w:rsidR="002803F2" w:rsidRPr="00B457F5">
              <w:rPr>
                <w:rFonts w:ascii="Garamond" w:eastAsia="Times New Roman" w:hAnsi="Garamond" w:cs="Times New Roman"/>
                <w:color w:val="000000"/>
                <w:sz w:val="4"/>
                <w:szCs w:val="10"/>
              </w:rPr>
              <w:t xml:space="preserve">i </w:t>
            </w:r>
            <w:r w:rsidRPr="00B457F5">
              <w:rPr>
                <w:rFonts w:ascii="Garamond" w:eastAsia="Times New Roman" w:hAnsi="Garamond" w:cs="Times New Roman"/>
                <w:color w:val="000000"/>
                <w:sz w:val="4"/>
                <w:szCs w:val="10"/>
              </w:rPr>
              <w:t>Punës, AKPA, DKM dhe MEPJ.</w:t>
            </w:r>
          </w:p>
        </w:tc>
        <w:tc>
          <w:tcPr>
            <w:tcW w:w="135" w:type="pct"/>
            <w:tcBorders>
              <w:top w:val="nil"/>
              <w:left w:val="nil"/>
              <w:bottom w:val="single" w:sz="4" w:space="0" w:color="auto"/>
              <w:right w:val="single" w:sz="4" w:space="0" w:color="auto"/>
            </w:tcBorders>
            <w:shd w:val="clear" w:color="000000" w:fill="DDEBF7"/>
            <w:vAlign w:val="bottom"/>
            <w:hideMark/>
          </w:tcPr>
          <w:p w14:paraId="71ADBED4"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bottom"/>
            <w:hideMark/>
          </w:tcPr>
          <w:p w14:paraId="317EB078"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63" w:type="pct"/>
            <w:tcBorders>
              <w:top w:val="nil"/>
              <w:left w:val="nil"/>
              <w:bottom w:val="single" w:sz="4" w:space="0" w:color="auto"/>
              <w:right w:val="single" w:sz="4" w:space="0" w:color="auto"/>
            </w:tcBorders>
            <w:shd w:val="clear" w:color="auto" w:fill="auto"/>
            <w:vAlign w:val="bottom"/>
            <w:hideMark/>
          </w:tcPr>
          <w:p w14:paraId="6444C35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1,091,553</w:t>
            </w:r>
          </w:p>
        </w:tc>
        <w:tc>
          <w:tcPr>
            <w:tcW w:w="155" w:type="pct"/>
            <w:tcBorders>
              <w:top w:val="nil"/>
              <w:left w:val="nil"/>
              <w:bottom w:val="single" w:sz="4" w:space="0" w:color="auto"/>
              <w:right w:val="single" w:sz="4" w:space="0" w:color="auto"/>
            </w:tcBorders>
            <w:shd w:val="clear" w:color="auto" w:fill="auto"/>
            <w:vAlign w:val="bottom"/>
            <w:hideMark/>
          </w:tcPr>
          <w:p w14:paraId="3D06889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bottom"/>
            <w:hideMark/>
          </w:tcPr>
          <w:p w14:paraId="3EB3EF1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1,091,553</w:t>
            </w:r>
          </w:p>
        </w:tc>
        <w:tc>
          <w:tcPr>
            <w:tcW w:w="165" w:type="pct"/>
            <w:tcBorders>
              <w:top w:val="nil"/>
              <w:left w:val="nil"/>
              <w:bottom w:val="single" w:sz="4" w:space="0" w:color="auto"/>
              <w:right w:val="single" w:sz="4" w:space="0" w:color="auto"/>
            </w:tcBorders>
            <w:shd w:val="clear" w:color="auto" w:fill="auto"/>
            <w:vAlign w:val="bottom"/>
            <w:hideMark/>
          </w:tcPr>
          <w:p w14:paraId="17E8091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auto" w:fill="auto"/>
            <w:noWrap/>
            <w:vAlign w:val="bottom"/>
            <w:hideMark/>
          </w:tcPr>
          <w:p w14:paraId="3BB198F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0 </w:t>
            </w:r>
          </w:p>
        </w:tc>
        <w:tc>
          <w:tcPr>
            <w:tcW w:w="163" w:type="pct"/>
            <w:tcBorders>
              <w:top w:val="nil"/>
              <w:left w:val="nil"/>
              <w:bottom w:val="single" w:sz="4" w:space="0" w:color="auto"/>
              <w:right w:val="single" w:sz="4" w:space="0" w:color="auto"/>
            </w:tcBorders>
            <w:shd w:val="clear" w:color="000000" w:fill="FFF2CC"/>
            <w:vAlign w:val="bottom"/>
            <w:hideMark/>
          </w:tcPr>
          <w:p w14:paraId="2746EF6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auto" w:fill="auto"/>
            <w:vAlign w:val="bottom"/>
            <w:hideMark/>
          </w:tcPr>
          <w:p w14:paraId="675A7BC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8" w:type="pct"/>
            <w:tcBorders>
              <w:top w:val="nil"/>
              <w:left w:val="nil"/>
              <w:bottom w:val="single" w:sz="4" w:space="0" w:color="auto"/>
              <w:right w:val="single" w:sz="4" w:space="0" w:color="auto"/>
            </w:tcBorders>
            <w:shd w:val="clear" w:color="auto" w:fill="auto"/>
            <w:vAlign w:val="bottom"/>
            <w:hideMark/>
          </w:tcPr>
          <w:p w14:paraId="154AB6A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bottom"/>
            <w:hideMark/>
          </w:tcPr>
          <w:p w14:paraId="6E4E74E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auto" w:fill="auto"/>
            <w:vAlign w:val="bottom"/>
            <w:hideMark/>
          </w:tcPr>
          <w:p w14:paraId="52E7469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1,091,553</w:t>
            </w:r>
          </w:p>
        </w:tc>
        <w:tc>
          <w:tcPr>
            <w:tcW w:w="163" w:type="pct"/>
            <w:tcBorders>
              <w:top w:val="nil"/>
              <w:left w:val="nil"/>
              <w:bottom w:val="single" w:sz="4" w:space="0" w:color="auto"/>
              <w:right w:val="single" w:sz="4" w:space="0" w:color="auto"/>
            </w:tcBorders>
            <w:shd w:val="clear" w:color="auto" w:fill="auto"/>
            <w:vAlign w:val="bottom"/>
            <w:hideMark/>
          </w:tcPr>
          <w:p w14:paraId="0D8AE65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bottom"/>
            <w:hideMark/>
          </w:tcPr>
          <w:p w14:paraId="24B3844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1,091,553</w:t>
            </w:r>
          </w:p>
        </w:tc>
        <w:tc>
          <w:tcPr>
            <w:tcW w:w="163" w:type="pct"/>
            <w:tcBorders>
              <w:top w:val="nil"/>
              <w:left w:val="nil"/>
              <w:bottom w:val="single" w:sz="4" w:space="0" w:color="auto"/>
              <w:right w:val="single" w:sz="4" w:space="0" w:color="auto"/>
            </w:tcBorders>
            <w:shd w:val="clear" w:color="auto" w:fill="auto"/>
            <w:vAlign w:val="bottom"/>
            <w:hideMark/>
          </w:tcPr>
          <w:p w14:paraId="15E573A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791,553</w:t>
            </w:r>
          </w:p>
        </w:tc>
        <w:tc>
          <w:tcPr>
            <w:tcW w:w="155" w:type="pct"/>
            <w:tcBorders>
              <w:top w:val="nil"/>
              <w:left w:val="nil"/>
              <w:bottom w:val="single" w:sz="4" w:space="0" w:color="auto"/>
              <w:right w:val="single" w:sz="4" w:space="0" w:color="auto"/>
            </w:tcBorders>
            <w:shd w:val="clear" w:color="auto" w:fill="auto"/>
            <w:vAlign w:val="bottom"/>
            <w:hideMark/>
          </w:tcPr>
          <w:p w14:paraId="1E919BF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bottom"/>
            <w:hideMark/>
          </w:tcPr>
          <w:p w14:paraId="531825B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791,553</w:t>
            </w:r>
          </w:p>
        </w:tc>
        <w:tc>
          <w:tcPr>
            <w:tcW w:w="162" w:type="pct"/>
            <w:tcBorders>
              <w:top w:val="nil"/>
              <w:left w:val="nil"/>
              <w:bottom w:val="single" w:sz="4" w:space="0" w:color="auto"/>
              <w:right w:val="single" w:sz="4" w:space="0" w:color="auto"/>
            </w:tcBorders>
            <w:shd w:val="clear" w:color="auto" w:fill="auto"/>
            <w:vAlign w:val="bottom"/>
            <w:hideMark/>
          </w:tcPr>
          <w:p w14:paraId="606BF46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bottom"/>
            <w:hideMark/>
          </w:tcPr>
          <w:p w14:paraId="288B4D1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bottom"/>
            <w:hideMark/>
          </w:tcPr>
          <w:p w14:paraId="0318232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bottom"/>
            <w:hideMark/>
          </w:tcPr>
          <w:p w14:paraId="5009357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bottom"/>
            <w:hideMark/>
          </w:tcPr>
          <w:p w14:paraId="0C549C6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bottom"/>
            <w:hideMark/>
          </w:tcPr>
          <w:p w14:paraId="24FFFBA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bottom"/>
            <w:hideMark/>
          </w:tcPr>
          <w:p w14:paraId="0B66C57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bottom"/>
            <w:hideMark/>
          </w:tcPr>
          <w:p w14:paraId="00B105E6" w14:textId="2B884229"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(300,000)</w:t>
            </w:r>
          </w:p>
        </w:tc>
      </w:tr>
      <w:tr w:rsidR="00C260C3" w:rsidRPr="00B457F5" w14:paraId="6DE79A1E"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bottom"/>
            <w:hideMark/>
          </w:tcPr>
          <w:p w14:paraId="7337C574"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1.1.1.6</w:t>
            </w:r>
          </w:p>
        </w:tc>
        <w:tc>
          <w:tcPr>
            <w:tcW w:w="281" w:type="pct"/>
            <w:tcBorders>
              <w:top w:val="nil"/>
              <w:left w:val="nil"/>
              <w:bottom w:val="single" w:sz="4" w:space="0" w:color="auto"/>
              <w:right w:val="single" w:sz="4" w:space="0" w:color="auto"/>
            </w:tcBorders>
            <w:shd w:val="clear" w:color="auto" w:fill="auto"/>
            <w:vAlign w:val="bottom"/>
            <w:hideMark/>
          </w:tcPr>
          <w:p w14:paraId="3D9EF541"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1.1.1.6 Përafrimi i politikës së vizave me BE-në, veçanërisht me vendet që paraqesin rrezik migrimi ose sigurie</w:t>
            </w:r>
          </w:p>
        </w:tc>
        <w:tc>
          <w:tcPr>
            <w:tcW w:w="186" w:type="pct"/>
            <w:tcBorders>
              <w:top w:val="nil"/>
              <w:left w:val="nil"/>
              <w:bottom w:val="single" w:sz="4" w:space="0" w:color="auto"/>
              <w:right w:val="single" w:sz="4" w:space="0" w:color="auto"/>
            </w:tcBorders>
            <w:shd w:val="clear" w:color="auto" w:fill="auto"/>
            <w:vAlign w:val="bottom"/>
            <w:hideMark/>
          </w:tcPr>
          <w:p w14:paraId="16339575"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(15)</w:t>
            </w:r>
          </w:p>
        </w:tc>
        <w:tc>
          <w:tcPr>
            <w:tcW w:w="169" w:type="pct"/>
            <w:tcBorders>
              <w:top w:val="nil"/>
              <w:left w:val="nil"/>
              <w:bottom w:val="single" w:sz="4" w:space="0" w:color="auto"/>
              <w:right w:val="single" w:sz="4" w:space="0" w:color="auto"/>
            </w:tcBorders>
            <w:shd w:val="clear" w:color="auto" w:fill="auto"/>
            <w:vAlign w:val="bottom"/>
            <w:hideMark/>
          </w:tcPr>
          <w:p w14:paraId="53F970F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MEPJ</w:t>
            </w:r>
          </w:p>
        </w:tc>
        <w:tc>
          <w:tcPr>
            <w:tcW w:w="244" w:type="pct"/>
            <w:tcBorders>
              <w:top w:val="nil"/>
              <w:left w:val="nil"/>
              <w:bottom w:val="single" w:sz="4" w:space="0" w:color="auto"/>
              <w:right w:val="single" w:sz="4" w:space="0" w:color="auto"/>
            </w:tcBorders>
            <w:shd w:val="clear" w:color="auto" w:fill="auto"/>
            <w:vAlign w:val="bottom"/>
            <w:hideMark/>
          </w:tcPr>
          <w:p w14:paraId="2370585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w:t>
            </w:r>
          </w:p>
        </w:tc>
        <w:tc>
          <w:tcPr>
            <w:tcW w:w="135" w:type="pct"/>
            <w:tcBorders>
              <w:top w:val="nil"/>
              <w:left w:val="nil"/>
              <w:bottom w:val="single" w:sz="4" w:space="0" w:color="auto"/>
              <w:right w:val="single" w:sz="4" w:space="0" w:color="auto"/>
            </w:tcBorders>
            <w:shd w:val="clear" w:color="000000" w:fill="DDEBF7"/>
            <w:vAlign w:val="bottom"/>
            <w:hideMark/>
          </w:tcPr>
          <w:p w14:paraId="27F94DC2"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bottom"/>
            <w:hideMark/>
          </w:tcPr>
          <w:p w14:paraId="2228CAA5"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bottom"/>
            <w:hideMark/>
          </w:tcPr>
          <w:p w14:paraId="11F2D42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1,780,994</w:t>
            </w:r>
          </w:p>
        </w:tc>
        <w:tc>
          <w:tcPr>
            <w:tcW w:w="155" w:type="pct"/>
            <w:tcBorders>
              <w:top w:val="nil"/>
              <w:left w:val="nil"/>
              <w:bottom w:val="single" w:sz="4" w:space="0" w:color="auto"/>
              <w:right w:val="single" w:sz="4" w:space="0" w:color="auto"/>
            </w:tcBorders>
            <w:shd w:val="clear" w:color="auto" w:fill="auto"/>
            <w:vAlign w:val="bottom"/>
            <w:hideMark/>
          </w:tcPr>
          <w:p w14:paraId="2BC1256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bottom"/>
            <w:hideMark/>
          </w:tcPr>
          <w:p w14:paraId="2BC4760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1,780,994</w:t>
            </w:r>
          </w:p>
        </w:tc>
        <w:tc>
          <w:tcPr>
            <w:tcW w:w="165" w:type="pct"/>
            <w:tcBorders>
              <w:top w:val="nil"/>
              <w:left w:val="nil"/>
              <w:bottom w:val="single" w:sz="4" w:space="0" w:color="auto"/>
              <w:right w:val="single" w:sz="4" w:space="0" w:color="auto"/>
            </w:tcBorders>
            <w:shd w:val="clear" w:color="auto" w:fill="auto"/>
            <w:vAlign w:val="bottom"/>
            <w:hideMark/>
          </w:tcPr>
          <w:p w14:paraId="2AEF9D7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1,780,994</w:t>
            </w:r>
          </w:p>
        </w:tc>
        <w:tc>
          <w:tcPr>
            <w:tcW w:w="163" w:type="pct"/>
            <w:tcBorders>
              <w:top w:val="nil"/>
              <w:left w:val="nil"/>
              <w:bottom w:val="single" w:sz="4" w:space="0" w:color="auto"/>
              <w:right w:val="single" w:sz="4" w:space="0" w:color="auto"/>
            </w:tcBorders>
            <w:shd w:val="clear" w:color="auto" w:fill="auto"/>
            <w:noWrap/>
            <w:vAlign w:val="bottom"/>
            <w:hideMark/>
          </w:tcPr>
          <w:p w14:paraId="4578B24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0 </w:t>
            </w:r>
          </w:p>
        </w:tc>
        <w:tc>
          <w:tcPr>
            <w:tcW w:w="163" w:type="pct"/>
            <w:tcBorders>
              <w:top w:val="nil"/>
              <w:left w:val="nil"/>
              <w:bottom w:val="single" w:sz="4" w:space="0" w:color="auto"/>
              <w:right w:val="single" w:sz="4" w:space="0" w:color="auto"/>
            </w:tcBorders>
            <w:shd w:val="clear" w:color="000000" w:fill="FFF2CC"/>
            <w:vAlign w:val="bottom"/>
            <w:hideMark/>
          </w:tcPr>
          <w:p w14:paraId="425D062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1,780,994</w:t>
            </w:r>
          </w:p>
        </w:tc>
        <w:tc>
          <w:tcPr>
            <w:tcW w:w="163" w:type="pct"/>
            <w:tcBorders>
              <w:top w:val="nil"/>
              <w:left w:val="nil"/>
              <w:bottom w:val="single" w:sz="4" w:space="0" w:color="auto"/>
              <w:right w:val="single" w:sz="4" w:space="0" w:color="auto"/>
            </w:tcBorders>
            <w:shd w:val="clear" w:color="auto" w:fill="auto"/>
            <w:vAlign w:val="bottom"/>
            <w:hideMark/>
          </w:tcPr>
          <w:p w14:paraId="05C2836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1,780,994</w:t>
            </w:r>
          </w:p>
        </w:tc>
        <w:tc>
          <w:tcPr>
            <w:tcW w:w="148" w:type="pct"/>
            <w:tcBorders>
              <w:top w:val="nil"/>
              <w:left w:val="nil"/>
              <w:bottom w:val="single" w:sz="4" w:space="0" w:color="auto"/>
              <w:right w:val="single" w:sz="4" w:space="0" w:color="auto"/>
            </w:tcBorders>
            <w:shd w:val="clear" w:color="auto" w:fill="auto"/>
            <w:vAlign w:val="bottom"/>
            <w:hideMark/>
          </w:tcPr>
          <w:p w14:paraId="1238C45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bottom"/>
            <w:hideMark/>
          </w:tcPr>
          <w:p w14:paraId="26D10BF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1,780,994</w:t>
            </w:r>
          </w:p>
        </w:tc>
        <w:tc>
          <w:tcPr>
            <w:tcW w:w="165" w:type="pct"/>
            <w:tcBorders>
              <w:top w:val="nil"/>
              <w:left w:val="nil"/>
              <w:bottom w:val="single" w:sz="4" w:space="0" w:color="auto"/>
              <w:right w:val="single" w:sz="4" w:space="0" w:color="auto"/>
            </w:tcBorders>
            <w:shd w:val="clear" w:color="auto" w:fill="auto"/>
            <w:vAlign w:val="bottom"/>
            <w:hideMark/>
          </w:tcPr>
          <w:p w14:paraId="3CC575E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5,342,982</w:t>
            </w:r>
          </w:p>
        </w:tc>
        <w:tc>
          <w:tcPr>
            <w:tcW w:w="163" w:type="pct"/>
            <w:tcBorders>
              <w:top w:val="nil"/>
              <w:left w:val="nil"/>
              <w:bottom w:val="single" w:sz="4" w:space="0" w:color="auto"/>
              <w:right w:val="single" w:sz="4" w:space="0" w:color="auto"/>
            </w:tcBorders>
            <w:shd w:val="clear" w:color="auto" w:fill="auto"/>
            <w:vAlign w:val="bottom"/>
            <w:hideMark/>
          </w:tcPr>
          <w:p w14:paraId="7E47D61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bottom"/>
            <w:hideMark/>
          </w:tcPr>
          <w:p w14:paraId="24EDD1C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5,342,982</w:t>
            </w:r>
          </w:p>
        </w:tc>
        <w:tc>
          <w:tcPr>
            <w:tcW w:w="163" w:type="pct"/>
            <w:tcBorders>
              <w:top w:val="nil"/>
              <w:left w:val="nil"/>
              <w:bottom w:val="single" w:sz="4" w:space="0" w:color="auto"/>
              <w:right w:val="single" w:sz="4" w:space="0" w:color="auto"/>
            </w:tcBorders>
            <w:shd w:val="clear" w:color="auto" w:fill="auto"/>
            <w:vAlign w:val="bottom"/>
            <w:hideMark/>
          </w:tcPr>
          <w:p w14:paraId="5296996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5,342,982</w:t>
            </w:r>
          </w:p>
        </w:tc>
        <w:tc>
          <w:tcPr>
            <w:tcW w:w="155" w:type="pct"/>
            <w:tcBorders>
              <w:top w:val="nil"/>
              <w:left w:val="nil"/>
              <w:bottom w:val="single" w:sz="4" w:space="0" w:color="auto"/>
              <w:right w:val="single" w:sz="4" w:space="0" w:color="auto"/>
            </w:tcBorders>
            <w:shd w:val="clear" w:color="auto" w:fill="auto"/>
            <w:vAlign w:val="bottom"/>
            <w:hideMark/>
          </w:tcPr>
          <w:p w14:paraId="768744B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bottom"/>
            <w:hideMark/>
          </w:tcPr>
          <w:p w14:paraId="3E6484A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5,342,982</w:t>
            </w:r>
          </w:p>
        </w:tc>
        <w:tc>
          <w:tcPr>
            <w:tcW w:w="162" w:type="pct"/>
            <w:tcBorders>
              <w:top w:val="nil"/>
              <w:left w:val="nil"/>
              <w:bottom w:val="single" w:sz="4" w:space="0" w:color="auto"/>
              <w:right w:val="single" w:sz="4" w:space="0" w:color="auto"/>
            </w:tcBorders>
            <w:shd w:val="clear" w:color="auto" w:fill="auto"/>
            <w:vAlign w:val="bottom"/>
            <w:hideMark/>
          </w:tcPr>
          <w:p w14:paraId="31413EC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bottom"/>
            <w:hideMark/>
          </w:tcPr>
          <w:p w14:paraId="2F13134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bottom"/>
            <w:hideMark/>
          </w:tcPr>
          <w:p w14:paraId="09D7EF6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bottom"/>
            <w:hideMark/>
          </w:tcPr>
          <w:p w14:paraId="3C07FD0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bottom"/>
            <w:hideMark/>
          </w:tcPr>
          <w:p w14:paraId="1982379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bottom"/>
            <w:hideMark/>
          </w:tcPr>
          <w:p w14:paraId="339AFA4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bottom"/>
            <w:hideMark/>
          </w:tcPr>
          <w:p w14:paraId="5B80B45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bottom"/>
            <w:hideMark/>
          </w:tcPr>
          <w:p w14:paraId="73931DB5" w14:textId="5F296348"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222DDE9F" w14:textId="77777777" w:rsidTr="00C260C3">
        <w:trPr>
          <w:trHeight w:val="20"/>
        </w:trPr>
        <w:tc>
          <w:tcPr>
            <w:tcW w:w="131" w:type="pct"/>
            <w:tcBorders>
              <w:top w:val="nil"/>
              <w:left w:val="single" w:sz="8" w:space="0" w:color="auto"/>
              <w:bottom w:val="single" w:sz="4" w:space="0" w:color="auto"/>
              <w:right w:val="single" w:sz="4" w:space="0" w:color="auto"/>
            </w:tcBorders>
            <w:shd w:val="clear" w:color="000000" w:fill="D9D9D9"/>
            <w:vAlign w:val="center"/>
            <w:hideMark/>
          </w:tcPr>
          <w:p w14:paraId="69106A5B"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1.1.2</w:t>
            </w:r>
          </w:p>
        </w:tc>
        <w:tc>
          <w:tcPr>
            <w:tcW w:w="281" w:type="pct"/>
            <w:tcBorders>
              <w:top w:val="nil"/>
              <w:left w:val="nil"/>
              <w:bottom w:val="single" w:sz="4" w:space="0" w:color="auto"/>
              <w:right w:val="single" w:sz="4" w:space="0" w:color="auto"/>
            </w:tcBorders>
            <w:shd w:val="clear" w:color="000000" w:fill="D9D9D9"/>
            <w:vAlign w:val="center"/>
            <w:hideMark/>
          </w:tcPr>
          <w:p w14:paraId="35CD0FD5"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1.1.2. Rritja e kapaciteteve institucionale dhe rishikimi i strukturave në institucionet në nivel qendror dhe vendor për qeverisjen efektive të migracionit</w:t>
            </w:r>
          </w:p>
        </w:tc>
        <w:tc>
          <w:tcPr>
            <w:tcW w:w="186" w:type="pct"/>
            <w:tcBorders>
              <w:top w:val="nil"/>
              <w:left w:val="nil"/>
              <w:bottom w:val="single" w:sz="4" w:space="0" w:color="auto"/>
              <w:right w:val="single" w:sz="4" w:space="0" w:color="auto"/>
            </w:tcBorders>
            <w:shd w:val="clear" w:color="000000" w:fill="D9D9D9"/>
            <w:vAlign w:val="center"/>
            <w:hideMark/>
          </w:tcPr>
          <w:p w14:paraId="16E53200"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01110 Planifikimi, Menaxhimi dhe Administrimi (16), 01330 Menaxhimi dhe Zhvillimi i Administratës Publike (87), </w:t>
            </w:r>
          </w:p>
        </w:tc>
        <w:tc>
          <w:tcPr>
            <w:tcW w:w="169" w:type="pct"/>
            <w:tcBorders>
              <w:top w:val="nil"/>
              <w:left w:val="nil"/>
              <w:bottom w:val="single" w:sz="4" w:space="0" w:color="auto"/>
              <w:right w:val="single" w:sz="4" w:space="0" w:color="auto"/>
            </w:tcBorders>
            <w:shd w:val="clear" w:color="000000" w:fill="D9D9D9"/>
            <w:vAlign w:val="center"/>
            <w:hideMark/>
          </w:tcPr>
          <w:p w14:paraId="71BBF8B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 ASPA, Bashkit</w:t>
            </w:r>
            <w:r w:rsidRPr="00B457F5">
              <w:rPr>
                <w:rFonts w:ascii="Garamond" w:eastAsia="Times New Roman" w:hAnsi="Garamond" w:cs="Calibri"/>
                <w:color w:val="000000"/>
                <w:sz w:val="4"/>
                <w:szCs w:val="10"/>
              </w:rPr>
              <w:t>ë</w:t>
            </w:r>
          </w:p>
        </w:tc>
        <w:tc>
          <w:tcPr>
            <w:tcW w:w="244" w:type="pct"/>
            <w:tcBorders>
              <w:top w:val="nil"/>
              <w:left w:val="nil"/>
              <w:bottom w:val="single" w:sz="4" w:space="0" w:color="auto"/>
              <w:right w:val="single" w:sz="4" w:space="0" w:color="auto"/>
            </w:tcBorders>
            <w:shd w:val="clear" w:color="000000" w:fill="D9D9D9"/>
            <w:vAlign w:val="center"/>
            <w:hideMark/>
          </w:tcPr>
          <w:p w14:paraId="5342B3E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MEPJ, MEKI, MB, MSHMS, MAS, ASPA, DKM, AKPA, AMVV, të gjitha institucionet e përfshira në SKM, Shkolla e Magjistraturës, IOM, UNHCR, EUAA, OJF, NJVV/ZVMD, MSHÇV, GIZ</w:t>
            </w:r>
          </w:p>
        </w:tc>
        <w:tc>
          <w:tcPr>
            <w:tcW w:w="135" w:type="pct"/>
            <w:tcBorders>
              <w:top w:val="nil"/>
              <w:left w:val="nil"/>
              <w:bottom w:val="single" w:sz="4" w:space="0" w:color="auto"/>
              <w:right w:val="single" w:sz="4" w:space="0" w:color="auto"/>
            </w:tcBorders>
            <w:shd w:val="clear" w:color="000000" w:fill="D9D9D9"/>
            <w:vAlign w:val="center"/>
            <w:hideMark/>
          </w:tcPr>
          <w:p w14:paraId="40FD1404"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9D9D9"/>
            <w:vAlign w:val="center"/>
            <w:hideMark/>
          </w:tcPr>
          <w:p w14:paraId="47F5A888"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000000" w:fill="D9D9D9"/>
            <w:vAlign w:val="center"/>
            <w:hideMark/>
          </w:tcPr>
          <w:p w14:paraId="364F436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28,502,712</w:t>
            </w:r>
          </w:p>
        </w:tc>
        <w:tc>
          <w:tcPr>
            <w:tcW w:w="155" w:type="pct"/>
            <w:tcBorders>
              <w:top w:val="nil"/>
              <w:left w:val="nil"/>
              <w:bottom w:val="single" w:sz="4" w:space="0" w:color="auto"/>
              <w:right w:val="single" w:sz="4" w:space="0" w:color="auto"/>
            </w:tcBorders>
            <w:shd w:val="clear" w:color="000000" w:fill="D9D9D9"/>
            <w:vAlign w:val="center"/>
            <w:hideMark/>
          </w:tcPr>
          <w:p w14:paraId="19D9594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4243B01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28,502,712</w:t>
            </w:r>
          </w:p>
        </w:tc>
        <w:tc>
          <w:tcPr>
            <w:tcW w:w="165" w:type="pct"/>
            <w:tcBorders>
              <w:top w:val="nil"/>
              <w:left w:val="nil"/>
              <w:bottom w:val="single" w:sz="4" w:space="0" w:color="auto"/>
              <w:right w:val="single" w:sz="4" w:space="0" w:color="auto"/>
            </w:tcBorders>
            <w:shd w:val="clear" w:color="000000" w:fill="D9D9D9"/>
            <w:vAlign w:val="center"/>
            <w:hideMark/>
          </w:tcPr>
          <w:p w14:paraId="39C8643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28,617,436</w:t>
            </w:r>
          </w:p>
        </w:tc>
        <w:tc>
          <w:tcPr>
            <w:tcW w:w="163" w:type="pct"/>
            <w:tcBorders>
              <w:top w:val="nil"/>
              <w:left w:val="nil"/>
              <w:bottom w:val="single" w:sz="4" w:space="0" w:color="auto"/>
              <w:right w:val="single" w:sz="4" w:space="0" w:color="auto"/>
            </w:tcBorders>
            <w:shd w:val="clear" w:color="000000" w:fill="D9D9D9"/>
            <w:vAlign w:val="center"/>
            <w:hideMark/>
          </w:tcPr>
          <w:p w14:paraId="57BA3CD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1EBE002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28,617,436</w:t>
            </w:r>
          </w:p>
        </w:tc>
        <w:tc>
          <w:tcPr>
            <w:tcW w:w="163" w:type="pct"/>
            <w:tcBorders>
              <w:top w:val="nil"/>
              <w:left w:val="nil"/>
              <w:bottom w:val="single" w:sz="4" w:space="0" w:color="auto"/>
              <w:right w:val="single" w:sz="4" w:space="0" w:color="auto"/>
            </w:tcBorders>
            <w:shd w:val="clear" w:color="000000" w:fill="D9D9D9"/>
            <w:vAlign w:val="center"/>
            <w:hideMark/>
          </w:tcPr>
          <w:p w14:paraId="7A1849B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29,685,714</w:t>
            </w:r>
          </w:p>
        </w:tc>
        <w:tc>
          <w:tcPr>
            <w:tcW w:w="148" w:type="pct"/>
            <w:tcBorders>
              <w:top w:val="nil"/>
              <w:left w:val="nil"/>
              <w:bottom w:val="single" w:sz="4" w:space="0" w:color="auto"/>
              <w:right w:val="single" w:sz="4" w:space="0" w:color="auto"/>
            </w:tcBorders>
            <w:shd w:val="clear" w:color="000000" w:fill="D9D9D9"/>
            <w:vAlign w:val="center"/>
            <w:hideMark/>
          </w:tcPr>
          <w:p w14:paraId="10D07C6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294202C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29,685,714</w:t>
            </w:r>
          </w:p>
        </w:tc>
        <w:tc>
          <w:tcPr>
            <w:tcW w:w="165" w:type="pct"/>
            <w:tcBorders>
              <w:top w:val="nil"/>
              <w:left w:val="nil"/>
              <w:bottom w:val="single" w:sz="4" w:space="0" w:color="auto"/>
              <w:right w:val="single" w:sz="4" w:space="0" w:color="auto"/>
            </w:tcBorders>
            <w:shd w:val="clear" w:color="000000" w:fill="D9D9D9"/>
            <w:vAlign w:val="center"/>
            <w:hideMark/>
          </w:tcPr>
          <w:p w14:paraId="6471EB2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86,805,862</w:t>
            </w:r>
          </w:p>
        </w:tc>
        <w:tc>
          <w:tcPr>
            <w:tcW w:w="163" w:type="pct"/>
            <w:tcBorders>
              <w:top w:val="nil"/>
              <w:left w:val="nil"/>
              <w:bottom w:val="single" w:sz="4" w:space="0" w:color="auto"/>
              <w:right w:val="single" w:sz="4" w:space="0" w:color="auto"/>
            </w:tcBorders>
            <w:shd w:val="clear" w:color="000000" w:fill="D9D9D9"/>
            <w:vAlign w:val="center"/>
            <w:hideMark/>
          </w:tcPr>
          <w:p w14:paraId="0156327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D9D9D9"/>
            <w:vAlign w:val="center"/>
            <w:hideMark/>
          </w:tcPr>
          <w:p w14:paraId="62DB0B7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86,805,862</w:t>
            </w:r>
          </w:p>
        </w:tc>
        <w:tc>
          <w:tcPr>
            <w:tcW w:w="163" w:type="pct"/>
            <w:tcBorders>
              <w:top w:val="nil"/>
              <w:left w:val="nil"/>
              <w:bottom w:val="single" w:sz="4" w:space="0" w:color="auto"/>
              <w:right w:val="single" w:sz="4" w:space="0" w:color="auto"/>
            </w:tcBorders>
            <w:shd w:val="clear" w:color="000000" w:fill="D9D9D9"/>
            <w:vAlign w:val="center"/>
            <w:hideMark/>
          </w:tcPr>
          <w:p w14:paraId="0854E22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25,108,843</w:t>
            </w:r>
          </w:p>
        </w:tc>
        <w:tc>
          <w:tcPr>
            <w:tcW w:w="155" w:type="pct"/>
            <w:tcBorders>
              <w:top w:val="nil"/>
              <w:left w:val="nil"/>
              <w:bottom w:val="single" w:sz="4" w:space="0" w:color="auto"/>
              <w:right w:val="single" w:sz="4" w:space="0" w:color="auto"/>
            </w:tcBorders>
            <w:shd w:val="clear" w:color="000000" w:fill="D9D9D9"/>
            <w:vAlign w:val="center"/>
            <w:hideMark/>
          </w:tcPr>
          <w:p w14:paraId="3B75B1E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2D362DA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25,108,843</w:t>
            </w:r>
          </w:p>
        </w:tc>
        <w:tc>
          <w:tcPr>
            <w:tcW w:w="162" w:type="pct"/>
            <w:tcBorders>
              <w:top w:val="nil"/>
              <w:left w:val="nil"/>
              <w:bottom w:val="single" w:sz="4" w:space="0" w:color="auto"/>
              <w:right w:val="single" w:sz="4" w:space="0" w:color="auto"/>
            </w:tcBorders>
            <w:shd w:val="clear" w:color="000000" w:fill="D9D9D9"/>
            <w:vAlign w:val="center"/>
            <w:hideMark/>
          </w:tcPr>
          <w:p w14:paraId="12813D0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55,393,419</w:t>
            </w:r>
          </w:p>
        </w:tc>
        <w:tc>
          <w:tcPr>
            <w:tcW w:w="155" w:type="pct"/>
            <w:tcBorders>
              <w:top w:val="nil"/>
              <w:left w:val="nil"/>
              <w:bottom w:val="single" w:sz="4" w:space="0" w:color="auto"/>
              <w:right w:val="single" w:sz="4" w:space="0" w:color="auto"/>
            </w:tcBorders>
            <w:shd w:val="clear" w:color="000000" w:fill="D9D9D9"/>
            <w:vAlign w:val="center"/>
            <w:hideMark/>
          </w:tcPr>
          <w:p w14:paraId="030DF5B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000000" w:fill="D9D9D9"/>
            <w:vAlign w:val="center"/>
            <w:hideMark/>
          </w:tcPr>
          <w:p w14:paraId="4998BA6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03341FD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55,393,419</w:t>
            </w:r>
          </w:p>
        </w:tc>
        <w:tc>
          <w:tcPr>
            <w:tcW w:w="139" w:type="pct"/>
            <w:tcBorders>
              <w:top w:val="nil"/>
              <w:left w:val="nil"/>
              <w:bottom w:val="single" w:sz="4" w:space="0" w:color="auto"/>
              <w:right w:val="single" w:sz="4" w:space="0" w:color="auto"/>
            </w:tcBorders>
            <w:shd w:val="clear" w:color="000000" w:fill="D9D9D9"/>
            <w:vAlign w:val="center"/>
            <w:hideMark/>
          </w:tcPr>
          <w:p w14:paraId="01B5855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000000" w:fill="D9D9D9"/>
            <w:vAlign w:val="center"/>
            <w:hideMark/>
          </w:tcPr>
          <w:p w14:paraId="2BC85FF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D9D9D9"/>
            <w:vAlign w:val="center"/>
            <w:hideMark/>
          </w:tcPr>
          <w:p w14:paraId="4115D0D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000000" w:fill="D9D9D9"/>
            <w:vAlign w:val="center"/>
            <w:hideMark/>
          </w:tcPr>
          <w:p w14:paraId="7CFA1CC0" w14:textId="58FF0239"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(6,303,600)</w:t>
            </w:r>
          </w:p>
        </w:tc>
      </w:tr>
      <w:tr w:rsidR="00C260C3" w:rsidRPr="00B457F5" w14:paraId="2B94F5FA"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bottom"/>
            <w:hideMark/>
          </w:tcPr>
          <w:p w14:paraId="54C250C1"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1.1.2.1</w:t>
            </w:r>
          </w:p>
        </w:tc>
        <w:tc>
          <w:tcPr>
            <w:tcW w:w="281" w:type="pct"/>
            <w:tcBorders>
              <w:top w:val="nil"/>
              <w:left w:val="nil"/>
              <w:bottom w:val="single" w:sz="4" w:space="0" w:color="auto"/>
              <w:right w:val="single" w:sz="4" w:space="0" w:color="auto"/>
            </w:tcBorders>
            <w:shd w:val="clear" w:color="auto" w:fill="auto"/>
            <w:vAlign w:val="bottom"/>
            <w:hideMark/>
          </w:tcPr>
          <w:p w14:paraId="3DA0D188"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1.1.2.1 Vlerësim i nevojave për rritjen e kapaciteteve institucionale për qeverisjen e efektshme të migracionit </w:t>
            </w:r>
          </w:p>
        </w:tc>
        <w:tc>
          <w:tcPr>
            <w:tcW w:w="186" w:type="pct"/>
            <w:tcBorders>
              <w:top w:val="nil"/>
              <w:left w:val="nil"/>
              <w:bottom w:val="single" w:sz="4" w:space="0" w:color="auto"/>
              <w:right w:val="single" w:sz="4" w:space="0" w:color="auto"/>
            </w:tcBorders>
            <w:shd w:val="clear" w:color="auto" w:fill="auto"/>
            <w:vAlign w:val="bottom"/>
            <w:hideMark/>
          </w:tcPr>
          <w:p w14:paraId="5D932AF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71E345E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36FD8D67" w14:textId="41E2346D"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MEPJ, MEKI, të gjitha institucionet e përfshira n</w:t>
            </w:r>
            <w:r w:rsidR="002803F2" w:rsidRPr="00B457F5">
              <w:rPr>
                <w:rFonts w:ascii="Garamond" w:eastAsia="Times New Roman" w:hAnsi="Garamond" w:cs="Times New Roman"/>
                <w:color w:val="000000"/>
                <w:sz w:val="4"/>
                <w:szCs w:val="10"/>
              </w:rPr>
              <w:t>ë</w:t>
            </w:r>
            <w:r w:rsidRPr="00B457F5">
              <w:rPr>
                <w:rFonts w:ascii="Garamond" w:eastAsia="Times New Roman" w:hAnsi="Garamond" w:cs="Times New Roman"/>
                <w:color w:val="000000"/>
                <w:sz w:val="4"/>
                <w:szCs w:val="10"/>
              </w:rPr>
              <w:t xml:space="preserve"> SKM</w:t>
            </w:r>
          </w:p>
        </w:tc>
        <w:tc>
          <w:tcPr>
            <w:tcW w:w="135" w:type="pct"/>
            <w:tcBorders>
              <w:top w:val="nil"/>
              <w:left w:val="nil"/>
              <w:bottom w:val="single" w:sz="4" w:space="0" w:color="auto"/>
              <w:right w:val="single" w:sz="4" w:space="0" w:color="auto"/>
            </w:tcBorders>
            <w:shd w:val="clear" w:color="000000" w:fill="DDEBF7"/>
            <w:vAlign w:val="center"/>
            <w:hideMark/>
          </w:tcPr>
          <w:p w14:paraId="38268435"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38AAAC49"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63" w:type="pct"/>
            <w:tcBorders>
              <w:top w:val="nil"/>
              <w:left w:val="nil"/>
              <w:bottom w:val="single" w:sz="4" w:space="0" w:color="auto"/>
              <w:right w:val="single" w:sz="4" w:space="0" w:color="auto"/>
            </w:tcBorders>
            <w:shd w:val="clear" w:color="auto" w:fill="auto"/>
            <w:noWrap/>
            <w:vAlign w:val="bottom"/>
            <w:hideMark/>
          </w:tcPr>
          <w:p w14:paraId="06A04DDB" w14:textId="77777777" w:rsidR="00C260C3" w:rsidRPr="00B457F5" w:rsidRDefault="00C260C3" w:rsidP="00C260C3">
            <w:pPr>
              <w:spacing w:before="0" w:after="0"/>
              <w:jc w:val="center"/>
              <w:rPr>
                <w:rFonts w:ascii="Garamond" w:eastAsia="Times New Roman" w:hAnsi="Garamond" w:cs="Calibri"/>
                <w:color w:val="000000"/>
                <w:sz w:val="4"/>
                <w:szCs w:val="10"/>
              </w:rPr>
            </w:pPr>
            <w:r w:rsidRPr="00B457F5">
              <w:rPr>
                <w:rFonts w:ascii="Garamond" w:eastAsia="Times New Roman" w:hAnsi="Garamond" w:cs="Calibri"/>
                <w:color w:val="000000"/>
                <w:sz w:val="4"/>
                <w:szCs w:val="10"/>
              </w:rPr>
              <w:t>1,277,553</w:t>
            </w:r>
          </w:p>
        </w:tc>
        <w:tc>
          <w:tcPr>
            <w:tcW w:w="155" w:type="pct"/>
            <w:tcBorders>
              <w:top w:val="nil"/>
              <w:left w:val="nil"/>
              <w:bottom w:val="single" w:sz="4" w:space="0" w:color="auto"/>
              <w:right w:val="single" w:sz="4" w:space="0" w:color="auto"/>
            </w:tcBorders>
            <w:shd w:val="clear" w:color="auto" w:fill="auto"/>
            <w:vAlign w:val="bottom"/>
            <w:hideMark/>
          </w:tcPr>
          <w:p w14:paraId="4ED77C2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bottom"/>
            <w:hideMark/>
          </w:tcPr>
          <w:p w14:paraId="3BC3142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1,277,553</w:t>
            </w:r>
          </w:p>
        </w:tc>
        <w:tc>
          <w:tcPr>
            <w:tcW w:w="165" w:type="pct"/>
            <w:tcBorders>
              <w:top w:val="nil"/>
              <w:left w:val="nil"/>
              <w:bottom w:val="single" w:sz="4" w:space="0" w:color="auto"/>
              <w:right w:val="single" w:sz="4" w:space="0" w:color="auto"/>
            </w:tcBorders>
            <w:shd w:val="clear" w:color="auto" w:fill="auto"/>
            <w:vAlign w:val="bottom"/>
            <w:hideMark/>
          </w:tcPr>
          <w:p w14:paraId="45E9CFA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auto" w:fill="auto"/>
            <w:noWrap/>
            <w:vAlign w:val="bottom"/>
            <w:hideMark/>
          </w:tcPr>
          <w:p w14:paraId="35D0E4B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0 </w:t>
            </w:r>
          </w:p>
        </w:tc>
        <w:tc>
          <w:tcPr>
            <w:tcW w:w="163" w:type="pct"/>
            <w:tcBorders>
              <w:top w:val="nil"/>
              <w:left w:val="nil"/>
              <w:bottom w:val="single" w:sz="4" w:space="0" w:color="auto"/>
              <w:right w:val="single" w:sz="4" w:space="0" w:color="auto"/>
            </w:tcBorders>
            <w:shd w:val="clear" w:color="000000" w:fill="FFF2CC"/>
            <w:vAlign w:val="bottom"/>
            <w:hideMark/>
          </w:tcPr>
          <w:p w14:paraId="29E2CAD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auto" w:fill="auto"/>
            <w:vAlign w:val="bottom"/>
            <w:hideMark/>
          </w:tcPr>
          <w:p w14:paraId="7C8BB6A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8" w:type="pct"/>
            <w:tcBorders>
              <w:top w:val="nil"/>
              <w:left w:val="nil"/>
              <w:bottom w:val="single" w:sz="4" w:space="0" w:color="auto"/>
              <w:right w:val="single" w:sz="4" w:space="0" w:color="auto"/>
            </w:tcBorders>
            <w:shd w:val="clear" w:color="auto" w:fill="auto"/>
            <w:vAlign w:val="bottom"/>
            <w:hideMark/>
          </w:tcPr>
          <w:p w14:paraId="16EBE34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bottom"/>
            <w:hideMark/>
          </w:tcPr>
          <w:p w14:paraId="727A681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auto" w:fill="auto"/>
            <w:vAlign w:val="bottom"/>
            <w:hideMark/>
          </w:tcPr>
          <w:p w14:paraId="5CF72F2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1,277,553</w:t>
            </w:r>
          </w:p>
        </w:tc>
        <w:tc>
          <w:tcPr>
            <w:tcW w:w="163" w:type="pct"/>
            <w:tcBorders>
              <w:top w:val="nil"/>
              <w:left w:val="nil"/>
              <w:bottom w:val="single" w:sz="4" w:space="0" w:color="auto"/>
              <w:right w:val="single" w:sz="4" w:space="0" w:color="auto"/>
            </w:tcBorders>
            <w:shd w:val="clear" w:color="auto" w:fill="auto"/>
            <w:vAlign w:val="bottom"/>
            <w:hideMark/>
          </w:tcPr>
          <w:p w14:paraId="11D83F5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bottom"/>
            <w:hideMark/>
          </w:tcPr>
          <w:p w14:paraId="3002961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1,277,553</w:t>
            </w:r>
          </w:p>
        </w:tc>
        <w:tc>
          <w:tcPr>
            <w:tcW w:w="163" w:type="pct"/>
            <w:tcBorders>
              <w:top w:val="nil"/>
              <w:left w:val="nil"/>
              <w:bottom w:val="single" w:sz="4" w:space="0" w:color="auto"/>
              <w:right w:val="single" w:sz="4" w:space="0" w:color="auto"/>
            </w:tcBorders>
            <w:shd w:val="clear" w:color="auto" w:fill="auto"/>
            <w:vAlign w:val="bottom"/>
            <w:hideMark/>
          </w:tcPr>
          <w:p w14:paraId="6E45C88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827,553</w:t>
            </w:r>
          </w:p>
        </w:tc>
        <w:tc>
          <w:tcPr>
            <w:tcW w:w="155" w:type="pct"/>
            <w:tcBorders>
              <w:top w:val="nil"/>
              <w:left w:val="nil"/>
              <w:bottom w:val="single" w:sz="4" w:space="0" w:color="auto"/>
              <w:right w:val="single" w:sz="4" w:space="0" w:color="auto"/>
            </w:tcBorders>
            <w:shd w:val="clear" w:color="auto" w:fill="auto"/>
            <w:vAlign w:val="bottom"/>
            <w:hideMark/>
          </w:tcPr>
          <w:p w14:paraId="0629BAE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bottom"/>
            <w:hideMark/>
          </w:tcPr>
          <w:p w14:paraId="09F4190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827,553</w:t>
            </w:r>
          </w:p>
        </w:tc>
        <w:tc>
          <w:tcPr>
            <w:tcW w:w="162" w:type="pct"/>
            <w:tcBorders>
              <w:top w:val="nil"/>
              <w:left w:val="nil"/>
              <w:bottom w:val="single" w:sz="4" w:space="0" w:color="auto"/>
              <w:right w:val="single" w:sz="4" w:space="0" w:color="auto"/>
            </w:tcBorders>
            <w:shd w:val="clear" w:color="auto" w:fill="auto"/>
            <w:vAlign w:val="bottom"/>
            <w:hideMark/>
          </w:tcPr>
          <w:p w14:paraId="74718EC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bottom"/>
            <w:hideMark/>
          </w:tcPr>
          <w:p w14:paraId="437ED1E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bottom"/>
            <w:hideMark/>
          </w:tcPr>
          <w:p w14:paraId="7346E5D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bottom"/>
            <w:hideMark/>
          </w:tcPr>
          <w:p w14:paraId="01EBD33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bottom"/>
            <w:hideMark/>
          </w:tcPr>
          <w:p w14:paraId="4F13306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bottom"/>
            <w:hideMark/>
          </w:tcPr>
          <w:p w14:paraId="2E350BE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bottom"/>
            <w:hideMark/>
          </w:tcPr>
          <w:p w14:paraId="4416930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bottom"/>
            <w:hideMark/>
          </w:tcPr>
          <w:p w14:paraId="31127165" w14:textId="255EE8A0"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(450,000)</w:t>
            </w:r>
          </w:p>
        </w:tc>
      </w:tr>
      <w:tr w:rsidR="00C260C3" w:rsidRPr="00B457F5" w14:paraId="75F12E9B"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bottom"/>
            <w:hideMark/>
          </w:tcPr>
          <w:p w14:paraId="0CAD39D6"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1.1.2.2</w:t>
            </w:r>
          </w:p>
        </w:tc>
        <w:tc>
          <w:tcPr>
            <w:tcW w:w="281" w:type="pct"/>
            <w:tcBorders>
              <w:top w:val="nil"/>
              <w:left w:val="nil"/>
              <w:bottom w:val="single" w:sz="4" w:space="0" w:color="auto"/>
              <w:right w:val="single" w:sz="4" w:space="0" w:color="auto"/>
            </w:tcBorders>
            <w:shd w:val="clear" w:color="auto" w:fill="auto"/>
            <w:vAlign w:val="bottom"/>
            <w:hideMark/>
          </w:tcPr>
          <w:p w14:paraId="6C907B31"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1.1.2.2 Hartimi/përditësimi i kurrikulave për trajnime mbi forcimin e kapaciteteve mbi çështjet e migracionit</w:t>
            </w:r>
          </w:p>
        </w:tc>
        <w:tc>
          <w:tcPr>
            <w:tcW w:w="186" w:type="pct"/>
            <w:tcBorders>
              <w:top w:val="nil"/>
              <w:left w:val="nil"/>
              <w:bottom w:val="single" w:sz="4" w:space="0" w:color="auto"/>
              <w:right w:val="single" w:sz="4" w:space="0" w:color="auto"/>
            </w:tcBorders>
            <w:shd w:val="clear" w:color="auto" w:fill="auto"/>
            <w:vAlign w:val="bottom"/>
            <w:hideMark/>
          </w:tcPr>
          <w:p w14:paraId="7DD2E655"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01330 Menaxhimi dhe Zhvillimi i Administratës Publike (87)</w:t>
            </w:r>
          </w:p>
        </w:tc>
        <w:tc>
          <w:tcPr>
            <w:tcW w:w="169" w:type="pct"/>
            <w:tcBorders>
              <w:top w:val="nil"/>
              <w:left w:val="nil"/>
              <w:bottom w:val="single" w:sz="4" w:space="0" w:color="auto"/>
              <w:right w:val="single" w:sz="4" w:space="0" w:color="auto"/>
            </w:tcBorders>
            <w:shd w:val="clear" w:color="auto" w:fill="auto"/>
            <w:vAlign w:val="center"/>
            <w:hideMark/>
          </w:tcPr>
          <w:p w14:paraId="1EDB3B8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ASPA</w:t>
            </w:r>
          </w:p>
        </w:tc>
        <w:tc>
          <w:tcPr>
            <w:tcW w:w="244" w:type="pct"/>
            <w:tcBorders>
              <w:top w:val="nil"/>
              <w:left w:val="nil"/>
              <w:bottom w:val="nil"/>
              <w:right w:val="nil"/>
            </w:tcBorders>
            <w:shd w:val="clear" w:color="auto" w:fill="auto"/>
            <w:vAlign w:val="center"/>
            <w:hideMark/>
          </w:tcPr>
          <w:p w14:paraId="5B86514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 MEPJ, MEKI, MSHMS, MAS, GIZ</w:t>
            </w:r>
          </w:p>
        </w:tc>
        <w:tc>
          <w:tcPr>
            <w:tcW w:w="135" w:type="pct"/>
            <w:tcBorders>
              <w:top w:val="nil"/>
              <w:left w:val="single" w:sz="4" w:space="0" w:color="auto"/>
              <w:bottom w:val="single" w:sz="4" w:space="0" w:color="auto"/>
              <w:right w:val="single" w:sz="4" w:space="0" w:color="auto"/>
            </w:tcBorders>
            <w:shd w:val="clear" w:color="000000" w:fill="DDEBF7"/>
            <w:vAlign w:val="center"/>
            <w:hideMark/>
          </w:tcPr>
          <w:p w14:paraId="4AE8D7F9"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61B25AB9"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2025</w:t>
            </w:r>
          </w:p>
        </w:tc>
        <w:tc>
          <w:tcPr>
            <w:tcW w:w="163" w:type="pct"/>
            <w:tcBorders>
              <w:top w:val="nil"/>
              <w:left w:val="nil"/>
              <w:bottom w:val="single" w:sz="4" w:space="0" w:color="auto"/>
              <w:right w:val="single" w:sz="4" w:space="0" w:color="auto"/>
            </w:tcBorders>
            <w:shd w:val="clear" w:color="auto" w:fill="auto"/>
            <w:noWrap/>
            <w:vAlign w:val="bottom"/>
            <w:hideMark/>
          </w:tcPr>
          <w:p w14:paraId="124F614C" w14:textId="77777777" w:rsidR="00C260C3" w:rsidRPr="00B457F5" w:rsidRDefault="00C260C3" w:rsidP="00C260C3">
            <w:pPr>
              <w:spacing w:before="0" w:after="0"/>
              <w:jc w:val="center"/>
              <w:rPr>
                <w:rFonts w:ascii="Garamond" w:eastAsia="Times New Roman" w:hAnsi="Garamond" w:cs="Calibri"/>
                <w:color w:val="000000"/>
                <w:sz w:val="4"/>
                <w:szCs w:val="10"/>
              </w:rPr>
            </w:pPr>
            <w:r w:rsidRPr="00B457F5">
              <w:rPr>
                <w:rFonts w:ascii="Garamond" w:eastAsia="Times New Roman" w:hAnsi="Garamond" w:cs="Calibri"/>
                <w:color w:val="000000"/>
                <w:sz w:val="4"/>
                <w:szCs w:val="10"/>
              </w:rPr>
              <w:t>324,000</w:t>
            </w:r>
          </w:p>
        </w:tc>
        <w:tc>
          <w:tcPr>
            <w:tcW w:w="155" w:type="pct"/>
            <w:tcBorders>
              <w:top w:val="nil"/>
              <w:left w:val="nil"/>
              <w:bottom w:val="single" w:sz="4" w:space="0" w:color="auto"/>
              <w:right w:val="single" w:sz="4" w:space="0" w:color="auto"/>
            </w:tcBorders>
            <w:shd w:val="clear" w:color="auto" w:fill="auto"/>
            <w:vAlign w:val="bottom"/>
            <w:hideMark/>
          </w:tcPr>
          <w:p w14:paraId="0A545E4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bottom"/>
            <w:hideMark/>
          </w:tcPr>
          <w:p w14:paraId="61B1901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324,000</w:t>
            </w:r>
          </w:p>
        </w:tc>
        <w:tc>
          <w:tcPr>
            <w:tcW w:w="165" w:type="pct"/>
            <w:tcBorders>
              <w:top w:val="nil"/>
              <w:left w:val="nil"/>
              <w:bottom w:val="single" w:sz="4" w:space="0" w:color="auto"/>
              <w:right w:val="single" w:sz="4" w:space="0" w:color="auto"/>
            </w:tcBorders>
            <w:shd w:val="clear" w:color="auto" w:fill="auto"/>
            <w:vAlign w:val="bottom"/>
            <w:hideMark/>
          </w:tcPr>
          <w:p w14:paraId="73F1114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324,000</w:t>
            </w:r>
          </w:p>
        </w:tc>
        <w:tc>
          <w:tcPr>
            <w:tcW w:w="163" w:type="pct"/>
            <w:tcBorders>
              <w:top w:val="nil"/>
              <w:left w:val="nil"/>
              <w:bottom w:val="single" w:sz="4" w:space="0" w:color="auto"/>
              <w:right w:val="single" w:sz="4" w:space="0" w:color="auto"/>
            </w:tcBorders>
            <w:shd w:val="clear" w:color="auto" w:fill="auto"/>
            <w:noWrap/>
            <w:vAlign w:val="bottom"/>
            <w:hideMark/>
          </w:tcPr>
          <w:p w14:paraId="0230AB9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0 </w:t>
            </w:r>
          </w:p>
        </w:tc>
        <w:tc>
          <w:tcPr>
            <w:tcW w:w="163" w:type="pct"/>
            <w:tcBorders>
              <w:top w:val="nil"/>
              <w:left w:val="nil"/>
              <w:bottom w:val="single" w:sz="4" w:space="0" w:color="auto"/>
              <w:right w:val="single" w:sz="4" w:space="0" w:color="auto"/>
            </w:tcBorders>
            <w:shd w:val="clear" w:color="000000" w:fill="FFF2CC"/>
            <w:vAlign w:val="bottom"/>
            <w:hideMark/>
          </w:tcPr>
          <w:p w14:paraId="203438D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324,000</w:t>
            </w:r>
          </w:p>
        </w:tc>
        <w:tc>
          <w:tcPr>
            <w:tcW w:w="163" w:type="pct"/>
            <w:tcBorders>
              <w:top w:val="nil"/>
              <w:left w:val="nil"/>
              <w:bottom w:val="single" w:sz="4" w:space="0" w:color="auto"/>
              <w:right w:val="single" w:sz="4" w:space="0" w:color="auto"/>
            </w:tcBorders>
            <w:shd w:val="clear" w:color="auto" w:fill="auto"/>
            <w:vAlign w:val="bottom"/>
            <w:hideMark/>
          </w:tcPr>
          <w:p w14:paraId="0E7580A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8" w:type="pct"/>
            <w:tcBorders>
              <w:top w:val="nil"/>
              <w:left w:val="nil"/>
              <w:bottom w:val="single" w:sz="4" w:space="0" w:color="auto"/>
              <w:right w:val="single" w:sz="4" w:space="0" w:color="auto"/>
            </w:tcBorders>
            <w:shd w:val="clear" w:color="auto" w:fill="auto"/>
            <w:vAlign w:val="bottom"/>
            <w:hideMark/>
          </w:tcPr>
          <w:p w14:paraId="4CD54A6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bottom"/>
            <w:hideMark/>
          </w:tcPr>
          <w:p w14:paraId="2D94330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auto" w:fill="auto"/>
            <w:vAlign w:val="bottom"/>
            <w:hideMark/>
          </w:tcPr>
          <w:p w14:paraId="2977473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648,000</w:t>
            </w:r>
          </w:p>
        </w:tc>
        <w:tc>
          <w:tcPr>
            <w:tcW w:w="163" w:type="pct"/>
            <w:tcBorders>
              <w:top w:val="nil"/>
              <w:left w:val="nil"/>
              <w:bottom w:val="single" w:sz="4" w:space="0" w:color="auto"/>
              <w:right w:val="single" w:sz="4" w:space="0" w:color="auto"/>
            </w:tcBorders>
            <w:shd w:val="clear" w:color="auto" w:fill="auto"/>
            <w:vAlign w:val="bottom"/>
            <w:hideMark/>
          </w:tcPr>
          <w:p w14:paraId="5FF3425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bottom"/>
            <w:hideMark/>
          </w:tcPr>
          <w:p w14:paraId="124438F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648,000</w:t>
            </w:r>
          </w:p>
        </w:tc>
        <w:tc>
          <w:tcPr>
            <w:tcW w:w="163" w:type="pct"/>
            <w:tcBorders>
              <w:top w:val="nil"/>
              <w:left w:val="nil"/>
              <w:bottom w:val="single" w:sz="4" w:space="0" w:color="auto"/>
              <w:right w:val="single" w:sz="4" w:space="0" w:color="auto"/>
            </w:tcBorders>
            <w:shd w:val="clear" w:color="auto" w:fill="auto"/>
            <w:vAlign w:val="bottom"/>
            <w:hideMark/>
          </w:tcPr>
          <w:p w14:paraId="5E4AABF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bottom"/>
            <w:hideMark/>
          </w:tcPr>
          <w:p w14:paraId="71B3A76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bottom"/>
            <w:hideMark/>
          </w:tcPr>
          <w:p w14:paraId="1428F1C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auto" w:fill="auto"/>
            <w:vAlign w:val="bottom"/>
            <w:hideMark/>
          </w:tcPr>
          <w:p w14:paraId="01CF57E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648,000</w:t>
            </w:r>
          </w:p>
        </w:tc>
        <w:tc>
          <w:tcPr>
            <w:tcW w:w="155" w:type="pct"/>
            <w:tcBorders>
              <w:top w:val="nil"/>
              <w:left w:val="nil"/>
              <w:bottom w:val="single" w:sz="4" w:space="0" w:color="auto"/>
              <w:right w:val="single" w:sz="4" w:space="0" w:color="auto"/>
            </w:tcBorders>
            <w:shd w:val="clear" w:color="auto" w:fill="auto"/>
            <w:vAlign w:val="bottom"/>
            <w:hideMark/>
          </w:tcPr>
          <w:p w14:paraId="0A6BE3C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bottom"/>
            <w:hideMark/>
          </w:tcPr>
          <w:p w14:paraId="680E1F3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GIZ</w:t>
            </w:r>
          </w:p>
        </w:tc>
        <w:tc>
          <w:tcPr>
            <w:tcW w:w="163" w:type="pct"/>
            <w:tcBorders>
              <w:top w:val="nil"/>
              <w:left w:val="nil"/>
              <w:bottom w:val="single" w:sz="4" w:space="0" w:color="auto"/>
              <w:right w:val="single" w:sz="4" w:space="0" w:color="auto"/>
            </w:tcBorders>
            <w:shd w:val="clear" w:color="000000" w:fill="FFF2CC"/>
            <w:vAlign w:val="bottom"/>
            <w:hideMark/>
          </w:tcPr>
          <w:p w14:paraId="00D13EB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648,000</w:t>
            </w:r>
          </w:p>
        </w:tc>
        <w:tc>
          <w:tcPr>
            <w:tcW w:w="139" w:type="pct"/>
            <w:tcBorders>
              <w:top w:val="nil"/>
              <w:left w:val="nil"/>
              <w:bottom w:val="single" w:sz="4" w:space="0" w:color="auto"/>
              <w:right w:val="single" w:sz="4" w:space="0" w:color="auto"/>
            </w:tcBorders>
            <w:shd w:val="clear" w:color="auto" w:fill="auto"/>
            <w:vAlign w:val="bottom"/>
            <w:hideMark/>
          </w:tcPr>
          <w:p w14:paraId="7660D68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bottom"/>
            <w:hideMark/>
          </w:tcPr>
          <w:p w14:paraId="7C134BF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bottom"/>
            <w:hideMark/>
          </w:tcPr>
          <w:p w14:paraId="0B56346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bottom"/>
            <w:hideMark/>
          </w:tcPr>
          <w:p w14:paraId="0524F5AA" w14:textId="51D2B1FF"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5815C2A3"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bottom"/>
            <w:hideMark/>
          </w:tcPr>
          <w:p w14:paraId="4095E4D3"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1.1.2.3</w:t>
            </w:r>
          </w:p>
        </w:tc>
        <w:tc>
          <w:tcPr>
            <w:tcW w:w="281" w:type="pct"/>
            <w:tcBorders>
              <w:top w:val="nil"/>
              <w:left w:val="nil"/>
              <w:bottom w:val="single" w:sz="4" w:space="0" w:color="auto"/>
              <w:right w:val="single" w:sz="4" w:space="0" w:color="auto"/>
            </w:tcBorders>
            <w:shd w:val="clear" w:color="auto" w:fill="auto"/>
            <w:vAlign w:val="bottom"/>
            <w:hideMark/>
          </w:tcPr>
          <w:p w14:paraId="51783783" w14:textId="37CE2541"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1.1.2.3 Ngritja dhe funksionimi i njësisë/</w:t>
            </w:r>
            <w:r w:rsidR="001743B4" w:rsidRPr="00B457F5">
              <w:rPr>
                <w:rFonts w:ascii="Garamond" w:eastAsia="Times New Roman" w:hAnsi="Garamond" w:cs="Times New Roman"/>
                <w:color w:val="000000"/>
                <w:sz w:val="4"/>
                <w:szCs w:val="10"/>
              </w:rPr>
              <w:t xml:space="preserve"> </w:t>
            </w:r>
            <w:r w:rsidRPr="00B457F5">
              <w:rPr>
                <w:rFonts w:ascii="Garamond" w:eastAsia="Times New Roman" w:hAnsi="Garamond" w:cs="Times New Roman"/>
                <w:color w:val="000000"/>
                <w:sz w:val="4"/>
                <w:szCs w:val="10"/>
              </w:rPr>
              <w:t>strukturës së trajnimeve për Migracionin</w:t>
            </w:r>
          </w:p>
        </w:tc>
        <w:tc>
          <w:tcPr>
            <w:tcW w:w="186" w:type="pct"/>
            <w:tcBorders>
              <w:top w:val="nil"/>
              <w:left w:val="nil"/>
              <w:bottom w:val="single" w:sz="4" w:space="0" w:color="auto"/>
              <w:right w:val="single" w:sz="4" w:space="0" w:color="auto"/>
            </w:tcBorders>
            <w:shd w:val="clear" w:color="auto" w:fill="auto"/>
            <w:vAlign w:val="bottom"/>
            <w:hideMark/>
          </w:tcPr>
          <w:p w14:paraId="0BF673A9"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08BFD06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w:t>
            </w:r>
          </w:p>
        </w:tc>
        <w:tc>
          <w:tcPr>
            <w:tcW w:w="244" w:type="pct"/>
            <w:tcBorders>
              <w:top w:val="single" w:sz="4" w:space="0" w:color="auto"/>
              <w:left w:val="nil"/>
              <w:bottom w:val="single" w:sz="4" w:space="0" w:color="auto"/>
              <w:right w:val="single" w:sz="4" w:space="0" w:color="auto"/>
            </w:tcBorders>
            <w:shd w:val="clear" w:color="auto" w:fill="auto"/>
            <w:vAlign w:val="center"/>
            <w:hideMark/>
          </w:tcPr>
          <w:p w14:paraId="41AB714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DKM, MEPJ, MEKI, MSHMS, MAS, AKPA</w:t>
            </w:r>
          </w:p>
        </w:tc>
        <w:tc>
          <w:tcPr>
            <w:tcW w:w="135" w:type="pct"/>
            <w:tcBorders>
              <w:top w:val="nil"/>
              <w:left w:val="nil"/>
              <w:bottom w:val="single" w:sz="4" w:space="0" w:color="auto"/>
              <w:right w:val="single" w:sz="4" w:space="0" w:color="auto"/>
            </w:tcBorders>
            <w:shd w:val="clear" w:color="000000" w:fill="DDEBF7"/>
            <w:vAlign w:val="center"/>
            <w:hideMark/>
          </w:tcPr>
          <w:p w14:paraId="6925E43E"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6DB21FD9"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noWrap/>
            <w:vAlign w:val="bottom"/>
            <w:hideMark/>
          </w:tcPr>
          <w:p w14:paraId="657CB54D" w14:textId="77777777" w:rsidR="00C260C3" w:rsidRPr="00B457F5" w:rsidRDefault="00C260C3" w:rsidP="00C260C3">
            <w:pPr>
              <w:spacing w:before="0" w:after="0"/>
              <w:jc w:val="center"/>
              <w:rPr>
                <w:rFonts w:ascii="Garamond" w:eastAsia="Times New Roman" w:hAnsi="Garamond" w:cs="Calibri"/>
                <w:color w:val="000000"/>
                <w:sz w:val="4"/>
                <w:szCs w:val="10"/>
              </w:rPr>
            </w:pPr>
            <w:r w:rsidRPr="00B457F5">
              <w:rPr>
                <w:rFonts w:ascii="Garamond" w:eastAsia="Times New Roman" w:hAnsi="Garamond" w:cs="Calibri"/>
                <w:color w:val="000000"/>
                <w:sz w:val="4"/>
                <w:szCs w:val="10"/>
              </w:rPr>
              <w:t>2,004,264</w:t>
            </w:r>
          </w:p>
        </w:tc>
        <w:tc>
          <w:tcPr>
            <w:tcW w:w="155" w:type="pct"/>
            <w:tcBorders>
              <w:top w:val="nil"/>
              <w:left w:val="nil"/>
              <w:bottom w:val="single" w:sz="4" w:space="0" w:color="auto"/>
              <w:right w:val="single" w:sz="4" w:space="0" w:color="auto"/>
            </w:tcBorders>
            <w:shd w:val="clear" w:color="auto" w:fill="auto"/>
            <w:vAlign w:val="bottom"/>
            <w:hideMark/>
          </w:tcPr>
          <w:p w14:paraId="7C44335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bottom"/>
            <w:hideMark/>
          </w:tcPr>
          <w:p w14:paraId="5F72B82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2,004,264</w:t>
            </w:r>
          </w:p>
        </w:tc>
        <w:tc>
          <w:tcPr>
            <w:tcW w:w="165" w:type="pct"/>
            <w:tcBorders>
              <w:top w:val="nil"/>
              <w:left w:val="nil"/>
              <w:bottom w:val="single" w:sz="4" w:space="0" w:color="auto"/>
              <w:right w:val="single" w:sz="4" w:space="0" w:color="auto"/>
            </w:tcBorders>
            <w:shd w:val="clear" w:color="auto" w:fill="auto"/>
            <w:vAlign w:val="bottom"/>
            <w:hideMark/>
          </w:tcPr>
          <w:p w14:paraId="4F0F42F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2,004,264</w:t>
            </w:r>
          </w:p>
        </w:tc>
        <w:tc>
          <w:tcPr>
            <w:tcW w:w="163" w:type="pct"/>
            <w:tcBorders>
              <w:top w:val="nil"/>
              <w:left w:val="nil"/>
              <w:bottom w:val="single" w:sz="4" w:space="0" w:color="auto"/>
              <w:right w:val="single" w:sz="4" w:space="0" w:color="auto"/>
            </w:tcBorders>
            <w:shd w:val="clear" w:color="auto" w:fill="auto"/>
            <w:noWrap/>
            <w:vAlign w:val="bottom"/>
            <w:hideMark/>
          </w:tcPr>
          <w:p w14:paraId="17893B0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0 </w:t>
            </w:r>
          </w:p>
        </w:tc>
        <w:tc>
          <w:tcPr>
            <w:tcW w:w="163" w:type="pct"/>
            <w:tcBorders>
              <w:top w:val="nil"/>
              <w:left w:val="nil"/>
              <w:bottom w:val="single" w:sz="4" w:space="0" w:color="auto"/>
              <w:right w:val="single" w:sz="4" w:space="0" w:color="auto"/>
            </w:tcBorders>
            <w:shd w:val="clear" w:color="000000" w:fill="FFF2CC"/>
            <w:vAlign w:val="bottom"/>
            <w:hideMark/>
          </w:tcPr>
          <w:p w14:paraId="06A9421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2,004,264</w:t>
            </w:r>
          </w:p>
        </w:tc>
        <w:tc>
          <w:tcPr>
            <w:tcW w:w="163" w:type="pct"/>
            <w:tcBorders>
              <w:top w:val="nil"/>
              <w:left w:val="nil"/>
              <w:bottom w:val="single" w:sz="4" w:space="0" w:color="auto"/>
              <w:right w:val="single" w:sz="4" w:space="0" w:color="auto"/>
            </w:tcBorders>
            <w:shd w:val="clear" w:color="auto" w:fill="auto"/>
            <w:vAlign w:val="bottom"/>
            <w:hideMark/>
          </w:tcPr>
          <w:p w14:paraId="26597D6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2,004,264</w:t>
            </w:r>
          </w:p>
        </w:tc>
        <w:tc>
          <w:tcPr>
            <w:tcW w:w="148" w:type="pct"/>
            <w:tcBorders>
              <w:top w:val="nil"/>
              <w:left w:val="nil"/>
              <w:bottom w:val="single" w:sz="4" w:space="0" w:color="auto"/>
              <w:right w:val="single" w:sz="4" w:space="0" w:color="auto"/>
            </w:tcBorders>
            <w:shd w:val="clear" w:color="auto" w:fill="auto"/>
            <w:vAlign w:val="bottom"/>
            <w:hideMark/>
          </w:tcPr>
          <w:p w14:paraId="522D3E8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bottom"/>
            <w:hideMark/>
          </w:tcPr>
          <w:p w14:paraId="2CC46D8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2,004,264</w:t>
            </w:r>
          </w:p>
        </w:tc>
        <w:tc>
          <w:tcPr>
            <w:tcW w:w="165" w:type="pct"/>
            <w:tcBorders>
              <w:top w:val="nil"/>
              <w:left w:val="nil"/>
              <w:bottom w:val="single" w:sz="4" w:space="0" w:color="auto"/>
              <w:right w:val="single" w:sz="4" w:space="0" w:color="auto"/>
            </w:tcBorders>
            <w:shd w:val="clear" w:color="auto" w:fill="auto"/>
            <w:vAlign w:val="bottom"/>
            <w:hideMark/>
          </w:tcPr>
          <w:p w14:paraId="06AB900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6,012,792</w:t>
            </w:r>
          </w:p>
        </w:tc>
        <w:tc>
          <w:tcPr>
            <w:tcW w:w="163" w:type="pct"/>
            <w:tcBorders>
              <w:top w:val="nil"/>
              <w:left w:val="nil"/>
              <w:bottom w:val="single" w:sz="4" w:space="0" w:color="auto"/>
              <w:right w:val="single" w:sz="4" w:space="0" w:color="auto"/>
            </w:tcBorders>
            <w:shd w:val="clear" w:color="auto" w:fill="auto"/>
            <w:vAlign w:val="bottom"/>
            <w:hideMark/>
          </w:tcPr>
          <w:p w14:paraId="7EC0C27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bottom"/>
            <w:hideMark/>
          </w:tcPr>
          <w:p w14:paraId="43F1475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6,012,792</w:t>
            </w:r>
          </w:p>
        </w:tc>
        <w:tc>
          <w:tcPr>
            <w:tcW w:w="163" w:type="pct"/>
            <w:tcBorders>
              <w:top w:val="nil"/>
              <w:left w:val="nil"/>
              <w:bottom w:val="single" w:sz="4" w:space="0" w:color="auto"/>
              <w:right w:val="single" w:sz="4" w:space="0" w:color="auto"/>
            </w:tcBorders>
            <w:shd w:val="clear" w:color="auto" w:fill="auto"/>
            <w:vAlign w:val="bottom"/>
            <w:hideMark/>
          </w:tcPr>
          <w:p w14:paraId="1A4AB50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6,012,792</w:t>
            </w:r>
          </w:p>
        </w:tc>
        <w:tc>
          <w:tcPr>
            <w:tcW w:w="155" w:type="pct"/>
            <w:tcBorders>
              <w:top w:val="nil"/>
              <w:left w:val="nil"/>
              <w:bottom w:val="single" w:sz="4" w:space="0" w:color="auto"/>
              <w:right w:val="single" w:sz="4" w:space="0" w:color="auto"/>
            </w:tcBorders>
            <w:shd w:val="clear" w:color="auto" w:fill="auto"/>
            <w:vAlign w:val="bottom"/>
            <w:hideMark/>
          </w:tcPr>
          <w:p w14:paraId="3F1011B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bottom"/>
            <w:hideMark/>
          </w:tcPr>
          <w:p w14:paraId="668414C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6,012,792</w:t>
            </w:r>
          </w:p>
        </w:tc>
        <w:tc>
          <w:tcPr>
            <w:tcW w:w="162" w:type="pct"/>
            <w:tcBorders>
              <w:top w:val="nil"/>
              <w:left w:val="nil"/>
              <w:bottom w:val="single" w:sz="4" w:space="0" w:color="auto"/>
              <w:right w:val="single" w:sz="4" w:space="0" w:color="auto"/>
            </w:tcBorders>
            <w:shd w:val="clear" w:color="auto" w:fill="auto"/>
            <w:vAlign w:val="bottom"/>
            <w:hideMark/>
          </w:tcPr>
          <w:p w14:paraId="741D45A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bottom"/>
            <w:hideMark/>
          </w:tcPr>
          <w:p w14:paraId="2206A03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bottom"/>
            <w:hideMark/>
          </w:tcPr>
          <w:p w14:paraId="733E2C6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bottom"/>
            <w:hideMark/>
          </w:tcPr>
          <w:p w14:paraId="33399ED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bottom"/>
            <w:hideMark/>
          </w:tcPr>
          <w:p w14:paraId="448F860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bottom"/>
            <w:hideMark/>
          </w:tcPr>
          <w:p w14:paraId="5115B84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bottom"/>
            <w:hideMark/>
          </w:tcPr>
          <w:p w14:paraId="494B275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bottom"/>
            <w:hideMark/>
          </w:tcPr>
          <w:p w14:paraId="63308972" w14:textId="1B03729C"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5533DD68"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bottom"/>
            <w:hideMark/>
          </w:tcPr>
          <w:p w14:paraId="55D8DA74"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1.1.2.4</w:t>
            </w:r>
          </w:p>
        </w:tc>
        <w:tc>
          <w:tcPr>
            <w:tcW w:w="281" w:type="pct"/>
            <w:tcBorders>
              <w:top w:val="nil"/>
              <w:left w:val="nil"/>
              <w:bottom w:val="single" w:sz="4" w:space="0" w:color="auto"/>
              <w:right w:val="single" w:sz="4" w:space="0" w:color="auto"/>
            </w:tcBorders>
            <w:shd w:val="clear" w:color="auto" w:fill="auto"/>
            <w:vAlign w:val="bottom"/>
            <w:hideMark/>
          </w:tcPr>
          <w:p w14:paraId="7B417BEA" w14:textId="7A77EE4D"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1.1.2.4 Organizimi i trajnimeve të vazhdueshme, për nëpunësit e ngarkuar me detyra</w:t>
            </w:r>
            <w:r w:rsidR="001743B4"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në lidhje me zbatimin e legjislacionit për çështjet migratore (menaxhimin e migracionit </w:t>
            </w:r>
            <w:r w:rsidR="00164C66" w:rsidRPr="00B457F5">
              <w:rPr>
                <w:rFonts w:ascii="Garamond" w:eastAsia="Times New Roman" w:hAnsi="Garamond" w:cs="Times New Roman"/>
                <w:color w:val="000000"/>
                <w:sz w:val="4"/>
                <w:szCs w:val="10"/>
              </w:rPr>
              <w:t xml:space="preserve">të </w:t>
            </w:r>
            <w:r w:rsidRPr="00B457F5">
              <w:rPr>
                <w:rFonts w:ascii="Garamond" w:eastAsia="Times New Roman" w:hAnsi="Garamond" w:cs="Times New Roman"/>
                <w:color w:val="000000"/>
                <w:sz w:val="4"/>
                <w:szCs w:val="10"/>
              </w:rPr>
              <w:t xml:space="preserve">rregullt dhe </w:t>
            </w:r>
            <w:r w:rsidR="00164C66" w:rsidRPr="00B457F5">
              <w:rPr>
                <w:rFonts w:ascii="Garamond" w:eastAsia="Times New Roman" w:hAnsi="Garamond" w:cs="Times New Roman"/>
                <w:color w:val="000000"/>
                <w:sz w:val="4"/>
                <w:szCs w:val="10"/>
              </w:rPr>
              <w:t xml:space="preserve">të </w:t>
            </w:r>
            <w:r w:rsidRPr="00B457F5">
              <w:rPr>
                <w:rFonts w:ascii="Garamond" w:eastAsia="Times New Roman" w:hAnsi="Garamond" w:cs="Times New Roman"/>
                <w:color w:val="000000"/>
                <w:sz w:val="4"/>
                <w:szCs w:val="10"/>
              </w:rPr>
              <w:t>parregullt, procedura e përzgjedhjes dhe identifikimi i grupeve vuln</w:t>
            </w:r>
            <w:r w:rsidR="006A63AF" w:rsidRPr="00B457F5">
              <w:rPr>
                <w:rFonts w:ascii="Garamond" w:eastAsia="Times New Roman" w:hAnsi="Garamond" w:cs="Times New Roman"/>
                <w:color w:val="000000"/>
                <w:sz w:val="4"/>
                <w:szCs w:val="10"/>
              </w:rPr>
              <w:t>e</w:t>
            </w:r>
            <w:r w:rsidRPr="00B457F5">
              <w:rPr>
                <w:rFonts w:ascii="Garamond" w:eastAsia="Times New Roman" w:hAnsi="Garamond" w:cs="Times New Roman"/>
                <w:color w:val="000000"/>
                <w:sz w:val="4"/>
                <w:szCs w:val="10"/>
              </w:rPr>
              <w:t>rabël; procedurat e kthimit)</w:t>
            </w:r>
          </w:p>
        </w:tc>
        <w:tc>
          <w:tcPr>
            <w:tcW w:w="186" w:type="pct"/>
            <w:tcBorders>
              <w:top w:val="nil"/>
              <w:left w:val="nil"/>
              <w:bottom w:val="single" w:sz="4" w:space="0" w:color="auto"/>
              <w:right w:val="single" w:sz="4" w:space="0" w:color="auto"/>
            </w:tcBorders>
            <w:shd w:val="clear" w:color="auto" w:fill="auto"/>
            <w:vAlign w:val="bottom"/>
            <w:hideMark/>
          </w:tcPr>
          <w:p w14:paraId="1A3BAFCE"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01330 Menaxhimi dhe Zhvillimi i Administratës Publike (87)</w:t>
            </w:r>
          </w:p>
        </w:tc>
        <w:tc>
          <w:tcPr>
            <w:tcW w:w="169" w:type="pct"/>
            <w:tcBorders>
              <w:top w:val="nil"/>
              <w:left w:val="nil"/>
              <w:bottom w:val="single" w:sz="4" w:space="0" w:color="auto"/>
              <w:right w:val="single" w:sz="4" w:space="0" w:color="auto"/>
            </w:tcBorders>
            <w:shd w:val="clear" w:color="auto" w:fill="auto"/>
            <w:vAlign w:val="center"/>
            <w:hideMark/>
          </w:tcPr>
          <w:p w14:paraId="7ED4259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ASPA</w:t>
            </w:r>
          </w:p>
        </w:tc>
        <w:tc>
          <w:tcPr>
            <w:tcW w:w="244" w:type="pct"/>
            <w:tcBorders>
              <w:top w:val="nil"/>
              <w:left w:val="nil"/>
              <w:bottom w:val="single" w:sz="4" w:space="0" w:color="auto"/>
              <w:right w:val="single" w:sz="4" w:space="0" w:color="auto"/>
            </w:tcBorders>
            <w:shd w:val="clear" w:color="auto" w:fill="auto"/>
            <w:vAlign w:val="center"/>
            <w:hideMark/>
          </w:tcPr>
          <w:p w14:paraId="2BB3BF3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 GIZ</w:t>
            </w:r>
          </w:p>
        </w:tc>
        <w:tc>
          <w:tcPr>
            <w:tcW w:w="135" w:type="pct"/>
            <w:tcBorders>
              <w:top w:val="nil"/>
              <w:left w:val="nil"/>
              <w:bottom w:val="single" w:sz="4" w:space="0" w:color="auto"/>
              <w:right w:val="single" w:sz="4" w:space="0" w:color="auto"/>
            </w:tcBorders>
            <w:shd w:val="clear" w:color="000000" w:fill="DDEBF7"/>
            <w:vAlign w:val="center"/>
            <w:hideMark/>
          </w:tcPr>
          <w:p w14:paraId="29BB9067"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1B9F76B8"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2030</w:t>
            </w:r>
          </w:p>
        </w:tc>
        <w:tc>
          <w:tcPr>
            <w:tcW w:w="163" w:type="pct"/>
            <w:tcBorders>
              <w:top w:val="nil"/>
              <w:left w:val="nil"/>
              <w:bottom w:val="single" w:sz="4" w:space="0" w:color="auto"/>
              <w:right w:val="single" w:sz="4" w:space="0" w:color="auto"/>
            </w:tcBorders>
            <w:shd w:val="clear" w:color="auto" w:fill="auto"/>
            <w:noWrap/>
            <w:vAlign w:val="bottom"/>
            <w:hideMark/>
          </w:tcPr>
          <w:p w14:paraId="4F9A2644" w14:textId="77777777" w:rsidR="00C260C3" w:rsidRPr="00B457F5" w:rsidRDefault="00C260C3" w:rsidP="00C260C3">
            <w:pPr>
              <w:spacing w:before="0" w:after="0"/>
              <w:jc w:val="center"/>
              <w:rPr>
                <w:rFonts w:ascii="Garamond" w:eastAsia="Times New Roman" w:hAnsi="Garamond" w:cs="Calibri"/>
                <w:color w:val="000000"/>
                <w:sz w:val="4"/>
                <w:szCs w:val="10"/>
              </w:rPr>
            </w:pPr>
            <w:r w:rsidRPr="00B457F5">
              <w:rPr>
                <w:rFonts w:ascii="Garamond" w:eastAsia="Times New Roman" w:hAnsi="Garamond" w:cs="Calibri"/>
                <w:color w:val="000000"/>
                <w:sz w:val="4"/>
                <w:szCs w:val="10"/>
              </w:rPr>
              <w:t>1,051,200</w:t>
            </w:r>
          </w:p>
        </w:tc>
        <w:tc>
          <w:tcPr>
            <w:tcW w:w="155" w:type="pct"/>
            <w:tcBorders>
              <w:top w:val="nil"/>
              <w:left w:val="nil"/>
              <w:bottom w:val="single" w:sz="4" w:space="0" w:color="auto"/>
              <w:right w:val="single" w:sz="4" w:space="0" w:color="auto"/>
            </w:tcBorders>
            <w:shd w:val="clear" w:color="auto" w:fill="auto"/>
            <w:vAlign w:val="bottom"/>
            <w:hideMark/>
          </w:tcPr>
          <w:p w14:paraId="67BAEC1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bottom"/>
            <w:hideMark/>
          </w:tcPr>
          <w:p w14:paraId="09005C6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1,051,200</w:t>
            </w:r>
          </w:p>
        </w:tc>
        <w:tc>
          <w:tcPr>
            <w:tcW w:w="165" w:type="pct"/>
            <w:tcBorders>
              <w:top w:val="nil"/>
              <w:left w:val="nil"/>
              <w:bottom w:val="single" w:sz="4" w:space="0" w:color="auto"/>
              <w:right w:val="single" w:sz="4" w:space="0" w:color="auto"/>
            </w:tcBorders>
            <w:shd w:val="clear" w:color="auto" w:fill="auto"/>
            <w:vAlign w:val="bottom"/>
            <w:hideMark/>
          </w:tcPr>
          <w:p w14:paraId="6DE6267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1,051,200</w:t>
            </w:r>
          </w:p>
        </w:tc>
        <w:tc>
          <w:tcPr>
            <w:tcW w:w="163" w:type="pct"/>
            <w:tcBorders>
              <w:top w:val="nil"/>
              <w:left w:val="nil"/>
              <w:bottom w:val="single" w:sz="4" w:space="0" w:color="auto"/>
              <w:right w:val="single" w:sz="4" w:space="0" w:color="auto"/>
            </w:tcBorders>
            <w:shd w:val="clear" w:color="auto" w:fill="auto"/>
            <w:noWrap/>
            <w:vAlign w:val="bottom"/>
            <w:hideMark/>
          </w:tcPr>
          <w:p w14:paraId="315ED33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0 </w:t>
            </w:r>
          </w:p>
        </w:tc>
        <w:tc>
          <w:tcPr>
            <w:tcW w:w="163" w:type="pct"/>
            <w:tcBorders>
              <w:top w:val="nil"/>
              <w:left w:val="nil"/>
              <w:bottom w:val="single" w:sz="4" w:space="0" w:color="auto"/>
              <w:right w:val="single" w:sz="4" w:space="0" w:color="auto"/>
            </w:tcBorders>
            <w:shd w:val="clear" w:color="000000" w:fill="FFF2CC"/>
            <w:vAlign w:val="bottom"/>
            <w:hideMark/>
          </w:tcPr>
          <w:p w14:paraId="1DDA989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1,051,200</w:t>
            </w:r>
          </w:p>
        </w:tc>
        <w:tc>
          <w:tcPr>
            <w:tcW w:w="163" w:type="pct"/>
            <w:tcBorders>
              <w:top w:val="nil"/>
              <w:left w:val="nil"/>
              <w:bottom w:val="single" w:sz="4" w:space="0" w:color="auto"/>
              <w:right w:val="single" w:sz="4" w:space="0" w:color="auto"/>
            </w:tcBorders>
            <w:shd w:val="clear" w:color="auto" w:fill="auto"/>
            <w:vAlign w:val="bottom"/>
            <w:hideMark/>
          </w:tcPr>
          <w:p w14:paraId="661B982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1,051,200</w:t>
            </w:r>
          </w:p>
        </w:tc>
        <w:tc>
          <w:tcPr>
            <w:tcW w:w="148" w:type="pct"/>
            <w:tcBorders>
              <w:top w:val="nil"/>
              <w:left w:val="nil"/>
              <w:bottom w:val="single" w:sz="4" w:space="0" w:color="auto"/>
              <w:right w:val="single" w:sz="4" w:space="0" w:color="auto"/>
            </w:tcBorders>
            <w:shd w:val="clear" w:color="auto" w:fill="auto"/>
            <w:vAlign w:val="bottom"/>
            <w:hideMark/>
          </w:tcPr>
          <w:p w14:paraId="4BA8700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bottom"/>
            <w:hideMark/>
          </w:tcPr>
          <w:p w14:paraId="17DE72F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1,051,200</w:t>
            </w:r>
          </w:p>
        </w:tc>
        <w:tc>
          <w:tcPr>
            <w:tcW w:w="165" w:type="pct"/>
            <w:tcBorders>
              <w:top w:val="nil"/>
              <w:left w:val="nil"/>
              <w:bottom w:val="single" w:sz="4" w:space="0" w:color="auto"/>
              <w:right w:val="single" w:sz="4" w:space="0" w:color="auto"/>
            </w:tcBorders>
            <w:shd w:val="clear" w:color="auto" w:fill="auto"/>
            <w:vAlign w:val="bottom"/>
            <w:hideMark/>
          </w:tcPr>
          <w:p w14:paraId="4BEC5C7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3,153,600</w:t>
            </w:r>
          </w:p>
        </w:tc>
        <w:tc>
          <w:tcPr>
            <w:tcW w:w="163" w:type="pct"/>
            <w:tcBorders>
              <w:top w:val="nil"/>
              <w:left w:val="nil"/>
              <w:bottom w:val="single" w:sz="4" w:space="0" w:color="auto"/>
              <w:right w:val="single" w:sz="4" w:space="0" w:color="auto"/>
            </w:tcBorders>
            <w:shd w:val="clear" w:color="auto" w:fill="auto"/>
            <w:vAlign w:val="bottom"/>
            <w:hideMark/>
          </w:tcPr>
          <w:p w14:paraId="45A3538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bottom"/>
            <w:hideMark/>
          </w:tcPr>
          <w:p w14:paraId="25C88B9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3,153,600</w:t>
            </w:r>
          </w:p>
        </w:tc>
        <w:tc>
          <w:tcPr>
            <w:tcW w:w="163" w:type="pct"/>
            <w:tcBorders>
              <w:top w:val="nil"/>
              <w:left w:val="nil"/>
              <w:bottom w:val="single" w:sz="4" w:space="0" w:color="auto"/>
              <w:right w:val="single" w:sz="4" w:space="0" w:color="auto"/>
            </w:tcBorders>
            <w:shd w:val="clear" w:color="auto" w:fill="auto"/>
            <w:vAlign w:val="bottom"/>
            <w:hideMark/>
          </w:tcPr>
          <w:p w14:paraId="19A0952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bottom"/>
            <w:hideMark/>
          </w:tcPr>
          <w:p w14:paraId="408786F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bottom"/>
            <w:hideMark/>
          </w:tcPr>
          <w:p w14:paraId="2A524EC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auto" w:fill="auto"/>
            <w:vAlign w:val="bottom"/>
            <w:hideMark/>
          </w:tcPr>
          <w:p w14:paraId="32A440D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3,153,600</w:t>
            </w:r>
          </w:p>
        </w:tc>
        <w:tc>
          <w:tcPr>
            <w:tcW w:w="155" w:type="pct"/>
            <w:tcBorders>
              <w:top w:val="nil"/>
              <w:left w:val="nil"/>
              <w:bottom w:val="single" w:sz="4" w:space="0" w:color="auto"/>
              <w:right w:val="single" w:sz="4" w:space="0" w:color="auto"/>
            </w:tcBorders>
            <w:shd w:val="clear" w:color="auto" w:fill="auto"/>
            <w:vAlign w:val="bottom"/>
            <w:hideMark/>
          </w:tcPr>
          <w:p w14:paraId="625771A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bottom"/>
            <w:hideMark/>
          </w:tcPr>
          <w:p w14:paraId="4FB125A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GIZ</w:t>
            </w:r>
          </w:p>
        </w:tc>
        <w:tc>
          <w:tcPr>
            <w:tcW w:w="163" w:type="pct"/>
            <w:tcBorders>
              <w:top w:val="nil"/>
              <w:left w:val="nil"/>
              <w:bottom w:val="single" w:sz="4" w:space="0" w:color="auto"/>
              <w:right w:val="single" w:sz="4" w:space="0" w:color="auto"/>
            </w:tcBorders>
            <w:shd w:val="clear" w:color="000000" w:fill="FFF2CC"/>
            <w:vAlign w:val="bottom"/>
            <w:hideMark/>
          </w:tcPr>
          <w:p w14:paraId="59FE8B2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3,153,600</w:t>
            </w:r>
          </w:p>
        </w:tc>
        <w:tc>
          <w:tcPr>
            <w:tcW w:w="139" w:type="pct"/>
            <w:tcBorders>
              <w:top w:val="nil"/>
              <w:left w:val="nil"/>
              <w:bottom w:val="single" w:sz="4" w:space="0" w:color="auto"/>
              <w:right w:val="single" w:sz="4" w:space="0" w:color="auto"/>
            </w:tcBorders>
            <w:shd w:val="clear" w:color="auto" w:fill="auto"/>
            <w:vAlign w:val="bottom"/>
            <w:hideMark/>
          </w:tcPr>
          <w:p w14:paraId="152C367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bottom"/>
            <w:hideMark/>
          </w:tcPr>
          <w:p w14:paraId="5C319BD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bottom"/>
            <w:hideMark/>
          </w:tcPr>
          <w:p w14:paraId="76354F1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bottom"/>
            <w:hideMark/>
          </w:tcPr>
          <w:p w14:paraId="76271A96" w14:textId="6E507E85"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3F6EE5C8"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bottom"/>
            <w:hideMark/>
          </w:tcPr>
          <w:p w14:paraId="41C1D4CB"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1.1.2.5</w:t>
            </w:r>
          </w:p>
        </w:tc>
        <w:tc>
          <w:tcPr>
            <w:tcW w:w="281" w:type="pct"/>
            <w:tcBorders>
              <w:top w:val="nil"/>
              <w:left w:val="nil"/>
              <w:bottom w:val="single" w:sz="4" w:space="0" w:color="auto"/>
              <w:right w:val="single" w:sz="4" w:space="0" w:color="auto"/>
            </w:tcBorders>
            <w:shd w:val="clear" w:color="auto" w:fill="auto"/>
            <w:vAlign w:val="bottom"/>
            <w:hideMark/>
          </w:tcPr>
          <w:p w14:paraId="440D4CCF" w14:textId="69B58EF8"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1.1.2.5 Të zhvillohen trajnime të ndjeshme gjinore specifike për migracionin për NJVQ</w:t>
            </w:r>
            <w:r w:rsidR="001743B4" w:rsidRPr="00B457F5">
              <w:rPr>
                <w:rFonts w:ascii="Garamond" w:eastAsia="Times New Roman" w:hAnsi="Garamond" w:cs="Times New Roman"/>
                <w:color w:val="000000"/>
                <w:sz w:val="4"/>
                <w:szCs w:val="10"/>
              </w:rPr>
              <w:t>-të</w:t>
            </w:r>
          </w:p>
        </w:tc>
        <w:tc>
          <w:tcPr>
            <w:tcW w:w="186" w:type="pct"/>
            <w:tcBorders>
              <w:top w:val="nil"/>
              <w:left w:val="nil"/>
              <w:bottom w:val="single" w:sz="4" w:space="0" w:color="auto"/>
              <w:right w:val="single" w:sz="4" w:space="0" w:color="auto"/>
            </w:tcBorders>
            <w:shd w:val="clear" w:color="auto" w:fill="auto"/>
            <w:vAlign w:val="bottom"/>
            <w:hideMark/>
          </w:tcPr>
          <w:p w14:paraId="4D486B9A"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6E54DAF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48605440" w14:textId="0DE61DE4"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ASPA, </w:t>
            </w:r>
            <w:r w:rsidR="002803F2" w:rsidRPr="00B457F5">
              <w:rPr>
                <w:rFonts w:ascii="Garamond" w:eastAsia="Times New Roman" w:hAnsi="Garamond" w:cs="Times New Roman"/>
                <w:color w:val="000000"/>
                <w:sz w:val="4"/>
                <w:szCs w:val="10"/>
              </w:rPr>
              <w:t>organizatat, bashkitë</w:t>
            </w:r>
          </w:p>
        </w:tc>
        <w:tc>
          <w:tcPr>
            <w:tcW w:w="135" w:type="pct"/>
            <w:tcBorders>
              <w:top w:val="nil"/>
              <w:left w:val="nil"/>
              <w:bottom w:val="single" w:sz="4" w:space="0" w:color="auto"/>
              <w:right w:val="single" w:sz="4" w:space="0" w:color="auto"/>
            </w:tcBorders>
            <w:shd w:val="clear" w:color="000000" w:fill="DDEBF7"/>
            <w:vAlign w:val="center"/>
            <w:hideMark/>
          </w:tcPr>
          <w:p w14:paraId="328CE91A"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62D759B8"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noWrap/>
            <w:vAlign w:val="bottom"/>
            <w:hideMark/>
          </w:tcPr>
          <w:p w14:paraId="7A99C86C" w14:textId="77777777" w:rsidR="00C260C3" w:rsidRPr="00B457F5" w:rsidRDefault="00C260C3" w:rsidP="00C260C3">
            <w:pPr>
              <w:spacing w:before="0" w:after="0"/>
              <w:jc w:val="center"/>
              <w:rPr>
                <w:rFonts w:ascii="Garamond" w:eastAsia="Times New Roman" w:hAnsi="Garamond" w:cs="Calibri"/>
                <w:color w:val="000000"/>
                <w:sz w:val="4"/>
                <w:szCs w:val="10"/>
              </w:rPr>
            </w:pPr>
            <w:r w:rsidRPr="00B457F5">
              <w:rPr>
                <w:rFonts w:ascii="Garamond" w:eastAsia="Times New Roman" w:hAnsi="Garamond" w:cs="Calibri"/>
                <w:color w:val="000000"/>
                <w:sz w:val="4"/>
                <w:szCs w:val="10"/>
              </w:rPr>
              <w:t>511,200</w:t>
            </w:r>
          </w:p>
        </w:tc>
        <w:tc>
          <w:tcPr>
            <w:tcW w:w="155" w:type="pct"/>
            <w:tcBorders>
              <w:top w:val="nil"/>
              <w:left w:val="nil"/>
              <w:bottom w:val="single" w:sz="4" w:space="0" w:color="auto"/>
              <w:right w:val="single" w:sz="4" w:space="0" w:color="auto"/>
            </w:tcBorders>
            <w:shd w:val="clear" w:color="auto" w:fill="auto"/>
            <w:vAlign w:val="bottom"/>
            <w:hideMark/>
          </w:tcPr>
          <w:p w14:paraId="78AADC9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bottom"/>
            <w:hideMark/>
          </w:tcPr>
          <w:p w14:paraId="4DDE0C6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511,200</w:t>
            </w:r>
          </w:p>
        </w:tc>
        <w:tc>
          <w:tcPr>
            <w:tcW w:w="165" w:type="pct"/>
            <w:tcBorders>
              <w:top w:val="nil"/>
              <w:left w:val="nil"/>
              <w:bottom w:val="single" w:sz="4" w:space="0" w:color="auto"/>
              <w:right w:val="single" w:sz="4" w:space="0" w:color="auto"/>
            </w:tcBorders>
            <w:shd w:val="clear" w:color="auto" w:fill="auto"/>
            <w:vAlign w:val="bottom"/>
            <w:hideMark/>
          </w:tcPr>
          <w:p w14:paraId="5A8FEE5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511,200</w:t>
            </w:r>
          </w:p>
        </w:tc>
        <w:tc>
          <w:tcPr>
            <w:tcW w:w="163" w:type="pct"/>
            <w:tcBorders>
              <w:top w:val="nil"/>
              <w:left w:val="nil"/>
              <w:bottom w:val="single" w:sz="4" w:space="0" w:color="auto"/>
              <w:right w:val="single" w:sz="4" w:space="0" w:color="auto"/>
            </w:tcBorders>
            <w:shd w:val="clear" w:color="auto" w:fill="auto"/>
            <w:noWrap/>
            <w:vAlign w:val="bottom"/>
            <w:hideMark/>
          </w:tcPr>
          <w:p w14:paraId="5EB76EA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0 </w:t>
            </w:r>
          </w:p>
        </w:tc>
        <w:tc>
          <w:tcPr>
            <w:tcW w:w="163" w:type="pct"/>
            <w:tcBorders>
              <w:top w:val="nil"/>
              <w:left w:val="nil"/>
              <w:bottom w:val="single" w:sz="4" w:space="0" w:color="auto"/>
              <w:right w:val="single" w:sz="4" w:space="0" w:color="auto"/>
            </w:tcBorders>
            <w:shd w:val="clear" w:color="000000" w:fill="FFF2CC"/>
            <w:vAlign w:val="bottom"/>
            <w:hideMark/>
          </w:tcPr>
          <w:p w14:paraId="3E1CB77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511,200</w:t>
            </w:r>
          </w:p>
        </w:tc>
        <w:tc>
          <w:tcPr>
            <w:tcW w:w="163" w:type="pct"/>
            <w:tcBorders>
              <w:top w:val="nil"/>
              <w:left w:val="nil"/>
              <w:bottom w:val="single" w:sz="4" w:space="0" w:color="auto"/>
              <w:right w:val="single" w:sz="4" w:space="0" w:color="auto"/>
            </w:tcBorders>
            <w:shd w:val="clear" w:color="auto" w:fill="auto"/>
            <w:vAlign w:val="bottom"/>
            <w:hideMark/>
          </w:tcPr>
          <w:p w14:paraId="6EB8007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511,200</w:t>
            </w:r>
          </w:p>
        </w:tc>
        <w:tc>
          <w:tcPr>
            <w:tcW w:w="148" w:type="pct"/>
            <w:tcBorders>
              <w:top w:val="nil"/>
              <w:left w:val="nil"/>
              <w:bottom w:val="single" w:sz="4" w:space="0" w:color="auto"/>
              <w:right w:val="single" w:sz="4" w:space="0" w:color="auto"/>
            </w:tcBorders>
            <w:shd w:val="clear" w:color="auto" w:fill="auto"/>
            <w:vAlign w:val="bottom"/>
            <w:hideMark/>
          </w:tcPr>
          <w:p w14:paraId="23F5B43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bottom"/>
            <w:hideMark/>
          </w:tcPr>
          <w:p w14:paraId="240F484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511,200</w:t>
            </w:r>
          </w:p>
        </w:tc>
        <w:tc>
          <w:tcPr>
            <w:tcW w:w="165" w:type="pct"/>
            <w:tcBorders>
              <w:top w:val="nil"/>
              <w:left w:val="nil"/>
              <w:bottom w:val="single" w:sz="4" w:space="0" w:color="auto"/>
              <w:right w:val="single" w:sz="4" w:space="0" w:color="auto"/>
            </w:tcBorders>
            <w:shd w:val="clear" w:color="auto" w:fill="auto"/>
            <w:vAlign w:val="bottom"/>
            <w:hideMark/>
          </w:tcPr>
          <w:p w14:paraId="795451E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1,533,600</w:t>
            </w:r>
          </w:p>
        </w:tc>
        <w:tc>
          <w:tcPr>
            <w:tcW w:w="163" w:type="pct"/>
            <w:tcBorders>
              <w:top w:val="nil"/>
              <w:left w:val="nil"/>
              <w:bottom w:val="single" w:sz="4" w:space="0" w:color="auto"/>
              <w:right w:val="single" w:sz="4" w:space="0" w:color="auto"/>
            </w:tcBorders>
            <w:shd w:val="clear" w:color="auto" w:fill="auto"/>
            <w:vAlign w:val="bottom"/>
            <w:hideMark/>
          </w:tcPr>
          <w:p w14:paraId="32D839F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bottom"/>
            <w:hideMark/>
          </w:tcPr>
          <w:p w14:paraId="2C352B4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1,533,600</w:t>
            </w:r>
          </w:p>
        </w:tc>
        <w:tc>
          <w:tcPr>
            <w:tcW w:w="163" w:type="pct"/>
            <w:tcBorders>
              <w:top w:val="nil"/>
              <w:left w:val="nil"/>
              <w:bottom w:val="single" w:sz="4" w:space="0" w:color="auto"/>
              <w:right w:val="single" w:sz="4" w:space="0" w:color="auto"/>
            </w:tcBorders>
            <w:shd w:val="clear" w:color="auto" w:fill="auto"/>
            <w:vAlign w:val="bottom"/>
            <w:hideMark/>
          </w:tcPr>
          <w:p w14:paraId="0EC9F52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bottom"/>
            <w:hideMark/>
          </w:tcPr>
          <w:p w14:paraId="74CE68A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bottom"/>
            <w:hideMark/>
          </w:tcPr>
          <w:p w14:paraId="2D92A5B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auto" w:fill="auto"/>
            <w:vAlign w:val="bottom"/>
            <w:hideMark/>
          </w:tcPr>
          <w:p w14:paraId="6DEB400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bottom"/>
            <w:hideMark/>
          </w:tcPr>
          <w:p w14:paraId="7505413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bottom"/>
            <w:hideMark/>
          </w:tcPr>
          <w:p w14:paraId="65A4873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bottom"/>
            <w:hideMark/>
          </w:tcPr>
          <w:p w14:paraId="73E442E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bottom"/>
            <w:hideMark/>
          </w:tcPr>
          <w:p w14:paraId="16E6EC9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bottom"/>
            <w:hideMark/>
          </w:tcPr>
          <w:p w14:paraId="340FF71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bottom"/>
            <w:hideMark/>
          </w:tcPr>
          <w:p w14:paraId="6387D03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bottom"/>
            <w:hideMark/>
          </w:tcPr>
          <w:p w14:paraId="6C4C1FDA" w14:textId="4A0531E1"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(1,533,600)</w:t>
            </w:r>
          </w:p>
        </w:tc>
      </w:tr>
      <w:tr w:rsidR="00C260C3" w:rsidRPr="00B457F5" w14:paraId="6B56163A"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bottom"/>
            <w:hideMark/>
          </w:tcPr>
          <w:p w14:paraId="1C71FF9A"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1.1.2.6</w:t>
            </w:r>
          </w:p>
        </w:tc>
        <w:tc>
          <w:tcPr>
            <w:tcW w:w="281" w:type="pct"/>
            <w:tcBorders>
              <w:top w:val="nil"/>
              <w:left w:val="nil"/>
              <w:bottom w:val="single" w:sz="4" w:space="0" w:color="auto"/>
              <w:right w:val="single" w:sz="4" w:space="0" w:color="auto"/>
            </w:tcBorders>
            <w:shd w:val="clear" w:color="auto" w:fill="auto"/>
            <w:vAlign w:val="bottom"/>
            <w:hideMark/>
          </w:tcPr>
          <w:p w14:paraId="5C677788"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1.1.2.6 Të zhvillohen trajnime për punonjës policie, psikolog, inspektorë të punës, punonjës të policisë të kufirit dhe stafit të autoriteteve kombëtare që mbulojnë çështjet e migracionit</w:t>
            </w:r>
          </w:p>
        </w:tc>
        <w:tc>
          <w:tcPr>
            <w:tcW w:w="186" w:type="pct"/>
            <w:tcBorders>
              <w:top w:val="nil"/>
              <w:left w:val="nil"/>
              <w:bottom w:val="single" w:sz="4" w:space="0" w:color="auto"/>
              <w:right w:val="single" w:sz="4" w:space="0" w:color="auto"/>
            </w:tcBorders>
            <w:shd w:val="clear" w:color="auto" w:fill="auto"/>
            <w:vAlign w:val="bottom"/>
            <w:hideMark/>
          </w:tcPr>
          <w:p w14:paraId="08618C47"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214F3A8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7785833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Shkolla e Magjistraturës, MB, IOM, UNHCR, EUAA, OJF, NJVV/ZVMD.</w:t>
            </w:r>
          </w:p>
        </w:tc>
        <w:tc>
          <w:tcPr>
            <w:tcW w:w="135" w:type="pct"/>
            <w:tcBorders>
              <w:top w:val="nil"/>
              <w:left w:val="nil"/>
              <w:bottom w:val="single" w:sz="4" w:space="0" w:color="auto"/>
              <w:right w:val="single" w:sz="4" w:space="0" w:color="auto"/>
            </w:tcBorders>
            <w:shd w:val="clear" w:color="000000" w:fill="DDEBF7"/>
            <w:vAlign w:val="center"/>
            <w:hideMark/>
          </w:tcPr>
          <w:p w14:paraId="5806DE7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1A9087C5"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noWrap/>
            <w:vAlign w:val="bottom"/>
            <w:hideMark/>
          </w:tcPr>
          <w:p w14:paraId="35B54791" w14:textId="77777777" w:rsidR="00C260C3" w:rsidRPr="00B457F5" w:rsidRDefault="00C260C3" w:rsidP="00C260C3">
            <w:pPr>
              <w:spacing w:before="0" w:after="0"/>
              <w:jc w:val="center"/>
              <w:rPr>
                <w:rFonts w:ascii="Garamond" w:eastAsia="Times New Roman" w:hAnsi="Garamond" w:cs="Calibri"/>
                <w:color w:val="000000"/>
                <w:sz w:val="4"/>
                <w:szCs w:val="10"/>
              </w:rPr>
            </w:pPr>
            <w:r w:rsidRPr="00B457F5">
              <w:rPr>
                <w:rFonts w:ascii="Garamond" w:eastAsia="Times New Roman" w:hAnsi="Garamond" w:cs="Calibri"/>
                <w:color w:val="000000"/>
                <w:sz w:val="4"/>
                <w:szCs w:val="10"/>
              </w:rPr>
              <w:t>1,401,600</w:t>
            </w:r>
          </w:p>
        </w:tc>
        <w:tc>
          <w:tcPr>
            <w:tcW w:w="155" w:type="pct"/>
            <w:tcBorders>
              <w:top w:val="nil"/>
              <w:left w:val="nil"/>
              <w:bottom w:val="single" w:sz="4" w:space="0" w:color="auto"/>
              <w:right w:val="single" w:sz="4" w:space="0" w:color="auto"/>
            </w:tcBorders>
            <w:shd w:val="clear" w:color="auto" w:fill="auto"/>
            <w:vAlign w:val="bottom"/>
            <w:hideMark/>
          </w:tcPr>
          <w:p w14:paraId="0687459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bottom"/>
            <w:hideMark/>
          </w:tcPr>
          <w:p w14:paraId="0E85896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1,401,600</w:t>
            </w:r>
          </w:p>
        </w:tc>
        <w:tc>
          <w:tcPr>
            <w:tcW w:w="165" w:type="pct"/>
            <w:tcBorders>
              <w:top w:val="nil"/>
              <w:left w:val="nil"/>
              <w:bottom w:val="single" w:sz="4" w:space="0" w:color="auto"/>
              <w:right w:val="single" w:sz="4" w:space="0" w:color="auto"/>
            </w:tcBorders>
            <w:shd w:val="clear" w:color="auto" w:fill="auto"/>
            <w:noWrap/>
            <w:vAlign w:val="bottom"/>
            <w:hideMark/>
          </w:tcPr>
          <w:p w14:paraId="33F3E159" w14:textId="77777777" w:rsidR="00C260C3" w:rsidRPr="00B457F5" w:rsidRDefault="00C260C3" w:rsidP="00C260C3">
            <w:pPr>
              <w:spacing w:before="0" w:after="0"/>
              <w:jc w:val="center"/>
              <w:rPr>
                <w:rFonts w:ascii="Garamond" w:eastAsia="Times New Roman" w:hAnsi="Garamond" w:cs="Calibri"/>
                <w:color w:val="000000"/>
                <w:sz w:val="4"/>
                <w:szCs w:val="10"/>
              </w:rPr>
            </w:pPr>
            <w:r w:rsidRPr="00B457F5">
              <w:rPr>
                <w:rFonts w:ascii="Garamond" w:eastAsia="Times New Roman" w:hAnsi="Garamond" w:cs="Calibri"/>
                <w:color w:val="000000"/>
                <w:sz w:val="4"/>
                <w:szCs w:val="10"/>
              </w:rPr>
              <w:t>1,401,600</w:t>
            </w:r>
          </w:p>
        </w:tc>
        <w:tc>
          <w:tcPr>
            <w:tcW w:w="163" w:type="pct"/>
            <w:tcBorders>
              <w:top w:val="nil"/>
              <w:left w:val="nil"/>
              <w:bottom w:val="single" w:sz="4" w:space="0" w:color="auto"/>
              <w:right w:val="single" w:sz="4" w:space="0" w:color="auto"/>
            </w:tcBorders>
            <w:shd w:val="clear" w:color="auto" w:fill="auto"/>
            <w:vAlign w:val="bottom"/>
            <w:hideMark/>
          </w:tcPr>
          <w:p w14:paraId="2E18D30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bottom"/>
            <w:hideMark/>
          </w:tcPr>
          <w:p w14:paraId="09644FC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1,401,600</w:t>
            </w:r>
          </w:p>
        </w:tc>
        <w:tc>
          <w:tcPr>
            <w:tcW w:w="163" w:type="pct"/>
            <w:tcBorders>
              <w:top w:val="nil"/>
              <w:left w:val="nil"/>
              <w:bottom w:val="single" w:sz="4" w:space="0" w:color="auto"/>
              <w:right w:val="single" w:sz="4" w:space="0" w:color="auto"/>
            </w:tcBorders>
            <w:shd w:val="clear" w:color="auto" w:fill="auto"/>
            <w:noWrap/>
            <w:vAlign w:val="bottom"/>
            <w:hideMark/>
          </w:tcPr>
          <w:p w14:paraId="6855E494" w14:textId="77777777" w:rsidR="00C260C3" w:rsidRPr="00B457F5" w:rsidRDefault="00C260C3" w:rsidP="00C260C3">
            <w:pPr>
              <w:spacing w:before="0" w:after="0"/>
              <w:jc w:val="center"/>
              <w:rPr>
                <w:rFonts w:ascii="Garamond" w:eastAsia="Times New Roman" w:hAnsi="Garamond" w:cs="Calibri"/>
                <w:color w:val="000000"/>
                <w:sz w:val="4"/>
                <w:szCs w:val="10"/>
              </w:rPr>
            </w:pPr>
            <w:r w:rsidRPr="00B457F5">
              <w:rPr>
                <w:rFonts w:ascii="Garamond" w:eastAsia="Times New Roman" w:hAnsi="Garamond" w:cs="Calibri"/>
                <w:color w:val="000000"/>
                <w:sz w:val="4"/>
                <w:szCs w:val="10"/>
              </w:rPr>
              <w:t>1,401,600</w:t>
            </w:r>
          </w:p>
        </w:tc>
        <w:tc>
          <w:tcPr>
            <w:tcW w:w="148" w:type="pct"/>
            <w:tcBorders>
              <w:top w:val="nil"/>
              <w:left w:val="nil"/>
              <w:bottom w:val="single" w:sz="4" w:space="0" w:color="auto"/>
              <w:right w:val="single" w:sz="4" w:space="0" w:color="auto"/>
            </w:tcBorders>
            <w:shd w:val="clear" w:color="auto" w:fill="auto"/>
            <w:vAlign w:val="bottom"/>
            <w:hideMark/>
          </w:tcPr>
          <w:p w14:paraId="422EE6B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bottom"/>
            <w:hideMark/>
          </w:tcPr>
          <w:p w14:paraId="1C5507D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1,401,600</w:t>
            </w:r>
          </w:p>
        </w:tc>
        <w:tc>
          <w:tcPr>
            <w:tcW w:w="165" w:type="pct"/>
            <w:tcBorders>
              <w:top w:val="nil"/>
              <w:left w:val="nil"/>
              <w:bottom w:val="single" w:sz="4" w:space="0" w:color="auto"/>
              <w:right w:val="single" w:sz="4" w:space="0" w:color="auto"/>
            </w:tcBorders>
            <w:shd w:val="clear" w:color="auto" w:fill="auto"/>
            <w:vAlign w:val="bottom"/>
            <w:hideMark/>
          </w:tcPr>
          <w:p w14:paraId="051AA06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4,204,800</w:t>
            </w:r>
          </w:p>
        </w:tc>
        <w:tc>
          <w:tcPr>
            <w:tcW w:w="163" w:type="pct"/>
            <w:tcBorders>
              <w:top w:val="nil"/>
              <w:left w:val="nil"/>
              <w:bottom w:val="single" w:sz="4" w:space="0" w:color="auto"/>
              <w:right w:val="single" w:sz="4" w:space="0" w:color="auto"/>
            </w:tcBorders>
            <w:shd w:val="clear" w:color="auto" w:fill="auto"/>
            <w:vAlign w:val="bottom"/>
            <w:hideMark/>
          </w:tcPr>
          <w:p w14:paraId="6987FBA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bottom"/>
            <w:hideMark/>
          </w:tcPr>
          <w:p w14:paraId="20CD77D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4,204,800</w:t>
            </w:r>
          </w:p>
        </w:tc>
        <w:tc>
          <w:tcPr>
            <w:tcW w:w="163" w:type="pct"/>
            <w:tcBorders>
              <w:top w:val="nil"/>
              <w:left w:val="nil"/>
              <w:bottom w:val="single" w:sz="4" w:space="0" w:color="auto"/>
              <w:right w:val="single" w:sz="4" w:space="0" w:color="auto"/>
            </w:tcBorders>
            <w:shd w:val="clear" w:color="auto" w:fill="auto"/>
            <w:vAlign w:val="bottom"/>
            <w:hideMark/>
          </w:tcPr>
          <w:p w14:paraId="057BC5A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bottom"/>
            <w:hideMark/>
          </w:tcPr>
          <w:p w14:paraId="785A813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bottom"/>
            <w:hideMark/>
          </w:tcPr>
          <w:p w14:paraId="431CFEB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auto" w:fill="auto"/>
            <w:vAlign w:val="bottom"/>
            <w:hideMark/>
          </w:tcPr>
          <w:p w14:paraId="4A6582F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4,204,800</w:t>
            </w:r>
          </w:p>
        </w:tc>
        <w:tc>
          <w:tcPr>
            <w:tcW w:w="155" w:type="pct"/>
            <w:tcBorders>
              <w:top w:val="nil"/>
              <w:left w:val="nil"/>
              <w:bottom w:val="single" w:sz="4" w:space="0" w:color="auto"/>
              <w:right w:val="single" w:sz="4" w:space="0" w:color="auto"/>
            </w:tcBorders>
            <w:shd w:val="clear" w:color="auto" w:fill="auto"/>
            <w:vAlign w:val="bottom"/>
            <w:hideMark/>
          </w:tcPr>
          <w:p w14:paraId="335ECDB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bottom"/>
            <w:hideMark/>
          </w:tcPr>
          <w:p w14:paraId="5706F35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UNHCR</w:t>
            </w:r>
          </w:p>
        </w:tc>
        <w:tc>
          <w:tcPr>
            <w:tcW w:w="163" w:type="pct"/>
            <w:tcBorders>
              <w:top w:val="nil"/>
              <w:left w:val="nil"/>
              <w:bottom w:val="single" w:sz="4" w:space="0" w:color="auto"/>
              <w:right w:val="single" w:sz="4" w:space="0" w:color="auto"/>
            </w:tcBorders>
            <w:shd w:val="clear" w:color="000000" w:fill="FFF2CC"/>
            <w:vAlign w:val="bottom"/>
            <w:hideMark/>
          </w:tcPr>
          <w:p w14:paraId="40B164B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4,204,800</w:t>
            </w:r>
          </w:p>
        </w:tc>
        <w:tc>
          <w:tcPr>
            <w:tcW w:w="139" w:type="pct"/>
            <w:tcBorders>
              <w:top w:val="nil"/>
              <w:left w:val="nil"/>
              <w:bottom w:val="single" w:sz="4" w:space="0" w:color="auto"/>
              <w:right w:val="single" w:sz="4" w:space="0" w:color="auto"/>
            </w:tcBorders>
            <w:shd w:val="clear" w:color="auto" w:fill="auto"/>
            <w:vAlign w:val="bottom"/>
            <w:hideMark/>
          </w:tcPr>
          <w:p w14:paraId="70715E6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bottom"/>
            <w:hideMark/>
          </w:tcPr>
          <w:p w14:paraId="483E74E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bottom"/>
            <w:hideMark/>
          </w:tcPr>
          <w:p w14:paraId="1F1858E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bottom"/>
            <w:hideMark/>
          </w:tcPr>
          <w:p w14:paraId="04166CBC" w14:textId="2112A8D5"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530D330C"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bottom"/>
            <w:hideMark/>
          </w:tcPr>
          <w:p w14:paraId="609F962C"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1.1.2.7</w:t>
            </w:r>
          </w:p>
        </w:tc>
        <w:tc>
          <w:tcPr>
            <w:tcW w:w="281" w:type="pct"/>
            <w:tcBorders>
              <w:top w:val="nil"/>
              <w:left w:val="nil"/>
              <w:bottom w:val="single" w:sz="4" w:space="0" w:color="auto"/>
              <w:right w:val="single" w:sz="4" w:space="0" w:color="auto"/>
            </w:tcBorders>
            <w:shd w:val="clear" w:color="auto" w:fill="auto"/>
            <w:vAlign w:val="bottom"/>
            <w:hideMark/>
          </w:tcPr>
          <w:p w14:paraId="6550ED6C"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1.1.2.7 Fushatë ndërgjegjësuese me punonjës policie, psikolog, inspektorë të punës, punonjës të policisë të kufirit dhe stafit të autoriteteve kombëtare që mbulojnë çështjet e azilit dhe migracionit me fokus zbatimin e legjislacionit në fushën e mbrojtjes së të dhënave personale</w:t>
            </w:r>
          </w:p>
        </w:tc>
        <w:tc>
          <w:tcPr>
            <w:tcW w:w="186" w:type="pct"/>
            <w:tcBorders>
              <w:top w:val="nil"/>
              <w:left w:val="nil"/>
              <w:bottom w:val="single" w:sz="4" w:space="0" w:color="auto"/>
              <w:right w:val="single" w:sz="4" w:space="0" w:color="auto"/>
            </w:tcBorders>
            <w:shd w:val="clear" w:color="auto" w:fill="auto"/>
            <w:vAlign w:val="bottom"/>
            <w:hideMark/>
          </w:tcPr>
          <w:p w14:paraId="6CB14776"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01330 Menaxhimi dhe Zhvillimi i Administratës Publike (89)</w:t>
            </w:r>
          </w:p>
        </w:tc>
        <w:tc>
          <w:tcPr>
            <w:tcW w:w="169" w:type="pct"/>
            <w:tcBorders>
              <w:top w:val="nil"/>
              <w:left w:val="nil"/>
              <w:bottom w:val="single" w:sz="4" w:space="0" w:color="auto"/>
              <w:right w:val="single" w:sz="4" w:space="0" w:color="auto"/>
            </w:tcBorders>
            <w:shd w:val="clear" w:color="auto" w:fill="auto"/>
            <w:vAlign w:val="center"/>
            <w:hideMark/>
          </w:tcPr>
          <w:p w14:paraId="680F640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KDIMDP</w:t>
            </w:r>
          </w:p>
        </w:tc>
        <w:tc>
          <w:tcPr>
            <w:tcW w:w="244" w:type="pct"/>
            <w:tcBorders>
              <w:top w:val="nil"/>
              <w:left w:val="nil"/>
              <w:bottom w:val="single" w:sz="4" w:space="0" w:color="auto"/>
              <w:right w:val="single" w:sz="4" w:space="0" w:color="auto"/>
            </w:tcBorders>
            <w:shd w:val="clear" w:color="auto" w:fill="auto"/>
            <w:vAlign w:val="center"/>
            <w:hideMark/>
          </w:tcPr>
          <w:p w14:paraId="317DBC4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w:t>
            </w:r>
          </w:p>
        </w:tc>
        <w:tc>
          <w:tcPr>
            <w:tcW w:w="135" w:type="pct"/>
            <w:tcBorders>
              <w:top w:val="nil"/>
              <w:left w:val="nil"/>
              <w:bottom w:val="single" w:sz="4" w:space="0" w:color="auto"/>
              <w:right w:val="single" w:sz="4" w:space="0" w:color="auto"/>
            </w:tcBorders>
            <w:shd w:val="clear" w:color="000000" w:fill="DDEBF7"/>
            <w:vAlign w:val="center"/>
            <w:hideMark/>
          </w:tcPr>
          <w:p w14:paraId="3FADF306"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0F50FC3B"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noWrap/>
            <w:vAlign w:val="bottom"/>
            <w:hideMark/>
          </w:tcPr>
          <w:p w14:paraId="30E92F1D" w14:textId="77777777" w:rsidR="00C260C3" w:rsidRPr="00B457F5" w:rsidRDefault="00C260C3" w:rsidP="00C260C3">
            <w:pPr>
              <w:spacing w:before="0" w:after="0"/>
              <w:jc w:val="center"/>
              <w:rPr>
                <w:rFonts w:ascii="Garamond" w:eastAsia="Times New Roman" w:hAnsi="Garamond" w:cs="Calibri"/>
                <w:color w:val="000000"/>
                <w:sz w:val="4"/>
                <w:szCs w:val="10"/>
              </w:rPr>
            </w:pPr>
            <w:r w:rsidRPr="00B457F5">
              <w:rPr>
                <w:rFonts w:ascii="Garamond" w:eastAsia="Times New Roman" w:hAnsi="Garamond" w:cs="Calibri"/>
                <w:color w:val="000000"/>
                <w:sz w:val="4"/>
                <w:szCs w:val="10"/>
              </w:rPr>
              <w:t>1,440,000</w:t>
            </w:r>
          </w:p>
        </w:tc>
        <w:tc>
          <w:tcPr>
            <w:tcW w:w="155" w:type="pct"/>
            <w:tcBorders>
              <w:top w:val="nil"/>
              <w:left w:val="nil"/>
              <w:bottom w:val="single" w:sz="4" w:space="0" w:color="auto"/>
              <w:right w:val="single" w:sz="4" w:space="0" w:color="auto"/>
            </w:tcBorders>
            <w:shd w:val="clear" w:color="auto" w:fill="auto"/>
            <w:vAlign w:val="bottom"/>
            <w:hideMark/>
          </w:tcPr>
          <w:p w14:paraId="7CC1308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bottom"/>
            <w:hideMark/>
          </w:tcPr>
          <w:p w14:paraId="1A70298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1,440,000</w:t>
            </w:r>
          </w:p>
        </w:tc>
        <w:tc>
          <w:tcPr>
            <w:tcW w:w="165" w:type="pct"/>
            <w:tcBorders>
              <w:top w:val="nil"/>
              <w:left w:val="nil"/>
              <w:bottom w:val="single" w:sz="4" w:space="0" w:color="auto"/>
              <w:right w:val="single" w:sz="4" w:space="0" w:color="auto"/>
            </w:tcBorders>
            <w:shd w:val="clear" w:color="auto" w:fill="auto"/>
            <w:vAlign w:val="bottom"/>
            <w:hideMark/>
          </w:tcPr>
          <w:p w14:paraId="5BF4E7A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1,440,000</w:t>
            </w:r>
          </w:p>
        </w:tc>
        <w:tc>
          <w:tcPr>
            <w:tcW w:w="163" w:type="pct"/>
            <w:tcBorders>
              <w:top w:val="nil"/>
              <w:left w:val="nil"/>
              <w:bottom w:val="single" w:sz="4" w:space="0" w:color="auto"/>
              <w:right w:val="single" w:sz="4" w:space="0" w:color="auto"/>
            </w:tcBorders>
            <w:shd w:val="clear" w:color="auto" w:fill="auto"/>
            <w:noWrap/>
            <w:vAlign w:val="bottom"/>
            <w:hideMark/>
          </w:tcPr>
          <w:p w14:paraId="5D677E1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0 </w:t>
            </w:r>
          </w:p>
        </w:tc>
        <w:tc>
          <w:tcPr>
            <w:tcW w:w="163" w:type="pct"/>
            <w:tcBorders>
              <w:top w:val="nil"/>
              <w:left w:val="nil"/>
              <w:bottom w:val="single" w:sz="4" w:space="0" w:color="auto"/>
              <w:right w:val="single" w:sz="4" w:space="0" w:color="auto"/>
            </w:tcBorders>
            <w:shd w:val="clear" w:color="000000" w:fill="FFF2CC"/>
            <w:vAlign w:val="bottom"/>
            <w:hideMark/>
          </w:tcPr>
          <w:p w14:paraId="665DB17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1,440,000</w:t>
            </w:r>
          </w:p>
        </w:tc>
        <w:tc>
          <w:tcPr>
            <w:tcW w:w="163" w:type="pct"/>
            <w:tcBorders>
              <w:top w:val="nil"/>
              <w:left w:val="nil"/>
              <w:bottom w:val="single" w:sz="4" w:space="0" w:color="auto"/>
              <w:right w:val="single" w:sz="4" w:space="0" w:color="auto"/>
            </w:tcBorders>
            <w:shd w:val="clear" w:color="auto" w:fill="auto"/>
            <w:vAlign w:val="bottom"/>
            <w:hideMark/>
          </w:tcPr>
          <w:p w14:paraId="336F06E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1,440,000</w:t>
            </w:r>
          </w:p>
        </w:tc>
        <w:tc>
          <w:tcPr>
            <w:tcW w:w="148" w:type="pct"/>
            <w:tcBorders>
              <w:top w:val="nil"/>
              <w:left w:val="nil"/>
              <w:bottom w:val="single" w:sz="4" w:space="0" w:color="auto"/>
              <w:right w:val="single" w:sz="4" w:space="0" w:color="auto"/>
            </w:tcBorders>
            <w:shd w:val="clear" w:color="auto" w:fill="auto"/>
            <w:vAlign w:val="bottom"/>
            <w:hideMark/>
          </w:tcPr>
          <w:p w14:paraId="456823A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bottom"/>
            <w:hideMark/>
          </w:tcPr>
          <w:p w14:paraId="472DB5A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1,440,000</w:t>
            </w:r>
          </w:p>
        </w:tc>
        <w:tc>
          <w:tcPr>
            <w:tcW w:w="165" w:type="pct"/>
            <w:tcBorders>
              <w:top w:val="nil"/>
              <w:left w:val="nil"/>
              <w:bottom w:val="single" w:sz="4" w:space="0" w:color="auto"/>
              <w:right w:val="single" w:sz="4" w:space="0" w:color="auto"/>
            </w:tcBorders>
            <w:shd w:val="clear" w:color="auto" w:fill="auto"/>
            <w:vAlign w:val="bottom"/>
            <w:hideMark/>
          </w:tcPr>
          <w:p w14:paraId="3F9EDA0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4,320,000</w:t>
            </w:r>
          </w:p>
        </w:tc>
        <w:tc>
          <w:tcPr>
            <w:tcW w:w="163" w:type="pct"/>
            <w:tcBorders>
              <w:top w:val="nil"/>
              <w:left w:val="nil"/>
              <w:bottom w:val="single" w:sz="4" w:space="0" w:color="auto"/>
              <w:right w:val="single" w:sz="4" w:space="0" w:color="auto"/>
            </w:tcBorders>
            <w:shd w:val="clear" w:color="auto" w:fill="auto"/>
            <w:vAlign w:val="bottom"/>
            <w:hideMark/>
          </w:tcPr>
          <w:p w14:paraId="4C1E286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bottom"/>
            <w:hideMark/>
          </w:tcPr>
          <w:p w14:paraId="3C00378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4,320,000</w:t>
            </w:r>
          </w:p>
        </w:tc>
        <w:tc>
          <w:tcPr>
            <w:tcW w:w="163" w:type="pct"/>
            <w:tcBorders>
              <w:top w:val="nil"/>
              <w:left w:val="nil"/>
              <w:bottom w:val="single" w:sz="4" w:space="0" w:color="auto"/>
              <w:right w:val="single" w:sz="4" w:space="0" w:color="auto"/>
            </w:tcBorders>
            <w:shd w:val="clear" w:color="auto" w:fill="auto"/>
            <w:vAlign w:val="bottom"/>
            <w:hideMark/>
          </w:tcPr>
          <w:p w14:paraId="6F5E2C0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bottom"/>
            <w:hideMark/>
          </w:tcPr>
          <w:p w14:paraId="0ACBCC0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bottom"/>
            <w:hideMark/>
          </w:tcPr>
          <w:p w14:paraId="476001E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auto" w:fill="auto"/>
            <w:vAlign w:val="bottom"/>
            <w:hideMark/>
          </w:tcPr>
          <w:p w14:paraId="4935424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bottom"/>
            <w:hideMark/>
          </w:tcPr>
          <w:p w14:paraId="1B3C44F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bottom"/>
            <w:hideMark/>
          </w:tcPr>
          <w:p w14:paraId="722F2AF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bottom"/>
            <w:hideMark/>
          </w:tcPr>
          <w:p w14:paraId="168F76F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bottom"/>
            <w:hideMark/>
          </w:tcPr>
          <w:p w14:paraId="18D458C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bottom"/>
            <w:hideMark/>
          </w:tcPr>
          <w:p w14:paraId="255E526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bottom"/>
            <w:hideMark/>
          </w:tcPr>
          <w:p w14:paraId="2E8B6B1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bottom"/>
            <w:hideMark/>
          </w:tcPr>
          <w:p w14:paraId="35993EDB" w14:textId="4457682B"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(4,320,000)</w:t>
            </w:r>
          </w:p>
        </w:tc>
      </w:tr>
      <w:tr w:rsidR="00C260C3" w:rsidRPr="00B457F5" w14:paraId="272B14AA"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bottom"/>
            <w:hideMark/>
          </w:tcPr>
          <w:p w14:paraId="3C6C24E2"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1.1.2.8</w:t>
            </w:r>
          </w:p>
        </w:tc>
        <w:tc>
          <w:tcPr>
            <w:tcW w:w="281" w:type="pct"/>
            <w:tcBorders>
              <w:top w:val="nil"/>
              <w:left w:val="nil"/>
              <w:bottom w:val="single" w:sz="4" w:space="0" w:color="auto"/>
              <w:right w:val="single" w:sz="4" w:space="0" w:color="auto"/>
            </w:tcBorders>
            <w:shd w:val="clear" w:color="auto" w:fill="auto"/>
            <w:vAlign w:val="bottom"/>
            <w:hideMark/>
          </w:tcPr>
          <w:p w14:paraId="1BCFBD8F" w14:textId="5100FDBD"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1.1.2.8 Ngritja dhe forcimi i strukturave vendore n</w:t>
            </w:r>
            <w:r w:rsidR="002803F2" w:rsidRPr="00B457F5">
              <w:rPr>
                <w:rFonts w:ascii="Garamond" w:eastAsia="Times New Roman" w:hAnsi="Garamond" w:cs="Times New Roman"/>
                <w:color w:val="000000"/>
                <w:sz w:val="4"/>
                <w:szCs w:val="10"/>
              </w:rPr>
              <w:t>ë</w:t>
            </w:r>
            <w:r w:rsidRPr="00B457F5">
              <w:rPr>
                <w:rFonts w:ascii="Garamond" w:eastAsia="Times New Roman" w:hAnsi="Garamond" w:cs="Times New Roman"/>
                <w:color w:val="000000"/>
                <w:sz w:val="4"/>
                <w:szCs w:val="10"/>
              </w:rPr>
              <w:t xml:space="preserve"> NJVV-të për migracionin dhe diasporën </w:t>
            </w:r>
          </w:p>
        </w:tc>
        <w:tc>
          <w:tcPr>
            <w:tcW w:w="186" w:type="pct"/>
            <w:tcBorders>
              <w:top w:val="nil"/>
              <w:left w:val="nil"/>
              <w:bottom w:val="single" w:sz="4" w:space="0" w:color="auto"/>
              <w:right w:val="single" w:sz="4" w:space="0" w:color="auto"/>
            </w:tcBorders>
            <w:shd w:val="clear" w:color="auto" w:fill="auto"/>
            <w:vAlign w:val="bottom"/>
            <w:hideMark/>
          </w:tcPr>
          <w:p w14:paraId="0BA7C70F"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NJVV</w:t>
            </w:r>
          </w:p>
        </w:tc>
        <w:tc>
          <w:tcPr>
            <w:tcW w:w="169" w:type="pct"/>
            <w:tcBorders>
              <w:top w:val="nil"/>
              <w:left w:val="nil"/>
              <w:bottom w:val="single" w:sz="4" w:space="0" w:color="auto"/>
              <w:right w:val="single" w:sz="4" w:space="0" w:color="auto"/>
            </w:tcBorders>
            <w:shd w:val="clear" w:color="auto" w:fill="auto"/>
            <w:vAlign w:val="center"/>
            <w:hideMark/>
          </w:tcPr>
          <w:p w14:paraId="3E8C2F1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Bashkit</w:t>
            </w:r>
            <w:r w:rsidRPr="00B457F5">
              <w:rPr>
                <w:rFonts w:ascii="Garamond" w:eastAsia="Times New Roman" w:hAnsi="Garamond" w:cs="Calibri"/>
                <w:color w:val="000000"/>
                <w:sz w:val="4"/>
                <w:szCs w:val="10"/>
              </w:rPr>
              <w:t>ë</w:t>
            </w:r>
          </w:p>
        </w:tc>
        <w:tc>
          <w:tcPr>
            <w:tcW w:w="244" w:type="pct"/>
            <w:tcBorders>
              <w:top w:val="nil"/>
              <w:left w:val="nil"/>
              <w:bottom w:val="single" w:sz="4" w:space="0" w:color="auto"/>
              <w:right w:val="single" w:sz="4" w:space="0" w:color="auto"/>
            </w:tcBorders>
            <w:shd w:val="clear" w:color="auto" w:fill="auto"/>
            <w:vAlign w:val="center"/>
            <w:hideMark/>
          </w:tcPr>
          <w:p w14:paraId="22F75861" w14:textId="63002C49"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AMVV, </w:t>
            </w:r>
            <w:r w:rsidR="002803F2" w:rsidRPr="00B457F5">
              <w:rPr>
                <w:rFonts w:ascii="Garamond" w:eastAsia="Times New Roman" w:hAnsi="Garamond" w:cs="Times New Roman"/>
                <w:sz w:val="4"/>
                <w:szCs w:val="10"/>
              </w:rPr>
              <w:t>m</w:t>
            </w:r>
            <w:r w:rsidRPr="00B457F5">
              <w:rPr>
                <w:rFonts w:ascii="Garamond" w:eastAsia="Times New Roman" w:hAnsi="Garamond" w:cs="Times New Roman"/>
                <w:sz w:val="4"/>
                <w:szCs w:val="10"/>
              </w:rPr>
              <w:t xml:space="preserve">inistri i Shteti për </w:t>
            </w:r>
            <w:r w:rsidR="006A63AF" w:rsidRPr="00B457F5">
              <w:rPr>
                <w:rFonts w:ascii="Garamond" w:eastAsia="Times New Roman" w:hAnsi="Garamond" w:cs="Times New Roman"/>
                <w:sz w:val="4"/>
                <w:szCs w:val="10"/>
              </w:rPr>
              <w:t>ç</w:t>
            </w:r>
            <w:r w:rsidRPr="00B457F5">
              <w:rPr>
                <w:rFonts w:ascii="Garamond" w:eastAsia="Times New Roman" w:hAnsi="Garamond" w:cs="Times New Roman"/>
                <w:sz w:val="4"/>
                <w:szCs w:val="10"/>
              </w:rPr>
              <w:t>ështjet vendore, UNHCR </w:t>
            </w:r>
          </w:p>
        </w:tc>
        <w:tc>
          <w:tcPr>
            <w:tcW w:w="135" w:type="pct"/>
            <w:tcBorders>
              <w:top w:val="nil"/>
              <w:left w:val="nil"/>
              <w:bottom w:val="single" w:sz="4" w:space="0" w:color="auto"/>
              <w:right w:val="single" w:sz="4" w:space="0" w:color="auto"/>
            </w:tcBorders>
            <w:shd w:val="clear" w:color="000000" w:fill="DDEBF7"/>
            <w:vAlign w:val="center"/>
            <w:hideMark/>
          </w:tcPr>
          <w:p w14:paraId="06063E9C"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389C9115"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nil"/>
              <w:right w:val="nil"/>
            </w:tcBorders>
            <w:shd w:val="clear" w:color="auto" w:fill="auto"/>
            <w:noWrap/>
            <w:vAlign w:val="bottom"/>
            <w:hideMark/>
          </w:tcPr>
          <w:p w14:paraId="6976A51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3,600,000</w:t>
            </w:r>
          </w:p>
        </w:tc>
        <w:tc>
          <w:tcPr>
            <w:tcW w:w="155" w:type="pct"/>
            <w:tcBorders>
              <w:top w:val="nil"/>
              <w:left w:val="single" w:sz="4" w:space="0" w:color="auto"/>
              <w:bottom w:val="single" w:sz="4" w:space="0" w:color="auto"/>
              <w:right w:val="single" w:sz="4" w:space="0" w:color="auto"/>
            </w:tcBorders>
            <w:shd w:val="clear" w:color="auto" w:fill="auto"/>
            <w:vAlign w:val="bottom"/>
            <w:hideMark/>
          </w:tcPr>
          <w:p w14:paraId="07A995F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bottom"/>
            <w:hideMark/>
          </w:tcPr>
          <w:p w14:paraId="0FEA05D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nil"/>
              <w:right w:val="nil"/>
            </w:tcBorders>
            <w:shd w:val="clear" w:color="auto" w:fill="auto"/>
            <w:noWrap/>
            <w:vAlign w:val="bottom"/>
            <w:hideMark/>
          </w:tcPr>
          <w:p w14:paraId="1FEDA61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3,600,000</w:t>
            </w:r>
          </w:p>
        </w:tc>
        <w:tc>
          <w:tcPr>
            <w:tcW w:w="163" w:type="pct"/>
            <w:tcBorders>
              <w:top w:val="nil"/>
              <w:left w:val="single" w:sz="4" w:space="0" w:color="auto"/>
              <w:bottom w:val="single" w:sz="4" w:space="0" w:color="auto"/>
              <w:right w:val="single" w:sz="4" w:space="0" w:color="auto"/>
            </w:tcBorders>
            <w:shd w:val="clear" w:color="auto" w:fill="auto"/>
            <w:vAlign w:val="bottom"/>
            <w:hideMark/>
          </w:tcPr>
          <w:p w14:paraId="7B08F28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bottom"/>
            <w:hideMark/>
          </w:tcPr>
          <w:p w14:paraId="214C234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3,600,000</w:t>
            </w:r>
          </w:p>
        </w:tc>
        <w:tc>
          <w:tcPr>
            <w:tcW w:w="163" w:type="pct"/>
            <w:tcBorders>
              <w:top w:val="nil"/>
              <w:left w:val="nil"/>
              <w:bottom w:val="nil"/>
              <w:right w:val="nil"/>
            </w:tcBorders>
            <w:shd w:val="clear" w:color="auto" w:fill="auto"/>
            <w:noWrap/>
            <w:vAlign w:val="bottom"/>
            <w:hideMark/>
          </w:tcPr>
          <w:p w14:paraId="00F1D0D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3,600,000</w:t>
            </w:r>
          </w:p>
        </w:tc>
        <w:tc>
          <w:tcPr>
            <w:tcW w:w="148" w:type="pct"/>
            <w:tcBorders>
              <w:top w:val="nil"/>
              <w:left w:val="single" w:sz="4" w:space="0" w:color="auto"/>
              <w:bottom w:val="single" w:sz="4" w:space="0" w:color="auto"/>
              <w:right w:val="single" w:sz="4" w:space="0" w:color="auto"/>
            </w:tcBorders>
            <w:shd w:val="clear" w:color="auto" w:fill="auto"/>
            <w:vAlign w:val="bottom"/>
            <w:hideMark/>
          </w:tcPr>
          <w:p w14:paraId="57E528C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bottom"/>
            <w:hideMark/>
          </w:tcPr>
          <w:p w14:paraId="0D5A83B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3,600,000</w:t>
            </w:r>
          </w:p>
        </w:tc>
        <w:tc>
          <w:tcPr>
            <w:tcW w:w="165" w:type="pct"/>
            <w:tcBorders>
              <w:top w:val="nil"/>
              <w:left w:val="nil"/>
              <w:bottom w:val="single" w:sz="4" w:space="0" w:color="auto"/>
              <w:right w:val="single" w:sz="4" w:space="0" w:color="auto"/>
            </w:tcBorders>
            <w:shd w:val="clear" w:color="auto" w:fill="auto"/>
            <w:vAlign w:val="bottom"/>
            <w:hideMark/>
          </w:tcPr>
          <w:p w14:paraId="647B902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10,800,000</w:t>
            </w:r>
          </w:p>
        </w:tc>
        <w:tc>
          <w:tcPr>
            <w:tcW w:w="163" w:type="pct"/>
            <w:tcBorders>
              <w:top w:val="nil"/>
              <w:left w:val="nil"/>
              <w:bottom w:val="single" w:sz="4" w:space="0" w:color="auto"/>
              <w:right w:val="single" w:sz="4" w:space="0" w:color="auto"/>
            </w:tcBorders>
            <w:shd w:val="clear" w:color="auto" w:fill="auto"/>
            <w:vAlign w:val="bottom"/>
            <w:hideMark/>
          </w:tcPr>
          <w:p w14:paraId="7355A9A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bottom"/>
            <w:hideMark/>
          </w:tcPr>
          <w:p w14:paraId="385AD0E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10,800,000</w:t>
            </w:r>
          </w:p>
        </w:tc>
        <w:tc>
          <w:tcPr>
            <w:tcW w:w="163" w:type="pct"/>
            <w:tcBorders>
              <w:top w:val="nil"/>
              <w:left w:val="nil"/>
              <w:bottom w:val="single" w:sz="4" w:space="0" w:color="auto"/>
              <w:right w:val="single" w:sz="4" w:space="0" w:color="auto"/>
            </w:tcBorders>
            <w:shd w:val="clear" w:color="auto" w:fill="auto"/>
            <w:vAlign w:val="bottom"/>
            <w:hideMark/>
          </w:tcPr>
          <w:p w14:paraId="0F0BED6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bottom"/>
            <w:hideMark/>
          </w:tcPr>
          <w:p w14:paraId="57A0567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bottom"/>
            <w:hideMark/>
          </w:tcPr>
          <w:p w14:paraId="3D214A2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auto" w:fill="auto"/>
            <w:vAlign w:val="bottom"/>
            <w:hideMark/>
          </w:tcPr>
          <w:p w14:paraId="4127765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10,800,000</w:t>
            </w:r>
          </w:p>
        </w:tc>
        <w:tc>
          <w:tcPr>
            <w:tcW w:w="155" w:type="pct"/>
            <w:tcBorders>
              <w:top w:val="nil"/>
              <w:left w:val="nil"/>
              <w:bottom w:val="single" w:sz="4" w:space="0" w:color="auto"/>
              <w:right w:val="single" w:sz="4" w:space="0" w:color="auto"/>
            </w:tcBorders>
            <w:shd w:val="clear" w:color="auto" w:fill="auto"/>
            <w:vAlign w:val="bottom"/>
            <w:hideMark/>
          </w:tcPr>
          <w:p w14:paraId="21F4BBB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bottom"/>
            <w:hideMark/>
          </w:tcPr>
          <w:p w14:paraId="44D1D42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UNHCR</w:t>
            </w:r>
          </w:p>
        </w:tc>
        <w:tc>
          <w:tcPr>
            <w:tcW w:w="163" w:type="pct"/>
            <w:tcBorders>
              <w:top w:val="nil"/>
              <w:left w:val="nil"/>
              <w:bottom w:val="single" w:sz="4" w:space="0" w:color="auto"/>
              <w:right w:val="single" w:sz="4" w:space="0" w:color="auto"/>
            </w:tcBorders>
            <w:shd w:val="clear" w:color="000000" w:fill="FFF2CC"/>
            <w:vAlign w:val="bottom"/>
            <w:hideMark/>
          </w:tcPr>
          <w:p w14:paraId="40C4243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10,800,000</w:t>
            </w:r>
          </w:p>
        </w:tc>
        <w:tc>
          <w:tcPr>
            <w:tcW w:w="139" w:type="pct"/>
            <w:tcBorders>
              <w:top w:val="nil"/>
              <w:left w:val="nil"/>
              <w:bottom w:val="single" w:sz="4" w:space="0" w:color="auto"/>
              <w:right w:val="single" w:sz="4" w:space="0" w:color="auto"/>
            </w:tcBorders>
            <w:shd w:val="clear" w:color="auto" w:fill="auto"/>
            <w:vAlign w:val="bottom"/>
            <w:hideMark/>
          </w:tcPr>
          <w:p w14:paraId="3FAD781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bottom"/>
            <w:hideMark/>
          </w:tcPr>
          <w:p w14:paraId="7CE3FF3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bottom"/>
            <w:hideMark/>
          </w:tcPr>
          <w:p w14:paraId="51C2AF0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bottom"/>
            <w:hideMark/>
          </w:tcPr>
          <w:p w14:paraId="34C2906A" w14:textId="63E3B83C"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721FAF0E"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bottom"/>
            <w:hideMark/>
          </w:tcPr>
          <w:p w14:paraId="3AC495A6"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1.1.2.9</w:t>
            </w:r>
          </w:p>
        </w:tc>
        <w:tc>
          <w:tcPr>
            <w:tcW w:w="281" w:type="pct"/>
            <w:tcBorders>
              <w:top w:val="nil"/>
              <w:left w:val="nil"/>
              <w:bottom w:val="single" w:sz="4" w:space="0" w:color="auto"/>
              <w:right w:val="single" w:sz="4" w:space="0" w:color="auto"/>
            </w:tcBorders>
            <w:shd w:val="clear" w:color="auto" w:fill="auto"/>
            <w:vAlign w:val="center"/>
            <w:hideMark/>
          </w:tcPr>
          <w:p w14:paraId="22ADDD9E" w14:textId="39C0FA8B"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1.1.2.9 Të hartohen planet vendore të përgjegjshme gjinore për migracionin dhe diasporën në të gjitha NJVV</w:t>
            </w:r>
            <w:r w:rsidR="002803F2" w:rsidRPr="00B457F5">
              <w:rPr>
                <w:rFonts w:ascii="Garamond" w:eastAsia="Times New Roman" w:hAnsi="Garamond" w:cs="Times New Roman"/>
                <w:color w:val="000000"/>
                <w:sz w:val="4"/>
                <w:szCs w:val="10"/>
              </w:rPr>
              <w:t>-të</w:t>
            </w:r>
          </w:p>
        </w:tc>
        <w:tc>
          <w:tcPr>
            <w:tcW w:w="186" w:type="pct"/>
            <w:tcBorders>
              <w:top w:val="nil"/>
              <w:left w:val="nil"/>
              <w:bottom w:val="single" w:sz="4" w:space="0" w:color="auto"/>
              <w:right w:val="single" w:sz="4" w:space="0" w:color="auto"/>
            </w:tcBorders>
            <w:shd w:val="clear" w:color="auto" w:fill="auto"/>
            <w:vAlign w:val="bottom"/>
            <w:hideMark/>
          </w:tcPr>
          <w:p w14:paraId="031BC7D9"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NJVV</w:t>
            </w:r>
          </w:p>
        </w:tc>
        <w:tc>
          <w:tcPr>
            <w:tcW w:w="169" w:type="pct"/>
            <w:tcBorders>
              <w:top w:val="nil"/>
              <w:left w:val="nil"/>
              <w:bottom w:val="single" w:sz="4" w:space="0" w:color="auto"/>
              <w:right w:val="single" w:sz="4" w:space="0" w:color="auto"/>
            </w:tcBorders>
            <w:shd w:val="clear" w:color="auto" w:fill="auto"/>
            <w:vAlign w:val="center"/>
            <w:hideMark/>
          </w:tcPr>
          <w:p w14:paraId="5BCE945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Bashkitë</w:t>
            </w:r>
          </w:p>
        </w:tc>
        <w:tc>
          <w:tcPr>
            <w:tcW w:w="244" w:type="pct"/>
            <w:tcBorders>
              <w:top w:val="nil"/>
              <w:left w:val="nil"/>
              <w:bottom w:val="single" w:sz="4" w:space="0" w:color="auto"/>
              <w:right w:val="single" w:sz="4" w:space="0" w:color="auto"/>
            </w:tcBorders>
            <w:shd w:val="clear" w:color="auto" w:fill="auto"/>
            <w:vAlign w:val="center"/>
            <w:hideMark/>
          </w:tcPr>
          <w:p w14:paraId="1F1CC20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MB, GIZ </w:t>
            </w:r>
          </w:p>
        </w:tc>
        <w:tc>
          <w:tcPr>
            <w:tcW w:w="135" w:type="pct"/>
            <w:tcBorders>
              <w:top w:val="nil"/>
              <w:left w:val="nil"/>
              <w:bottom w:val="single" w:sz="4" w:space="0" w:color="auto"/>
              <w:right w:val="nil"/>
            </w:tcBorders>
            <w:shd w:val="clear" w:color="000000" w:fill="DDEBF7"/>
            <w:vAlign w:val="bottom"/>
            <w:hideMark/>
          </w:tcPr>
          <w:p w14:paraId="2D4BF516"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single" w:sz="4" w:space="0" w:color="auto"/>
              <w:bottom w:val="single" w:sz="4" w:space="0" w:color="auto"/>
              <w:right w:val="single" w:sz="4" w:space="0" w:color="auto"/>
            </w:tcBorders>
            <w:shd w:val="clear" w:color="000000" w:fill="DDEBF7"/>
            <w:vAlign w:val="bottom"/>
            <w:hideMark/>
          </w:tcPr>
          <w:p w14:paraId="56061A78"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single" w:sz="4" w:space="0" w:color="auto"/>
              <w:left w:val="nil"/>
              <w:bottom w:val="single" w:sz="4" w:space="0" w:color="auto"/>
              <w:right w:val="single" w:sz="4" w:space="0" w:color="auto"/>
            </w:tcBorders>
            <w:shd w:val="clear" w:color="auto" w:fill="auto"/>
            <w:noWrap/>
            <w:vAlign w:val="bottom"/>
            <w:hideMark/>
          </w:tcPr>
          <w:p w14:paraId="43324064" w14:textId="77777777" w:rsidR="00C260C3" w:rsidRPr="00B457F5" w:rsidRDefault="00C260C3" w:rsidP="00C260C3">
            <w:pPr>
              <w:spacing w:before="0" w:after="0"/>
              <w:jc w:val="center"/>
              <w:rPr>
                <w:rFonts w:ascii="Garamond" w:eastAsia="Times New Roman" w:hAnsi="Garamond" w:cs="Calibri"/>
                <w:color w:val="000000"/>
                <w:sz w:val="4"/>
                <w:szCs w:val="10"/>
              </w:rPr>
            </w:pPr>
            <w:r w:rsidRPr="00B457F5">
              <w:rPr>
                <w:rFonts w:ascii="Garamond" w:eastAsia="Times New Roman" w:hAnsi="Garamond" w:cs="Calibri"/>
                <w:color w:val="000000"/>
                <w:sz w:val="4"/>
                <w:szCs w:val="10"/>
              </w:rPr>
              <w:t>12,195,673</w:t>
            </w:r>
          </w:p>
        </w:tc>
        <w:tc>
          <w:tcPr>
            <w:tcW w:w="155" w:type="pct"/>
            <w:tcBorders>
              <w:top w:val="nil"/>
              <w:left w:val="nil"/>
              <w:bottom w:val="single" w:sz="4" w:space="0" w:color="auto"/>
              <w:right w:val="single" w:sz="4" w:space="0" w:color="auto"/>
            </w:tcBorders>
            <w:shd w:val="clear" w:color="auto" w:fill="auto"/>
            <w:vAlign w:val="bottom"/>
            <w:hideMark/>
          </w:tcPr>
          <w:p w14:paraId="79DD0B2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bottom"/>
            <w:hideMark/>
          </w:tcPr>
          <w:p w14:paraId="3001B44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12,195,673</w:t>
            </w:r>
          </w:p>
        </w:tc>
        <w:tc>
          <w:tcPr>
            <w:tcW w:w="165" w:type="pct"/>
            <w:tcBorders>
              <w:top w:val="single" w:sz="4" w:space="0" w:color="auto"/>
              <w:left w:val="nil"/>
              <w:bottom w:val="single" w:sz="4" w:space="0" w:color="auto"/>
              <w:right w:val="single" w:sz="4" w:space="0" w:color="auto"/>
            </w:tcBorders>
            <w:shd w:val="clear" w:color="auto" w:fill="auto"/>
            <w:vAlign w:val="bottom"/>
            <w:hideMark/>
          </w:tcPr>
          <w:p w14:paraId="4C6EE5C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12,195,673</w:t>
            </w:r>
          </w:p>
        </w:tc>
        <w:tc>
          <w:tcPr>
            <w:tcW w:w="163" w:type="pct"/>
            <w:tcBorders>
              <w:top w:val="nil"/>
              <w:left w:val="nil"/>
              <w:bottom w:val="single" w:sz="4" w:space="0" w:color="auto"/>
              <w:right w:val="single" w:sz="4" w:space="0" w:color="auto"/>
            </w:tcBorders>
            <w:shd w:val="clear" w:color="auto" w:fill="auto"/>
            <w:noWrap/>
            <w:vAlign w:val="bottom"/>
            <w:hideMark/>
          </w:tcPr>
          <w:p w14:paraId="5572148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0 </w:t>
            </w:r>
          </w:p>
        </w:tc>
        <w:tc>
          <w:tcPr>
            <w:tcW w:w="163" w:type="pct"/>
            <w:tcBorders>
              <w:top w:val="nil"/>
              <w:left w:val="nil"/>
              <w:bottom w:val="single" w:sz="4" w:space="0" w:color="auto"/>
              <w:right w:val="single" w:sz="4" w:space="0" w:color="auto"/>
            </w:tcBorders>
            <w:shd w:val="clear" w:color="000000" w:fill="FFF2CC"/>
            <w:vAlign w:val="bottom"/>
            <w:hideMark/>
          </w:tcPr>
          <w:p w14:paraId="1489737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12,195,673</w:t>
            </w:r>
          </w:p>
        </w:tc>
        <w:tc>
          <w:tcPr>
            <w:tcW w:w="163" w:type="pct"/>
            <w:tcBorders>
              <w:top w:val="single" w:sz="4" w:space="0" w:color="auto"/>
              <w:left w:val="nil"/>
              <w:bottom w:val="single" w:sz="4" w:space="0" w:color="auto"/>
              <w:right w:val="single" w:sz="4" w:space="0" w:color="auto"/>
            </w:tcBorders>
            <w:shd w:val="clear" w:color="auto" w:fill="auto"/>
            <w:vAlign w:val="bottom"/>
            <w:hideMark/>
          </w:tcPr>
          <w:p w14:paraId="781EF3C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12,195,673</w:t>
            </w:r>
          </w:p>
        </w:tc>
        <w:tc>
          <w:tcPr>
            <w:tcW w:w="148" w:type="pct"/>
            <w:tcBorders>
              <w:top w:val="nil"/>
              <w:left w:val="nil"/>
              <w:bottom w:val="single" w:sz="4" w:space="0" w:color="auto"/>
              <w:right w:val="single" w:sz="4" w:space="0" w:color="auto"/>
            </w:tcBorders>
            <w:shd w:val="clear" w:color="auto" w:fill="auto"/>
            <w:vAlign w:val="bottom"/>
            <w:hideMark/>
          </w:tcPr>
          <w:p w14:paraId="567AA31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bottom"/>
            <w:hideMark/>
          </w:tcPr>
          <w:p w14:paraId="39D03B3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12,195,673</w:t>
            </w:r>
          </w:p>
        </w:tc>
        <w:tc>
          <w:tcPr>
            <w:tcW w:w="165" w:type="pct"/>
            <w:tcBorders>
              <w:top w:val="nil"/>
              <w:left w:val="nil"/>
              <w:bottom w:val="single" w:sz="4" w:space="0" w:color="auto"/>
              <w:right w:val="single" w:sz="4" w:space="0" w:color="auto"/>
            </w:tcBorders>
            <w:shd w:val="clear" w:color="auto" w:fill="auto"/>
            <w:vAlign w:val="bottom"/>
            <w:hideMark/>
          </w:tcPr>
          <w:p w14:paraId="047CA93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36,587,019</w:t>
            </w:r>
          </w:p>
        </w:tc>
        <w:tc>
          <w:tcPr>
            <w:tcW w:w="163" w:type="pct"/>
            <w:tcBorders>
              <w:top w:val="nil"/>
              <w:left w:val="nil"/>
              <w:bottom w:val="single" w:sz="4" w:space="0" w:color="auto"/>
              <w:right w:val="single" w:sz="4" w:space="0" w:color="auto"/>
            </w:tcBorders>
            <w:shd w:val="clear" w:color="auto" w:fill="auto"/>
            <w:vAlign w:val="bottom"/>
            <w:hideMark/>
          </w:tcPr>
          <w:p w14:paraId="3D745C9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bottom"/>
            <w:hideMark/>
          </w:tcPr>
          <w:p w14:paraId="34114D9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36,587,019</w:t>
            </w:r>
          </w:p>
        </w:tc>
        <w:tc>
          <w:tcPr>
            <w:tcW w:w="163" w:type="pct"/>
            <w:tcBorders>
              <w:top w:val="nil"/>
              <w:left w:val="nil"/>
              <w:bottom w:val="single" w:sz="4" w:space="0" w:color="auto"/>
              <w:right w:val="single" w:sz="4" w:space="0" w:color="auto"/>
            </w:tcBorders>
            <w:shd w:val="clear" w:color="auto" w:fill="auto"/>
            <w:vAlign w:val="bottom"/>
            <w:hideMark/>
          </w:tcPr>
          <w:p w14:paraId="16D9BAC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bottom"/>
            <w:hideMark/>
          </w:tcPr>
          <w:p w14:paraId="39DF048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bottom"/>
            <w:hideMark/>
          </w:tcPr>
          <w:p w14:paraId="3BBCF37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auto" w:fill="auto"/>
            <w:vAlign w:val="bottom"/>
            <w:hideMark/>
          </w:tcPr>
          <w:p w14:paraId="5AD559A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36,587,019</w:t>
            </w:r>
          </w:p>
        </w:tc>
        <w:tc>
          <w:tcPr>
            <w:tcW w:w="155" w:type="pct"/>
            <w:tcBorders>
              <w:top w:val="nil"/>
              <w:left w:val="nil"/>
              <w:bottom w:val="single" w:sz="4" w:space="0" w:color="auto"/>
              <w:right w:val="single" w:sz="4" w:space="0" w:color="auto"/>
            </w:tcBorders>
            <w:shd w:val="clear" w:color="auto" w:fill="auto"/>
            <w:vAlign w:val="bottom"/>
            <w:hideMark/>
          </w:tcPr>
          <w:p w14:paraId="45DD165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bottom"/>
            <w:hideMark/>
          </w:tcPr>
          <w:p w14:paraId="4DAEC3B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GIZ/NjVV</w:t>
            </w:r>
          </w:p>
        </w:tc>
        <w:tc>
          <w:tcPr>
            <w:tcW w:w="163" w:type="pct"/>
            <w:tcBorders>
              <w:top w:val="nil"/>
              <w:left w:val="nil"/>
              <w:bottom w:val="single" w:sz="4" w:space="0" w:color="auto"/>
              <w:right w:val="single" w:sz="4" w:space="0" w:color="auto"/>
            </w:tcBorders>
            <w:shd w:val="clear" w:color="000000" w:fill="FFF2CC"/>
            <w:vAlign w:val="bottom"/>
            <w:hideMark/>
          </w:tcPr>
          <w:p w14:paraId="4496776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36,587,019</w:t>
            </w:r>
          </w:p>
        </w:tc>
        <w:tc>
          <w:tcPr>
            <w:tcW w:w="139" w:type="pct"/>
            <w:tcBorders>
              <w:top w:val="nil"/>
              <w:left w:val="nil"/>
              <w:bottom w:val="single" w:sz="4" w:space="0" w:color="auto"/>
              <w:right w:val="single" w:sz="4" w:space="0" w:color="auto"/>
            </w:tcBorders>
            <w:shd w:val="clear" w:color="auto" w:fill="auto"/>
            <w:vAlign w:val="bottom"/>
            <w:hideMark/>
          </w:tcPr>
          <w:p w14:paraId="5B7082C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bottom"/>
            <w:hideMark/>
          </w:tcPr>
          <w:p w14:paraId="0656525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bottom"/>
            <w:hideMark/>
          </w:tcPr>
          <w:p w14:paraId="38A13D4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bottom"/>
            <w:hideMark/>
          </w:tcPr>
          <w:p w14:paraId="1CB8A1B0" w14:textId="321FD33A"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23656BCA"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bottom"/>
            <w:hideMark/>
          </w:tcPr>
          <w:p w14:paraId="448BAF49"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1.1.2.10</w:t>
            </w:r>
          </w:p>
        </w:tc>
        <w:tc>
          <w:tcPr>
            <w:tcW w:w="281" w:type="pct"/>
            <w:tcBorders>
              <w:top w:val="nil"/>
              <w:left w:val="nil"/>
              <w:bottom w:val="single" w:sz="4" w:space="0" w:color="auto"/>
              <w:right w:val="single" w:sz="4" w:space="0" w:color="auto"/>
            </w:tcBorders>
            <w:shd w:val="clear" w:color="auto" w:fill="auto"/>
            <w:vAlign w:val="center"/>
            <w:hideMark/>
          </w:tcPr>
          <w:p w14:paraId="3DD05F75" w14:textId="2A73F96B"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1.1.2.10 Të rritet numri i burimeve njerëzore n</w:t>
            </w:r>
            <w:r w:rsidR="002803F2" w:rsidRPr="00B457F5">
              <w:rPr>
                <w:rFonts w:ascii="Garamond" w:eastAsia="Times New Roman" w:hAnsi="Garamond" w:cs="Times New Roman"/>
                <w:color w:val="000000"/>
                <w:sz w:val="4"/>
                <w:szCs w:val="10"/>
              </w:rPr>
              <w:t>ë</w:t>
            </w:r>
            <w:r w:rsidRPr="00B457F5">
              <w:rPr>
                <w:rFonts w:ascii="Garamond" w:eastAsia="Times New Roman" w:hAnsi="Garamond" w:cs="Times New Roman"/>
                <w:color w:val="000000"/>
                <w:sz w:val="4"/>
                <w:szCs w:val="10"/>
              </w:rPr>
              <w:t xml:space="preserve"> </w:t>
            </w:r>
            <w:r w:rsidR="002803F2" w:rsidRPr="00B457F5">
              <w:rPr>
                <w:rFonts w:ascii="Garamond" w:eastAsia="Times New Roman" w:hAnsi="Garamond" w:cs="Times New Roman"/>
                <w:color w:val="000000"/>
                <w:sz w:val="4"/>
                <w:szCs w:val="10"/>
              </w:rPr>
              <w:t>sekretariatin</w:t>
            </w:r>
            <w:r w:rsidRPr="00B457F5">
              <w:rPr>
                <w:rFonts w:ascii="Garamond" w:eastAsia="Times New Roman" w:hAnsi="Garamond" w:cs="Times New Roman"/>
                <w:color w:val="000000"/>
                <w:sz w:val="4"/>
                <w:szCs w:val="10"/>
              </w:rPr>
              <w:t xml:space="preserve"> teknik </w:t>
            </w:r>
            <w:r w:rsidR="00164C66" w:rsidRPr="00B457F5">
              <w:rPr>
                <w:rFonts w:ascii="Garamond" w:eastAsia="Times New Roman" w:hAnsi="Garamond" w:cs="Times New Roman"/>
                <w:color w:val="000000"/>
                <w:sz w:val="4"/>
                <w:szCs w:val="10"/>
              </w:rPr>
              <w:t xml:space="preserve">të </w:t>
            </w:r>
            <w:r w:rsidRPr="00B457F5">
              <w:rPr>
                <w:rFonts w:ascii="Garamond" w:eastAsia="Times New Roman" w:hAnsi="Garamond" w:cs="Times New Roman"/>
                <w:color w:val="000000"/>
                <w:sz w:val="4"/>
                <w:szCs w:val="10"/>
              </w:rPr>
              <w:t>migracionit n</w:t>
            </w:r>
            <w:r w:rsidR="002803F2" w:rsidRPr="00B457F5">
              <w:rPr>
                <w:rFonts w:ascii="Garamond" w:eastAsia="Times New Roman" w:hAnsi="Garamond" w:cs="Times New Roman"/>
                <w:color w:val="000000"/>
                <w:sz w:val="4"/>
                <w:szCs w:val="10"/>
              </w:rPr>
              <w:t>ë</w:t>
            </w:r>
            <w:r w:rsidRPr="00B457F5">
              <w:rPr>
                <w:rFonts w:ascii="Garamond" w:eastAsia="Times New Roman" w:hAnsi="Garamond" w:cs="Times New Roman"/>
                <w:color w:val="000000"/>
                <w:sz w:val="4"/>
                <w:szCs w:val="10"/>
              </w:rPr>
              <w:t xml:space="preserve"> MB </w:t>
            </w:r>
          </w:p>
        </w:tc>
        <w:tc>
          <w:tcPr>
            <w:tcW w:w="186" w:type="pct"/>
            <w:tcBorders>
              <w:top w:val="nil"/>
              <w:left w:val="nil"/>
              <w:bottom w:val="single" w:sz="4" w:space="0" w:color="auto"/>
              <w:right w:val="single" w:sz="4" w:space="0" w:color="auto"/>
            </w:tcBorders>
            <w:shd w:val="clear" w:color="auto" w:fill="auto"/>
            <w:vAlign w:val="bottom"/>
            <w:hideMark/>
          </w:tcPr>
          <w:p w14:paraId="7DEAE078"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36B25B0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735BB42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MEKI</w:t>
            </w:r>
          </w:p>
        </w:tc>
        <w:tc>
          <w:tcPr>
            <w:tcW w:w="135" w:type="pct"/>
            <w:tcBorders>
              <w:top w:val="nil"/>
              <w:left w:val="nil"/>
              <w:bottom w:val="single" w:sz="4" w:space="0" w:color="auto"/>
              <w:right w:val="nil"/>
            </w:tcBorders>
            <w:shd w:val="clear" w:color="000000" w:fill="DDEBF7"/>
            <w:vAlign w:val="bottom"/>
            <w:hideMark/>
          </w:tcPr>
          <w:p w14:paraId="201AF903"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single" w:sz="4" w:space="0" w:color="auto"/>
              <w:bottom w:val="single" w:sz="4" w:space="0" w:color="auto"/>
              <w:right w:val="single" w:sz="4" w:space="0" w:color="auto"/>
            </w:tcBorders>
            <w:shd w:val="clear" w:color="000000" w:fill="DDEBF7"/>
            <w:vAlign w:val="bottom"/>
            <w:hideMark/>
          </w:tcPr>
          <w:p w14:paraId="45CFAE73"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noWrap/>
            <w:vAlign w:val="bottom"/>
            <w:hideMark/>
          </w:tcPr>
          <w:p w14:paraId="4B643AC2" w14:textId="77777777" w:rsidR="00C260C3" w:rsidRPr="00B457F5" w:rsidRDefault="00C260C3" w:rsidP="00C260C3">
            <w:pPr>
              <w:spacing w:before="0" w:after="0"/>
              <w:jc w:val="center"/>
              <w:rPr>
                <w:rFonts w:ascii="Garamond" w:eastAsia="Times New Roman" w:hAnsi="Garamond" w:cs="Calibri"/>
                <w:color w:val="000000"/>
                <w:sz w:val="4"/>
                <w:szCs w:val="10"/>
              </w:rPr>
            </w:pPr>
            <w:r w:rsidRPr="00B457F5">
              <w:rPr>
                <w:rFonts w:ascii="Garamond" w:eastAsia="Times New Roman" w:hAnsi="Garamond" w:cs="Calibri"/>
                <w:color w:val="000000"/>
                <w:sz w:val="4"/>
                <w:szCs w:val="10"/>
              </w:rPr>
              <w:t>1,392,278</w:t>
            </w:r>
          </w:p>
        </w:tc>
        <w:tc>
          <w:tcPr>
            <w:tcW w:w="155" w:type="pct"/>
            <w:tcBorders>
              <w:top w:val="nil"/>
              <w:left w:val="nil"/>
              <w:bottom w:val="single" w:sz="4" w:space="0" w:color="auto"/>
              <w:right w:val="single" w:sz="4" w:space="0" w:color="auto"/>
            </w:tcBorders>
            <w:shd w:val="clear" w:color="auto" w:fill="auto"/>
            <w:vAlign w:val="bottom"/>
            <w:hideMark/>
          </w:tcPr>
          <w:p w14:paraId="5F2EFB2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bottom"/>
            <w:hideMark/>
          </w:tcPr>
          <w:p w14:paraId="2866808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1,392,278</w:t>
            </w:r>
          </w:p>
        </w:tc>
        <w:tc>
          <w:tcPr>
            <w:tcW w:w="165" w:type="pct"/>
            <w:tcBorders>
              <w:top w:val="nil"/>
              <w:left w:val="nil"/>
              <w:bottom w:val="single" w:sz="4" w:space="0" w:color="auto"/>
              <w:right w:val="single" w:sz="4" w:space="0" w:color="auto"/>
            </w:tcBorders>
            <w:shd w:val="clear" w:color="auto" w:fill="auto"/>
            <w:vAlign w:val="bottom"/>
            <w:hideMark/>
          </w:tcPr>
          <w:p w14:paraId="7F5DA80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2,784,555</w:t>
            </w:r>
          </w:p>
        </w:tc>
        <w:tc>
          <w:tcPr>
            <w:tcW w:w="163" w:type="pct"/>
            <w:tcBorders>
              <w:top w:val="nil"/>
              <w:left w:val="nil"/>
              <w:bottom w:val="single" w:sz="4" w:space="0" w:color="auto"/>
              <w:right w:val="single" w:sz="4" w:space="0" w:color="auto"/>
            </w:tcBorders>
            <w:shd w:val="clear" w:color="auto" w:fill="auto"/>
            <w:noWrap/>
            <w:vAlign w:val="bottom"/>
            <w:hideMark/>
          </w:tcPr>
          <w:p w14:paraId="470552A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0 </w:t>
            </w:r>
          </w:p>
        </w:tc>
        <w:tc>
          <w:tcPr>
            <w:tcW w:w="163" w:type="pct"/>
            <w:tcBorders>
              <w:top w:val="nil"/>
              <w:left w:val="nil"/>
              <w:bottom w:val="single" w:sz="4" w:space="0" w:color="auto"/>
              <w:right w:val="single" w:sz="4" w:space="0" w:color="auto"/>
            </w:tcBorders>
            <w:shd w:val="clear" w:color="000000" w:fill="FFF2CC"/>
            <w:vAlign w:val="bottom"/>
            <w:hideMark/>
          </w:tcPr>
          <w:p w14:paraId="3241307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2,784,555</w:t>
            </w:r>
          </w:p>
        </w:tc>
        <w:tc>
          <w:tcPr>
            <w:tcW w:w="163" w:type="pct"/>
            <w:tcBorders>
              <w:top w:val="nil"/>
              <w:left w:val="nil"/>
              <w:bottom w:val="single" w:sz="4" w:space="0" w:color="auto"/>
              <w:right w:val="single" w:sz="4" w:space="0" w:color="auto"/>
            </w:tcBorders>
            <w:shd w:val="clear" w:color="auto" w:fill="auto"/>
            <w:vAlign w:val="bottom"/>
            <w:hideMark/>
          </w:tcPr>
          <w:p w14:paraId="09EDA7A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4,176,833</w:t>
            </w:r>
          </w:p>
        </w:tc>
        <w:tc>
          <w:tcPr>
            <w:tcW w:w="148" w:type="pct"/>
            <w:tcBorders>
              <w:top w:val="nil"/>
              <w:left w:val="nil"/>
              <w:bottom w:val="single" w:sz="4" w:space="0" w:color="auto"/>
              <w:right w:val="single" w:sz="4" w:space="0" w:color="auto"/>
            </w:tcBorders>
            <w:shd w:val="clear" w:color="auto" w:fill="auto"/>
            <w:vAlign w:val="bottom"/>
            <w:hideMark/>
          </w:tcPr>
          <w:p w14:paraId="7D45FB7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bottom"/>
            <w:hideMark/>
          </w:tcPr>
          <w:p w14:paraId="00CC4AB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4,176,833</w:t>
            </w:r>
          </w:p>
        </w:tc>
        <w:tc>
          <w:tcPr>
            <w:tcW w:w="165" w:type="pct"/>
            <w:tcBorders>
              <w:top w:val="nil"/>
              <w:left w:val="nil"/>
              <w:bottom w:val="single" w:sz="4" w:space="0" w:color="auto"/>
              <w:right w:val="single" w:sz="4" w:space="0" w:color="auto"/>
            </w:tcBorders>
            <w:shd w:val="clear" w:color="auto" w:fill="auto"/>
            <w:vAlign w:val="bottom"/>
            <w:hideMark/>
          </w:tcPr>
          <w:p w14:paraId="385A089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8,353,666</w:t>
            </w:r>
          </w:p>
        </w:tc>
        <w:tc>
          <w:tcPr>
            <w:tcW w:w="163" w:type="pct"/>
            <w:tcBorders>
              <w:top w:val="nil"/>
              <w:left w:val="nil"/>
              <w:bottom w:val="single" w:sz="4" w:space="0" w:color="auto"/>
              <w:right w:val="single" w:sz="4" w:space="0" w:color="auto"/>
            </w:tcBorders>
            <w:shd w:val="clear" w:color="auto" w:fill="auto"/>
            <w:vAlign w:val="bottom"/>
            <w:hideMark/>
          </w:tcPr>
          <w:p w14:paraId="7108941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bottom"/>
            <w:hideMark/>
          </w:tcPr>
          <w:p w14:paraId="71256E9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8,353,666</w:t>
            </w:r>
          </w:p>
        </w:tc>
        <w:tc>
          <w:tcPr>
            <w:tcW w:w="163" w:type="pct"/>
            <w:tcBorders>
              <w:top w:val="nil"/>
              <w:left w:val="nil"/>
              <w:bottom w:val="single" w:sz="4" w:space="0" w:color="auto"/>
              <w:right w:val="single" w:sz="4" w:space="0" w:color="auto"/>
            </w:tcBorders>
            <w:shd w:val="clear" w:color="auto" w:fill="auto"/>
            <w:vAlign w:val="bottom"/>
            <w:hideMark/>
          </w:tcPr>
          <w:p w14:paraId="440FD6F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8,353,666</w:t>
            </w:r>
          </w:p>
        </w:tc>
        <w:tc>
          <w:tcPr>
            <w:tcW w:w="155" w:type="pct"/>
            <w:tcBorders>
              <w:top w:val="nil"/>
              <w:left w:val="nil"/>
              <w:bottom w:val="single" w:sz="4" w:space="0" w:color="auto"/>
              <w:right w:val="single" w:sz="4" w:space="0" w:color="auto"/>
            </w:tcBorders>
            <w:shd w:val="clear" w:color="auto" w:fill="auto"/>
            <w:vAlign w:val="bottom"/>
            <w:hideMark/>
          </w:tcPr>
          <w:p w14:paraId="2EB5B7C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bottom"/>
            <w:hideMark/>
          </w:tcPr>
          <w:p w14:paraId="0C588AD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8,353,666</w:t>
            </w:r>
          </w:p>
        </w:tc>
        <w:tc>
          <w:tcPr>
            <w:tcW w:w="162" w:type="pct"/>
            <w:tcBorders>
              <w:top w:val="nil"/>
              <w:left w:val="nil"/>
              <w:bottom w:val="single" w:sz="4" w:space="0" w:color="auto"/>
              <w:right w:val="single" w:sz="4" w:space="0" w:color="auto"/>
            </w:tcBorders>
            <w:shd w:val="clear" w:color="auto" w:fill="auto"/>
            <w:vAlign w:val="bottom"/>
            <w:hideMark/>
          </w:tcPr>
          <w:p w14:paraId="3BD408E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bottom"/>
            <w:hideMark/>
          </w:tcPr>
          <w:p w14:paraId="5065ED0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bottom"/>
            <w:hideMark/>
          </w:tcPr>
          <w:p w14:paraId="71438D2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bottom"/>
            <w:hideMark/>
          </w:tcPr>
          <w:p w14:paraId="478AAF9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bottom"/>
            <w:hideMark/>
          </w:tcPr>
          <w:p w14:paraId="2E7F041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bottom"/>
            <w:hideMark/>
          </w:tcPr>
          <w:p w14:paraId="59CD47E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bottom"/>
            <w:hideMark/>
          </w:tcPr>
          <w:p w14:paraId="334BC5A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bottom"/>
            <w:hideMark/>
          </w:tcPr>
          <w:p w14:paraId="7CE9761F" w14:textId="09F73476"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7DA50BCC"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bottom"/>
            <w:hideMark/>
          </w:tcPr>
          <w:p w14:paraId="04E4E6D9"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1.1.2.11</w:t>
            </w:r>
          </w:p>
        </w:tc>
        <w:tc>
          <w:tcPr>
            <w:tcW w:w="281" w:type="pct"/>
            <w:tcBorders>
              <w:top w:val="nil"/>
              <w:left w:val="nil"/>
              <w:bottom w:val="single" w:sz="4" w:space="0" w:color="auto"/>
              <w:right w:val="single" w:sz="4" w:space="0" w:color="auto"/>
            </w:tcBorders>
            <w:shd w:val="clear" w:color="auto" w:fill="auto"/>
            <w:vAlign w:val="center"/>
            <w:hideMark/>
          </w:tcPr>
          <w:p w14:paraId="5C78CABA" w14:textId="4EA1C502"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1.1.2.11 Të rritet numri i </w:t>
            </w:r>
            <w:r w:rsidR="002803F2" w:rsidRPr="00B457F5">
              <w:rPr>
                <w:rFonts w:ascii="Garamond" w:eastAsia="Times New Roman" w:hAnsi="Garamond" w:cs="Times New Roman"/>
                <w:color w:val="000000"/>
                <w:sz w:val="4"/>
                <w:szCs w:val="10"/>
              </w:rPr>
              <w:t>oficerëve</w:t>
            </w:r>
            <w:r w:rsidRPr="00B457F5">
              <w:rPr>
                <w:rFonts w:ascii="Garamond" w:eastAsia="Times New Roman" w:hAnsi="Garamond" w:cs="Times New Roman"/>
                <w:color w:val="000000"/>
                <w:sz w:val="4"/>
                <w:szCs w:val="10"/>
              </w:rPr>
              <w:t xml:space="preserve"> n</w:t>
            </w:r>
            <w:r w:rsidR="002803F2" w:rsidRPr="00B457F5">
              <w:rPr>
                <w:rFonts w:ascii="Garamond" w:eastAsia="Times New Roman" w:hAnsi="Garamond" w:cs="Times New Roman"/>
                <w:color w:val="000000"/>
                <w:sz w:val="4"/>
                <w:szCs w:val="10"/>
              </w:rPr>
              <w:t>ë</w:t>
            </w:r>
            <w:r w:rsidRPr="00B457F5">
              <w:rPr>
                <w:rFonts w:ascii="Garamond" w:eastAsia="Times New Roman" w:hAnsi="Garamond" w:cs="Times New Roman"/>
                <w:color w:val="000000"/>
                <w:sz w:val="4"/>
                <w:szCs w:val="10"/>
              </w:rPr>
              <w:t xml:space="preserve"> kufi që janë </w:t>
            </w:r>
            <w:r w:rsidR="002803F2" w:rsidRPr="00B457F5">
              <w:rPr>
                <w:rFonts w:ascii="Garamond" w:eastAsia="Times New Roman" w:hAnsi="Garamond" w:cs="Times New Roman"/>
                <w:color w:val="000000"/>
                <w:sz w:val="4"/>
                <w:szCs w:val="10"/>
              </w:rPr>
              <w:t>përgjegjës</w:t>
            </w:r>
            <w:r w:rsidRPr="00B457F5">
              <w:rPr>
                <w:rFonts w:ascii="Garamond" w:eastAsia="Times New Roman" w:hAnsi="Garamond" w:cs="Times New Roman"/>
                <w:color w:val="000000"/>
                <w:sz w:val="4"/>
                <w:szCs w:val="10"/>
              </w:rPr>
              <w:t xml:space="preserve"> për procesin e përzgjedhjes </w:t>
            </w:r>
          </w:p>
        </w:tc>
        <w:tc>
          <w:tcPr>
            <w:tcW w:w="186" w:type="pct"/>
            <w:tcBorders>
              <w:top w:val="nil"/>
              <w:left w:val="nil"/>
              <w:bottom w:val="single" w:sz="4" w:space="0" w:color="auto"/>
              <w:right w:val="single" w:sz="4" w:space="0" w:color="auto"/>
            </w:tcBorders>
            <w:shd w:val="clear" w:color="auto" w:fill="auto"/>
            <w:vAlign w:val="bottom"/>
            <w:hideMark/>
          </w:tcPr>
          <w:p w14:paraId="21062EBE"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053BFB7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692A4F1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DKM </w:t>
            </w:r>
          </w:p>
        </w:tc>
        <w:tc>
          <w:tcPr>
            <w:tcW w:w="135" w:type="pct"/>
            <w:tcBorders>
              <w:top w:val="nil"/>
              <w:left w:val="nil"/>
              <w:bottom w:val="single" w:sz="4" w:space="0" w:color="auto"/>
              <w:right w:val="nil"/>
            </w:tcBorders>
            <w:shd w:val="clear" w:color="000000" w:fill="DDEBF7"/>
            <w:vAlign w:val="bottom"/>
            <w:hideMark/>
          </w:tcPr>
          <w:p w14:paraId="1729A0F8"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single" w:sz="4" w:space="0" w:color="auto"/>
              <w:bottom w:val="single" w:sz="4" w:space="0" w:color="auto"/>
              <w:right w:val="single" w:sz="4" w:space="0" w:color="auto"/>
            </w:tcBorders>
            <w:shd w:val="clear" w:color="000000" w:fill="DDEBF7"/>
            <w:vAlign w:val="bottom"/>
            <w:hideMark/>
          </w:tcPr>
          <w:p w14:paraId="3310FB9F"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2025</w:t>
            </w:r>
          </w:p>
        </w:tc>
        <w:tc>
          <w:tcPr>
            <w:tcW w:w="163" w:type="pct"/>
            <w:tcBorders>
              <w:top w:val="nil"/>
              <w:left w:val="nil"/>
              <w:bottom w:val="single" w:sz="4" w:space="0" w:color="auto"/>
              <w:right w:val="single" w:sz="4" w:space="0" w:color="auto"/>
            </w:tcBorders>
            <w:shd w:val="clear" w:color="auto" w:fill="auto"/>
            <w:noWrap/>
            <w:vAlign w:val="bottom"/>
            <w:hideMark/>
          </w:tcPr>
          <w:p w14:paraId="2D91DF13" w14:textId="77777777" w:rsidR="00C260C3" w:rsidRPr="00B457F5" w:rsidRDefault="00C260C3" w:rsidP="00C260C3">
            <w:pPr>
              <w:spacing w:before="0" w:after="0"/>
              <w:jc w:val="center"/>
              <w:rPr>
                <w:rFonts w:ascii="Garamond" w:eastAsia="Times New Roman" w:hAnsi="Garamond" w:cs="Calibri"/>
                <w:color w:val="000000"/>
                <w:sz w:val="4"/>
                <w:szCs w:val="10"/>
              </w:rPr>
            </w:pPr>
            <w:r w:rsidRPr="00B457F5">
              <w:rPr>
                <w:rFonts w:ascii="Garamond" w:eastAsia="Times New Roman" w:hAnsi="Garamond" w:cs="Calibri"/>
                <w:color w:val="000000"/>
                <w:sz w:val="4"/>
                <w:szCs w:val="10"/>
              </w:rPr>
              <w:t>3,304,944</w:t>
            </w:r>
          </w:p>
        </w:tc>
        <w:tc>
          <w:tcPr>
            <w:tcW w:w="155" w:type="pct"/>
            <w:tcBorders>
              <w:top w:val="nil"/>
              <w:left w:val="nil"/>
              <w:bottom w:val="single" w:sz="4" w:space="0" w:color="auto"/>
              <w:right w:val="single" w:sz="4" w:space="0" w:color="auto"/>
            </w:tcBorders>
            <w:shd w:val="clear" w:color="auto" w:fill="auto"/>
            <w:vAlign w:val="bottom"/>
            <w:hideMark/>
          </w:tcPr>
          <w:p w14:paraId="5027AD5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bottom"/>
            <w:hideMark/>
          </w:tcPr>
          <w:p w14:paraId="1D321A2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3,304,944</w:t>
            </w:r>
          </w:p>
        </w:tc>
        <w:tc>
          <w:tcPr>
            <w:tcW w:w="165" w:type="pct"/>
            <w:tcBorders>
              <w:top w:val="nil"/>
              <w:left w:val="nil"/>
              <w:bottom w:val="single" w:sz="4" w:space="0" w:color="auto"/>
              <w:right w:val="single" w:sz="4" w:space="0" w:color="auto"/>
            </w:tcBorders>
            <w:shd w:val="clear" w:color="auto" w:fill="auto"/>
            <w:vAlign w:val="bottom"/>
            <w:hideMark/>
          </w:tcPr>
          <w:p w14:paraId="2623314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3,304,944</w:t>
            </w:r>
          </w:p>
        </w:tc>
        <w:tc>
          <w:tcPr>
            <w:tcW w:w="163" w:type="pct"/>
            <w:tcBorders>
              <w:top w:val="nil"/>
              <w:left w:val="nil"/>
              <w:bottom w:val="single" w:sz="4" w:space="0" w:color="auto"/>
              <w:right w:val="single" w:sz="4" w:space="0" w:color="auto"/>
            </w:tcBorders>
            <w:shd w:val="clear" w:color="auto" w:fill="auto"/>
            <w:noWrap/>
            <w:vAlign w:val="bottom"/>
            <w:hideMark/>
          </w:tcPr>
          <w:p w14:paraId="2F27219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0 </w:t>
            </w:r>
          </w:p>
        </w:tc>
        <w:tc>
          <w:tcPr>
            <w:tcW w:w="163" w:type="pct"/>
            <w:tcBorders>
              <w:top w:val="nil"/>
              <w:left w:val="nil"/>
              <w:bottom w:val="single" w:sz="4" w:space="0" w:color="auto"/>
              <w:right w:val="single" w:sz="4" w:space="0" w:color="auto"/>
            </w:tcBorders>
            <w:shd w:val="clear" w:color="000000" w:fill="FFF2CC"/>
            <w:vAlign w:val="bottom"/>
            <w:hideMark/>
          </w:tcPr>
          <w:p w14:paraId="0B40E77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3,304,944</w:t>
            </w:r>
          </w:p>
        </w:tc>
        <w:tc>
          <w:tcPr>
            <w:tcW w:w="163" w:type="pct"/>
            <w:tcBorders>
              <w:top w:val="nil"/>
              <w:left w:val="nil"/>
              <w:bottom w:val="single" w:sz="4" w:space="0" w:color="auto"/>
              <w:right w:val="single" w:sz="4" w:space="0" w:color="auto"/>
            </w:tcBorders>
            <w:shd w:val="clear" w:color="auto" w:fill="auto"/>
            <w:vAlign w:val="bottom"/>
            <w:hideMark/>
          </w:tcPr>
          <w:p w14:paraId="53FD786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3,304,944</w:t>
            </w:r>
          </w:p>
        </w:tc>
        <w:tc>
          <w:tcPr>
            <w:tcW w:w="148" w:type="pct"/>
            <w:tcBorders>
              <w:top w:val="nil"/>
              <w:left w:val="nil"/>
              <w:bottom w:val="single" w:sz="4" w:space="0" w:color="auto"/>
              <w:right w:val="single" w:sz="4" w:space="0" w:color="auto"/>
            </w:tcBorders>
            <w:shd w:val="clear" w:color="auto" w:fill="auto"/>
            <w:vAlign w:val="bottom"/>
            <w:hideMark/>
          </w:tcPr>
          <w:p w14:paraId="3E00168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bottom"/>
            <w:hideMark/>
          </w:tcPr>
          <w:p w14:paraId="246C109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3,304,944</w:t>
            </w:r>
          </w:p>
        </w:tc>
        <w:tc>
          <w:tcPr>
            <w:tcW w:w="165" w:type="pct"/>
            <w:tcBorders>
              <w:top w:val="nil"/>
              <w:left w:val="nil"/>
              <w:bottom w:val="single" w:sz="4" w:space="0" w:color="auto"/>
              <w:right w:val="single" w:sz="4" w:space="0" w:color="auto"/>
            </w:tcBorders>
            <w:shd w:val="clear" w:color="auto" w:fill="auto"/>
            <w:vAlign w:val="bottom"/>
            <w:hideMark/>
          </w:tcPr>
          <w:p w14:paraId="60C5D78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9,914,832</w:t>
            </w:r>
          </w:p>
        </w:tc>
        <w:tc>
          <w:tcPr>
            <w:tcW w:w="163" w:type="pct"/>
            <w:tcBorders>
              <w:top w:val="nil"/>
              <w:left w:val="nil"/>
              <w:bottom w:val="single" w:sz="4" w:space="0" w:color="auto"/>
              <w:right w:val="single" w:sz="4" w:space="0" w:color="auto"/>
            </w:tcBorders>
            <w:shd w:val="clear" w:color="auto" w:fill="auto"/>
            <w:vAlign w:val="bottom"/>
            <w:hideMark/>
          </w:tcPr>
          <w:p w14:paraId="20EB6D3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bottom"/>
            <w:hideMark/>
          </w:tcPr>
          <w:p w14:paraId="02C93F1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9,914,832</w:t>
            </w:r>
          </w:p>
        </w:tc>
        <w:tc>
          <w:tcPr>
            <w:tcW w:w="163" w:type="pct"/>
            <w:tcBorders>
              <w:top w:val="nil"/>
              <w:left w:val="nil"/>
              <w:bottom w:val="single" w:sz="4" w:space="0" w:color="auto"/>
              <w:right w:val="single" w:sz="4" w:space="0" w:color="auto"/>
            </w:tcBorders>
            <w:shd w:val="clear" w:color="auto" w:fill="auto"/>
            <w:vAlign w:val="bottom"/>
            <w:hideMark/>
          </w:tcPr>
          <w:p w14:paraId="7D85BE4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9,914,832</w:t>
            </w:r>
          </w:p>
        </w:tc>
        <w:tc>
          <w:tcPr>
            <w:tcW w:w="155" w:type="pct"/>
            <w:tcBorders>
              <w:top w:val="nil"/>
              <w:left w:val="nil"/>
              <w:bottom w:val="single" w:sz="4" w:space="0" w:color="auto"/>
              <w:right w:val="single" w:sz="4" w:space="0" w:color="auto"/>
            </w:tcBorders>
            <w:shd w:val="clear" w:color="auto" w:fill="auto"/>
            <w:vAlign w:val="bottom"/>
            <w:hideMark/>
          </w:tcPr>
          <w:p w14:paraId="0EE185B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bottom"/>
            <w:hideMark/>
          </w:tcPr>
          <w:p w14:paraId="7CD442E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9,914,832</w:t>
            </w:r>
          </w:p>
        </w:tc>
        <w:tc>
          <w:tcPr>
            <w:tcW w:w="162" w:type="pct"/>
            <w:tcBorders>
              <w:top w:val="nil"/>
              <w:left w:val="nil"/>
              <w:bottom w:val="single" w:sz="4" w:space="0" w:color="auto"/>
              <w:right w:val="single" w:sz="4" w:space="0" w:color="auto"/>
            </w:tcBorders>
            <w:shd w:val="clear" w:color="auto" w:fill="auto"/>
            <w:vAlign w:val="bottom"/>
            <w:hideMark/>
          </w:tcPr>
          <w:p w14:paraId="76178E4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bottom"/>
            <w:hideMark/>
          </w:tcPr>
          <w:p w14:paraId="00BB1FE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bottom"/>
            <w:hideMark/>
          </w:tcPr>
          <w:p w14:paraId="25C2B09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bottom"/>
            <w:hideMark/>
          </w:tcPr>
          <w:p w14:paraId="38FE418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bottom"/>
            <w:hideMark/>
          </w:tcPr>
          <w:p w14:paraId="0D24391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bottom"/>
            <w:hideMark/>
          </w:tcPr>
          <w:p w14:paraId="41ADDD5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bottom"/>
            <w:hideMark/>
          </w:tcPr>
          <w:p w14:paraId="4611848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bottom"/>
            <w:hideMark/>
          </w:tcPr>
          <w:p w14:paraId="29174B00" w14:textId="6BA444EB"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0A38A465" w14:textId="77777777" w:rsidTr="00C260C3">
        <w:trPr>
          <w:trHeight w:val="20"/>
        </w:trPr>
        <w:tc>
          <w:tcPr>
            <w:tcW w:w="131" w:type="pct"/>
            <w:tcBorders>
              <w:top w:val="nil"/>
              <w:left w:val="single" w:sz="8" w:space="0" w:color="auto"/>
              <w:bottom w:val="single" w:sz="4" w:space="0" w:color="auto"/>
              <w:right w:val="single" w:sz="4" w:space="0" w:color="auto"/>
            </w:tcBorders>
            <w:shd w:val="clear" w:color="000000" w:fill="D9D9D9"/>
            <w:vAlign w:val="center"/>
            <w:hideMark/>
          </w:tcPr>
          <w:p w14:paraId="3FC29848"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1.1.3</w:t>
            </w:r>
          </w:p>
        </w:tc>
        <w:tc>
          <w:tcPr>
            <w:tcW w:w="281" w:type="pct"/>
            <w:tcBorders>
              <w:top w:val="nil"/>
              <w:left w:val="nil"/>
              <w:bottom w:val="single" w:sz="4" w:space="0" w:color="auto"/>
              <w:right w:val="single" w:sz="4" w:space="0" w:color="auto"/>
            </w:tcBorders>
            <w:shd w:val="clear" w:color="000000" w:fill="D9D9D9"/>
            <w:vAlign w:val="center"/>
            <w:hideMark/>
          </w:tcPr>
          <w:p w14:paraId="2758CFB5" w14:textId="757B92B9"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1.1.3 Përmirësimi i mekanizmave të koordinimit për qeverisjen e migracionit</w:t>
            </w:r>
          </w:p>
        </w:tc>
        <w:tc>
          <w:tcPr>
            <w:tcW w:w="186" w:type="pct"/>
            <w:tcBorders>
              <w:top w:val="nil"/>
              <w:left w:val="nil"/>
              <w:bottom w:val="single" w:sz="4" w:space="0" w:color="auto"/>
              <w:right w:val="single" w:sz="4" w:space="0" w:color="auto"/>
            </w:tcBorders>
            <w:shd w:val="clear" w:color="000000" w:fill="D9D9D9"/>
            <w:vAlign w:val="center"/>
            <w:hideMark/>
          </w:tcPr>
          <w:p w14:paraId="15252C85"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000000" w:fill="D9D9D9"/>
            <w:vAlign w:val="center"/>
            <w:hideMark/>
          </w:tcPr>
          <w:p w14:paraId="4E29B50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MEKI, MB, AMVV</w:t>
            </w:r>
          </w:p>
        </w:tc>
        <w:tc>
          <w:tcPr>
            <w:tcW w:w="244" w:type="pct"/>
            <w:tcBorders>
              <w:top w:val="nil"/>
              <w:left w:val="nil"/>
              <w:bottom w:val="single" w:sz="4" w:space="0" w:color="auto"/>
              <w:right w:val="single" w:sz="4" w:space="0" w:color="auto"/>
            </w:tcBorders>
            <w:shd w:val="clear" w:color="000000" w:fill="D9D9D9"/>
            <w:vAlign w:val="center"/>
            <w:hideMark/>
          </w:tcPr>
          <w:p w14:paraId="31125E54" w14:textId="25069E1C"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MB, AKPA, ISHPSHSH, ISSH, MEKI, NJVV, ZVMD, AMVV, DKM, MSHMS, </w:t>
            </w:r>
            <w:r w:rsidR="006A63AF" w:rsidRPr="00B457F5">
              <w:rPr>
                <w:rFonts w:ascii="Garamond" w:eastAsia="Times New Roman" w:hAnsi="Garamond" w:cs="Times New Roman"/>
                <w:color w:val="000000"/>
                <w:sz w:val="4"/>
                <w:szCs w:val="10"/>
              </w:rPr>
              <w:t>organizata, ministritë/institucionet anëtare</w:t>
            </w:r>
          </w:p>
        </w:tc>
        <w:tc>
          <w:tcPr>
            <w:tcW w:w="135" w:type="pct"/>
            <w:tcBorders>
              <w:top w:val="nil"/>
              <w:left w:val="nil"/>
              <w:bottom w:val="single" w:sz="4" w:space="0" w:color="auto"/>
              <w:right w:val="nil"/>
            </w:tcBorders>
            <w:shd w:val="clear" w:color="000000" w:fill="D9D9D9"/>
            <w:vAlign w:val="center"/>
            <w:hideMark/>
          </w:tcPr>
          <w:p w14:paraId="28B98A5E"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single" w:sz="4" w:space="0" w:color="auto"/>
              <w:bottom w:val="single" w:sz="4" w:space="0" w:color="auto"/>
              <w:right w:val="single" w:sz="4" w:space="0" w:color="auto"/>
            </w:tcBorders>
            <w:shd w:val="clear" w:color="000000" w:fill="D9D9D9"/>
            <w:vAlign w:val="center"/>
            <w:hideMark/>
          </w:tcPr>
          <w:p w14:paraId="70FE076B"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000000" w:fill="D9D9D9"/>
            <w:vAlign w:val="center"/>
            <w:hideMark/>
          </w:tcPr>
          <w:p w14:paraId="5C6F9AD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2,778,604</w:t>
            </w:r>
          </w:p>
        </w:tc>
        <w:tc>
          <w:tcPr>
            <w:tcW w:w="155" w:type="pct"/>
            <w:tcBorders>
              <w:top w:val="nil"/>
              <w:left w:val="nil"/>
              <w:bottom w:val="single" w:sz="4" w:space="0" w:color="auto"/>
              <w:right w:val="single" w:sz="4" w:space="0" w:color="auto"/>
            </w:tcBorders>
            <w:shd w:val="clear" w:color="000000" w:fill="D9D9D9"/>
            <w:vAlign w:val="center"/>
            <w:hideMark/>
          </w:tcPr>
          <w:p w14:paraId="4093230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67B2F0D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2,778,604</w:t>
            </w:r>
          </w:p>
        </w:tc>
        <w:tc>
          <w:tcPr>
            <w:tcW w:w="165" w:type="pct"/>
            <w:tcBorders>
              <w:top w:val="nil"/>
              <w:left w:val="nil"/>
              <w:bottom w:val="single" w:sz="4" w:space="0" w:color="auto"/>
              <w:right w:val="single" w:sz="4" w:space="0" w:color="auto"/>
            </w:tcBorders>
            <w:shd w:val="clear" w:color="000000" w:fill="D9D9D9"/>
            <w:vAlign w:val="center"/>
            <w:hideMark/>
          </w:tcPr>
          <w:p w14:paraId="56CD941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2,130,535</w:t>
            </w:r>
          </w:p>
        </w:tc>
        <w:tc>
          <w:tcPr>
            <w:tcW w:w="163" w:type="pct"/>
            <w:tcBorders>
              <w:top w:val="nil"/>
              <w:left w:val="nil"/>
              <w:bottom w:val="single" w:sz="4" w:space="0" w:color="auto"/>
              <w:right w:val="single" w:sz="4" w:space="0" w:color="auto"/>
            </w:tcBorders>
            <w:shd w:val="clear" w:color="000000" w:fill="D9D9D9"/>
            <w:vAlign w:val="center"/>
            <w:hideMark/>
          </w:tcPr>
          <w:p w14:paraId="27B7DEA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53E45B8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2,130,535</w:t>
            </w:r>
          </w:p>
        </w:tc>
        <w:tc>
          <w:tcPr>
            <w:tcW w:w="163" w:type="pct"/>
            <w:tcBorders>
              <w:top w:val="nil"/>
              <w:left w:val="nil"/>
              <w:bottom w:val="single" w:sz="4" w:space="0" w:color="auto"/>
              <w:right w:val="single" w:sz="4" w:space="0" w:color="auto"/>
            </w:tcBorders>
            <w:shd w:val="clear" w:color="000000" w:fill="D9D9D9"/>
            <w:vAlign w:val="center"/>
            <w:hideMark/>
          </w:tcPr>
          <w:p w14:paraId="7A98BEE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2,130,535</w:t>
            </w:r>
          </w:p>
        </w:tc>
        <w:tc>
          <w:tcPr>
            <w:tcW w:w="148" w:type="pct"/>
            <w:tcBorders>
              <w:top w:val="nil"/>
              <w:left w:val="nil"/>
              <w:bottom w:val="single" w:sz="4" w:space="0" w:color="auto"/>
              <w:right w:val="single" w:sz="4" w:space="0" w:color="auto"/>
            </w:tcBorders>
            <w:shd w:val="clear" w:color="000000" w:fill="D9D9D9"/>
            <w:vAlign w:val="center"/>
            <w:hideMark/>
          </w:tcPr>
          <w:p w14:paraId="50E0BB3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587A632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2,130,535</w:t>
            </w:r>
          </w:p>
        </w:tc>
        <w:tc>
          <w:tcPr>
            <w:tcW w:w="165" w:type="pct"/>
            <w:tcBorders>
              <w:top w:val="nil"/>
              <w:left w:val="nil"/>
              <w:bottom w:val="single" w:sz="4" w:space="0" w:color="auto"/>
              <w:right w:val="single" w:sz="4" w:space="0" w:color="auto"/>
            </w:tcBorders>
            <w:shd w:val="clear" w:color="000000" w:fill="D9D9D9"/>
            <w:vAlign w:val="center"/>
            <w:hideMark/>
          </w:tcPr>
          <w:p w14:paraId="6A3B926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7,039,674</w:t>
            </w:r>
          </w:p>
        </w:tc>
        <w:tc>
          <w:tcPr>
            <w:tcW w:w="163" w:type="pct"/>
            <w:tcBorders>
              <w:top w:val="nil"/>
              <w:left w:val="nil"/>
              <w:bottom w:val="single" w:sz="4" w:space="0" w:color="auto"/>
              <w:right w:val="single" w:sz="4" w:space="0" w:color="auto"/>
            </w:tcBorders>
            <w:shd w:val="clear" w:color="000000" w:fill="D9D9D9"/>
            <w:vAlign w:val="center"/>
            <w:hideMark/>
          </w:tcPr>
          <w:p w14:paraId="0A6C908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D9D9D9"/>
            <w:vAlign w:val="center"/>
            <w:hideMark/>
          </w:tcPr>
          <w:p w14:paraId="01F232D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7,039,674</w:t>
            </w:r>
          </w:p>
        </w:tc>
        <w:tc>
          <w:tcPr>
            <w:tcW w:w="163" w:type="pct"/>
            <w:tcBorders>
              <w:top w:val="nil"/>
              <w:left w:val="nil"/>
              <w:bottom w:val="single" w:sz="4" w:space="0" w:color="auto"/>
              <w:right w:val="single" w:sz="4" w:space="0" w:color="auto"/>
            </w:tcBorders>
            <w:shd w:val="clear" w:color="000000" w:fill="D9D9D9"/>
            <w:vAlign w:val="center"/>
            <w:hideMark/>
          </w:tcPr>
          <w:p w14:paraId="4396004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6,739,674</w:t>
            </w:r>
          </w:p>
        </w:tc>
        <w:tc>
          <w:tcPr>
            <w:tcW w:w="155" w:type="pct"/>
            <w:tcBorders>
              <w:top w:val="nil"/>
              <w:left w:val="nil"/>
              <w:bottom w:val="single" w:sz="4" w:space="0" w:color="auto"/>
              <w:right w:val="single" w:sz="4" w:space="0" w:color="auto"/>
            </w:tcBorders>
            <w:shd w:val="clear" w:color="000000" w:fill="D9D9D9"/>
            <w:vAlign w:val="center"/>
            <w:hideMark/>
          </w:tcPr>
          <w:p w14:paraId="6C94B1C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1F74186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6,739,674</w:t>
            </w:r>
          </w:p>
        </w:tc>
        <w:tc>
          <w:tcPr>
            <w:tcW w:w="162" w:type="pct"/>
            <w:tcBorders>
              <w:top w:val="nil"/>
              <w:left w:val="nil"/>
              <w:bottom w:val="single" w:sz="4" w:space="0" w:color="auto"/>
              <w:right w:val="single" w:sz="4" w:space="0" w:color="auto"/>
            </w:tcBorders>
            <w:shd w:val="clear" w:color="000000" w:fill="D9D9D9"/>
            <w:vAlign w:val="center"/>
            <w:hideMark/>
          </w:tcPr>
          <w:p w14:paraId="43D9C2D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000000" w:fill="D9D9D9"/>
            <w:vAlign w:val="center"/>
            <w:hideMark/>
          </w:tcPr>
          <w:p w14:paraId="1415C47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000000" w:fill="D9D9D9"/>
            <w:vAlign w:val="center"/>
            <w:hideMark/>
          </w:tcPr>
          <w:p w14:paraId="221F192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1E155DD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000000" w:fill="D9D9D9"/>
            <w:vAlign w:val="center"/>
            <w:hideMark/>
          </w:tcPr>
          <w:p w14:paraId="34BDC51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000000" w:fill="D9D9D9"/>
            <w:vAlign w:val="center"/>
            <w:hideMark/>
          </w:tcPr>
          <w:p w14:paraId="6F3DED5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D9D9D9"/>
            <w:vAlign w:val="center"/>
            <w:hideMark/>
          </w:tcPr>
          <w:p w14:paraId="35C756C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000000" w:fill="D9D9D9"/>
            <w:vAlign w:val="center"/>
            <w:hideMark/>
          </w:tcPr>
          <w:p w14:paraId="3B5A1732" w14:textId="450F11C6"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(300,000)</w:t>
            </w:r>
          </w:p>
        </w:tc>
      </w:tr>
      <w:tr w:rsidR="00C260C3" w:rsidRPr="00B457F5" w14:paraId="226AAEB4"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center"/>
            <w:hideMark/>
          </w:tcPr>
          <w:p w14:paraId="3A077841"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1.1.3.1</w:t>
            </w:r>
          </w:p>
        </w:tc>
        <w:tc>
          <w:tcPr>
            <w:tcW w:w="281" w:type="pct"/>
            <w:tcBorders>
              <w:top w:val="nil"/>
              <w:left w:val="nil"/>
              <w:bottom w:val="single" w:sz="4" w:space="0" w:color="auto"/>
              <w:right w:val="single" w:sz="4" w:space="0" w:color="auto"/>
            </w:tcBorders>
            <w:shd w:val="clear" w:color="auto" w:fill="auto"/>
            <w:vAlign w:val="center"/>
            <w:hideMark/>
          </w:tcPr>
          <w:p w14:paraId="4B9D2CFB" w14:textId="69CBD4B9"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1.1.3.1 Të krijohet grup pune në MEKI me përfaqësi nga të gjitha </w:t>
            </w:r>
            <w:r w:rsidR="006A63AF" w:rsidRPr="00B457F5">
              <w:rPr>
                <w:rFonts w:ascii="Garamond" w:eastAsia="Times New Roman" w:hAnsi="Garamond" w:cs="Times New Roman"/>
                <w:color w:val="000000"/>
                <w:sz w:val="4"/>
                <w:szCs w:val="10"/>
              </w:rPr>
              <w:t>institucionet</w:t>
            </w:r>
            <w:r w:rsidRPr="00B457F5">
              <w:rPr>
                <w:rFonts w:ascii="Garamond" w:eastAsia="Times New Roman" w:hAnsi="Garamond" w:cs="Times New Roman"/>
                <w:color w:val="000000"/>
                <w:sz w:val="4"/>
                <w:szCs w:val="10"/>
              </w:rPr>
              <w:t xml:space="preserve"> e varësisë me përgjegjësi në zbatimin e Planit të Veprimit </w:t>
            </w:r>
          </w:p>
        </w:tc>
        <w:tc>
          <w:tcPr>
            <w:tcW w:w="186" w:type="pct"/>
            <w:tcBorders>
              <w:top w:val="nil"/>
              <w:left w:val="nil"/>
              <w:bottom w:val="single" w:sz="4" w:space="0" w:color="auto"/>
              <w:right w:val="single" w:sz="4" w:space="0" w:color="auto"/>
            </w:tcBorders>
            <w:shd w:val="clear" w:color="auto" w:fill="auto"/>
            <w:vAlign w:val="center"/>
            <w:hideMark/>
          </w:tcPr>
          <w:p w14:paraId="67D36B14"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w:t>
            </w:r>
          </w:p>
        </w:tc>
        <w:tc>
          <w:tcPr>
            <w:tcW w:w="169" w:type="pct"/>
            <w:tcBorders>
              <w:top w:val="nil"/>
              <w:left w:val="nil"/>
              <w:bottom w:val="single" w:sz="4" w:space="0" w:color="auto"/>
              <w:right w:val="single" w:sz="4" w:space="0" w:color="auto"/>
            </w:tcBorders>
            <w:shd w:val="clear" w:color="auto" w:fill="auto"/>
            <w:vAlign w:val="center"/>
            <w:hideMark/>
          </w:tcPr>
          <w:p w14:paraId="34BFCC9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MEKI</w:t>
            </w:r>
          </w:p>
        </w:tc>
        <w:tc>
          <w:tcPr>
            <w:tcW w:w="244" w:type="pct"/>
            <w:tcBorders>
              <w:top w:val="nil"/>
              <w:left w:val="nil"/>
              <w:bottom w:val="single" w:sz="4" w:space="0" w:color="auto"/>
              <w:right w:val="single" w:sz="4" w:space="0" w:color="auto"/>
            </w:tcBorders>
            <w:shd w:val="clear" w:color="auto" w:fill="auto"/>
            <w:vAlign w:val="center"/>
            <w:hideMark/>
          </w:tcPr>
          <w:p w14:paraId="3D17722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AKPA, ISHPSHSH, ISSH</w:t>
            </w:r>
          </w:p>
        </w:tc>
        <w:tc>
          <w:tcPr>
            <w:tcW w:w="135" w:type="pct"/>
            <w:tcBorders>
              <w:top w:val="nil"/>
              <w:left w:val="nil"/>
              <w:bottom w:val="single" w:sz="4" w:space="0" w:color="auto"/>
              <w:right w:val="nil"/>
            </w:tcBorders>
            <w:shd w:val="clear" w:color="000000" w:fill="DDEBF7"/>
            <w:vAlign w:val="center"/>
            <w:hideMark/>
          </w:tcPr>
          <w:p w14:paraId="4783F539"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single" w:sz="4" w:space="0" w:color="auto"/>
              <w:bottom w:val="single" w:sz="4" w:space="0" w:color="auto"/>
              <w:right w:val="single" w:sz="4" w:space="0" w:color="auto"/>
            </w:tcBorders>
            <w:shd w:val="clear" w:color="000000" w:fill="DDEBF7"/>
            <w:vAlign w:val="center"/>
            <w:hideMark/>
          </w:tcPr>
          <w:p w14:paraId="2C63737C"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7E52257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3074937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0349DD2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auto" w:fill="auto"/>
            <w:vAlign w:val="center"/>
            <w:hideMark/>
          </w:tcPr>
          <w:p w14:paraId="43B4E48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0DAECE1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0625B6D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6FE4A94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8" w:type="pct"/>
            <w:tcBorders>
              <w:top w:val="nil"/>
              <w:left w:val="nil"/>
              <w:bottom w:val="single" w:sz="4" w:space="0" w:color="auto"/>
              <w:right w:val="single" w:sz="4" w:space="0" w:color="auto"/>
            </w:tcBorders>
            <w:shd w:val="clear" w:color="auto" w:fill="auto"/>
            <w:vAlign w:val="center"/>
            <w:hideMark/>
          </w:tcPr>
          <w:p w14:paraId="323DF73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0E4188F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auto" w:fill="auto"/>
            <w:vAlign w:val="center"/>
            <w:hideMark/>
          </w:tcPr>
          <w:p w14:paraId="032F537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49A2459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715381C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2BA67F5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2D6F1FF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1B2A22E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3A896EB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4568BC1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5E05A4B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198DB85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6CE56E4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38C41B4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5657D7F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030643FB" w14:textId="17F4D21A"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222C71BC"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center"/>
            <w:hideMark/>
          </w:tcPr>
          <w:p w14:paraId="71BD03E9"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1.1.3.2</w:t>
            </w:r>
          </w:p>
        </w:tc>
        <w:tc>
          <w:tcPr>
            <w:tcW w:w="281" w:type="pct"/>
            <w:tcBorders>
              <w:top w:val="nil"/>
              <w:left w:val="nil"/>
              <w:bottom w:val="single" w:sz="4" w:space="0" w:color="auto"/>
              <w:right w:val="single" w:sz="4" w:space="0" w:color="auto"/>
            </w:tcBorders>
            <w:shd w:val="clear" w:color="auto" w:fill="auto"/>
            <w:vAlign w:val="center"/>
            <w:hideMark/>
          </w:tcPr>
          <w:p w14:paraId="7B4BEE4A" w14:textId="0925D3B9"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1.1.3.2 Hartimi i një udhërrëfyesi për </w:t>
            </w:r>
            <w:r w:rsidR="006A63AF" w:rsidRPr="00B457F5">
              <w:rPr>
                <w:rFonts w:ascii="Garamond" w:eastAsia="Times New Roman" w:hAnsi="Garamond" w:cs="Times New Roman"/>
                <w:color w:val="000000"/>
                <w:sz w:val="4"/>
                <w:szCs w:val="10"/>
              </w:rPr>
              <w:t>koordinimin</w:t>
            </w:r>
            <w:r w:rsidRPr="00B457F5">
              <w:rPr>
                <w:rFonts w:ascii="Garamond" w:eastAsia="Times New Roman" w:hAnsi="Garamond" w:cs="Times New Roman"/>
                <w:color w:val="000000"/>
                <w:sz w:val="4"/>
                <w:szCs w:val="10"/>
              </w:rPr>
              <w:t xml:space="preserve"> dhe raportimin e Planit të Veprimit </w:t>
            </w:r>
          </w:p>
        </w:tc>
        <w:tc>
          <w:tcPr>
            <w:tcW w:w="186" w:type="pct"/>
            <w:tcBorders>
              <w:top w:val="nil"/>
              <w:left w:val="nil"/>
              <w:bottom w:val="single" w:sz="4" w:space="0" w:color="auto"/>
              <w:right w:val="single" w:sz="4" w:space="0" w:color="auto"/>
            </w:tcBorders>
            <w:shd w:val="clear" w:color="auto" w:fill="auto"/>
            <w:vAlign w:val="center"/>
            <w:hideMark/>
          </w:tcPr>
          <w:p w14:paraId="2B017569"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7201FF9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51B7BB91" w14:textId="4FE2A4D5"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MEKI, </w:t>
            </w:r>
            <w:r w:rsidR="003737F5" w:rsidRPr="00B457F5">
              <w:rPr>
                <w:rFonts w:ascii="Garamond" w:eastAsia="Times New Roman" w:hAnsi="Garamond" w:cs="Times New Roman"/>
                <w:color w:val="000000"/>
                <w:sz w:val="4"/>
                <w:szCs w:val="10"/>
              </w:rPr>
              <w:t>o</w:t>
            </w:r>
            <w:r w:rsidRPr="00B457F5">
              <w:rPr>
                <w:rFonts w:ascii="Garamond" w:eastAsia="Times New Roman" w:hAnsi="Garamond" w:cs="Times New Roman"/>
                <w:color w:val="000000"/>
                <w:sz w:val="4"/>
                <w:szCs w:val="10"/>
              </w:rPr>
              <w:t xml:space="preserve">rganizata </w:t>
            </w:r>
          </w:p>
        </w:tc>
        <w:tc>
          <w:tcPr>
            <w:tcW w:w="135" w:type="pct"/>
            <w:tcBorders>
              <w:top w:val="nil"/>
              <w:left w:val="nil"/>
              <w:bottom w:val="single" w:sz="4" w:space="0" w:color="auto"/>
              <w:right w:val="single" w:sz="4" w:space="0" w:color="auto"/>
            </w:tcBorders>
            <w:shd w:val="clear" w:color="000000" w:fill="DDEBF7"/>
            <w:vAlign w:val="center"/>
            <w:hideMark/>
          </w:tcPr>
          <w:p w14:paraId="10A39700"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2024 </w:t>
            </w:r>
          </w:p>
        </w:tc>
        <w:tc>
          <w:tcPr>
            <w:tcW w:w="152" w:type="pct"/>
            <w:tcBorders>
              <w:top w:val="nil"/>
              <w:left w:val="nil"/>
              <w:bottom w:val="single" w:sz="4" w:space="0" w:color="auto"/>
              <w:right w:val="single" w:sz="4" w:space="0" w:color="auto"/>
            </w:tcBorders>
            <w:shd w:val="clear" w:color="000000" w:fill="DDEBF7"/>
            <w:vAlign w:val="center"/>
            <w:hideMark/>
          </w:tcPr>
          <w:p w14:paraId="6EE48EFF"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2026 </w:t>
            </w:r>
          </w:p>
        </w:tc>
        <w:tc>
          <w:tcPr>
            <w:tcW w:w="163" w:type="pct"/>
            <w:tcBorders>
              <w:top w:val="nil"/>
              <w:left w:val="nil"/>
              <w:bottom w:val="single" w:sz="4" w:space="0" w:color="auto"/>
              <w:right w:val="single" w:sz="4" w:space="0" w:color="auto"/>
            </w:tcBorders>
            <w:shd w:val="clear" w:color="auto" w:fill="auto"/>
            <w:vAlign w:val="center"/>
            <w:hideMark/>
          </w:tcPr>
          <w:p w14:paraId="514ECF1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648,069</w:t>
            </w:r>
          </w:p>
        </w:tc>
        <w:tc>
          <w:tcPr>
            <w:tcW w:w="155" w:type="pct"/>
            <w:tcBorders>
              <w:top w:val="nil"/>
              <w:left w:val="nil"/>
              <w:bottom w:val="single" w:sz="4" w:space="0" w:color="auto"/>
              <w:right w:val="single" w:sz="4" w:space="0" w:color="auto"/>
            </w:tcBorders>
            <w:shd w:val="clear" w:color="auto" w:fill="auto"/>
            <w:vAlign w:val="center"/>
            <w:hideMark/>
          </w:tcPr>
          <w:p w14:paraId="576B61F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4D9A654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648,069</w:t>
            </w:r>
          </w:p>
        </w:tc>
        <w:tc>
          <w:tcPr>
            <w:tcW w:w="165" w:type="pct"/>
            <w:tcBorders>
              <w:top w:val="nil"/>
              <w:left w:val="nil"/>
              <w:bottom w:val="single" w:sz="4" w:space="0" w:color="auto"/>
              <w:right w:val="single" w:sz="4" w:space="0" w:color="auto"/>
            </w:tcBorders>
            <w:shd w:val="clear" w:color="auto" w:fill="auto"/>
            <w:vAlign w:val="center"/>
            <w:hideMark/>
          </w:tcPr>
          <w:p w14:paraId="372C03C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2E99988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557C2A9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177B80C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8" w:type="pct"/>
            <w:tcBorders>
              <w:top w:val="nil"/>
              <w:left w:val="nil"/>
              <w:bottom w:val="single" w:sz="4" w:space="0" w:color="auto"/>
              <w:right w:val="single" w:sz="4" w:space="0" w:color="auto"/>
            </w:tcBorders>
            <w:shd w:val="clear" w:color="auto" w:fill="auto"/>
            <w:vAlign w:val="center"/>
            <w:hideMark/>
          </w:tcPr>
          <w:p w14:paraId="780857E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73209A7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auto" w:fill="auto"/>
            <w:vAlign w:val="center"/>
            <w:hideMark/>
          </w:tcPr>
          <w:p w14:paraId="44D3DDD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648,069</w:t>
            </w:r>
          </w:p>
        </w:tc>
        <w:tc>
          <w:tcPr>
            <w:tcW w:w="163" w:type="pct"/>
            <w:tcBorders>
              <w:top w:val="nil"/>
              <w:left w:val="nil"/>
              <w:bottom w:val="single" w:sz="4" w:space="0" w:color="auto"/>
              <w:right w:val="single" w:sz="4" w:space="0" w:color="auto"/>
            </w:tcBorders>
            <w:shd w:val="clear" w:color="auto" w:fill="auto"/>
            <w:vAlign w:val="center"/>
            <w:hideMark/>
          </w:tcPr>
          <w:p w14:paraId="0EF35E8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297D079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648,069</w:t>
            </w:r>
          </w:p>
        </w:tc>
        <w:tc>
          <w:tcPr>
            <w:tcW w:w="163" w:type="pct"/>
            <w:tcBorders>
              <w:top w:val="nil"/>
              <w:left w:val="nil"/>
              <w:bottom w:val="single" w:sz="4" w:space="0" w:color="auto"/>
              <w:right w:val="single" w:sz="4" w:space="0" w:color="auto"/>
            </w:tcBorders>
            <w:shd w:val="clear" w:color="auto" w:fill="auto"/>
            <w:vAlign w:val="center"/>
            <w:hideMark/>
          </w:tcPr>
          <w:p w14:paraId="3C99742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348,069</w:t>
            </w:r>
          </w:p>
        </w:tc>
        <w:tc>
          <w:tcPr>
            <w:tcW w:w="155" w:type="pct"/>
            <w:tcBorders>
              <w:top w:val="nil"/>
              <w:left w:val="nil"/>
              <w:bottom w:val="single" w:sz="4" w:space="0" w:color="auto"/>
              <w:right w:val="single" w:sz="4" w:space="0" w:color="auto"/>
            </w:tcBorders>
            <w:shd w:val="clear" w:color="auto" w:fill="auto"/>
            <w:vAlign w:val="center"/>
            <w:hideMark/>
          </w:tcPr>
          <w:p w14:paraId="660950B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0E6A227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348,069</w:t>
            </w:r>
          </w:p>
        </w:tc>
        <w:tc>
          <w:tcPr>
            <w:tcW w:w="162" w:type="pct"/>
            <w:tcBorders>
              <w:top w:val="nil"/>
              <w:left w:val="nil"/>
              <w:bottom w:val="single" w:sz="4" w:space="0" w:color="auto"/>
              <w:right w:val="single" w:sz="4" w:space="0" w:color="auto"/>
            </w:tcBorders>
            <w:shd w:val="clear" w:color="auto" w:fill="auto"/>
            <w:vAlign w:val="center"/>
            <w:hideMark/>
          </w:tcPr>
          <w:p w14:paraId="18B932F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13E4A0E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44FE2EE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66599A4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16813BA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76DAAB5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3DED215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4D2511E6" w14:textId="6E29B5FD"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(300,000)</w:t>
            </w:r>
          </w:p>
        </w:tc>
      </w:tr>
      <w:tr w:rsidR="00C260C3" w:rsidRPr="00B457F5" w14:paraId="2F690C69"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center"/>
            <w:hideMark/>
          </w:tcPr>
          <w:p w14:paraId="1E13F039"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1.1.3.3</w:t>
            </w:r>
          </w:p>
        </w:tc>
        <w:tc>
          <w:tcPr>
            <w:tcW w:w="281" w:type="pct"/>
            <w:tcBorders>
              <w:top w:val="nil"/>
              <w:left w:val="nil"/>
              <w:bottom w:val="single" w:sz="4" w:space="0" w:color="auto"/>
              <w:right w:val="single" w:sz="4" w:space="0" w:color="auto"/>
            </w:tcBorders>
            <w:shd w:val="clear" w:color="auto" w:fill="auto"/>
            <w:vAlign w:val="center"/>
            <w:hideMark/>
          </w:tcPr>
          <w:p w14:paraId="7DF373A6" w14:textId="56D245A3"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1.1.3.3 Shkëmbimi</w:t>
            </w:r>
            <w:r w:rsidR="0006016F" w:rsidRPr="00B457F5">
              <w:rPr>
                <w:rFonts w:ascii="Garamond" w:eastAsia="Times New Roman" w:hAnsi="Garamond" w:cs="Times New Roman"/>
                <w:color w:val="000000"/>
                <w:sz w:val="4"/>
                <w:szCs w:val="10"/>
              </w:rPr>
              <w:t xml:space="preserve"> </w:t>
            </w:r>
            <w:r w:rsidRPr="00B457F5">
              <w:rPr>
                <w:rFonts w:ascii="Garamond" w:eastAsia="Times New Roman" w:hAnsi="Garamond" w:cs="Times New Roman"/>
                <w:color w:val="000000"/>
                <w:sz w:val="4"/>
                <w:szCs w:val="10"/>
              </w:rPr>
              <w:t xml:space="preserve">periodik i informacionit ndërmjet Sekretariatit Teknik të Migracionit dhe zyrave vendore të migracionit dhe diasporës </w:t>
            </w:r>
          </w:p>
        </w:tc>
        <w:tc>
          <w:tcPr>
            <w:tcW w:w="186" w:type="pct"/>
            <w:tcBorders>
              <w:top w:val="nil"/>
              <w:left w:val="nil"/>
              <w:bottom w:val="single" w:sz="4" w:space="0" w:color="auto"/>
              <w:right w:val="single" w:sz="4" w:space="0" w:color="auto"/>
            </w:tcBorders>
            <w:shd w:val="clear" w:color="auto" w:fill="auto"/>
            <w:vAlign w:val="center"/>
            <w:hideMark/>
          </w:tcPr>
          <w:p w14:paraId="7FA8A94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0473F4E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6F85D94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NJVV, ZVMD, AMVV</w:t>
            </w:r>
          </w:p>
        </w:tc>
        <w:tc>
          <w:tcPr>
            <w:tcW w:w="135" w:type="pct"/>
            <w:tcBorders>
              <w:top w:val="nil"/>
              <w:left w:val="nil"/>
              <w:bottom w:val="single" w:sz="4" w:space="0" w:color="auto"/>
              <w:right w:val="single" w:sz="4" w:space="0" w:color="auto"/>
            </w:tcBorders>
            <w:shd w:val="clear" w:color="000000" w:fill="DDEBF7"/>
            <w:vAlign w:val="center"/>
            <w:hideMark/>
          </w:tcPr>
          <w:p w14:paraId="7CECDFC3"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2024 </w:t>
            </w:r>
          </w:p>
        </w:tc>
        <w:tc>
          <w:tcPr>
            <w:tcW w:w="152" w:type="pct"/>
            <w:tcBorders>
              <w:top w:val="nil"/>
              <w:left w:val="nil"/>
              <w:bottom w:val="single" w:sz="4" w:space="0" w:color="auto"/>
              <w:right w:val="single" w:sz="4" w:space="0" w:color="auto"/>
            </w:tcBorders>
            <w:shd w:val="clear" w:color="000000" w:fill="DDEBF7"/>
            <w:vAlign w:val="center"/>
            <w:hideMark/>
          </w:tcPr>
          <w:p w14:paraId="265148EF"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2026 </w:t>
            </w:r>
          </w:p>
        </w:tc>
        <w:tc>
          <w:tcPr>
            <w:tcW w:w="163" w:type="pct"/>
            <w:tcBorders>
              <w:top w:val="nil"/>
              <w:left w:val="nil"/>
              <w:bottom w:val="single" w:sz="4" w:space="0" w:color="auto"/>
              <w:right w:val="single" w:sz="4" w:space="0" w:color="auto"/>
            </w:tcBorders>
            <w:shd w:val="clear" w:color="auto" w:fill="auto"/>
            <w:vAlign w:val="center"/>
            <w:hideMark/>
          </w:tcPr>
          <w:p w14:paraId="1767AD8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584,757</w:t>
            </w:r>
          </w:p>
        </w:tc>
        <w:tc>
          <w:tcPr>
            <w:tcW w:w="155" w:type="pct"/>
            <w:tcBorders>
              <w:top w:val="nil"/>
              <w:left w:val="nil"/>
              <w:bottom w:val="single" w:sz="4" w:space="0" w:color="auto"/>
              <w:right w:val="single" w:sz="4" w:space="0" w:color="auto"/>
            </w:tcBorders>
            <w:shd w:val="clear" w:color="auto" w:fill="auto"/>
            <w:vAlign w:val="center"/>
            <w:hideMark/>
          </w:tcPr>
          <w:p w14:paraId="7F77D59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33494C9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584,757</w:t>
            </w:r>
          </w:p>
        </w:tc>
        <w:tc>
          <w:tcPr>
            <w:tcW w:w="165" w:type="pct"/>
            <w:tcBorders>
              <w:top w:val="nil"/>
              <w:left w:val="nil"/>
              <w:bottom w:val="single" w:sz="4" w:space="0" w:color="auto"/>
              <w:right w:val="single" w:sz="4" w:space="0" w:color="auto"/>
            </w:tcBorders>
            <w:shd w:val="clear" w:color="auto" w:fill="auto"/>
            <w:vAlign w:val="center"/>
            <w:hideMark/>
          </w:tcPr>
          <w:p w14:paraId="1E0BC46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584,757</w:t>
            </w:r>
          </w:p>
        </w:tc>
        <w:tc>
          <w:tcPr>
            <w:tcW w:w="163" w:type="pct"/>
            <w:tcBorders>
              <w:top w:val="nil"/>
              <w:left w:val="nil"/>
              <w:bottom w:val="single" w:sz="4" w:space="0" w:color="auto"/>
              <w:right w:val="single" w:sz="4" w:space="0" w:color="auto"/>
            </w:tcBorders>
            <w:shd w:val="clear" w:color="auto" w:fill="auto"/>
            <w:vAlign w:val="center"/>
            <w:hideMark/>
          </w:tcPr>
          <w:p w14:paraId="447B4A5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48DF9CA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584,757</w:t>
            </w:r>
          </w:p>
        </w:tc>
        <w:tc>
          <w:tcPr>
            <w:tcW w:w="163" w:type="pct"/>
            <w:tcBorders>
              <w:top w:val="nil"/>
              <w:left w:val="nil"/>
              <w:bottom w:val="single" w:sz="4" w:space="0" w:color="auto"/>
              <w:right w:val="single" w:sz="4" w:space="0" w:color="auto"/>
            </w:tcBorders>
            <w:shd w:val="clear" w:color="auto" w:fill="auto"/>
            <w:vAlign w:val="center"/>
            <w:hideMark/>
          </w:tcPr>
          <w:p w14:paraId="458ABE7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584,757</w:t>
            </w:r>
          </w:p>
        </w:tc>
        <w:tc>
          <w:tcPr>
            <w:tcW w:w="148" w:type="pct"/>
            <w:tcBorders>
              <w:top w:val="nil"/>
              <w:left w:val="nil"/>
              <w:bottom w:val="single" w:sz="4" w:space="0" w:color="auto"/>
              <w:right w:val="single" w:sz="4" w:space="0" w:color="auto"/>
            </w:tcBorders>
            <w:shd w:val="clear" w:color="auto" w:fill="auto"/>
            <w:vAlign w:val="center"/>
            <w:hideMark/>
          </w:tcPr>
          <w:p w14:paraId="76B8B8D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2798B88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584,757</w:t>
            </w:r>
          </w:p>
        </w:tc>
        <w:tc>
          <w:tcPr>
            <w:tcW w:w="165" w:type="pct"/>
            <w:tcBorders>
              <w:top w:val="nil"/>
              <w:left w:val="nil"/>
              <w:bottom w:val="single" w:sz="4" w:space="0" w:color="auto"/>
              <w:right w:val="single" w:sz="4" w:space="0" w:color="auto"/>
            </w:tcBorders>
            <w:shd w:val="clear" w:color="auto" w:fill="auto"/>
            <w:vAlign w:val="center"/>
            <w:hideMark/>
          </w:tcPr>
          <w:p w14:paraId="28EBB60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1,754,271</w:t>
            </w:r>
          </w:p>
        </w:tc>
        <w:tc>
          <w:tcPr>
            <w:tcW w:w="163" w:type="pct"/>
            <w:tcBorders>
              <w:top w:val="nil"/>
              <w:left w:val="nil"/>
              <w:bottom w:val="single" w:sz="4" w:space="0" w:color="auto"/>
              <w:right w:val="single" w:sz="4" w:space="0" w:color="auto"/>
            </w:tcBorders>
            <w:shd w:val="clear" w:color="auto" w:fill="auto"/>
            <w:vAlign w:val="center"/>
            <w:hideMark/>
          </w:tcPr>
          <w:p w14:paraId="75B34A7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7A3B9C5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1,754,271</w:t>
            </w:r>
          </w:p>
        </w:tc>
        <w:tc>
          <w:tcPr>
            <w:tcW w:w="163" w:type="pct"/>
            <w:tcBorders>
              <w:top w:val="nil"/>
              <w:left w:val="nil"/>
              <w:bottom w:val="single" w:sz="4" w:space="0" w:color="auto"/>
              <w:right w:val="single" w:sz="4" w:space="0" w:color="auto"/>
            </w:tcBorders>
            <w:shd w:val="clear" w:color="auto" w:fill="auto"/>
            <w:vAlign w:val="center"/>
            <w:hideMark/>
          </w:tcPr>
          <w:p w14:paraId="5BEA17A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1,754,271</w:t>
            </w:r>
          </w:p>
        </w:tc>
        <w:tc>
          <w:tcPr>
            <w:tcW w:w="155" w:type="pct"/>
            <w:tcBorders>
              <w:top w:val="nil"/>
              <w:left w:val="nil"/>
              <w:bottom w:val="single" w:sz="4" w:space="0" w:color="auto"/>
              <w:right w:val="single" w:sz="4" w:space="0" w:color="auto"/>
            </w:tcBorders>
            <w:shd w:val="clear" w:color="auto" w:fill="auto"/>
            <w:vAlign w:val="center"/>
            <w:hideMark/>
          </w:tcPr>
          <w:p w14:paraId="3E9AAF0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4F3A347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1,754,271</w:t>
            </w:r>
          </w:p>
        </w:tc>
        <w:tc>
          <w:tcPr>
            <w:tcW w:w="162" w:type="pct"/>
            <w:tcBorders>
              <w:top w:val="nil"/>
              <w:left w:val="nil"/>
              <w:bottom w:val="single" w:sz="4" w:space="0" w:color="auto"/>
              <w:right w:val="single" w:sz="4" w:space="0" w:color="auto"/>
            </w:tcBorders>
            <w:shd w:val="clear" w:color="auto" w:fill="auto"/>
            <w:vAlign w:val="center"/>
            <w:hideMark/>
          </w:tcPr>
          <w:p w14:paraId="06FC135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0F7F0DC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184174D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222B861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7AC3E61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485FC47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1D020D9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72CFF7F9" w14:textId="262CE41F"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09E43173"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center"/>
            <w:hideMark/>
          </w:tcPr>
          <w:p w14:paraId="6C0DE2D8"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1.1.3.4</w:t>
            </w:r>
          </w:p>
        </w:tc>
        <w:tc>
          <w:tcPr>
            <w:tcW w:w="281" w:type="pct"/>
            <w:tcBorders>
              <w:top w:val="nil"/>
              <w:left w:val="nil"/>
              <w:bottom w:val="single" w:sz="4" w:space="0" w:color="auto"/>
              <w:right w:val="single" w:sz="4" w:space="0" w:color="auto"/>
            </w:tcBorders>
            <w:shd w:val="clear" w:color="auto" w:fill="auto"/>
            <w:vAlign w:val="center"/>
            <w:hideMark/>
          </w:tcPr>
          <w:p w14:paraId="6BC47C57" w14:textId="09C8520F"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1.1.3.4 Nënshkrimi i marrëveshjeve të bashkëpunimit ndërmjet DVKM-ve, dhe OJF-ve</w:t>
            </w:r>
            <w:r w:rsidR="003737F5"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në lidhje me shërbimet shëndetësore ofruar kategorive të ndryshme të popullatave në lëvizje</w:t>
            </w:r>
            <w:r w:rsidR="003737F5"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në kontekst të flukseve të përziera </w:t>
            </w:r>
          </w:p>
        </w:tc>
        <w:tc>
          <w:tcPr>
            <w:tcW w:w="186" w:type="pct"/>
            <w:tcBorders>
              <w:top w:val="nil"/>
              <w:left w:val="nil"/>
              <w:bottom w:val="single" w:sz="4" w:space="0" w:color="auto"/>
              <w:right w:val="single" w:sz="4" w:space="0" w:color="auto"/>
            </w:tcBorders>
            <w:shd w:val="clear" w:color="auto" w:fill="auto"/>
            <w:vAlign w:val="center"/>
            <w:hideMark/>
          </w:tcPr>
          <w:p w14:paraId="6BE309D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7FFC8CA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16AC30D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DKM, MSHMS </w:t>
            </w:r>
          </w:p>
        </w:tc>
        <w:tc>
          <w:tcPr>
            <w:tcW w:w="135" w:type="pct"/>
            <w:tcBorders>
              <w:top w:val="nil"/>
              <w:left w:val="nil"/>
              <w:bottom w:val="single" w:sz="4" w:space="0" w:color="auto"/>
              <w:right w:val="single" w:sz="4" w:space="0" w:color="auto"/>
            </w:tcBorders>
            <w:shd w:val="clear" w:color="000000" w:fill="DDEBF7"/>
            <w:vAlign w:val="center"/>
            <w:hideMark/>
          </w:tcPr>
          <w:p w14:paraId="66DA8A09"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2024 </w:t>
            </w:r>
          </w:p>
        </w:tc>
        <w:tc>
          <w:tcPr>
            <w:tcW w:w="152" w:type="pct"/>
            <w:tcBorders>
              <w:top w:val="nil"/>
              <w:left w:val="nil"/>
              <w:bottom w:val="single" w:sz="4" w:space="0" w:color="auto"/>
              <w:right w:val="single" w:sz="4" w:space="0" w:color="auto"/>
            </w:tcBorders>
            <w:shd w:val="clear" w:color="000000" w:fill="DDEBF7"/>
            <w:vAlign w:val="center"/>
            <w:hideMark/>
          </w:tcPr>
          <w:p w14:paraId="68EE649E"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1C96EA1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194,919</w:t>
            </w:r>
          </w:p>
        </w:tc>
        <w:tc>
          <w:tcPr>
            <w:tcW w:w="155" w:type="pct"/>
            <w:tcBorders>
              <w:top w:val="nil"/>
              <w:left w:val="nil"/>
              <w:bottom w:val="single" w:sz="4" w:space="0" w:color="auto"/>
              <w:right w:val="single" w:sz="4" w:space="0" w:color="auto"/>
            </w:tcBorders>
            <w:shd w:val="clear" w:color="auto" w:fill="auto"/>
            <w:vAlign w:val="center"/>
            <w:hideMark/>
          </w:tcPr>
          <w:p w14:paraId="649EAB3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361B9F1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194,919</w:t>
            </w:r>
          </w:p>
        </w:tc>
        <w:tc>
          <w:tcPr>
            <w:tcW w:w="165" w:type="pct"/>
            <w:tcBorders>
              <w:top w:val="nil"/>
              <w:left w:val="nil"/>
              <w:bottom w:val="single" w:sz="4" w:space="0" w:color="auto"/>
              <w:right w:val="single" w:sz="4" w:space="0" w:color="auto"/>
            </w:tcBorders>
            <w:shd w:val="clear" w:color="auto" w:fill="auto"/>
            <w:vAlign w:val="center"/>
            <w:hideMark/>
          </w:tcPr>
          <w:p w14:paraId="5CB433F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194,919</w:t>
            </w:r>
          </w:p>
        </w:tc>
        <w:tc>
          <w:tcPr>
            <w:tcW w:w="163" w:type="pct"/>
            <w:tcBorders>
              <w:top w:val="nil"/>
              <w:left w:val="nil"/>
              <w:bottom w:val="single" w:sz="4" w:space="0" w:color="auto"/>
              <w:right w:val="single" w:sz="4" w:space="0" w:color="auto"/>
            </w:tcBorders>
            <w:shd w:val="clear" w:color="auto" w:fill="auto"/>
            <w:noWrap/>
            <w:vAlign w:val="center"/>
            <w:hideMark/>
          </w:tcPr>
          <w:p w14:paraId="0839699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0 </w:t>
            </w:r>
          </w:p>
        </w:tc>
        <w:tc>
          <w:tcPr>
            <w:tcW w:w="163" w:type="pct"/>
            <w:tcBorders>
              <w:top w:val="nil"/>
              <w:left w:val="nil"/>
              <w:bottom w:val="single" w:sz="4" w:space="0" w:color="auto"/>
              <w:right w:val="single" w:sz="4" w:space="0" w:color="auto"/>
            </w:tcBorders>
            <w:shd w:val="clear" w:color="000000" w:fill="FFF2CC"/>
            <w:vAlign w:val="center"/>
            <w:hideMark/>
          </w:tcPr>
          <w:p w14:paraId="1D9377F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194,919</w:t>
            </w:r>
          </w:p>
        </w:tc>
        <w:tc>
          <w:tcPr>
            <w:tcW w:w="163" w:type="pct"/>
            <w:tcBorders>
              <w:top w:val="nil"/>
              <w:left w:val="nil"/>
              <w:bottom w:val="single" w:sz="4" w:space="0" w:color="auto"/>
              <w:right w:val="single" w:sz="4" w:space="0" w:color="auto"/>
            </w:tcBorders>
            <w:shd w:val="clear" w:color="auto" w:fill="auto"/>
            <w:vAlign w:val="center"/>
            <w:hideMark/>
          </w:tcPr>
          <w:p w14:paraId="3D6D9FC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194,919</w:t>
            </w:r>
          </w:p>
        </w:tc>
        <w:tc>
          <w:tcPr>
            <w:tcW w:w="148" w:type="pct"/>
            <w:tcBorders>
              <w:top w:val="nil"/>
              <w:left w:val="nil"/>
              <w:bottom w:val="single" w:sz="4" w:space="0" w:color="auto"/>
              <w:right w:val="single" w:sz="4" w:space="0" w:color="auto"/>
            </w:tcBorders>
            <w:shd w:val="clear" w:color="auto" w:fill="auto"/>
            <w:vAlign w:val="center"/>
            <w:hideMark/>
          </w:tcPr>
          <w:p w14:paraId="3197BB2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24F4D9C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194,919</w:t>
            </w:r>
          </w:p>
        </w:tc>
        <w:tc>
          <w:tcPr>
            <w:tcW w:w="165" w:type="pct"/>
            <w:tcBorders>
              <w:top w:val="nil"/>
              <w:left w:val="nil"/>
              <w:bottom w:val="single" w:sz="4" w:space="0" w:color="auto"/>
              <w:right w:val="single" w:sz="4" w:space="0" w:color="auto"/>
            </w:tcBorders>
            <w:shd w:val="clear" w:color="auto" w:fill="auto"/>
            <w:vAlign w:val="center"/>
            <w:hideMark/>
          </w:tcPr>
          <w:p w14:paraId="6052BF9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584,757</w:t>
            </w:r>
          </w:p>
        </w:tc>
        <w:tc>
          <w:tcPr>
            <w:tcW w:w="163" w:type="pct"/>
            <w:tcBorders>
              <w:top w:val="nil"/>
              <w:left w:val="nil"/>
              <w:bottom w:val="single" w:sz="4" w:space="0" w:color="auto"/>
              <w:right w:val="single" w:sz="4" w:space="0" w:color="auto"/>
            </w:tcBorders>
            <w:shd w:val="clear" w:color="auto" w:fill="auto"/>
            <w:vAlign w:val="center"/>
            <w:hideMark/>
          </w:tcPr>
          <w:p w14:paraId="618CF51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77A29EF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584,757</w:t>
            </w:r>
          </w:p>
        </w:tc>
        <w:tc>
          <w:tcPr>
            <w:tcW w:w="163" w:type="pct"/>
            <w:tcBorders>
              <w:top w:val="nil"/>
              <w:left w:val="nil"/>
              <w:bottom w:val="single" w:sz="4" w:space="0" w:color="auto"/>
              <w:right w:val="single" w:sz="4" w:space="0" w:color="auto"/>
            </w:tcBorders>
            <w:shd w:val="clear" w:color="auto" w:fill="auto"/>
            <w:vAlign w:val="center"/>
            <w:hideMark/>
          </w:tcPr>
          <w:p w14:paraId="34BA158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584,757</w:t>
            </w:r>
          </w:p>
        </w:tc>
        <w:tc>
          <w:tcPr>
            <w:tcW w:w="155" w:type="pct"/>
            <w:tcBorders>
              <w:top w:val="nil"/>
              <w:left w:val="nil"/>
              <w:bottom w:val="single" w:sz="4" w:space="0" w:color="auto"/>
              <w:right w:val="single" w:sz="4" w:space="0" w:color="auto"/>
            </w:tcBorders>
            <w:shd w:val="clear" w:color="auto" w:fill="auto"/>
            <w:vAlign w:val="center"/>
            <w:hideMark/>
          </w:tcPr>
          <w:p w14:paraId="61D85F6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44D1460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584,757</w:t>
            </w:r>
          </w:p>
        </w:tc>
        <w:tc>
          <w:tcPr>
            <w:tcW w:w="162" w:type="pct"/>
            <w:tcBorders>
              <w:top w:val="nil"/>
              <w:left w:val="nil"/>
              <w:bottom w:val="single" w:sz="4" w:space="0" w:color="auto"/>
              <w:right w:val="single" w:sz="4" w:space="0" w:color="auto"/>
            </w:tcBorders>
            <w:shd w:val="clear" w:color="auto" w:fill="auto"/>
            <w:vAlign w:val="center"/>
            <w:hideMark/>
          </w:tcPr>
          <w:p w14:paraId="2B77DF7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30C5CF0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2FA3E26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3D30B53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10A4391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072E55B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1799F4D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08539768" w14:textId="2338475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3468197C"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center"/>
            <w:hideMark/>
          </w:tcPr>
          <w:p w14:paraId="1249B2E4"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1.1.3.5</w:t>
            </w:r>
          </w:p>
        </w:tc>
        <w:tc>
          <w:tcPr>
            <w:tcW w:w="281" w:type="pct"/>
            <w:tcBorders>
              <w:top w:val="nil"/>
              <w:left w:val="nil"/>
              <w:bottom w:val="single" w:sz="4" w:space="0" w:color="auto"/>
              <w:right w:val="single" w:sz="4" w:space="0" w:color="auto"/>
            </w:tcBorders>
            <w:shd w:val="clear" w:color="auto" w:fill="auto"/>
            <w:vAlign w:val="center"/>
            <w:hideMark/>
          </w:tcPr>
          <w:p w14:paraId="30608B74"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1.1.3.5 Trajtimi i çështjeve të migracionit në Këshillin Konsultativ </w:t>
            </w:r>
          </w:p>
        </w:tc>
        <w:tc>
          <w:tcPr>
            <w:tcW w:w="186" w:type="pct"/>
            <w:tcBorders>
              <w:top w:val="nil"/>
              <w:left w:val="nil"/>
              <w:bottom w:val="single" w:sz="4" w:space="0" w:color="auto"/>
              <w:right w:val="single" w:sz="4" w:space="0" w:color="auto"/>
            </w:tcBorders>
            <w:shd w:val="clear" w:color="auto" w:fill="auto"/>
            <w:vAlign w:val="center"/>
            <w:hideMark/>
          </w:tcPr>
          <w:p w14:paraId="02D2A495"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Kodi i ri</w:t>
            </w:r>
          </w:p>
        </w:tc>
        <w:tc>
          <w:tcPr>
            <w:tcW w:w="169" w:type="pct"/>
            <w:tcBorders>
              <w:top w:val="nil"/>
              <w:left w:val="nil"/>
              <w:bottom w:val="single" w:sz="4" w:space="0" w:color="auto"/>
              <w:right w:val="single" w:sz="4" w:space="0" w:color="auto"/>
            </w:tcBorders>
            <w:shd w:val="clear" w:color="auto" w:fill="auto"/>
            <w:vAlign w:val="center"/>
            <w:hideMark/>
          </w:tcPr>
          <w:p w14:paraId="6600878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AMVV</w:t>
            </w:r>
          </w:p>
        </w:tc>
        <w:tc>
          <w:tcPr>
            <w:tcW w:w="244" w:type="pct"/>
            <w:tcBorders>
              <w:top w:val="nil"/>
              <w:left w:val="nil"/>
              <w:bottom w:val="single" w:sz="4" w:space="0" w:color="auto"/>
              <w:right w:val="single" w:sz="4" w:space="0" w:color="auto"/>
            </w:tcBorders>
            <w:shd w:val="clear" w:color="auto" w:fill="auto"/>
            <w:vAlign w:val="center"/>
            <w:hideMark/>
          </w:tcPr>
          <w:p w14:paraId="3D5BFDA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w:t>
            </w:r>
          </w:p>
        </w:tc>
        <w:tc>
          <w:tcPr>
            <w:tcW w:w="135" w:type="pct"/>
            <w:tcBorders>
              <w:top w:val="nil"/>
              <w:left w:val="nil"/>
              <w:bottom w:val="single" w:sz="4" w:space="0" w:color="auto"/>
              <w:right w:val="single" w:sz="4" w:space="0" w:color="auto"/>
            </w:tcBorders>
            <w:shd w:val="clear" w:color="000000" w:fill="DDEBF7"/>
            <w:vAlign w:val="center"/>
            <w:hideMark/>
          </w:tcPr>
          <w:p w14:paraId="0D1E64E2"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2024 </w:t>
            </w:r>
          </w:p>
        </w:tc>
        <w:tc>
          <w:tcPr>
            <w:tcW w:w="152" w:type="pct"/>
            <w:tcBorders>
              <w:top w:val="nil"/>
              <w:left w:val="nil"/>
              <w:bottom w:val="single" w:sz="4" w:space="0" w:color="auto"/>
              <w:right w:val="single" w:sz="4" w:space="0" w:color="auto"/>
            </w:tcBorders>
            <w:shd w:val="clear" w:color="000000" w:fill="DDEBF7"/>
            <w:vAlign w:val="center"/>
            <w:hideMark/>
          </w:tcPr>
          <w:p w14:paraId="6210DF95"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2026 </w:t>
            </w:r>
          </w:p>
        </w:tc>
        <w:tc>
          <w:tcPr>
            <w:tcW w:w="163" w:type="pct"/>
            <w:tcBorders>
              <w:top w:val="nil"/>
              <w:left w:val="nil"/>
              <w:bottom w:val="single" w:sz="4" w:space="0" w:color="auto"/>
              <w:right w:val="single" w:sz="4" w:space="0" w:color="auto"/>
            </w:tcBorders>
            <w:shd w:val="clear" w:color="auto" w:fill="auto"/>
            <w:vAlign w:val="center"/>
            <w:hideMark/>
          </w:tcPr>
          <w:p w14:paraId="3C5E3AC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1,200,000</w:t>
            </w:r>
          </w:p>
        </w:tc>
        <w:tc>
          <w:tcPr>
            <w:tcW w:w="155" w:type="pct"/>
            <w:tcBorders>
              <w:top w:val="nil"/>
              <w:left w:val="nil"/>
              <w:bottom w:val="single" w:sz="4" w:space="0" w:color="auto"/>
              <w:right w:val="single" w:sz="4" w:space="0" w:color="auto"/>
            </w:tcBorders>
            <w:shd w:val="clear" w:color="auto" w:fill="auto"/>
            <w:vAlign w:val="center"/>
            <w:hideMark/>
          </w:tcPr>
          <w:p w14:paraId="0601FAD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1500474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1,200,000</w:t>
            </w:r>
          </w:p>
        </w:tc>
        <w:tc>
          <w:tcPr>
            <w:tcW w:w="165" w:type="pct"/>
            <w:tcBorders>
              <w:top w:val="nil"/>
              <w:left w:val="nil"/>
              <w:bottom w:val="single" w:sz="4" w:space="0" w:color="auto"/>
              <w:right w:val="single" w:sz="4" w:space="0" w:color="auto"/>
            </w:tcBorders>
            <w:shd w:val="clear" w:color="auto" w:fill="auto"/>
            <w:vAlign w:val="center"/>
            <w:hideMark/>
          </w:tcPr>
          <w:p w14:paraId="46BAFB0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1,200,000</w:t>
            </w:r>
          </w:p>
        </w:tc>
        <w:tc>
          <w:tcPr>
            <w:tcW w:w="163" w:type="pct"/>
            <w:tcBorders>
              <w:top w:val="nil"/>
              <w:left w:val="nil"/>
              <w:bottom w:val="single" w:sz="4" w:space="0" w:color="auto"/>
              <w:right w:val="single" w:sz="4" w:space="0" w:color="auto"/>
            </w:tcBorders>
            <w:shd w:val="clear" w:color="auto" w:fill="auto"/>
            <w:noWrap/>
            <w:vAlign w:val="center"/>
            <w:hideMark/>
          </w:tcPr>
          <w:p w14:paraId="0E3C468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0 </w:t>
            </w:r>
          </w:p>
        </w:tc>
        <w:tc>
          <w:tcPr>
            <w:tcW w:w="163" w:type="pct"/>
            <w:tcBorders>
              <w:top w:val="nil"/>
              <w:left w:val="nil"/>
              <w:bottom w:val="single" w:sz="4" w:space="0" w:color="auto"/>
              <w:right w:val="single" w:sz="4" w:space="0" w:color="auto"/>
            </w:tcBorders>
            <w:shd w:val="clear" w:color="000000" w:fill="FFF2CC"/>
            <w:vAlign w:val="center"/>
            <w:hideMark/>
          </w:tcPr>
          <w:p w14:paraId="3969A75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1,200,000</w:t>
            </w:r>
          </w:p>
        </w:tc>
        <w:tc>
          <w:tcPr>
            <w:tcW w:w="163" w:type="pct"/>
            <w:tcBorders>
              <w:top w:val="nil"/>
              <w:left w:val="nil"/>
              <w:bottom w:val="single" w:sz="4" w:space="0" w:color="auto"/>
              <w:right w:val="single" w:sz="4" w:space="0" w:color="auto"/>
            </w:tcBorders>
            <w:shd w:val="clear" w:color="auto" w:fill="auto"/>
            <w:vAlign w:val="center"/>
            <w:hideMark/>
          </w:tcPr>
          <w:p w14:paraId="2545A4B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1,200,000</w:t>
            </w:r>
          </w:p>
        </w:tc>
        <w:tc>
          <w:tcPr>
            <w:tcW w:w="148" w:type="pct"/>
            <w:tcBorders>
              <w:top w:val="nil"/>
              <w:left w:val="nil"/>
              <w:bottom w:val="single" w:sz="4" w:space="0" w:color="auto"/>
              <w:right w:val="single" w:sz="4" w:space="0" w:color="auto"/>
            </w:tcBorders>
            <w:shd w:val="clear" w:color="auto" w:fill="auto"/>
            <w:vAlign w:val="center"/>
            <w:hideMark/>
          </w:tcPr>
          <w:p w14:paraId="7BCC36A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645A67E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1,200,000</w:t>
            </w:r>
          </w:p>
        </w:tc>
        <w:tc>
          <w:tcPr>
            <w:tcW w:w="165" w:type="pct"/>
            <w:tcBorders>
              <w:top w:val="nil"/>
              <w:left w:val="nil"/>
              <w:bottom w:val="single" w:sz="4" w:space="0" w:color="auto"/>
              <w:right w:val="single" w:sz="4" w:space="0" w:color="auto"/>
            </w:tcBorders>
            <w:shd w:val="clear" w:color="auto" w:fill="auto"/>
            <w:vAlign w:val="center"/>
            <w:hideMark/>
          </w:tcPr>
          <w:p w14:paraId="7B51203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3,600,000</w:t>
            </w:r>
          </w:p>
        </w:tc>
        <w:tc>
          <w:tcPr>
            <w:tcW w:w="163" w:type="pct"/>
            <w:tcBorders>
              <w:top w:val="nil"/>
              <w:left w:val="nil"/>
              <w:bottom w:val="single" w:sz="4" w:space="0" w:color="auto"/>
              <w:right w:val="single" w:sz="4" w:space="0" w:color="auto"/>
            </w:tcBorders>
            <w:shd w:val="clear" w:color="auto" w:fill="auto"/>
            <w:vAlign w:val="center"/>
            <w:hideMark/>
          </w:tcPr>
          <w:p w14:paraId="724D141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1208FFB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3,600,000</w:t>
            </w:r>
          </w:p>
        </w:tc>
        <w:tc>
          <w:tcPr>
            <w:tcW w:w="163" w:type="pct"/>
            <w:tcBorders>
              <w:top w:val="nil"/>
              <w:left w:val="nil"/>
              <w:bottom w:val="single" w:sz="4" w:space="0" w:color="auto"/>
              <w:right w:val="single" w:sz="4" w:space="0" w:color="auto"/>
            </w:tcBorders>
            <w:shd w:val="clear" w:color="auto" w:fill="auto"/>
            <w:vAlign w:val="center"/>
            <w:hideMark/>
          </w:tcPr>
          <w:p w14:paraId="7E45DF7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3,600,000</w:t>
            </w:r>
          </w:p>
        </w:tc>
        <w:tc>
          <w:tcPr>
            <w:tcW w:w="155" w:type="pct"/>
            <w:tcBorders>
              <w:top w:val="nil"/>
              <w:left w:val="nil"/>
              <w:bottom w:val="single" w:sz="4" w:space="0" w:color="auto"/>
              <w:right w:val="single" w:sz="4" w:space="0" w:color="auto"/>
            </w:tcBorders>
            <w:shd w:val="clear" w:color="auto" w:fill="auto"/>
            <w:vAlign w:val="center"/>
            <w:hideMark/>
          </w:tcPr>
          <w:p w14:paraId="599B0B4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C0DB45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3,600,000</w:t>
            </w:r>
          </w:p>
        </w:tc>
        <w:tc>
          <w:tcPr>
            <w:tcW w:w="162" w:type="pct"/>
            <w:tcBorders>
              <w:top w:val="nil"/>
              <w:left w:val="nil"/>
              <w:bottom w:val="single" w:sz="4" w:space="0" w:color="auto"/>
              <w:right w:val="single" w:sz="4" w:space="0" w:color="auto"/>
            </w:tcBorders>
            <w:shd w:val="clear" w:color="auto" w:fill="auto"/>
            <w:vAlign w:val="center"/>
            <w:hideMark/>
          </w:tcPr>
          <w:p w14:paraId="24CC0A8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42BCBB3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5D67864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6796FBF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264D89C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07AB569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532664C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02F60D47" w14:textId="4115926C"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08A8DA08"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center"/>
            <w:hideMark/>
          </w:tcPr>
          <w:p w14:paraId="18A688D6"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1.1.3.6</w:t>
            </w:r>
          </w:p>
        </w:tc>
        <w:tc>
          <w:tcPr>
            <w:tcW w:w="281" w:type="pct"/>
            <w:tcBorders>
              <w:top w:val="nil"/>
              <w:left w:val="nil"/>
              <w:bottom w:val="single" w:sz="4" w:space="0" w:color="auto"/>
              <w:right w:val="single" w:sz="4" w:space="0" w:color="auto"/>
            </w:tcBorders>
            <w:shd w:val="clear" w:color="auto" w:fill="auto"/>
            <w:vAlign w:val="center"/>
            <w:hideMark/>
          </w:tcPr>
          <w:p w14:paraId="47DC3B9B" w14:textId="65466A92"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1.1.3.6 Miratimi i urdhrit të ri për rishikimin e përbërjes, përfaqësimit institucional dhe përgjegjësive të Komitetit Teknik të Migracionit dhe Grupit Drejtues për Migracionin</w:t>
            </w:r>
            <w:r w:rsidR="0006016F" w:rsidRPr="00B457F5">
              <w:rPr>
                <w:rFonts w:ascii="Garamond" w:eastAsia="Times New Roman" w:hAnsi="Garamond" w:cs="Times New Roman"/>
                <w:color w:val="000000"/>
                <w:sz w:val="4"/>
                <w:szCs w:val="10"/>
              </w:rPr>
              <w:t xml:space="preserve"> </w:t>
            </w:r>
          </w:p>
        </w:tc>
        <w:tc>
          <w:tcPr>
            <w:tcW w:w="186" w:type="pct"/>
            <w:tcBorders>
              <w:top w:val="nil"/>
              <w:left w:val="nil"/>
              <w:bottom w:val="single" w:sz="4" w:space="0" w:color="auto"/>
              <w:right w:val="single" w:sz="4" w:space="0" w:color="auto"/>
            </w:tcBorders>
            <w:shd w:val="clear" w:color="auto" w:fill="auto"/>
            <w:vAlign w:val="center"/>
            <w:hideMark/>
          </w:tcPr>
          <w:p w14:paraId="66E7762F"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58ADD0D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1F3204A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Ministritë/institucionet anëtare </w:t>
            </w:r>
          </w:p>
        </w:tc>
        <w:tc>
          <w:tcPr>
            <w:tcW w:w="135" w:type="pct"/>
            <w:tcBorders>
              <w:top w:val="nil"/>
              <w:left w:val="nil"/>
              <w:bottom w:val="single" w:sz="4" w:space="0" w:color="auto"/>
              <w:right w:val="single" w:sz="4" w:space="0" w:color="auto"/>
            </w:tcBorders>
            <w:shd w:val="clear" w:color="000000" w:fill="DDEBF7"/>
            <w:vAlign w:val="center"/>
            <w:hideMark/>
          </w:tcPr>
          <w:p w14:paraId="5CE84843"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2024 </w:t>
            </w:r>
          </w:p>
        </w:tc>
        <w:tc>
          <w:tcPr>
            <w:tcW w:w="152" w:type="pct"/>
            <w:tcBorders>
              <w:top w:val="nil"/>
              <w:left w:val="nil"/>
              <w:bottom w:val="single" w:sz="4" w:space="0" w:color="auto"/>
              <w:right w:val="single" w:sz="4" w:space="0" w:color="auto"/>
            </w:tcBorders>
            <w:shd w:val="clear" w:color="000000" w:fill="DDEBF7"/>
            <w:vAlign w:val="center"/>
            <w:hideMark/>
          </w:tcPr>
          <w:p w14:paraId="56291FE2"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2024 </w:t>
            </w:r>
          </w:p>
        </w:tc>
        <w:tc>
          <w:tcPr>
            <w:tcW w:w="163" w:type="pct"/>
            <w:tcBorders>
              <w:top w:val="nil"/>
              <w:left w:val="nil"/>
              <w:bottom w:val="single" w:sz="4" w:space="0" w:color="auto"/>
              <w:right w:val="single" w:sz="4" w:space="0" w:color="auto"/>
            </w:tcBorders>
            <w:shd w:val="clear" w:color="auto" w:fill="auto"/>
            <w:vAlign w:val="center"/>
            <w:hideMark/>
          </w:tcPr>
          <w:p w14:paraId="02B9106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150,859</w:t>
            </w:r>
          </w:p>
        </w:tc>
        <w:tc>
          <w:tcPr>
            <w:tcW w:w="155" w:type="pct"/>
            <w:tcBorders>
              <w:top w:val="nil"/>
              <w:left w:val="nil"/>
              <w:bottom w:val="single" w:sz="4" w:space="0" w:color="auto"/>
              <w:right w:val="single" w:sz="4" w:space="0" w:color="auto"/>
            </w:tcBorders>
            <w:shd w:val="clear" w:color="auto" w:fill="auto"/>
            <w:vAlign w:val="center"/>
            <w:hideMark/>
          </w:tcPr>
          <w:p w14:paraId="10B5DC3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2BCECDD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150,859</w:t>
            </w:r>
          </w:p>
        </w:tc>
        <w:tc>
          <w:tcPr>
            <w:tcW w:w="165" w:type="pct"/>
            <w:tcBorders>
              <w:top w:val="nil"/>
              <w:left w:val="nil"/>
              <w:bottom w:val="single" w:sz="4" w:space="0" w:color="auto"/>
              <w:right w:val="single" w:sz="4" w:space="0" w:color="auto"/>
            </w:tcBorders>
            <w:shd w:val="clear" w:color="auto" w:fill="auto"/>
            <w:vAlign w:val="center"/>
            <w:hideMark/>
          </w:tcPr>
          <w:p w14:paraId="37BB1B4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150,859</w:t>
            </w:r>
          </w:p>
        </w:tc>
        <w:tc>
          <w:tcPr>
            <w:tcW w:w="163" w:type="pct"/>
            <w:tcBorders>
              <w:top w:val="nil"/>
              <w:left w:val="nil"/>
              <w:bottom w:val="single" w:sz="4" w:space="0" w:color="auto"/>
              <w:right w:val="single" w:sz="4" w:space="0" w:color="auto"/>
            </w:tcBorders>
            <w:shd w:val="clear" w:color="auto" w:fill="auto"/>
            <w:noWrap/>
            <w:vAlign w:val="center"/>
            <w:hideMark/>
          </w:tcPr>
          <w:p w14:paraId="2013384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0 </w:t>
            </w:r>
          </w:p>
        </w:tc>
        <w:tc>
          <w:tcPr>
            <w:tcW w:w="163" w:type="pct"/>
            <w:tcBorders>
              <w:top w:val="nil"/>
              <w:left w:val="nil"/>
              <w:bottom w:val="single" w:sz="4" w:space="0" w:color="auto"/>
              <w:right w:val="single" w:sz="4" w:space="0" w:color="auto"/>
            </w:tcBorders>
            <w:shd w:val="clear" w:color="000000" w:fill="FFF2CC"/>
            <w:vAlign w:val="center"/>
            <w:hideMark/>
          </w:tcPr>
          <w:p w14:paraId="1C62FDC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150,859</w:t>
            </w:r>
          </w:p>
        </w:tc>
        <w:tc>
          <w:tcPr>
            <w:tcW w:w="163" w:type="pct"/>
            <w:tcBorders>
              <w:top w:val="nil"/>
              <w:left w:val="nil"/>
              <w:bottom w:val="single" w:sz="4" w:space="0" w:color="auto"/>
              <w:right w:val="single" w:sz="4" w:space="0" w:color="auto"/>
            </w:tcBorders>
            <w:shd w:val="clear" w:color="auto" w:fill="auto"/>
            <w:vAlign w:val="center"/>
            <w:hideMark/>
          </w:tcPr>
          <w:p w14:paraId="1CAF343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150,859</w:t>
            </w:r>
          </w:p>
        </w:tc>
        <w:tc>
          <w:tcPr>
            <w:tcW w:w="148" w:type="pct"/>
            <w:tcBorders>
              <w:top w:val="nil"/>
              <w:left w:val="nil"/>
              <w:bottom w:val="single" w:sz="4" w:space="0" w:color="auto"/>
              <w:right w:val="single" w:sz="4" w:space="0" w:color="auto"/>
            </w:tcBorders>
            <w:shd w:val="clear" w:color="auto" w:fill="auto"/>
            <w:vAlign w:val="center"/>
            <w:hideMark/>
          </w:tcPr>
          <w:p w14:paraId="0872987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2F4FE47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150,859</w:t>
            </w:r>
          </w:p>
        </w:tc>
        <w:tc>
          <w:tcPr>
            <w:tcW w:w="165" w:type="pct"/>
            <w:tcBorders>
              <w:top w:val="nil"/>
              <w:left w:val="nil"/>
              <w:bottom w:val="single" w:sz="4" w:space="0" w:color="auto"/>
              <w:right w:val="single" w:sz="4" w:space="0" w:color="auto"/>
            </w:tcBorders>
            <w:shd w:val="clear" w:color="auto" w:fill="auto"/>
            <w:vAlign w:val="center"/>
            <w:hideMark/>
          </w:tcPr>
          <w:p w14:paraId="26FBD3B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452,577</w:t>
            </w:r>
          </w:p>
        </w:tc>
        <w:tc>
          <w:tcPr>
            <w:tcW w:w="163" w:type="pct"/>
            <w:tcBorders>
              <w:top w:val="nil"/>
              <w:left w:val="nil"/>
              <w:bottom w:val="single" w:sz="4" w:space="0" w:color="auto"/>
              <w:right w:val="single" w:sz="4" w:space="0" w:color="auto"/>
            </w:tcBorders>
            <w:shd w:val="clear" w:color="auto" w:fill="auto"/>
            <w:vAlign w:val="center"/>
            <w:hideMark/>
          </w:tcPr>
          <w:p w14:paraId="25F6C9D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07A9D7D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452,577</w:t>
            </w:r>
          </w:p>
        </w:tc>
        <w:tc>
          <w:tcPr>
            <w:tcW w:w="163" w:type="pct"/>
            <w:tcBorders>
              <w:top w:val="nil"/>
              <w:left w:val="nil"/>
              <w:bottom w:val="single" w:sz="4" w:space="0" w:color="auto"/>
              <w:right w:val="single" w:sz="4" w:space="0" w:color="auto"/>
            </w:tcBorders>
            <w:shd w:val="clear" w:color="auto" w:fill="auto"/>
            <w:vAlign w:val="center"/>
            <w:hideMark/>
          </w:tcPr>
          <w:p w14:paraId="19CAC07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452,577</w:t>
            </w:r>
          </w:p>
        </w:tc>
        <w:tc>
          <w:tcPr>
            <w:tcW w:w="155" w:type="pct"/>
            <w:tcBorders>
              <w:top w:val="nil"/>
              <w:left w:val="nil"/>
              <w:bottom w:val="single" w:sz="4" w:space="0" w:color="auto"/>
              <w:right w:val="single" w:sz="4" w:space="0" w:color="auto"/>
            </w:tcBorders>
            <w:shd w:val="clear" w:color="auto" w:fill="auto"/>
            <w:vAlign w:val="center"/>
            <w:hideMark/>
          </w:tcPr>
          <w:p w14:paraId="1246F2F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46E2F39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452,577</w:t>
            </w:r>
          </w:p>
        </w:tc>
        <w:tc>
          <w:tcPr>
            <w:tcW w:w="162" w:type="pct"/>
            <w:tcBorders>
              <w:top w:val="nil"/>
              <w:left w:val="nil"/>
              <w:bottom w:val="single" w:sz="4" w:space="0" w:color="auto"/>
              <w:right w:val="single" w:sz="4" w:space="0" w:color="auto"/>
            </w:tcBorders>
            <w:shd w:val="clear" w:color="auto" w:fill="auto"/>
            <w:vAlign w:val="center"/>
            <w:hideMark/>
          </w:tcPr>
          <w:p w14:paraId="0BA80B9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48D0DBD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0F8DE3D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5169FC0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69F590D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0CC2B08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23FBAAE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08D90531" w14:textId="739F0D73"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1810567D" w14:textId="77777777" w:rsidTr="00C260C3">
        <w:trPr>
          <w:trHeight w:val="20"/>
        </w:trPr>
        <w:tc>
          <w:tcPr>
            <w:tcW w:w="131" w:type="pct"/>
            <w:tcBorders>
              <w:top w:val="nil"/>
              <w:left w:val="single" w:sz="8" w:space="0" w:color="auto"/>
              <w:bottom w:val="single" w:sz="8" w:space="0" w:color="auto"/>
              <w:right w:val="single" w:sz="4" w:space="0" w:color="auto"/>
            </w:tcBorders>
            <w:shd w:val="clear" w:color="000000" w:fill="D9D9D9"/>
            <w:vAlign w:val="center"/>
            <w:hideMark/>
          </w:tcPr>
          <w:p w14:paraId="50C12558"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81" w:type="pct"/>
            <w:tcBorders>
              <w:top w:val="nil"/>
              <w:left w:val="nil"/>
              <w:bottom w:val="single" w:sz="8" w:space="0" w:color="auto"/>
              <w:right w:val="single" w:sz="4" w:space="0" w:color="auto"/>
            </w:tcBorders>
            <w:shd w:val="clear" w:color="000000" w:fill="D9D9D9"/>
            <w:vAlign w:val="center"/>
            <w:hideMark/>
          </w:tcPr>
          <w:p w14:paraId="1CC282E7" w14:textId="3741DB0D" w:rsidR="00C260C3" w:rsidRPr="00B457F5" w:rsidRDefault="00C260C3" w:rsidP="00C260C3">
            <w:pPr>
              <w:spacing w:before="0" w:after="0"/>
              <w:jc w:val="lef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Kosto</w:t>
            </w:r>
            <w:r w:rsidR="00164C66" w:rsidRPr="00B457F5">
              <w:rPr>
                <w:rFonts w:ascii="Garamond" w:eastAsia="Times New Roman" w:hAnsi="Garamond" w:cs="Times New Roman"/>
                <w:b/>
                <w:bCs/>
                <w:color w:val="FF0000"/>
                <w:sz w:val="4"/>
                <w:szCs w:val="10"/>
              </w:rPr>
              <w:t>ja</w:t>
            </w:r>
            <w:r w:rsidRPr="00B457F5">
              <w:rPr>
                <w:rFonts w:ascii="Garamond" w:eastAsia="Times New Roman" w:hAnsi="Garamond" w:cs="Times New Roman"/>
                <w:b/>
                <w:bCs/>
                <w:color w:val="FF0000"/>
                <w:sz w:val="4"/>
                <w:szCs w:val="10"/>
              </w:rPr>
              <w:t xml:space="preserve"> treguese </w:t>
            </w:r>
            <w:r w:rsidR="00164C66" w:rsidRPr="00B457F5">
              <w:rPr>
                <w:rFonts w:ascii="Garamond" w:eastAsia="Times New Roman" w:hAnsi="Garamond" w:cs="Times New Roman"/>
                <w:b/>
                <w:bCs/>
                <w:color w:val="FF0000"/>
                <w:sz w:val="4"/>
                <w:szCs w:val="10"/>
              </w:rPr>
              <w:t xml:space="preserve">e </w:t>
            </w:r>
            <w:r w:rsidR="006A63AF" w:rsidRPr="00B457F5">
              <w:rPr>
                <w:rFonts w:ascii="Garamond" w:eastAsia="Times New Roman" w:hAnsi="Garamond" w:cs="Times New Roman"/>
                <w:b/>
                <w:bCs/>
                <w:color w:val="FF0000"/>
                <w:sz w:val="4"/>
                <w:szCs w:val="10"/>
              </w:rPr>
              <w:t>o</w:t>
            </w:r>
            <w:r w:rsidRPr="00B457F5">
              <w:rPr>
                <w:rFonts w:ascii="Garamond" w:eastAsia="Times New Roman" w:hAnsi="Garamond" w:cs="Times New Roman"/>
                <w:b/>
                <w:bCs/>
                <w:color w:val="FF0000"/>
                <w:sz w:val="4"/>
                <w:szCs w:val="10"/>
              </w:rPr>
              <w:t>bjektivi</w:t>
            </w:r>
            <w:r w:rsidR="00164C66" w:rsidRPr="00B457F5">
              <w:rPr>
                <w:rFonts w:ascii="Garamond" w:eastAsia="Times New Roman" w:hAnsi="Garamond" w:cs="Times New Roman"/>
                <w:b/>
                <w:bCs/>
                <w:color w:val="FF0000"/>
                <w:sz w:val="4"/>
                <w:szCs w:val="10"/>
              </w:rPr>
              <w:t>t</w:t>
            </w:r>
            <w:r w:rsidRPr="00B457F5">
              <w:rPr>
                <w:rFonts w:ascii="Garamond" w:eastAsia="Times New Roman" w:hAnsi="Garamond" w:cs="Times New Roman"/>
                <w:b/>
                <w:bCs/>
                <w:color w:val="FF0000"/>
                <w:sz w:val="4"/>
                <w:szCs w:val="10"/>
              </w:rPr>
              <w:t xml:space="preserve"> specifik 1.1</w:t>
            </w:r>
          </w:p>
        </w:tc>
        <w:tc>
          <w:tcPr>
            <w:tcW w:w="186" w:type="pct"/>
            <w:tcBorders>
              <w:top w:val="nil"/>
              <w:left w:val="nil"/>
              <w:bottom w:val="single" w:sz="8" w:space="0" w:color="auto"/>
              <w:right w:val="single" w:sz="4" w:space="0" w:color="auto"/>
            </w:tcBorders>
            <w:shd w:val="clear" w:color="000000" w:fill="D9D9D9"/>
            <w:vAlign w:val="center"/>
            <w:hideMark/>
          </w:tcPr>
          <w:p w14:paraId="6D249AE7"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9" w:type="pct"/>
            <w:tcBorders>
              <w:top w:val="nil"/>
              <w:left w:val="nil"/>
              <w:bottom w:val="single" w:sz="8" w:space="0" w:color="auto"/>
              <w:right w:val="single" w:sz="4" w:space="0" w:color="auto"/>
            </w:tcBorders>
            <w:shd w:val="clear" w:color="000000" w:fill="D9D9D9"/>
            <w:vAlign w:val="center"/>
            <w:hideMark/>
          </w:tcPr>
          <w:p w14:paraId="30577898"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44" w:type="pct"/>
            <w:tcBorders>
              <w:top w:val="nil"/>
              <w:left w:val="nil"/>
              <w:bottom w:val="single" w:sz="8" w:space="0" w:color="auto"/>
              <w:right w:val="single" w:sz="4" w:space="0" w:color="auto"/>
            </w:tcBorders>
            <w:shd w:val="clear" w:color="000000" w:fill="D9D9D9"/>
            <w:vAlign w:val="center"/>
            <w:hideMark/>
          </w:tcPr>
          <w:p w14:paraId="26BA2F9E"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35" w:type="pct"/>
            <w:tcBorders>
              <w:top w:val="nil"/>
              <w:left w:val="nil"/>
              <w:bottom w:val="single" w:sz="8" w:space="0" w:color="auto"/>
              <w:right w:val="single" w:sz="4" w:space="0" w:color="auto"/>
            </w:tcBorders>
            <w:shd w:val="clear" w:color="000000" w:fill="D9D9D9"/>
            <w:vAlign w:val="center"/>
            <w:hideMark/>
          </w:tcPr>
          <w:p w14:paraId="4FC1966A"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2" w:type="pct"/>
            <w:tcBorders>
              <w:top w:val="nil"/>
              <w:left w:val="nil"/>
              <w:bottom w:val="single" w:sz="8" w:space="0" w:color="auto"/>
              <w:right w:val="single" w:sz="4" w:space="0" w:color="auto"/>
            </w:tcBorders>
            <w:shd w:val="clear" w:color="000000" w:fill="D9D9D9"/>
            <w:vAlign w:val="center"/>
            <w:hideMark/>
          </w:tcPr>
          <w:p w14:paraId="50B44E6D"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8" w:space="0" w:color="auto"/>
              <w:right w:val="single" w:sz="4" w:space="0" w:color="auto"/>
            </w:tcBorders>
            <w:shd w:val="clear" w:color="000000" w:fill="D9D9D9"/>
            <w:vAlign w:val="center"/>
            <w:hideMark/>
          </w:tcPr>
          <w:p w14:paraId="30319759"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49,875,120</w:t>
            </w:r>
          </w:p>
        </w:tc>
        <w:tc>
          <w:tcPr>
            <w:tcW w:w="155" w:type="pct"/>
            <w:tcBorders>
              <w:top w:val="nil"/>
              <w:left w:val="nil"/>
              <w:bottom w:val="single" w:sz="8" w:space="0" w:color="auto"/>
              <w:right w:val="single" w:sz="4" w:space="0" w:color="auto"/>
            </w:tcBorders>
            <w:shd w:val="clear" w:color="000000" w:fill="D9D9D9"/>
            <w:vAlign w:val="center"/>
            <w:hideMark/>
          </w:tcPr>
          <w:p w14:paraId="7987EC73"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2" w:type="pct"/>
            <w:tcBorders>
              <w:top w:val="nil"/>
              <w:left w:val="nil"/>
              <w:bottom w:val="single" w:sz="8" w:space="0" w:color="auto"/>
              <w:right w:val="single" w:sz="4" w:space="0" w:color="auto"/>
            </w:tcBorders>
            <w:shd w:val="clear" w:color="000000" w:fill="D9D9D9"/>
            <w:vAlign w:val="center"/>
            <w:hideMark/>
          </w:tcPr>
          <w:p w14:paraId="6E86DDA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49,875,120</w:t>
            </w:r>
          </w:p>
        </w:tc>
        <w:tc>
          <w:tcPr>
            <w:tcW w:w="165" w:type="pct"/>
            <w:tcBorders>
              <w:top w:val="nil"/>
              <w:left w:val="nil"/>
              <w:bottom w:val="single" w:sz="8" w:space="0" w:color="auto"/>
              <w:right w:val="single" w:sz="4" w:space="0" w:color="auto"/>
            </w:tcBorders>
            <w:shd w:val="clear" w:color="000000" w:fill="D9D9D9"/>
            <w:vAlign w:val="center"/>
            <w:hideMark/>
          </w:tcPr>
          <w:p w14:paraId="46F33740"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48,250,222</w:t>
            </w:r>
          </w:p>
        </w:tc>
        <w:tc>
          <w:tcPr>
            <w:tcW w:w="163" w:type="pct"/>
            <w:tcBorders>
              <w:top w:val="nil"/>
              <w:left w:val="nil"/>
              <w:bottom w:val="single" w:sz="8" w:space="0" w:color="auto"/>
              <w:right w:val="single" w:sz="4" w:space="0" w:color="auto"/>
            </w:tcBorders>
            <w:shd w:val="clear" w:color="000000" w:fill="D9D9D9"/>
            <w:vAlign w:val="center"/>
            <w:hideMark/>
          </w:tcPr>
          <w:p w14:paraId="7B9B606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3" w:type="pct"/>
            <w:tcBorders>
              <w:top w:val="nil"/>
              <w:left w:val="nil"/>
              <w:bottom w:val="single" w:sz="8" w:space="0" w:color="auto"/>
              <w:right w:val="single" w:sz="4" w:space="0" w:color="auto"/>
            </w:tcBorders>
            <w:shd w:val="clear" w:color="000000" w:fill="D9D9D9"/>
            <w:vAlign w:val="center"/>
            <w:hideMark/>
          </w:tcPr>
          <w:p w14:paraId="12CE1435"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48,250,222</w:t>
            </w:r>
          </w:p>
        </w:tc>
        <w:tc>
          <w:tcPr>
            <w:tcW w:w="163" w:type="pct"/>
            <w:tcBorders>
              <w:top w:val="nil"/>
              <w:left w:val="nil"/>
              <w:bottom w:val="single" w:sz="8" w:space="0" w:color="auto"/>
              <w:right w:val="single" w:sz="4" w:space="0" w:color="auto"/>
            </w:tcBorders>
            <w:shd w:val="clear" w:color="000000" w:fill="D9D9D9"/>
            <w:vAlign w:val="center"/>
            <w:hideMark/>
          </w:tcPr>
          <w:p w14:paraId="06E9DF25"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49,390,500</w:t>
            </w:r>
          </w:p>
        </w:tc>
        <w:tc>
          <w:tcPr>
            <w:tcW w:w="148" w:type="pct"/>
            <w:tcBorders>
              <w:top w:val="nil"/>
              <w:left w:val="nil"/>
              <w:bottom w:val="single" w:sz="8" w:space="0" w:color="auto"/>
              <w:right w:val="single" w:sz="4" w:space="0" w:color="auto"/>
            </w:tcBorders>
            <w:shd w:val="clear" w:color="000000" w:fill="D9D9D9"/>
            <w:vAlign w:val="center"/>
            <w:hideMark/>
          </w:tcPr>
          <w:p w14:paraId="55223028"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2" w:type="pct"/>
            <w:tcBorders>
              <w:top w:val="nil"/>
              <w:left w:val="nil"/>
              <w:bottom w:val="single" w:sz="8" w:space="0" w:color="auto"/>
              <w:right w:val="single" w:sz="4" w:space="0" w:color="auto"/>
            </w:tcBorders>
            <w:shd w:val="clear" w:color="000000" w:fill="D9D9D9"/>
            <w:vAlign w:val="center"/>
            <w:hideMark/>
          </w:tcPr>
          <w:p w14:paraId="1B9E64B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49,390,500</w:t>
            </w:r>
          </w:p>
        </w:tc>
        <w:tc>
          <w:tcPr>
            <w:tcW w:w="165" w:type="pct"/>
            <w:tcBorders>
              <w:top w:val="nil"/>
              <w:left w:val="nil"/>
              <w:bottom w:val="single" w:sz="8" w:space="0" w:color="auto"/>
              <w:right w:val="single" w:sz="4" w:space="0" w:color="auto"/>
            </w:tcBorders>
            <w:shd w:val="clear" w:color="000000" w:fill="D9D9D9"/>
            <w:vAlign w:val="center"/>
            <w:hideMark/>
          </w:tcPr>
          <w:p w14:paraId="2689C54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147,515,842</w:t>
            </w:r>
          </w:p>
        </w:tc>
        <w:tc>
          <w:tcPr>
            <w:tcW w:w="163" w:type="pct"/>
            <w:tcBorders>
              <w:top w:val="nil"/>
              <w:left w:val="nil"/>
              <w:bottom w:val="single" w:sz="8" w:space="0" w:color="auto"/>
              <w:right w:val="single" w:sz="4" w:space="0" w:color="auto"/>
            </w:tcBorders>
            <w:shd w:val="clear" w:color="000000" w:fill="D9D9D9"/>
            <w:vAlign w:val="center"/>
            <w:hideMark/>
          </w:tcPr>
          <w:p w14:paraId="0E62DD23"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5" w:type="pct"/>
            <w:tcBorders>
              <w:top w:val="nil"/>
              <w:left w:val="nil"/>
              <w:bottom w:val="single" w:sz="8" w:space="0" w:color="auto"/>
              <w:right w:val="single" w:sz="4" w:space="0" w:color="auto"/>
            </w:tcBorders>
            <w:shd w:val="clear" w:color="000000" w:fill="D9D9D9"/>
            <w:vAlign w:val="center"/>
            <w:hideMark/>
          </w:tcPr>
          <w:p w14:paraId="01CA4A1B"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147,515,842</w:t>
            </w:r>
          </w:p>
        </w:tc>
        <w:tc>
          <w:tcPr>
            <w:tcW w:w="163" w:type="pct"/>
            <w:tcBorders>
              <w:top w:val="nil"/>
              <w:left w:val="nil"/>
              <w:bottom w:val="single" w:sz="8" w:space="0" w:color="auto"/>
              <w:right w:val="single" w:sz="4" w:space="0" w:color="auto"/>
            </w:tcBorders>
            <w:shd w:val="clear" w:color="000000" w:fill="D9D9D9"/>
            <w:vAlign w:val="center"/>
            <w:hideMark/>
          </w:tcPr>
          <w:p w14:paraId="48899EB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77,028,823</w:t>
            </w:r>
          </w:p>
        </w:tc>
        <w:tc>
          <w:tcPr>
            <w:tcW w:w="155" w:type="pct"/>
            <w:tcBorders>
              <w:top w:val="nil"/>
              <w:left w:val="nil"/>
              <w:bottom w:val="single" w:sz="8" w:space="0" w:color="auto"/>
              <w:right w:val="single" w:sz="4" w:space="0" w:color="auto"/>
            </w:tcBorders>
            <w:shd w:val="clear" w:color="000000" w:fill="D9D9D9"/>
            <w:vAlign w:val="center"/>
            <w:hideMark/>
          </w:tcPr>
          <w:p w14:paraId="629B8397"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3" w:type="pct"/>
            <w:tcBorders>
              <w:top w:val="nil"/>
              <w:left w:val="nil"/>
              <w:bottom w:val="single" w:sz="8" w:space="0" w:color="auto"/>
              <w:right w:val="single" w:sz="4" w:space="0" w:color="auto"/>
            </w:tcBorders>
            <w:shd w:val="clear" w:color="000000" w:fill="D9D9D9"/>
            <w:vAlign w:val="center"/>
            <w:hideMark/>
          </w:tcPr>
          <w:p w14:paraId="03141AEA"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77,028,823</w:t>
            </w:r>
          </w:p>
        </w:tc>
        <w:tc>
          <w:tcPr>
            <w:tcW w:w="162" w:type="pct"/>
            <w:tcBorders>
              <w:top w:val="nil"/>
              <w:left w:val="nil"/>
              <w:bottom w:val="single" w:sz="8" w:space="0" w:color="auto"/>
              <w:right w:val="single" w:sz="4" w:space="0" w:color="auto"/>
            </w:tcBorders>
            <w:shd w:val="clear" w:color="000000" w:fill="D9D9D9"/>
            <w:vAlign w:val="center"/>
            <w:hideMark/>
          </w:tcPr>
          <w:p w14:paraId="35593B6E"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55,393,419</w:t>
            </w:r>
          </w:p>
        </w:tc>
        <w:tc>
          <w:tcPr>
            <w:tcW w:w="155" w:type="pct"/>
            <w:tcBorders>
              <w:top w:val="nil"/>
              <w:left w:val="nil"/>
              <w:bottom w:val="single" w:sz="8" w:space="0" w:color="auto"/>
              <w:right w:val="single" w:sz="4" w:space="0" w:color="auto"/>
            </w:tcBorders>
            <w:shd w:val="clear" w:color="000000" w:fill="D9D9D9"/>
            <w:vAlign w:val="center"/>
            <w:hideMark/>
          </w:tcPr>
          <w:p w14:paraId="3B49BC30"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218" w:type="pct"/>
            <w:tcBorders>
              <w:top w:val="nil"/>
              <w:left w:val="nil"/>
              <w:bottom w:val="single" w:sz="8" w:space="0" w:color="auto"/>
              <w:right w:val="single" w:sz="4" w:space="0" w:color="auto"/>
            </w:tcBorders>
            <w:shd w:val="clear" w:color="000000" w:fill="D9D9D9"/>
            <w:vAlign w:val="center"/>
            <w:hideMark/>
          </w:tcPr>
          <w:p w14:paraId="16C5440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8" w:space="0" w:color="auto"/>
              <w:right w:val="single" w:sz="4" w:space="0" w:color="auto"/>
            </w:tcBorders>
            <w:shd w:val="clear" w:color="000000" w:fill="D9D9D9"/>
            <w:vAlign w:val="center"/>
            <w:hideMark/>
          </w:tcPr>
          <w:p w14:paraId="28CF51B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55,393,419</w:t>
            </w:r>
          </w:p>
        </w:tc>
        <w:tc>
          <w:tcPr>
            <w:tcW w:w="139" w:type="pct"/>
            <w:tcBorders>
              <w:top w:val="nil"/>
              <w:left w:val="nil"/>
              <w:bottom w:val="single" w:sz="8" w:space="0" w:color="auto"/>
              <w:right w:val="single" w:sz="4" w:space="0" w:color="auto"/>
            </w:tcBorders>
            <w:shd w:val="clear" w:color="000000" w:fill="D9D9D9"/>
            <w:vAlign w:val="center"/>
            <w:hideMark/>
          </w:tcPr>
          <w:p w14:paraId="347E30B8"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42" w:type="pct"/>
            <w:tcBorders>
              <w:top w:val="nil"/>
              <w:left w:val="nil"/>
              <w:bottom w:val="single" w:sz="8" w:space="0" w:color="auto"/>
              <w:right w:val="single" w:sz="4" w:space="0" w:color="auto"/>
            </w:tcBorders>
            <w:shd w:val="clear" w:color="000000" w:fill="D9D9D9"/>
            <w:vAlign w:val="center"/>
            <w:hideMark/>
          </w:tcPr>
          <w:p w14:paraId="681FE3E0"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28" w:type="pct"/>
            <w:tcBorders>
              <w:top w:val="nil"/>
              <w:left w:val="nil"/>
              <w:bottom w:val="single" w:sz="8" w:space="0" w:color="auto"/>
              <w:right w:val="single" w:sz="4" w:space="0" w:color="auto"/>
            </w:tcBorders>
            <w:shd w:val="clear" w:color="000000" w:fill="D9D9D9"/>
            <w:vAlign w:val="center"/>
            <w:hideMark/>
          </w:tcPr>
          <w:p w14:paraId="2A75EAD5"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77" w:type="pct"/>
            <w:tcBorders>
              <w:top w:val="nil"/>
              <w:left w:val="nil"/>
              <w:bottom w:val="single" w:sz="8" w:space="0" w:color="auto"/>
              <w:right w:val="single" w:sz="4" w:space="0" w:color="auto"/>
            </w:tcBorders>
            <w:shd w:val="clear" w:color="000000" w:fill="D9D9D9"/>
            <w:vAlign w:val="center"/>
            <w:hideMark/>
          </w:tcPr>
          <w:p w14:paraId="08BEBAC9" w14:textId="233F297F"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(15,093,600)</w:t>
            </w:r>
          </w:p>
        </w:tc>
      </w:tr>
      <w:tr w:rsidR="00C260C3" w:rsidRPr="00B457F5" w14:paraId="5A6ACD04"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center"/>
            <w:hideMark/>
          </w:tcPr>
          <w:p w14:paraId="45D2A5FE"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1.2</w:t>
            </w:r>
          </w:p>
        </w:tc>
        <w:tc>
          <w:tcPr>
            <w:tcW w:w="281" w:type="pct"/>
            <w:tcBorders>
              <w:top w:val="nil"/>
              <w:left w:val="nil"/>
              <w:bottom w:val="single" w:sz="4" w:space="0" w:color="auto"/>
              <w:right w:val="single" w:sz="4" w:space="0" w:color="auto"/>
            </w:tcBorders>
            <w:shd w:val="clear" w:color="auto" w:fill="auto"/>
            <w:vAlign w:val="center"/>
            <w:hideMark/>
          </w:tcPr>
          <w:p w14:paraId="3D36DE09" w14:textId="5D4E2E62"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Objektivi specifik 1.2 Hartimi dhe rish</w:t>
            </w:r>
            <w:r w:rsidR="006A63AF" w:rsidRPr="00B457F5">
              <w:rPr>
                <w:rFonts w:ascii="Garamond" w:eastAsia="Times New Roman" w:hAnsi="Garamond" w:cs="Times New Roman"/>
                <w:b/>
                <w:bCs/>
                <w:color w:val="000000"/>
                <w:sz w:val="4"/>
                <w:szCs w:val="10"/>
              </w:rPr>
              <w:t>i</w:t>
            </w:r>
            <w:r w:rsidRPr="00B457F5">
              <w:rPr>
                <w:rFonts w:ascii="Garamond" w:eastAsia="Times New Roman" w:hAnsi="Garamond" w:cs="Times New Roman"/>
                <w:b/>
                <w:bCs/>
                <w:color w:val="000000"/>
                <w:sz w:val="4"/>
                <w:szCs w:val="10"/>
              </w:rPr>
              <w:t xml:space="preserve">kimi i politikave </w:t>
            </w:r>
            <w:r w:rsidR="00164C66" w:rsidRPr="00B457F5">
              <w:rPr>
                <w:rFonts w:ascii="Garamond" w:eastAsia="Times New Roman" w:hAnsi="Garamond" w:cs="Times New Roman"/>
                <w:color w:val="000000"/>
                <w:sz w:val="4"/>
                <w:szCs w:val="10"/>
              </w:rPr>
              <w:t>të</w:t>
            </w:r>
            <w:r w:rsidR="00164C66" w:rsidRPr="00B457F5">
              <w:rPr>
                <w:rFonts w:ascii="Garamond" w:eastAsia="Times New Roman" w:hAnsi="Garamond" w:cs="Times New Roman"/>
                <w:b/>
                <w:bCs/>
                <w:color w:val="000000"/>
                <w:sz w:val="4"/>
                <w:szCs w:val="10"/>
              </w:rPr>
              <w:t xml:space="preserve"> </w:t>
            </w:r>
            <w:r w:rsidRPr="00B457F5">
              <w:rPr>
                <w:rFonts w:ascii="Garamond" w:eastAsia="Times New Roman" w:hAnsi="Garamond" w:cs="Times New Roman"/>
                <w:b/>
                <w:bCs/>
                <w:color w:val="000000"/>
                <w:sz w:val="4"/>
                <w:szCs w:val="10"/>
              </w:rPr>
              <w:t xml:space="preserve">migracionit bazuar në të dhëna të sakta dhe </w:t>
            </w:r>
            <w:r w:rsidR="00164C66" w:rsidRPr="00B457F5">
              <w:rPr>
                <w:rFonts w:ascii="Garamond" w:eastAsia="Times New Roman" w:hAnsi="Garamond" w:cs="Times New Roman"/>
                <w:color w:val="000000"/>
                <w:sz w:val="4"/>
                <w:szCs w:val="10"/>
              </w:rPr>
              <w:t>të</w:t>
            </w:r>
            <w:r w:rsidR="00164C66" w:rsidRPr="00B457F5">
              <w:rPr>
                <w:rFonts w:ascii="Garamond" w:eastAsia="Times New Roman" w:hAnsi="Garamond" w:cs="Times New Roman"/>
                <w:b/>
                <w:bCs/>
                <w:color w:val="000000"/>
                <w:sz w:val="4"/>
                <w:szCs w:val="10"/>
              </w:rPr>
              <w:t xml:space="preserve"> </w:t>
            </w:r>
            <w:r w:rsidRPr="00B457F5">
              <w:rPr>
                <w:rFonts w:ascii="Garamond" w:eastAsia="Times New Roman" w:hAnsi="Garamond" w:cs="Times New Roman"/>
                <w:b/>
                <w:bCs/>
                <w:color w:val="000000"/>
                <w:sz w:val="4"/>
                <w:szCs w:val="10"/>
              </w:rPr>
              <w:t>koordinuara</w:t>
            </w:r>
          </w:p>
        </w:tc>
        <w:tc>
          <w:tcPr>
            <w:tcW w:w="186" w:type="pct"/>
            <w:tcBorders>
              <w:top w:val="nil"/>
              <w:left w:val="nil"/>
              <w:bottom w:val="single" w:sz="4" w:space="0" w:color="auto"/>
              <w:right w:val="single" w:sz="4" w:space="0" w:color="auto"/>
            </w:tcBorders>
            <w:shd w:val="clear" w:color="auto" w:fill="auto"/>
            <w:vAlign w:val="center"/>
            <w:hideMark/>
          </w:tcPr>
          <w:p w14:paraId="7CF0D429"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9" w:type="pct"/>
            <w:tcBorders>
              <w:top w:val="nil"/>
              <w:left w:val="nil"/>
              <w:bottom w:val="single" w:sz="4" w:space="0" w:color="auto"/>
              <w:right w:val="single" w:sz="4" w:space="0" w:color="auto"/>
            </w:tcBorders>
            <w:shd w:val="clear" w:color="auto" w:fill="auto"/>
            <w:vAlign w:val="center"/>
            <w:hideMark/>
          </w:tcPr>
          <w:p w14:paraId="3E08216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244" w:type="pct"/>
            <w:tcBorders>
              <w:top w:val="nil"/>
              <w:left w:val="nil"/>
              <w:bottom w:val="single" w:sz="4" w:space="0" w:color="auto"/>
              <w:right w:val="single" w:sz="4" w:space="0" w:color="auto"/>
            </w:tcBorders>
            <w:shd w:val="clear" w:color="auto" w:fill="auto"/>
            <w:vAlign w:val="center"/>
            <w:hideMark/>
          </w:tcPr>
          <w:p w14:paraId="58F5631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35" w:type="pct"/>
            <w:tcBorders>
              <w:top w:val="nil"/>
              <w:left w:val="nil"/>
              <w:bottom w:val="single" w:sz="4" w:space="0" w:color="auto"/>
              <w:right w:val="single" w:sz="4" w:space="0" w:color="auto"/>
            </w:tcBorders>
            <w:shd w:val="clear" w:color="auto" w:fill="auto"/>
            <w:vAlign w:val="center"/>
            <w:hideMark/>
          </w:tcPr>
          <w:p w14:paraId="58E6ABC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2" w:type="pct"/>
            <w:tcBorders>
              <w:top w:val="nil"/>
              <w:left w:val="nil"/>
              <w:bottom w:val="single" w:sz="4" w:space="0" w:color="auto"/>
              <w:right w:val="single" w:sz="4" w:space="0" w:color="auto"/>
            </w:tcBorders>
            <w:shd w:val="clear" w:color="auto" w:fill="auto"/>
            <w:vAlign w:val="center"/>
            <w:hideMark/>
          </w:tcPr>
          <w:p w14:paraId="24584C3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6A70441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nil"/>
              <w:left w:val="nil"/>
              <w:bottom w:val="single" w:sz="4" w:space="0" w:color="auto"/>
              <w:right w:val="single" w:sz="4" w:space="0" w:color="auto"/>
            </w:tcBorders>
            <w:shd w:val="clear" w:color="auto" w:fill="auto"/>
            <w:vAlign w:val="center"/>
            <w:hideMark/>
          </w:tcPr>
          <w:p w14:paraId="6FF171C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nil"/>
              <w:left w:val="nil"/>
              <w:bottom w:val="single" w:sz="4" w:space="0" w:color="auto"/>
              <w:right w:val="single" w:sz="4" w:space="0" w:color="auto"/>
            </w:tcBorders>
            <w:shd w:val="clear" w:color="auto" w:fill="auto"/>
            <w:vAlign w:val="center"/>
            <w:hideMark/>
          </w:tcPr>
          <w:p w14:paraId="1CA70BC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nil"/>
              <w:left w:val="nil"/>
              <w:bottom w:val="single" w:sz="4" w:space="0" w:color="auto"/>
              <w:right w:val="single" w:sz="4" w:space="0" w:color="auto"/>
            </w:tcBorders>
            <w:shd w:val="clear" w:color="auto" w:fill="auto"/>
            <w:vAlign w:val="center"/>
            <w:hideMark/>
          </w:tcPr>
          <w:p w14:paraId="4F7BB08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572FFFB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6771CCB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13C6B1D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48" w:type="pct"/>
            <w:tcBorders>
              <w:top w:val="nil"/>
              <w:left w:val="nil"/>
              <w:bottom w:val="single" w:sz="4" w:space="0" w:color="auto"/>
              <w:right w:val="single" w:sz="4" w:space="0" w:color="auto"/>
            </w:tcBorders>
            <w:shd w:val="clear" w:color="auto" w:fill="auto"/>
            <w:vAlign w:val="center"/>
            <w:hideMark/>
          </w:tcPr>
          <w:p w14:paraId="48A2460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nil"/>
              <w:left w:val="nil"/>
              <w:bottom w:val="single" w:sz="4" w:space="0" w:color="auto"/>
              <w:right w:val="single" w:sz="4" w:space="0" w:color="auto"/>
            </w:tcBorders>
            <w:shd w:val="clear" w:color="auto" w:fill="auto"/>
            <w:vAlign w:val="center"/>
            <w:hideMark/>
          </w:tcPr>
          <w:p w14:paraId="14652CB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nil"/>
              <w:left w:val="nil"/>
              <w:bottom w:val="single" w:sz="4" w:space="0" w:color="auto"/>
              <w:right w:val="single" w:sz="4" w:space="0" w:color="auto"/>
            </w:tcBorders>
            <w:shd w:val="clear" w:color="auto" w:fill="auto"/>
            <w:vAlign w:val="center"/>
            <w:hideMark/>
          </w:tcPr>
          <w:p w14:paraId="087269B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284D57A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nil"/>
              <w:left w:val="nil"/>
              <w:bottom w:val="single" w:sz="4" w:space="0" w:color="auto"/>
              <w:right w:val="single" w:sz="4" w:space="0" w:color="auto"/>
            </w:tcBorders>
            <w:shd w:val="clear" w:color="auto" w:fill="auto"/>
            <w:vAlign w:val="center"/>
            <w:hideMark/>
          </w:tcPr>
          <w:p w14:paraId="3A28B64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46E4968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nil"/>
              <w:left w:val="nil"/>
              <w:bottom w:val="single" w:sz="4" w:space="0" w:color="auto"/>
              <w:right w:val="single" w:sz="4" w:space="0" w:color="auto"/>
            </w:tcBorders>
            <w:shd w:val="clear" w:color="auto" w:fill="auto"/>
            <w:vAlign w:val="center"/>
            <w:hideMark/>
          </w:tcPr>
          <w:p w14:paraId="4A6ECA3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1750D41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nil"/>
              <w:left w:val="nil"/>
              <w:bottom w:val="single" w:sz="4" w:space="0" w:color="auto"/>
              <w:right w:val="single" w:sz="4" w:space="0" w:color="auto"/>
            </w:tcBorders>
            <w:shd w:val="clear" w:color="auto" w:fill="auto"/>
            <w:vAlign w:val="center"/>
            <w:hideMark/>
          </w:tcPr>
          <w:p w14:paraId="12E6032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nil"/>
              <w:left w:val="nil"/>
              <w:bottom w:val="single" w:sz="4" w:space="0" w:color="auto"/>
              <w:right w:val="single" w:sz="4" w:space="0" w:color="auto"/>
            </w:tcBorders>
            <w:shd w:val="clear" w:color="auto" w:fill="auto"/>
            <w:vAlign w:val="center"/>
            <w:hideMark/>
          </w:tcPr>
          <w:p w14:paraId="1D12AB0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218" w:type="pct"/>
            <w:tcBorders>
              <w:top w:val="nil"/>
              <w:left w:val="nil"/>
              <w:bottom w:val="single" w:sz="4" w:space="0" w:color="auto"/>
              <w:right w:val="single" w:sz="4" w:space="0" w:color="auto"/>
            </w:tcBorders>
            <w:shd w:val="clear" w:color="auto" w:fill="auto"/>
            <w:vAlign w:val="center"/>
            <w:hideMark/>
          </w:tcPr>
          <w:p w14:paraId="7037310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106100C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39" w:type="pct"/>
            <w:tcBorders>
              <w:top w:val="nil"/>
              <w:left w:val="nil"/>
              <w:bottom w:val="single" w:sz="4" w:space="0" w:color="auto"/>
              <w:right w:val="single" w:sz="4" w:space="0" w:color="auto"/>
            </w:tcBorders>
            <w:shd w:val="clear" w:color="auto" w:fill="auto"/>
            <w:vAlign w:val="center"/>
            <w:hideMark/>
          </w:tcPr>
          <w:p w14:paraId="7467E2A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42" w:type="pct"/>
            <w:tcBorders>
              <w:top w:val="nil"/>
              <w:left w:val="nil"/>
              <w:bottom w:val="single" w:sz="4" w:space="0" w:color="auto"/>
              <w:right w:val="single" w:sz="4" w:space="0" w:color="auto"/>
            </w:tcBorders>
            <w:shd w:val="clear" w:color="auto" w:fill="auto"/>
            <w:vAlign w:val="center"/>
            <w:hideMark/>
          </w:tcPr>
          <w:p w14:paraId="507007E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28" w:type="pct"/>
            <w:tcBorders>
              <w:top w:val="nil"/>
              <w:left w:val="nil"/>
              <w:bottom w:val="single" w:sz="4" w:space="0" w:color="auto"/>
              <w:right w:val="single" w:sz="4" w:space="0" w:color="auto"/>
            </w:tcBorders>
            <w:shd w:val="clear" w:color="auto" w:fill="auto"/>
            <w:vAlign w:val="center"/>
            <w:hideMark/>
          </w:tcPr>
          <w:p w14:paraId="74EAEE1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77" w:type="pct"/>
            <w:tcBorders>
              <w:top w:val="nil"/>
              <w:left w:val="nil"/>
              <w:bottom w:val="single" w:sz="4" w:space="0" w:color="auto"/>
              <w:right w:val="single" w:sz="8" w:space="0" w:color="auto"/>
            </w:tcBorders>
            <w:shd w:val="clear" w:color="auto" w:fill="auto"/>
            <w:vAlign w:val="center"/>
            <w:hideMark/>
          </w:tcPr>
          <w:p w14:paraId="73BDFB9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r>
      <w:tr w:rsidR="00C260C3" w:rsidRPr="00B457F5" w14:paraId="42ADA2CD"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center"/>
            <w:hideMark/>
          </w:tcPr>
          <w:p w14:paraId="4E47EC97"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81" w:type="pct"/>
            <w:tcBorders>
              <w:top w:val="nil"/>
              <w:left w:val="nil"/>
              <w:bottom w:val="single" w:sz="4" w:space="0" w:color="auto"/>
              <w:right w:val="single" w:sz="4" w:space="0" w:color="auto"/>
            </w:tcBorders>
            <w:shd w:val="clear" w:color="auto" w:fill="auto"/>
            <w:vAlign w:val="center"/>
            <w:hideMark/>
          </w:tcPr>
          <w:p w14:paraId="384C4A67" w14:textId="77777777" w:rsidR="00C260C3" w:rsidRPr="00B457F5" w:rsidRDefault="00C260C3" w:rsidP="00C260C3">
            <w:pPr>
              <w:spacing w:before="0" w:after="0"/>
              <w:jc w:val="left"/>
              <w:rPr>
                <w:rFonts w:ascii="Garamond" w:eastAsia="Times New Roman" w:hAnsi="Garamond" w:cs="Times New Roman"/>
                <w:b/>
                <w:bCs/>
                <w:i/>
                <w:iCs/>
                <w:color w:val="0066CC"/>
                <w:sz w:val="4"/>
                <w:szCs w:val="10"/>
              </w:rPr>
            </w:pPr>
            <w:r w:rsidRPr="00B457F5">
              <w:rPr>
                <w:rFonts w:ascii="Garamond" w:eastAsia="Times New Roman" w:hAnsi="Garamond" w:cs="Times New Roman"/>
                <w:b/>
                <w:bCs/>
                <w:i/>
                <w:iCs/>
                <w:color w:val="0066CC"/>
                <w:sz w:val="4"/>
                <w:szCs w:val="10"/>
              </w:rPr>
              <w:t>Masat</w:t>
            </w:r>
          </w:p>
        </w:tc>
        <w:tc>
          <w:tcPr>
            <w:tcW w:w="186" w:type="pct"/>
            <w:tcBorders>
              <w:top w:val="nil"/>
              <w:left w:val="nil"/>
              <w:bottom w:val="single" w:sz="4" w:space="0" w:color="auto"/>
              <w:right w:val="single" w:sz="4" w:space="0" w:color="auto"/>
            </w:tcBorders>
            <w:shd w:val="clear" w:color="auto" w:fill="auto"/>
            <w:vAlign w:val="center"/>
            <w:hideMark/>
          </w:tcPr>
          <w:p w14:paraId="61CF1A52"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9" w:type="pct"/>
            <w:tcBorders>
              <w:top w:val="nil"/>
              <w:left w:val="nil"/>
              <w:bottom w:val="single" w:sz="4" w:space="0" w:color="auto"/>
              <w:right w:val="single" w:sz="4" w:space="0" w:color="auto"/>
            </w:tcBorders>
            <w:shd w:val="clear" w:color="auto" w:fill="auto"/>
            <w:vAlign w:val="center"/>
            <w:hideMark/>
          </w:tcPr>
          <w:p w14:paraId="6131B1E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244" w:type="pct"/>
            <w:tcBorders>
              <w:top w:val="nil"/>
              <w:left w:val="nil"/>
              <w:bottom w:val="single" w:sz="4" w:space="0" w:color="auto"/>
              <w:right w:val="single" w:sz="4" w:space="0" w:color="auto"/>
            </w:tcBorders>
            <w:shd w:val="clear" w:color="auto" w:fill="auto"/>
            <w:vAlign w:val="center"/>
            <w:hideMark/>
          </w:tcPr>
          <w:p w14:paraId="4A81C26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35" w:type="pct"/>
            <w:tcBorders>
              <w:top w:val="nil"/>
              <w:left w:val="nil"/>
              <w:bottom w:val="single" w:sz="4" w:space="0" w:color="auto"/>
              <w:right w:val="single" w:sz="4" w:space="0" w:color="auto"/>
            </w:tcBorders>
            <w:shd w:val="clear" w:color="auto" w:fill="auto"/>
            <w:vAlign w:val="center"/>
            <w:hideMark/>
          </w:tcPr>
          <w:p w14:paraId="6F0BD610"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2" w:type="pct"/>
            <w:tcBorders>
              <w:top w:val="nil"/>
              <w:left w:val="nil"/>
              <w:bottom w:val="single" w:sz="4" w:space="0" w:color="auto"/>
              <w:right w:val="single" w:sz="4" w:space="0" w:color="auto"/>
            </w:tcBorders>
            <w:shd w:val="clear" w:color="auto" w:fill="auto"/>
            <w:vAlign w:val="center"/>
            <w:hideMark/>
          </w:tcPr>
          <w:p w14:paraId="34200C30"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4C80685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nil"/>
              <w:left w:val="nil"/>
              <w:bottom w:val="single" w:sz="4" w:space="0" w:color="auto"/>
              <w:right w:val="single" w:sz="4" w:space="0" w:color="auto"/>
            </w:tcBorders>
            <w:shd w:val="clear" w:color="auto" w:fill="auto"/>
            <w:vAlign w:val="center"/>
            <w:hideMark/>
          </w:tcPr>
          <w:p w14:paraId="752F1EA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nil"/>
              <w:left w:val="nil"/>
              <w:bottom w:val="single" w:sz="4" w:space="0" w:color="auto"/>
              <w:right w:val="single" w:sz="4" w:space="0" w:color="auto"/>
            </w:tcBorders>
            <w:shd w:val="clear" w:color="auto" w:fill="auto"/>
            <w:vAlign w:val="center"/>
            <w:hideMark/>
          </w:tcPr>
          <w:p w14:paraId="2BB7D91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nil"/>
              <w:left w:val="nil"/>
              <w:bottom w:val="single" w:sz="4" w:space="0" w:color="auto"/>
              <w:right w:val="single" w:sz="4" w:space="0" w:color="auto"/>
            </w:tcBorders>
            <w:shd w:val="clear" w:color="auto" w:fill="auto"/>
            <w:vAlign w:val="center"/>
            <w:hideMark/>
          </w:tcPr>
          <w:p w14:paraId="47101AE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4FE4D7B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1933C85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7298A08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48" w:type="pct"/>
            <w:tcBorders>
              <w:top w:val="nil"/>
              <w:left w:val="nil"/>
              <w:bottom w:val="single" w:sz="4" w:space="0" w:color="auto"/>
              <w:right w:val="single" w:sz="4" w:space="0" w:color="auto"/>
            </w:tcBorders>
            <w:shd w:val="clear" w:color="auto" w:fill="auto"/>
            <w:vAlign w:val="center"/>
            <w:hideMark/>
          </w:tcPr>
          <w:p w14:paraId="6453DB8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nil"/>
              <w:left w:val="nil"/>
              <w:bottom w:val="single" w:sz="4" w:space="0" w:color="auto"/>
              <w:right w:val="single" w:sz="4" w:space="0" w:color="auto"/>
            </w:tcBorders>
            <w:shd w:val="clear" w:color="auto" w:fill="auto"/>
            <w:vAlign w:val="center"/>
            <w:hideMark/>
          </w:tcPr>
          <w:p w14:paraId="0019743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nil"/>
              <w:left w:val="nil"/>
              <w:bottom w:val="single" w:sz="4" w:space="0" w:color="auto"/>
              <w:right w:val="single" w:sz="4" w:space="0" w:color="auto"/>
            </w:tcBorders>
            <w:shd w:val="clear" w:color="auto" w:fill="auto"/>
            <w:vAlign w:val="center"/>
            <w:hideMark/>
          </w:tcPr>
          <w:p w14:paraId="6B8CB90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10A300D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nil"/>
              <w:left w:val="nil"/>
              <w:bottom w:val="single" w:sz="4" w:space="0" w:color="auto"/>
              <w:right w:val="single" w:sz="4" w:space="0" w:color="auto"/>
            </w:tcBorders>
            <w:shd w:val="clear" w:color="auto" w:fill="auto"/>
            <w:vAlign w:val="center"/>
            <w:hideMark/>
          </w:tcPr>
          <w:p w14:paraId="5864CBC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2DEA01D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nil"/>
              <w:left w:val="nil"/>
              <w:bottom w:val="single" w:sz="4" w:space="0" w:color="auto"/>
              <w:right w:val="single" w:sz="4" w:space="0" w:color="auto"/>
            </w:tcBorders>
            <w:shd w:val="clear" w:color="auto" w:fill="auto"/>
            <w:vAlign w:val="center"/>
            <w:hideMark/>
          </w:tcPr>
          <w:p w14:paraId="05561EB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53E59C3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nil"/>
              <w:left w:val="nil"/>
              <w:bottom w:val="single" w:sz="4" w:space="0" w:color="auto"/>
              <w:right w:val="single" w:sz="4" w:space="0" w:color="auto"/>
            </w:tcBorders>
            <w:shd w:val="clear" w:color="auto" w:fill="auto"/>
            <w:vAlign w:val="center"/>
            <w:hideMark/>
          </w:tcPr>
          <w:p w14:paraId="2AA5B66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nil"/>
              <w:left w:val="nil"/>
              <w:bottom w:val="single" w:sz="4" w:space="0" w:color="auto"/>
              <w:right w:val="single" w:sz="4" w:space="0" w:color="auto"/>
            </w:tcBorders>
            <w:shd w:val="clear" w:color="auto" w:fill="auto"/>
            <w:vAlign w:val="center"/>
            <w:hideMark/>
          </w:tcPr>
          <w:p w14:paraId="3252720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218" w:type="pct"/>
            <w:tcBorders>
              <w:top w:val="nil"/>
              <w:left w:val="nil"/>
              <w:bottom w:val="single" w:sz="4" w:space="0" w:color="auto"/>
              <w:right w:val="single" w:sz="4" w:space="0" w:color="auto"/>
            </w:tcBorders>
            <w:shd w:val="clear" w:color="auto" w:fill="auto"/>
            <w:vAlign w:val="center"/>
            <w:hideMark/>
          </w:tcPr>
          <w:p w14:paraId="1FECE7E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5E8A858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39" w:type="pct"/>
            <w:tcBorders>
              <w:top w:val="nil"/>
              <w:left w:val="nil"/>
              <w:bottom w:val="single" w:sz="4" w:space="0" w:color="auto"/>
              <w:right w:val="single" w:sz="4" w:space="0" w:color="auto"/>
            </w:tcBorders>
            <w:shd w:val="clear" w:color="auto" w:fill="auto"/>
            <w:vAlign w:val="center"/>
            <w:hideMark/>
          </w:tcPr>
          <w:p w14:paraId="0332683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42" w:type="pct"/>
            <w:tcBorders>
              <w:top w:val="nil"/>
              <w:left w:val="nil"/>
              <w:bottom w:val="single" w:sz="4" w:space="0" w:color="auto"/>
              <w:right w:val="single" w:sz="4" w:space="0" w:color="auto"/>
            </w:tcBorders>
            <w:shd w:val="clear" w:color="auto" w:fill="auto"/>
            <w:vAlign w:val="center"/>
            <w:hideMark/>
          </w:tcPr>
          <w:p w14:paraId="3FD5A2D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28" w:type="pct"/>
            <w:tcBorders>
              <w:top w:val="nil"/>
              <w:left w:val="nil"/>
              <w:bottom w:val="single" w:sz="4" w:space="0" w:color="auto"/>
              <w:right w:val="single" w:sz="4" w:space="0" w:color="auto"/>
            </w:tcBorders>
            <w:shd w:val="clear" w:color="auto" w:fill="auto"/>
            <w:vAlign w:val="center"/>
            <w:hideMark/>
          </w:tcPr>
          <w:p w14:paraId="01D59C5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77" w:type="pct"/>
            <w:tcBorders>
              <w:top w:val="nil"/>
              <w:left w:val="nil"/>
              <w:bottom w:val="single" w:sz="4" w:space="0" w:color="auto"/>
              <w:right w:val="single" w:sz="8" w:space="0" w:color="auto"/>
            </w:tcBorders>
            <w:shd w:val="clear" w:color="auto" w:fill="auto"/>
            <w:vAlign w:val="center"/>
            <w:hideMark/>
          </w:tcPr>
          <w:p w14:paraId="7ADB1B2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r>
      <w:tr w:rsidR="00C260C3" w:rsidRPr="00B457F5" w14:paraId="1EE3D2BD" w14:textId="77777777" w:rsidTr="00C260C3">
        <w:trPr>
          <w:trHeight w:val="20"/>
        </w:trPr>
        <w:tc>
          <w:tcPr>
            <w:tcW w:w="131" w:type="pct"/>
            <w:tcBorders>
              <w:top w:val="nil"/>
              <w:left w:val="single" w:sz="8" w:space="0" w:color="auto"/>
              <w:bottom w:val="single" w:sz="4" w:space="0" w:color="auto"/>
              <w:right w:val="single" w:sz="4" w:space="0" w:color="auto"/>
            </w:tcBorders>
            <w:shd w:val="clear" w:color="000000" w:fill="D9D9D9"/>
            <w:vAlign w:val="center"/>
            <w:hideMark/>
          </w:tcPr>
          <w:p w14:paraId="1A4B7827"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1.2.1</w:t>
            </w:r>
          </w:p>
        </w:tc>
        <w:tc>
          <w:tcPr>
            <w:tcW w:w="281" w:type="pct"/>
            <w:tcBorders>
              <w:top w:val="nil"/>
              <w:left w:val="nil"/>
              <w:bottom w:val="single" w:sz="4" w:space="0" w:color="auto"/>
              <w:right w:val="single" w:sz="4" w:space="0" w:color="auto"/>
            </w:tcBorders>
            <w:shd w:val="clear" w:color="000000" w:fill="D9D9D9"/>
            <w:vAlign w:val="center"/>
            <w:hideMark/>
          </w:tcPr>
          <w:p w14:paraId="5C4D364D"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1.2.1. Krijimi i një metodologjie të koordinuar për mbledhjen e të dhënave (sipas planit të statistikave)</w:t>
            </w:r>
          </w:p>
        </w:tc>
        <w:tc>
          <w:tcPr>
            <w:tcW w:w="186" w:type="pct"/>
            <w:tcBorders>
              <w:top w:val="nil"/>
              <w:left w:val="nil"/>
              <w:bottom w:val="single" w:sz="4" w:space="0" w:color="auto"/>
              <w:right w:val="single" w:sz="4" w:space="0" w:color="auto"/>
            </w:tcBorders>
            <w:shd w:val="clear" w:color="000000" w:fill="D9D9D9"/>
            <w:vAlign w:val="center"/>
            <w:hideMark/>
          </w:tcPr>
          <w:p w14:paraId="1929026A"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 01330 Menaxhimi dhe Zhvillimi i Administratës Publike (87), 01330 Menaxhimi dhe Zhvillimi i Administratës Publike (89)</w:t>
            </w:r>
          </w:p>
        </w:tc>
        <w:tc>
          <w:tcPr>
            <w:tcW w:w="169" w:type="pct"/>
            <w:tcBorders>
              <w:top w:val="nil"/>
              <w:left w:val="nil"/>
              <w:bottom w:val="single" w:sz="4" w:space="0" w:color="auto"/>
              <w:right w:val="single" w:sz="4" w:space="0" w:color="auto"/>
            </w:tcBorders>
            <w:shd w:val="clear" w:color="000000" w:fill="D9D9D9"/>
            <w:vAlign w:val="center"/>
            <w:hideMark/>
          </w:tcPr>
          <w:p w14:paraId="554E593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 ASPA, KDIMDP</w:t>
            </w:r>
          </w:p>
        </w:tc>
        <w:tc>
          <w:tcPr>
            <w:tcW w:w="244" w:type="pct"/>
            <w:tcBorders>
              <w:top w:val="nil"/>
              <w:left w:val="nil"/>
              <w:bottom w:val="single" w:sz="4" w:space="0" w:color="auto"/>
              <w:right w:val="single" w:sz="4" w:space="0" w:color="auto"/>
            </w:tcBorders>
            <w:shd w:val="clear" w:color="000000" w:fill="D9D9D9"/>
            <w:vAlign w:val="center"/>
            <w:hideMark/>
          </w:tcPr>
          <w:p w14:paraId="39C0D850" w14:textId="659345A4"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DKM, MEPJ, MEKI, AKPA, BSH, MSHMS, MAS, INSTAT, IOM, BSH, Të gjitha ministritë, </w:t>
            </w:r>
            <w:r w:rsidR="002803F2" w:rsidRPr="00B457F5">
              <w:rPr>
                <w:rFonts w:ascii="Garamond" w:eastAsia="Times New Roman" w:hAnsi="Garamond" w:cs="Times New Roman"/>
                <w:color w:val="000000"/>
                <w:sz w:val="4"/>
                <w:szCs w:val="10"/>
              </w:rPr>
              <w:t>Ambasada e Mbretërisë së Bashkuar</w:t>
            </w:r>
          </w:p>
        </w:tc>
        <w:tc>
          <w:tcPr>
            <w:tcW w:w="135" w:type="pct"/>
            <w:tcBorders>
              <w:top w:val="nil"/>
              <w:left w:val="nil"/>
              <w:bottom w:val="single" w:sz="4" w:space="0" w:color="auto"/>
              <w:right w:val="nil"/>
            </w:tcBorders>
            <w:shd w:val="clear" w:color="000000" w:fill="D9D9D9"/>
            <w:vAlign w:val="center"/>
            <w:hideMark/>
          </w:tcPr>
          <w:p w14:paraId="36374649"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single" w:sz="4" w:space="0" w:color="auto"/>
              <w:bottom w:val="single" w:sz="4" w:space="0" w:color="auto"/>
              <w:right w:val="single" w:sz="4" w:space="0" w:color="auto"/>
            </w:tcBorders>
            <w:shd w:val="clear" w:color="000000" w:fill="D9D9D9"/>
            <w:vAlign w:val="center"/>
            <w:hideMark/>
          </w:tcPr>
          <w:p w14:paraId="01903477"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000000" w:fill="D9D9D9"/>
            <w:vAlign w:val="center"/>
            <w:hideMark/>
          </w:tcPr>
          <w:p w14:paraId="143979D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6,287,576</w:t>
            </w:r>
          </w:p>
        </w:tc>
        <w:tc>
          <w:tcPr>
            <w:tcW w:w="155" w:type="pct"/>
            <w:tcBorders>
              <w:top w:val="nil"/>
              <w:left w:val="nil"/>
              <w:bottom w:val="single" w:sz="4" w:space="0" w:color="auto"/>
              <w:right w:val="single" w:sz="4" w:space="0" w:color="auto"/>
            </w:tcBorders>
            <w:shd w:val="clear" w:color="000000" w:fill="D9D9D9"/>
            <w:vAlign w:val="center"/>
            <w:hideMark/>
          </w:tcPr>
          <w:p w14:paraId="7C0336C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2259F65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6,287,576</w:t>
            </w:r>
          </w:p>
        </w:tc>
        <w:tc>
          <w:tcPr>
            <w:tcW w:w="165" w:type="pct"/>
            <w:tcBorders>
              <w:top w:val="nil"/>
              <w:left w:val="nil"/>
              <w:bottom w:val="single" w:sz="4" w:space="0" w:color="auto"/>
              <w:right w:val="single" w:sz="4" w:space="0" w:color="auto"/>
            </w:tcBorders>
            <w:shd w:val="clear" w:color="000000" w:fill="D9D9D9"/>
            <w:vAlign w:val="center"/>
            <w:hideMark/>
          </w:tcPr>
          <w:p w14:paraId="704CD2C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5,423,576</w:t>
            </w:r>
          </w:p>
        </w:tc>
        <w:tc>
          <w:tcPr>
            <w:tcW w:w="163" w:type="pct"/>
            <w:tcBorders>
              <w:top w:val="nil"/>
              <w:left w:val="nil"/>
              <w:bottom w:val="single" w:sz="4" w:space="0" w:color="auto"/>
              <w:right w:val="single" w:sz="4" w:space="0" w:color="auto"/>
            </w:tcBorders>
            <w:shd w:val="clear" w:color="000000" w:fill="D9D9D9"/>
            <w:vAlign w:val="center"/>
            <w:hideMark/>
          </w:tcPr>
          <w:p w14:paraId="4E40093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09AD8D6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5,423,576</w:t>
            </w:r>
          </w:p>
        </w:tc>
        <w:tc>
          <w:tcPr>
            <w:tcW w:w="163" w:type="pct"/>
            <w:tcBorders>
              <w:top w:val="nil"/>
              <w:left w:val="nil"/>
              <w:bottom w:val="single" w:sz="4" w:space="0" w:color="auto"/>
              <w:right w:val="single" w:sz="4" w:space="0" w:color="auto"/>
            </w:tcBorders>
            <w:shd w:val="clear" w:color="000000" w:fill="D9D9D9"/>
            <w:vAlign w:val="center"/>
            <w:hideMark/>
          </w:tcPr>
          <w:p w14:paraId="62171BE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5,423,576</w:t>
            </w:r>
          </w:p>
        </w:tc>
        <w:tc>
          <w:tcPr>
            <w:tcW w:w="148" w:type="pct"/>
            <w:tcBorders>
              <w:top w:val="nil"/>
              <w:left w:val="nil"/>
              <w:bottom w:val="single" w:sz="4" w:space="0" w:color="auto"/>
              <w:right w:val="single" w:sz="4" w:space="0" w:color="auto"/>
            </w:tcBorders>
            <w:shd w:val="clear" w:color="000000" w:fill="D9D9D9"/>
            <w:vAlign w:val="center"/>
            <w:hideMark/>
          </w:tcPr>
          <w:p w14:paraId="2B97866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6F0BEA7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5,423,576</w:t>
            </w:r>
          </w:p>
        </w:tc>
        <w:tc>
          <w:tcPr>
            <w:tcW w:w="165" w:type="pct"/>
            <w:tcBorders>
              <w:top w:val="nil"/>
              <w:left w:val="nil"/>
              <w:bottom w:val="single" w:sz="4" w:space="0" w:color="auto"/>
              <w:right w:val="single" w:sz="4" w:space="0" w:color="auto"/>
            </w:tcBorders>
            <w:shd w:val="clear" w:color="000000" w:fill="D9D9D9"/>
            <w:vAlign w:val="center"/>
            <w:hideMark/>
          </w:tcPr>
          <w:p w14:paraId="372DE6C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17,134,728</w:t>
            </w:r>
          </w:p>
        </w:tc>
        <w:tc>
          <w:tcPr>
            <w:tcW w:w="163" w:type="pct"/>
            <w:tcBorders>
              <w:top w:val="nil"/>
              <w:left w:val="nil"/>
              <w:bottom w:val="single" w:sz="4" w:space="0" w:color="auto"/>
              <w:right w:val="single" w:sz="4" w:space="0" w:color="auto"/>
            </w:tcBorders>
            <w:shd w:val="clear" w:color="000000" w:fill="D9D9D9"/>
            <w:vAlign w:val="center"/>
            <w:hideMark/>
          </w:tcPr>
          <w:p w14:paraId="76FAAE7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D9D9D9"/>
            <w:vAlign w:val="center"/>
            <w:hideMark/>
          </w:tcPr>
          <w:p w14:paraId="0A03ED1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17,134,728</w:t>
            </w:r>
          </w:p>
        </w:tc>
        <w:tc>
          <w:tcPr>
            <w:tcW w:w="163" w:type="pct"/>
            <w:tcBorders>
              <w:top w:val="nil"/>
              <w:left w:val="nil"/>
              <w:bottom w:val="single" w:sz="4" w:space="0" w:color="auto"/>
              <w:right w:val="single" w:sz="4" w:space="0" w:color="auto"/>
            </w:tcBorders>
            <w:shd w:val="clear" w:color="000000" w:fill="D9D9D9"/>
            <w:vAlign w:val="center"/>
            <w:hideMark/>
          </w:tcPr>
          <w:p w14:paraId="53AB478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10,186,728</w:t>
            </w:r>
          </w:p>
        </w:tc>
        <w:tc>
          <w:tcPr>
            <w:tcW w:w="155" w:type="pct"/>
            <w:tcBorders>
              <w:top w:val="nil"/>
              <w:left w:val="nil"/>
              <w:bottom w:val="single" w:sz="4" w:space="0" w:color="auto"/>
              <w:right w:val="single" w:sz="4" w:space="0" w:color="auto"/>
            </w:tcBorders>
            <w:shd w:val="clear" w:color="000000" w:fill="D9D9D9"/>
            <w:vAlign w:val="center"/>
            <w:hideMark/>
          </w:tcPr>
          <w:p w14:paraId="6CE3B40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767F1E6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10,186,728</w:t>
            </w:r>
          </w:p>
        </w:tc>
        <w:tc>
          <w:tcPr>
            <w:tcW w:w="162" w:type="pct"/>
            <w:tcBorders>
              <w:top w:val="nil"/>
              <w:left w:val="nil"/>
              <w:bottom w:val="single" w:sz="4" w:space="0" w:color="auto"/>
              <w:right w:val="single" w:sz="4" w:space="0" w:color="auto"/>
            </w:tcBorders>
            <w:shd w:val="clear" w:color="000000" w:fill="D9D9D9"/>
            <w:vAlign w:val="center"/>
            <w:hideMark/>
          </w:tcPr>
          <w:p w14:paraId="05BF355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3,060,000</w:t>
            </w:r>
          </w:p>
        </w:tc>
        <w:tc>
          <w:tcPr>
            <w:tcW w:w="155" w:type="pct"/>
            <w:tcBorders>
              <w:top w:val="nil"/>
              <w:left w:val="nil"/>
              <w:bottom w:val="single" w:sz="4" w:space="0" w:color="auto"/>
              <w:right w:val="single" w:sz="4" w:space="0" w:color="auto"/>
            </w:tcBorders>
            <w:shd w:val="clear" w:color="000000" w:fill="D9D9D9"/>
            <w:vAlign w:val="center"/>
            <w:hideMark/>
          </w:tcPr>
          <w:p w14:paraId="136EC45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000000" w:fill="D9D9D9"/>
            <w:noWrap/>
            <w:vAlign w:val="center"/>
            <w:hideMark/>
          </w:tcPr>
          <w:p w14:paraId="1B6F271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D9D9D9"/>
            <w:noWrap/>
            <w:vAlign w:val="center"/>
            <w:hideMark/>
          </w:tcPr>
          <w:p w14:paraId="123C070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3,060,000</w:t>
            </w:r>
          </w:p>
        </w:tc>
        <w:tc>
          <w:tcPr>
            <w:tcW w:w="139" w:type="pct"/>
            <w:tcBorders>
              <w:top w:val="nil"/>
              <w:left w:val="nil"/>
              <w:bottom w:val="single" w:sz="4" w:space="0" w:color="auto"/>
              <w:right w:val="single" w:sz="4" w:space="0" w:color="auto"/>
            </w:tcBorders>
            <w:shd w:val="clear" w:color="000000" w:fill="D9D9D9"/>
            <w:vAlign w:val="center"/>
            <w:hideMark/>
          </w:tcPr>
          <w:p w14:paraId="23E7928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000000" w:fill="D9D9D9"/>
            <w:vAlign w:val="center"/>
            <w:hideMark/>
          </w:tcPr>
          <w:p w14:paraId="05ED3B3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D9D9D9"/>
            <w:noWrap/>
            <w:vAlign w:val="center"/>
            <w:hideMark/>
          </w:tcPr>
          <w:p w14:paraId="790524E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000000" w:fill="D9D9D9"/>
            <w:vAlign w:val="center"/>
            <w:hideMark/>
          </w:tcPr>
          <w:p w14:paraId="556500FD" w14:textId="684414E2"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(3,888,000)</w:t>
            </w:r>
          </w:p>
        </w:tc>
      </w:tr>
      <w:tr w:rsidR="00C260C3" w:rsidRPr="00B457F5" w14:paraId="3987887D"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center"/>
            <w:hideMark/>
          </w:tcPr>
          <w:p w14:paraId="2518548F"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1.2.1.1</w:t>
            </w:r>
          </w:p>
        </w:tc>
        <w:tc>
          <w:tcPr>
            <w:tcW w:w="281" w:type="pct"/>
            <w:tcBorders>
              <w:top w:val="nil"/>
              <w:left w:val="nil"/>
              <w:bottom w:val="single" w:sz="4" w:space="0" w:color="auto"/>
              <w:right w:val="single" w:sz="4" w:space="0" w:color="auto"/>
            </w:tcBorders>
            <w:shd w:val="clear" w:color="auto" w:fill="auto"/>
            <w:vAlign w:val="center"/>
            <w:hideMark/>
          </w:tcPr>
          <w:p w14:paraId="3170B8C2"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1.2.1.1 Prezantimi i udhërrëfyesit për mbledhjen e të dhënave të migracionit sipas rregullores së BE-së</w:t>
            </w:r>
          </w:p>
        </w:tc>
        <w:tc>
          <w:tcPr>
            <w:tcW w:w="186" w:type="pct"/>
            <w:tcBorders>
              <w:top w:val="nil"/>
              <w:left w:val="nil"/>
              <w:bottom w:val="single" w:sz="4" w:space="0" w:color="auto"/>
              <w:right w:val="single" w:sz="4" w:space="0" w:color="auto"/>
            </w:tcBorders>
            <w:shd w:val="clear" w:color="auto" w:fill="auto"/>
            <w:vAlign w:val="center"/>
            <w:hideMark/>
          </w:tcPr>
          <w:p w14:paraId="4C6CB6E7"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01B1A04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MB</w:t>
            </w:r>
          </w:p>
        </w:tc>
        <w:tc>
          <w:tcPr>
            <w:tcW w:w="244" w:type="pct"/>
            <w:tcBorders>
              <w:top w:val="nil"/>
              <w:left w:val="nil"/>
              <w:bottom w:val="single" w:sz="4" w:space="0" w:color="auto"/>
              <w:right w:val="single" w:sz="4" w:space="0" w:color="auto"/>
            </w:tcBorders>
            <w:shd w:val="clear" w:color="auto" w:fill="auto"/>
            <w:vAlign w:val="center"/>
            <w:hideMark/>
          </w:tcPr>
          <w:p w14:paraId="165D730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DKM, MEPJ, MEKI, AKPA, BSH, MSHMS, MAS, INSTAT, IOM</w:t>
            </w:r>
          </w:p>
        </w:tc>
        <w:tc>
          <w:tcPr>
            <w:tcW w:w="135" w:type="pct"/>
            <w:tcBorders>
              <w:top w:val="nil"/>
              <w:left w:val="nil"/>
              <w:bottom w:val="single" w:sz="4" w:space="0" w:color="auto"/>
              <w:right w:val="single" w:sz="4" w:space="0" w:color="auto"/>
            </w:tcBorders>
            <w:shd w:val="clear" w:color="000000" w:fill="DDEBF7"/>
            <w:vAlign w:val="center"/>
            <w:hideMark/>
          </w:tcPr>
          <w:p w14:paraId="1A1344E4"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2024</w:t>
            </w:r>
          </w:p>
        </w:tc>
        <w:tc>
          <w:tcPr>
            <w:tcW w:w="152" w:type="pct"/>
            <w:tcBorders>
              <w:top w:val="nil"/>
              <w:left w:val="nil"/>
              <w:bottom w:val="single" w:sz="4" w:space="0" w:color="auto"/>
              <w:right w:val="single" w:sz="4" w:space="0" w:color="auto"/>
            </w:tcBorders>
            <w:shd w:val="clear" w:color="000000" w:fill="DDEBF7"/>
            <w:vAlign w:val="center"/>
            <w:hideMark/>
          </w:tcPr>
          <w:p w14:paraId="7046ABC7"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2026 </w:t>
            </w:r>
          </w:p>
        </w:tc>
        <w:tc>
          <w:tcPr>
            <w:tcW w:w="163" w:type="pct"/>
            <w:tcBorders>
              <w:top w:val="nil"/>
              <w:left w:val="nil"/>
              <w:bottom w:val="single" w:sz="4" w:space="0" w:color="auto"/>
              <w:right w:val="single" w:sz="4" w:space="0" w:color="auto"/>
            </w:tcBorders>
            <w:shd w:val="clear" w:color="auto" w:fill="auto"/>
            <w:vAlign w:val="center"/>
            <w:hideMark/>
          </w:tcPr>
          <w:p w14:paraId="6238E00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1,022,990</w:t>
            </w:r>
          </w:p>
        </w:tc>
        <w:tc>
          <w:tcPr>
            <w:tcW w:w="155" w:type="pct"/>
            <w:tcBorders>
              <w:top w:val="nil"/>
              <w:left w:val="nil"/>
              <w:bottom w:val="single" w:sz="4" w:space="0" w:color="auto"/>
              <w:right w:val="single" w:sz="4" w:space="0" w:color="auto"/>
            </w:tcBorders>
            <w:shd w:val="clear" w:color="auto" w:fill="auto"/>
            <w:vAlign w:val="center"/>
            <w:hideMark/>
          </w:tcPr>
          <w:p w14:paraId="3AF7A51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49854BC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1,022,990</w:t>
            </w:r>
          </w:p>
        </w:tc>
        <w:tc>
          <w:tcPr>
            <w:tcW w:w="165" w:type="pct"/>
            <w:tcBorders>
              <w:top w:val="nil"/>
              <w:left w:val="nil"/>
              <w:bottom w:val="single" w:sz="4" w:space="0" w:color="auto"/>
              <w:right w:val="single" w:sz="4" w:space="0" w:color="auto"/>
            </w:tcBorders>
            <w:shd w:val="clear" w:color="auto" w:fill="auto"/>
            <w:vAlign w:val="center"/>
            <w:hideMark/>
          </w:tcPr>
          <w:p w14:paraId="19B9FF9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1,022,990</w:t>
            </w:r>
          </w:p>
        </w:tc>
        <w:tc>
          <w:tcPr>
            <w:tcW w:w="163" w:type="pct"/>
            <w:tcBorders>
              <w:top w:val="nil"/>
              <w:left w:val="nil"/>
              <w:bottom w:val="single" w:sz="4" w:space="0" w:color="auto"/>
              <w:right w:val="single" w:sz="4" w:space="0" w:color="auto"/>
            </w:tcBorders>
            <w:shd w:val="clear" w:color="auto" w:fill="auto"/>
            <w:vAlign w:val="center"/>
            <w:hideMark/>
          </w:tcPr>
          <w:p w14:paraId="0F902BD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8ED951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1,022,990</w:t>
            </w:r>
          </w:p>
        </w:tc>
        <w:tc>
          <w:tcPr>
            <w:tcW w:w="163" w:type="pct"/>
            <w:tcBorders>
              <w:top w:val="nil"/>
              <w:left w:val="nil"/>
              <w:bottom w:val="single" w:sz="4" w:space="0" w:color="auto"/>
              <w:right w:val="single" w:sz="4" w:space="0" w:color="auto"/>
            </w:tcBorders>
            <w:shd w:val="clear" w:color="auto" w:fill="auto"/>
            <w:vAlign w:val="center"/>
            <w:hideMark/>
          </w:tcPr>
          <w:p w14:paraId="3D7E6F7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1,022,990</w:t>
            </w:r>
          </w:p>
        </w:tc>
        <w:tc>
          <w:tcPr>
            <w:tcW w:w="148" w:type="pct"/>
            <w:tcBorders>
              <w:top w:val="nil"/>
              <w:left w:val="nil"/>
              <w:bottom w:val="single" w:sz="4" w:space="0" w:color="auto"/>
              <w:right w:val="single" w:sz="4" w:space="0" w:color="auto"/>
            </w:tcBorders>
            <w:shd w:val="clear" w:color="auto" w:fill="auto"/>
            <w:vAlign w:val="center"/>
            <w:hideMark/>
          </w:tcPr>
          <w:p w14:paraId="36874B0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7F57003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1,022,990</w:t>
            </w:r>
          </w:p>
        </w:tc>
        <w:tc>
          <w:tcPr>
            <w:tcW w:w="165" w:type="pct"/>
            <w:tcBorders>
              <w:top w:val="nil"/>
              <w:left w:val="nil"/>
              <w:bottom w:val="single" w:sz="4" w:space="0" w:color="auto"/>
              <w:right w:val="single" w:sz="4" w:space="0" w:color="auto"/>
            </w:tcBorders>
            <w:shd w:val="clear" w:color="auto" w:fill="auto"/>
            <w:vAlign w:val="center"/>
            <w:hideMark/>
          </w:tcPr>
          <w:p w14:paraId="47B1588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3,068,970</w:t>
            </w:r>
          </w:p>
        </w:tc>
        <w:tc>
          <w:tcPr>
            <w:tcW w:w="163" w:type="pct"/>
            <w:tcBorders>
              <w:top w:val="nil"/>
              <w:left w:val="nil"/>
              <w:bottom w:val="single" w:sz="4" w:space="0" w:color="auto"/>
              <w:right w:val="single" w:sz="4" w:space="0" w:color="auto"/>
            </w:tcBorders>
            <w:shd w:val="clear" w:color="auto" w:fill="auto"/>
            <w:vAlign w:val="center"/>
            <w:hideMark/>
          </w:tcPr>
          <w:p w14:paraId="799D7B8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299886A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3,068,970</w:t>
            </w:r>
          </w:p>
        </w:tc>
        <w:tc>
          <w:tcPr>
            <w:tcW w:w="163" w:type="pct"/>
            <w:tcBorders>
              <w:top w:val="nil"/>
              <w:left w:val="nil"/>
              <w:bottom w:val="single" w:sz="4" w:space="0" w:color="auto"/>
              <w:right w:val="single" w:sz="4" w:space="0" w:color="auto"/>
            </w:tcBorders>
            <w:shd w:val="clear" w:color="auto" w:fill="auto"/>
            <w:vAlign w:val="center"/>
            <w:hideMark/>
          </w:tcPr>
          <w:p w14:paraId="5B73109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3,068,970</w:t>
            </w:r>
          </w:p>
        </w:tc>
        <w:tc>
          <w:tcPr>
            <w:tcW w:w="155" w:type="pct"/>
            <w:tcBorders>
              <w:top w:val="nil"/>
              <w:left w:val="nil"/>
              <w:bottom w:val="single" w:sz="4" w:space="0" w:color="auto"/>
              <w:right w:val="single" w:sz="4" w:space="0" w:color="auto"/>
            </w:tcBorders>
            <w:shd w:val="clear" w:color="auto" w:fill="auto"/>
            <w:vAlign w:val="center"/>
            <w:hideMark/>
          </w:tcPr>
          <w:p w14:paraId="6850026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60787D2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3,068,970</w:t>
            </w:r>
          </w:p>
        </w:tc>
        <w:tc>
          <w:tcPr>
            <w:tcW w:w="162" w:type="pct"/>
            <w:tcBorders>
              <w:top w:val="nil"/>
              <w:left w:val="nil"/>
              <w:bottom w:val="single" w:sz="4" w:space="0" w:color="auto"/>
              <w:right w:val="single" w:sz="4" w:space="0" w:color="auto"/>
            </w:tcBorders>
            <w:shd w:val="clear" w:color="auto" w:fill="auto"/>
            <w:vAlign w:val="center"/>
            <w:hideMark/>
          </w:tcPr>
          <w:p w14:paraId="0965742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14256D6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noWrap/>
            <w:vAlign w:val="center"/>
            <w:hideMark/>
          </w:tcPr>
          <w:p w14:paraId="7AE310E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noWrap/>
            <w:vAlign w:val="center"/>
            <w:hideMark/>
          </w:tcPr>
          <w:p w14:paraId="740D9F1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499C9EA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187F452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noWrap/>
            <w:vAlign w:val="center"/>
            <w:hideMark/>
          </w:tcPr>
          <w:p w14:paraId="658CFD3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6CDB70E9" w14:textId="37D3FB46"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2523C473"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center"/>
            <w:hideMark/>
          </w:tcPr>
          <w:p w14:paraId="1F8C0857"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1.2.1.2</w:t>
            </w:r>
          </w:p>
        </w:tc>
        <w:tc>
          <w:tcPr>
            <w:tcW w:w="281" w:type="pct"/>
            <w:tcBorders>
              <w:top w:val="nil"/>
              <w:left w:val="nil"/>
              <w:bottom w:val="single" w:sz="4" w:space="0" w:color="auto"/>
              <w:right w:val="single" w:sz="4" w:space="0" w:color="auto"/>
            </w:tcBorders>
            <w:shd w:val="clear" w:color="auto" w:fill="auto"/>
            <w:vAlign w:val="center"/>
            <w:hideMark/>
          </w:tcPr>
          <w:p w14:paraId="5A28BEC8" w14:textId="69D530D3"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1.2.1.2 Krijimi dhe monitorimi i një praktike të unifikuar për mbledhjen e të dhënave dhe përdorimin e të dhënave të ndara sipas gjinisë, moshës, statusit dhe karakteristikave të tjera të migrantëve</w:t>
            </w:r>
            <w:r w:rsidR="003737F5"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të cilat do të jenë bazë për zhvillimin e politikave të migracionit mbi prova konkrete. (në përputhje me </w:t>
            </w:r>
            <w:r w:rsidR="006A63AF" w:rsidRPr="00B457F5">
              <w:rPr>
                <w:rFonts w:ascii="Garamond" w:eastAsia="Times New Roman" w:hAnsi="Garamond" w:cs="Times New Roman"/>
                <w:color w:val="000000"/>
                <w:sz w:val="4"/>
                <w:szCs w:val="10"/>
              </w:rPr>
              <w:t>r</w:t>
            </w:r>
            <w:r w:rsidRPr="00B457F5">
              <w:rPr>
                <w:rFonts w:ascii="Garamond" w:eastAsia="Times New Roman" w:hAnsi="Garamond" w:cs="Times New Roman"/>
                <w:color w:val="000000"/>
                <w:sz w:val="4"/>
                <w:szCs w:val="10"/>
              </w:rPr>
              <w:t>regulloren 862/2007</w:t>
            </w:r>
            <w:r w:rsidR="003737F5"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për statistikat e Komunitetit për migrimin dhe mbrojtjen ndërkombëtare, duke mbrojtur të dhënat personale të migrantëve.) </w:t>
            </w:r>
          </w:p>
        </w:tc>
        <w:tc>
          <w:tcPr>
            <w:tcW w:w="186" w:type="pct"/>
            <w:tcBorders>
              <w:top w:val="nil"/>
              <w:left w:val="nil"/>
              <w:bottom w:val="single" w:sz="4" w:space="0" w:color="auto"/>
              <w:right w:val="single" w:sz="4" w:space="0" w:color="auto"/>
            </w:tcBorders>
            <w:shd w:val="clear" w:color="auto" w:fill="auto"/>
            <w:vAlign w:val="center"/>
            <w:hideMark/>
          </w:tcPr>
          <w:p w14:paraId="682BDBF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75A18BD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517F528F" w14:textId="0A2F3AB5"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Të gjitha ministritë, </w:t>
            </w:r>
            <w:r w:rsidR="002803F2" w:rsidRPr="00B457F5">
              <w:rPr>
                <w:rFonts w:ascii="Garamond" w:eastAsia="Times New Roman" w:hAnsi="Garamond" w:cs="Times New Roman"/>
                <w:color w:val="000000"/>
                <w:sz w:val="4"/>
                <w:szCs w:val="10"/>
              </w:rPr>
              <w:t>Ambasada e Mbretërisë së Bashkuar</w:t>
            </w:r>
          </w:p>
        </w:tc>
        <w:tc>
          <w:tcPr>
            <w:tcW w:w="135" w:type="pct"/>
            <w:tcBorders>
              <w:top w:val="nil"/>
              <w:left w:val="nil"/>
              <w:bottom w:val="single" w:sz="4" w:space="0" w:color="auto"/>
              <w:right w:val="single" w:sz="4" w:space="0" w:color="auto"/>
            </w:tcBorders>
            <w:shd w:val="clear" w:color="000000" w:fill="DDEBF7"/>
            <w:vAlign w:val="center"/>
            <w:hideMark/>
          </w:tcPr>
          <w:p w14:paraId="1C8F177C"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3884BA3A"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56E9162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3,968,586</w:t>
            </w:r>
          </w:p>
        </w:tc>
        <w:tc>
          <w:tcPr>
            <w:tcW w:w="155" w:type="pct"/>
            <w:tcBorders>
              <w:top w:val="nil"/>
              <w:left w:val="nil"/>
              <w:bottom w:val="single" w:sz="4" w:space="0" w:color="auto"/>
              <w:right w:val="single" w:sz="4" w:space="0" w:color="auto"/>
            </w:tcBorders>
            <w:shd w:val="clear" w:color="auto" w:fill="auto"/>
            <w:vAlign w:val="center"/>
            <w:hideMark/>
          </w:tcPr>
          <w:p w14:paraId="470433F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074A0AA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3,968,586</w:t>
            </w:r>
          </w:p>
        </w:tc>
        <w:tc>
          <w:tcPr>
            <w:tcW w:w="165" w:type="pct"/>
            <w:tcBorders>
              <w:top w:val="nil"/>
              <w:left w:val="nil"/>
              <w:bottom w:val="single" w:sz="4" w:space="0" w:color="auto"/>
              <w:right w:val="single" w:sz="4" w:space="0" w:color="auto"/>
            </w:tcBorders>
            <w:shd w:val="clear" w:color="auto" w:fill="auto"/>
            <w:vAlign w:val="center"/>
            <w:hideMark/>
          </w:tcPr>
          <w:p w14:paraId="3E87A1E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1,808,586</w:t>
            </w:r>
          </w:p>
        </w:tc>
        <w:tc>
          <w:tcPr>
            <w:tcW w:w="163" w:type="pct"/>
            <w:tcBorders>
              <w:top w:val="nil"/>
              <w:left w:val="nil"/>
              <w:bottom w:val="single" w:sz="4" w:space="0" w:color="auto"/>
              <w:right w:val="single" w:sz="4" w:space="0" w:color="auto"/>
            </w:tcBorders>
            <w:shd w:val="clear" w:color="auto" w:fill="auto"/>
            <w:vAlign w:val="center"/>
            <w:hideMark/>
          </w:tcPr>
          <w:p w14:paraId="745AF0B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5FD14F2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1,808,586</w:t>
            </w:r>
          </w:p>
        </w:tc>
        <w:tc>
          <w:tcPr>
            <w:tcW w:w="163" w:type="pct"/>
            <w:tcBorders>
              <w:top w:val="nil"/>
              <w:left w:val="nil"/>
              <w:bottom w:val="single" w:sz="4" w:space="0" w:color="auto"/>
              <w:right w:val="single" w:sz="4" w:space="0" w:color="auto"/>
            </w:tcBorders>
            <w:shd w:val="clear" w:color="auto" w:fill="auto"/>
            <w:vAlign w:val="center"/>
            <w:hideMark/>
          </w:tcPr>
          <w:p w14:paraId="7BD59D1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1,808,586</w:t>
            </w:r>
          </w:p>
        </w:tc>
        <w:tc>
          <w:tcPr>
            <w:tcW w:w="148" w:type="pct"/>
            <w:tcBorders>
              <w:top w:val="nil"/>
              <w:left w:val="nil"/>
              <w:bottom w:val="single" w:sz="4" w:space="0" w:color="auto"/>
              <w:right w:val="single" w:sz="4" w:space="0" w:color="auto"/>
            </w:tcBorders>
            <w:shd w:val="clear" w:color="auto" w:fill="auto"/>
            <w:vAlign w:val="center"/>
            <w:hideMark/>
          </w:tcPr>
          <w:p w14:paraId="4CF8A87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7A62C14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1,808,586</w:t>
            </w:r>
          </w:p>
        </w:tc>
        <w:tc>
          <w:tcPr>
            <w:tcW w:w="165" w:type="pct"/>
            <w:tcBorders>
              <w:top w:val="nil"/>
              <w:left w:val="nil"/>
              <w:bottom w:val="single" w:sz="4" w:space="0" w:color="auto"/>
              <w:right w:val="single" w:sz="4" w:space="0" w:color="auto"/>
            </w:tcBorders>
            <w:shd w:val="clear" w:color="auto" w:fill="auto"/>
            <w:vAlign w:val="center"/>
            <w:hideMark/>
          </w:tcPr>
          <w:p w14:paraId="399EA76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7,585,758</w:t>
            </w:r>
          </w:p>
        </w:tc>
        <w:tc>
          <w:tcPr>
            <w:tcW w:w="163" w:type="pct"/>
            <w:tcBorders>
              <w:top w:val="nil"/>
              <w:left w:val="nil"/>
              <w:bottom w:val="single" w:sz="4" w:space="0" w:color="auto"/>
              <w:right w:val="single" w:sz="4" w:space="0" w:color="auto"/>
            </w:tcBorders>
            <w:shd w:val="clear" w:color="auto" w:fill="auto"/>
            <w:vAlign w:val="center"/>
            <w:hideMark/>
          </w:tcPr>
          <w:p w14:paraId="1688DAC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1B3E059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7,585,758</w:t>
            </w:r>
          </w:p>
        </w:tc>
        <w:tc>
          <w:tcPr>
            <w:tcW w:w="163" w:type="pct"/>
            <w:tcBorders>
              <w:top w:val="nil"/>
              <w:left w:val="nil"/>
              <w:bottom w:val="single" w:sz="4" w:space="0" w:color="auto"/>
              <w:right w:val="single" w:sz="4" w:space="0" w:color="auto"/>
            </w:tcBorders>
            <w:shd w:val="clear" w:color="auto" w:fill="auto"/>
            <w:vAlign w:val="center"/>
            <w:hideMark/>
          </w:tcPr>
          <w:p w14:paraId="356A6BD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4,525,758</w:t>
            </w:r>
          </w:p>
        </w:tc>
        <w:tc>
          <w:tcPr>
            <w:tcW w:w="155" w:type="pct"/>
            <w:tcBorders>
              <w:top w:val="nil"/>
              <w:left w:val="nil"/>
              <w:bottom w:val="single" w:sz="4" w:space="0" w:color="auto"/>
              <w:right w:val="single" w:sz="4" w:space="0" w:color="auto"/>
            </w:tcBorders>
            <w:shd w:val="clear" w:color="auto" w:fill="auto"/>
            <w:vAlign w:val="center"/>
            <w:hideMark/>
          </w:tcPr>
          <w:p w14:paraId="4EB90BF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C0C3D2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4,525,758</w:t>
            </w:r>
          </w:p>
        </w:tc>
        <w:tc>
          <w:tcPr>
            <w:tcW w:w="162" w:type="pct"/>
            <w:tcBorders>
              <w:top w:val="nil"/>
              <w:left w:val="nil"/>
              <w:bottom w:val="single" w:sz="4" w:space="0" w:color="auto"/>
              <w:right w:val="single" w:sz="4" w:space="0" w:color="auto"/>
            </w:tcBorders>
            <w:shd w:val="clear" w:color="auto" w:fill="auto"/>
            <w:vAlign w:val="center"/>
            <w:hideMark/>
          </w:tcPr>
          <w:p w14:paraId="6C91B1E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3,060,000</w:t>
            </w:r>
          </w:p>
        </w:tc>
        <w:tc>
          <w:tcPr>
            <w:tcW w:w="155" w:type="pct"/>
            <w:tcBorders>
              <w:top w:val="nil"/>
              <w:left w:val="nil"/>
              <w:bottom w:val="single" w:sz="4" w:space="0" w:color="auto"/>
              <w:right w:val="single" w:sz="4" w:space="0" w:color="auto"/>
            </w:tcBorders>
            <w:shd w:val="clear" w:color="auto" w:fill="auto"/>
            <w:vAlign w:val="center"/>
            <w:hideMark/>
          </w:tcPr>
          <w:p w14:paraId="2C634E2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78BAEB0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Ambasada e Mbret</w:t>
            </w:r>
            <w:r w:rsidRPr="00B457F5">
              <w:rPr>
                <w:rFonts w:ascii="Garamond" w:eastAsia="Times New Roman" w:hAnsi="Garamond" w:cs="Arial"/>
                <w:color w:val="000000"/>
                <w:sz w:val="4"/>
                <w:szCs w:val="10"/>
              </w:rPr>
              <w:t>ë</w:t>
            </w:r>
            <w:r w:rsidRPr="00B457F5">
              <w:rPr>
                <w:rFonts w:ascii="Garamond" w:eastAsia="Times New Roman" w:hAnsi="Garamond" w:cs="Times New Roman"/>
                <w:color w:val="000000"/>
                <w:sz w:val="4"/>
                <w:szCs w:val="10"/>
              </w:rPr>
              <w:t>ris</w:t>
            </w:r>
            <w:r w:rsidRPr="00B457F5">
              <w:rPr>
                <w:rFonts w:ascii="Garamond" w:eastAsia="Times New Roman" w:hAnsi="Garamond" w:cs="Arial"/>
                <w:color w:val="000000"/>
                <w:sz w:val="4"/>
                <w:szCs w:val="10"/>
              </w:rPr>
              <w:t>ë</w:t>
            </w:r>
            <w:r w:rsidRPr="00B457F5">
              <w:rPr>
                <w:rFonts w:ascii="Garamond" w:eastAsia="Times New Roman" w:hAnsi="Garamond" w:cs="Times New Roman"/>
                <w:color w:val="000000"/>
                <w:sz w:val="4"/>
                <w:szCs w:val="10"/>
              </w:rPr>
              <w:t xml:space="preserve"> s</w:t>
            </w:r>
            <w:r w:rsidRPr="00B457F5">
              <w:rPr>
                <w:rFonts w:ascii="Garamond" w:eastAsia="Times New Roman" w:hAnsi="Garamond" w:cs="Arial"/>
                <w:color w:val="000000"/>
                <w:sz w:val="4"/>
                <w:szCs w:val="10"/>
              </w:rPr>
              <w:t>ë</w:t>
            </w:r>
            <w:r w:rsidRPr="00B457F5">
              <w:rPr>
                <w:rFonts w:ascii="Garamond" w:eastAsia="Times New Roman" w:hAnsi="Garamond" w:cs="Times New Roman"/>
                <w:color w:val="000000"/>
                <w:sz w:val="4"/>
                <w:szCs w:val="10"/>
              </w:rPr>
              <w:t xml:space="preserve"> Bashkuar</w:t>
            </w:r>
          </w:p>
        </w:tc>
        <w:tc>
          <w:tcPr>
            <w:tcW w:w="163" w:type="pct"/>
            <w:tcBorders>
              <w:top w:val="nil"/>
              <w:left w:val="nil"/>
              <w:bottom w:val="single" w:sz="4" w:space="0" w:color="auto"/>
              <w:right w:val="single" w:sz="4" w:space="0" w:color="auto"/>
            </w:tcBorders>
            <w:shd w:val="clear" w:color="000000" w:fill="FFF2CC"/>
            <w:noWrap/>
            <w:vAlign w:val="center"/>
            <w:hideMark/>
          </w:tcPr>
          <w:p w14:paraId="35D7BE8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3,060,000</w:t>
            </w:r>
          </w:p>
        </w:tc>
        <w:tc>
          <w:tcPr>
            <w:tcW w:w="139" w:type="pct"/>
            <w:tcBorders>
              <w:top w:val="nil"/>
              <w:left w:val="nil"/>
              <w:bottom w:val="single" w:sz="4" w:space="0" w:color="auto"/>
              <w:right w:val="single" w:sz="4" w:space="0" w:color="auto"/>
            </w:tcBorders>
            <w:shd w:val="clear" w:color="auto" w:fill="auto"/>
            <w:vAlign w:val="center"/>
            <w:hideMark/>
          </w:tcPr>
          <w:p w14:paraId="30B5A12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42F43A0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noWrap/>
            <w:vAlign w:val="center"/>
            <w:hideMark/>
          </w:tcPr>
          <w:p w14:paraId="2E62BE6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1D2EBD60" w14:textId="5A5B8811"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583F023D"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center"/>
            <w:hideMark/>
          </w:tcPr>
          <w:p w14:paraId="68342892"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1.2.1.3</w:t>
            </w:r>
          </w:p>
        </w:tc>
        <w:tc>
          <w:tcPr>
            <w:tcW w:w="281" w:type="pct"/>
            <w:tcBorders>
              <w:top w:val="nil"/>
              <w:left w:val="nil"/>
              <w:bottom w:val="single" w:sz="4" w:space="0" w:color="auto"/>
              <w:right w:val="single" w:sz="4" w:space="0" w:color="auto"/>
            </w:tcBorders>
            <w:shd w:val="clear" w:color="auto" w:fill="auto"/>
            <w:vAlign w:val="center"/>
            <w:hideMark/>
          </w:tcPr>
          <w:p w14:paraId="34055D1B"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1.2.1.3 Zhvillimi i trajnimeve për realizimin me përgjegjshmëri të proceseve të përpunimit, shkëmbimit dhe ndërveprimit të të dhënave personale, me qëllim rritjen e aftësive të nëpunësve të ngarkuar me mbledhjen e të dhënave të migracionit</w:t>
            </w:r>
          </w:p>
        </w:tc>
        <w:tc>
          <w:tcPr>
            <w:tcW w:w="186" w:type="pct"/>
            <w:tcBorders>
              <w:top w:val="nil"/>
              <w:left w:val="nil"/>
              <w:bottom w:val="single" w:sz="4" w:space="0" w:color="auto"/>
              <w:right w:val="single" w:sz="4" w:space="0" w:color="auto"/>
            </w:tcBorders>
            <w:shd w:val="clear" w:color="auto" w:fill="auto"/>
            <w:vAlign w:val="center"/>
            <w:hideMark/>
          </w:tcPr>
          <w:p w14:paraId="4CD19625"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01330 Menaxhimi dhe Zhvillimi i Administratës Publike (89)</w:t>
            </w:r>
          </w:p>
        </w:tc>
        <w:tc>
          <w:tcPr>
            <w:tcW w:w="169" w:type="pct"/>
            <w:tcBorders>
              <w:top w:val="nil"/>
              <w:left w:val="nil"/>
              <w:bottom w:val="single" w:sz="4" w:space="0" w:color="auto"/>
              <w:right w:val="single" w:sz="4" w:space="0" w:color="auto"/>
            </w:tcBorders>
            <w:shd w:val="clear" w:color="auto" w:fill="auto"/>
            <w:vAlign w:val="center"/>
            <w:hideMark/>
          </w:tcPr>
          <w:p w14:paraId="1F79F24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KDIMDP</w:t>
            </w:r>
          </w:p>
        </w:tc>
        <w:tc>
          <w:tcPr>
            <w:tcW w:w="244" w:type="pct"/>
            <w:tcBorders>
              <w:top w:val="nil"/>
              <w:left w:val="nil"/>
              <w:bottom w:val="single" w:sz="4" w:space="0" w:color="auto"/>
              <w:right w:val="single" w:sz="4" w:space="0" w:color="auto"/>
            </w:tcBorders>
            <w:shd w:val="clear" w:color="auto" w:fill="auto"/>
            <w:vAlign w:val="center"/>
            <w:hideMark/>
          </w:tcPr>
          <w:p w14:paraId="244FF8F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w:t>
            </w:r>
          </w:p>
        </w:tc>
        <w:tc>
          <w:tcPr>
            <w:tcW w:w="135" w:type="pct"/>
            <w:tcBorders>
              <w:top w:val="nil"/>
              <w:left w:val="nil"/>
              <w:bottom w:val="single" w:sz="4" w:space="0" w:color="auto"/>
              <w:right w:val="single" w:sz="4" w:space="0" w:color="auto"/>
            </w:tcBorders>
            <w:shd w:val="clear" w:color="000000" w:fill="DDEBF7"/>
            <w:vAlign w:val="center"/>
            <w:hideMark/>
          </w:tcPr>
          <w:p w14:paraId="2B0EE28A"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7515948F"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57F1164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1,296,000</w:t>
            </w:r>
          </w:p>
        </w:tc>
        <w:tc>
          <w:tcPr>
            <w:tcW w:w="155" w:type="pct"/>
            <w:tcBorders>
              <w:top w:val="nil"/>
              <w:left w:val="nil"/>
              <w:bottom w:val="single" w:sz="4" w:space="0" w:color="auto"/>
              <w:right w:val="single" w:sz="4" w:space="0" w:color="auto"/>
            </w:tcBorders>
            <w:shd w:val="clear" w:color="auto" w:fill="auto"/>
            <w:vAlign w:val="center"/>
            <w:hideMark/>
          </w:tcPr>
          <w:p w14:paraId="56F0840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6405B90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1,296,000</w:t>
            </w:r>
          </w:p>
        </w:tc>
        <w:tc>
          <w:tcPr>
            <w:tcW w:w="165" w:type="pct"/>
            <w:tcBorders>
              <w:top w:val="nil"/>
              <w:left w:val="nil"/>
              <w:bottom w:val="single" w:sz="4" w:space="0" w:color="auto"/>
              <w:right w:val="single" w:sz="4" w:space="0" w:color="auto"/>
            </w:tcBorders>
            <w:shd w:val="clear" w:color="auto" w:fill="auto"/>
            <w:vAlign w:val="center"/>
            <w:hideMark/>
          </w:tcPr>
          <w:p w14:paraId="4A988CD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1,296,000</w:t>
            </w:r>
          </w:p>
        </w:tc>
        <w:tc>
          <w:tcPr>
            <w:tcW w:w="163" w:type="pct"/>
            <w:tcBorders>
              <w:top w:val="nil"/>
              <w:left w:val="nil"/>
              <w:bottom w:val="single" w:sz="4" w:space="0" w:color="auto"/>
              <w:right w:val="single" w:sz="4" w:space="0" w:color="auto"/>
            </w:tcBorders>
            <w:shd w:val="clear" w:color="auto" w:fill="auto"/>
            <w:vAlign w:val="center"/>
            <w:hideMark/>
          </w:tcPr>
          <w:p w14:paraId="595F4C7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3805A54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1,296,000</w:t>
            </w:r>
          </w:p>
        </w:tc>
        <w:tc>
          <w:tcPr>
            <w:tcW w:w="163" w:type="pct"/>
            <w:tcBorders>
              <w:top w:val="nil"/>
              <w:left w:val="nil"/>
              <w:bottom w:val="single" w:sz="4" w:space="0" w:color="auto"/>
              <w:right w:val="single" w:sz="4" w:space="0" w:color="auto"/>
            </w:tcBorders>
            <w:shd w:val="clear" w:color="auto" w:fill="auto"/>
            <w:vAlign w:val="center"/>
            <w:hideMark/>
          </w:tcPr>
          <w:p w14:paraId="4BA2A78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1,296,000</w:t>
            </w:r>
          </w:p>
        </w:tc>
        <w:tc>
          <w:tcPr>
            <w:tcW w:w="148" w:type="pct"/>
            <w:tcBorders>
              <w:top w:val="nil"/>
              <w:left w:val="nil"/>
              <w:bottom w:val="single" w:sz="4" w:space="0" w:color="auto"/>
              <w:right w:val="single" w:sz="4" w:space="0" w:color="auto"/>
            </w:tcBorders>
            <w:shd w:val="clear" w:color="auto" w:fill="auto"/>
            <w:vAlign w:val="center"/>
            <w:hideMark/>
          </w:tcPr>
          <w:p w14:paraId="3A00CC5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4BACF71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1,296,000</w:t>
            </w:r>
          </w:p>
        </w:tc>
        <w:tc>
          <w:tcPr>
            <w:tcW w:w="165" w:type="pct"/>
            <w:tcBorders>
              <w:top w:val="nil"/>
              <w:left w:val="nil"/>
              <w:bottom w:val="single" w:sz="4" w:space="0" w:color="auto"/>
              <w:right w:val="single" w:sz="4" w:space="0" w:color="auto"/>
            </w:tcBorders>
            <w:shd w:val="clear" w:color="auto" w:fill="auto"/>
            <w:vAlign w:val="center"/>
            <w:hideMark/>
          </w:tcPr>
          <w:p w14:paraId="458FBEA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3,888,000</w:t>
            </w:r>
          </w:p>
        </w:tc>
        <w:tc>
          <w:tcPr>
            <w:tcW w:w="163" w:type="pct"/>
            <w:tcBorders>
              <w:top w:val="nil"/>
              <w:left w:val="nil"/>
              <w:bottom w:val="single" w:sz="4" w:space="0" w:color="auto"/>
              <w:right w:val="single" w:sz="4" w:space="0" w:color="auto"/>
            </w:tcBorders>
            <w:shd w:val="clear" w:color="auto" w:fill="auto"/>
            <w:vAlign w:val="center"/>
            <w:hideMark/>
          </w:tcPr>
          <w:p w14:paraId="3692580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2747B6F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3,888,000</w:t>
            </w:r>
          </w:p>
        </w:tc>
        <w:tc>
          <w:tcPr>
            <w:tcW w:w="163" w:type="pct"/>
            <w:tcBorders>
              <w:top w:val="nil"/>
              <w:left w:val="nil"/>
              <w:bottom w:val="single" w:sz="4" w:space="0" w:color="auto"/>
              <w:right w:val="single" w:sz="4" w:space="0" w:color="auto"/>
            </w:tcBorders>
            <w:shd w:val="clear" w:color="auto" w:fill="auto"/>
            <w:vAlign w:val="center"/>
            <w:hideMark/>
          </w:tcPr>
          <w:p w14:paraId="05432B4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7CE0EF5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5C4A58D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2B3FC6C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48B914A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noWrap/>
            <w:vAlign w:val="center"/>
            <w:hideMark/>
          </w:tcPr>
          <w:p w14:paraId="7F5B625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noWrap/>
            <w:vAlign w:val="center"/>
            <w:hideMark/>
          </w:tcPr>
          <w:p w14:paraId="6FD8FC4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7253D52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15247E5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noWrap/>
            <w:vAlign w:val="center"/>
            <w:hideMark/>
          </w:tcPr>
          <w:p w14:paraId="3410060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65C52C3D" w14:textId="16E20516"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(3,888,000)</w:t>
            </w:r>
          </w:p>
        </w:tc>
      </w:tr>
      <w:tr w:rsidR="00C260C3" w:rsidRPr="00B457F5" w14:paraId="7DE44B64"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center"/>
            <w:hideMark/>
          </w:tcPr>
          <w:p w14:paraId="0445D573"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1.2.1.4</w:t>
            </w:r>
          </w:p>
        </w:tc>
        <w:tc>
          <w:tcPr>
            <w:tcW w:w="281" w:type="pct"/>
            <w:tcBorders>
              <w:top w:val="nil"/>
              <w:left w:val="nil"/>
              <w:bottom w:val="single" w:sz="4" w:space="0" w:color="auto"/>
              <w:right w:val="single" w:sz="4" w:space="0" w:color="auto"/>
            </w:tcBorders>
            <w:shd w:val="clear" w:color="auto" w:fill="auto"/>
            <w:vAlign w:val="center"/>
            <w:hideMark/>
          </w:tcPr>
          <w:p w14:paraId="061A56DA" w14:textId="3A2079CB"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1.2.1.4 Zhvillimi i trajnimeve të dedikuara për të rritur kapacitetet për mbledhjen, analizën dhe shpërndarjen e të dhënave të disagreguara sipas gjinisë, moshës, statusit dhe </w:t>
            </w:r>
            <w:r w:rsidR="006A63AF" w:rsidRPr="00B457F5">
              <w:rPr>
                <w:rFonts w:ascii="Garamond" w:eastAsia="Times New Roman" w:hAnsi="Garamond" w:cs="Times New Roman"/>
                <w:color w:val="000000"/>
                <w:sz w:val="4"/>
                <w:szCs w:val="10"/>
              </w:rPr>
              <w:t>karakteristikave</w:t>
            </w:r>
            <w:r w:rsidRPr="00B457F5">
              <w:rPr>
                <w:rFonts w:ascii="Garamond" w:eastAsia="Times New Roman" w:hAnsi="Garamond" w:cs="Times New Roman"/>
                <w:color w:val="000000"/>
                <w:sz w:val="4"/>
                <w:szCs w:val="10"/>
              </w:rPr>
              <w:t xml:space="preserve"> të tjera, për të adresuar boshllëqet e të dhënave dhe për të vlerësuar tendencat kryesore të migracionit</w:t>
            </w:r>
            <w:r w:rsidR="0006016F" w:rsidRPr="00B457F5">
              <w:rPr>
                <w:rFonts w:ascii="Garamond" w:eastAsia="Times New Roman" w:hAnsi="Garamond" w:cs="Times New Roman"/>
                <w:color w:val="000000"/>
                <w:sz w:val="4"/>
                <w:szCs w:val="10"/>
              </w:rPr>
              <w:t xml:space="preserve"> </w:t>
            </w:r>
          </w:p>
        </w:tc>
        <w:tc>
          <w:tcPr>
            <w:tcW w:w="186" w:type="pct"/>
            <w:tcBorders>
              <w:top w:val="nil"/>
              <w:left w:val="nil"/>
              <w:bottom w:val="single" w:sz="4" w:space="0" w:color="auto"/>
              <w:right w:val="single" w:sz="4" w:space="0" w:color="auto"/>
            </w:tcBorders>
            <w:shd w:val="clear" w:color="auto" w:fill="auto"/>
            <w:vAlign w:val="center"/>
            <w:hideMark/>
          </w:tcPr>
          <w:p w14:paraId="3B8293E8"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01330 Menaxhimi dhe Zhvillimi i Administratës Publike (87)</w:t>
            </w:r>
          </w:p>
        </w:tc>
        <w:tc>
          <w:tcPr>
            <w:tcW w:w="169" w:type="pct"/>
            <w:tcBorders>
              <w:top w:val="nil"/>
              <w:left w:val="nil"/>
              <w:bottom w:val="single" w:sz="4" w:space="0" w:color="auto"/>
              <w:right w:val="single" w:sz="4" w:space="0" w:color="auto"/>
            </w:tcBorders>
            <w:shd w:val="clear" w:color="auto" w:fill="auto"/>
            <w:vAlign w:val="center"/>
            <w:hideMark/>
          </w:tcPr>
          <w:p w14:paraId="1B70F34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ASPA</w:t>
            </w:r>
          </w:p>
        </w:tc>
        <w:tc>
          <w:tcPr>
            <w:tcW w:w="244" w:type="pct"/>
            <w:tcBorders>
              <w:top w:val="nil"/>
              <w:left w:val="nil"/>
              <w:bottom w:val="single" w:sz="4" w:space="0" w:color="auto"/>
              <w:right w:val="single" w:sz="4" w:space="0" w:color="auto"/>
            </w:tcBorders>
            <w:shd w:val="clear" w:color="auto" w:fill="auto"/>
            <w:vAlign w:val="center"/>
            <w:hideMark/>
          </w:tcPr>
          <w:p w14:paraId="573226B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INSTAT, IOM, DKM, MEPJ, MEKI, AKPA, BSH, MSHMS, MAS</w:t>
            </w:r>
          </w:p>
        </w:tc>
        <w:tc>
          <w:tcPr>
            <w:tcW w:w="135" w:type="pct"/>
            <w:tcBorders>
              <w:top w:val="nil"/>
              <w:left w:val="nil"/>
              <w:bottom w:val="single" w:sz="4" w:space="0" w:color="auto"/>
              <w:right w:val="single" w:sz="4" w:space="0" w:color="auto"/>
            </w:tcBorders>
            <w:shd w:val="clear" w:color="000000" w:fill="DDEBF7"/>
            <w:vAlign w:val="center"/>
            <w:hideMark/>
          </w:tcPr>
          <w:p w14:paraId="3A04033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2025 </w:t>
            </w:r>
          </w:p>
        </w:tc>
        <w:tc>
          <w:tcPr>
            <w:tcW w:w="152" w:type="pct"/>
            <w:tcBorders>
              <w:top w:val="nil"/>
              <w:left w:val="nil"/>
              <w:bottom w:val="single" w:sz="4" w:space="0" w:color="auto"/>
              <w:right w:val="single" w:sz="4" w:space="0" w:color="auto"/>
            </w:tcBorders>
            <w:shd w:val="clear" w:color="000000" w:fill="DDEBF7"/>
            <w:vAlign w:val="center"/>
            <w:hideMark/>
          </w:tcPr>
          <w:p w14:paraId="46FCFCF2"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2026 </w:t>
            </w:r>
          </w:p>
        </w:tc>
        <w:tc>
          <w:tcPr>
            <w:tcW w:w="163" w:type="pct"/>
            <w:tcBorders>
              <w:top w:val="nil"/>
              <w:left w:val="nil"/>
              <w:bottom w:val="single" w:sz="4" w:space="0" w:color="auto"/>
              <w:right w:val="single" w:sz="4" w:space="0" w:color="auto"/>
            </w:tcBorders>
            <w:shd w:val="clear" w:color="auto" w:fill="auto"/>
            <w:vAlign w:val="center"/>
            <w:hideMark/>
          </w:tcPr>
          <w:p w14:paraId="7280BC2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4FC042F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1DD6138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auto" w:fill="auto"/>
            <w:vAlign w:val="center"/>
            <w:hideMark/>
          </w:tcPr>
          <w:p w14:paraId="38B7664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1,296,000</w:t>
            </w:r>
          </w:p>
        </w:tc>
        <w:tc>
          <w:tcPr>
            <w:tcW w:w="163" w:type="pct"/>
            <w:tcBorders>
              <w:top w:val="nil"/>
              <w:left w:val="nil"/>
              <w:bottom w:val="single" w:sz="4" w:space="0" w:color="auto"/>
              <w:right w:val="single" w:sz="4" w:space="0" w:color="auto"/>
            </w:tcBorders>
            <w:shd w:val="clear" w:color="auto" w:fill="auto"/>
            <w:vAlign w:val="center"/>
            <w:hideMark/>
          </w:tcPr>
          <w:p w14:paraId="6EDA810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4F9523A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1,296,000</w:t>
            </w:r>
          </w:p>
        </w:tc>
        <w:tc>
          <w:tcPr>
            <w:tcW w:w="163" w:type="pct"/>
            <w:tcBorders>
              <w:top w:val="nil"/>
              <w:left w:val="nil"/>
              <w:bottom w:val="single" w:sz="4" w:space="0" w:color="auto"/>
              <w:right w:val="single" w:sz="4" w:space="0" w:color="auto"/>
            </w:tcBorders>
            <w:shd w:val="clear" w:color="auto" w:fill="auto"/>
            <w:vAlign w:val="center"/>
            <w:hideMark/>
          </w:tcPr>
          <w:p w14:paraId="2786121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1,296,000</w:t>
            </w:r>
          </w:p>
        </w:tc>
        <w:tc>
          <w:tcPr>
            <w:tcW w:w="148" w:type="pct"/>
            <w:tcBorders>
              <w:top w:val="nil"/>
              <w:left w:val="nil"/>
              <w:bottom w:val="single" w:sz="4" w:space="0" w:color="auto"/>
              <w:right w:val="single" w:sz="4" w:space="0" w:color="auto"/>
            </w:tcBorders>
            <w:shd w:val="clear" w:color="auto" w:fill="auto"/>
            <w:vAlign w:val="center"/>
            <w:hideMark/>
          </w:tcPr>
          <w:p w14:paraId="5D70D45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4C8E311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1,296,000</w:t>
            </w:r>
          </w:p>
        </w:tc>
        <w:tc>
          <w:tcPr>
            <w:tcW w:w="165" w:type="pct"/>
            <w:tcBorders>
              <w:top w:val="nil"/>
              <w:left w:val="nil"/>
              <w:bottom w:val="single" w:sz="4" w:space="0" w:color="auto"/>
              <w:right w:val="single" w:sz="4" w:space="0" w:color="auto"/>
            </w:tcBorders>
            <w:shd w:val="clear" w:color="auto" w:fill="auto"/>
            <w:vAlign w:val="center"/>
            <w:hideMark/>
          </w:tcPr>
          <w:p w14:paraId="05FD4CD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2,592,000</w:t>
            </w:r>
          </w:p>
        </w:tc>
        <w:tc>
          <w:tcPr>
            <w:tcW w:w="163" w:type="pct"/>
            <w:tcBorders>
              <w:top w:val="nil"/>
              <w:left w:val="nil"/>
              <w:bottom w:val="single" w:sz="4" w:space="0" w:color="auto"/>
              <w:right w:val="single" w:sz="4" w:space="0" w:color="auto"/>
            </w:tcBorders>
            <w:shd w:val="clear" w:color="auto" w:fill="auto"/>
            <w:vAlign w:val="center"/>
            <w:hideMark/>
          </w:tcPr>
          <w:p w14:paraId="617AA58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392C434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2,592,000</w:t>
            </w:r>
          </w:p>
        </w:tc>
        <w:tc>
          <w:tcPr>
            <w:tcW w:w="163" w:type="pct"/>
            <w:tcBorders>
              <w:top w:val="nil"/>
              <w:left w:val="nil"/>
              <w:bottom w:val="single" w:sz="4" w:space="0" w:color="auto"/>
              <w:right w:val="single" w:sz="4" w:space="0" w:color="auto"/>
            </w:tcBorders>
            <w:shd w:val="clear" w:color="auto" w:fill="auto"/>
            <w:vAlign w:val="center"/>
            <w:hideMark/>
          </w:tcPr>
          <w:p w14:paraId="721E70A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2,592,000</w:t>
            </w:r>
          </w:p>
        </w:tc>
        <w:tc>
          <w:tcPr>
            <w:tcW w:w="155" w:type="pct"/>
            <w:tcBorders>
              <w:top w:val="nil"/>
              <w:left w:val="nil"/>
              <w:bottom w:val="single" w:sz="4" w:space="0" w:color="auto"/>
              <w:right w:val="single" w:sz="4" w:space="0" w:color="auto"/>
            </w:tcBorders>
            <w:shd w:val="clear" w:color="auto" w:fill="auto"/>
            <w:vAlign w:val="center"/>
            <w:hideMark/>
          </w:tcPr>
          <w:p w14:paraId="14D3CF4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1CC34A6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2,592,000</w:t>
            </w:r>
          </w:p>
        </w:tc>
        <w:tc>
          <w:tcPr>
            <w:tcW w:w="162" w:type="pct"/>
            <w:tcBorders>
              <w:top w:val="nil"/>
              <w:left w:val="nil"/>
              <w:bottom w:val="single" w:sz="4" w:space="0" w:color="auto"/>
              <w:right w:val="single" w:sz="4" w:space="0" w:color="auto"/>
            </w:tcBorders>
            <w:shd w:val="clear" w:color="auto" w:fill="auto"/>
            <w:vAlign w:val="center"/>
            <w:hideMark/>
          </w:tcPr>
          <w:p w14:paraId="0B0B38E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4893A33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noWrap/>
            <w:vAlign w:val="center"/>
            <w:hideMark/>
          </w:tcPr>
          <w:p w14:paraId="62E8EA3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noWrap/>
            <w:vAlign w:val="center"/>
            <w:hideMark/>
          </w:tcPr>
          <w:p w14:paraId="1C6D2DA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237CF69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0C0D156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noWrap/>
            <w:vAlign w:val="center"/>
            <w:hideMark/>
          </w:tcPr>
          <w:p w14:paraId="6CFA4D9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597F2611" w14:textId="047FD3A3"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3735EBB4" w14:textId="77777777" w:rsidTr="00C260C3">
        <w:trPr>
          <w:trHeight w:val="20"/>
        </w:trPr>
        <w:tc>
          <w:tcPr>
            <w:tcW w:w="131" w:type="pct"/>
            <w:tcBorders>
              <w:top w:val="nil"/>
              <w:left w:val="single" w:sz="8" w:space="0" w:color="auto"/>
              <w:bottom w:val="nil"/>
              <w:right w:val="single" w:sz="4" w:space="0" w:color="auto"/>
            </w:tcBorders>
            <w:shd w:val="clear" w:color="000000" w:fill="D9D9D9"/>
            <w:vAlign w:val="center"/>
            <w:hideMark/>
          </w:tcPr>
          <w:p w14:paraId="3A2D26C7"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1.2.2</w:t>
            </w:r>
          </w:p>
        </w:tc>
        <w:tc>
          <w:tcPr>
            <w:tcW w:w="281" w:type="pct"/>
            <w:tcBorders>
              <w:top w:val="nil"/>
              <w:left w:val="nil"/>
              <w:bottom w:val="nil"/>
              <w:right w:val="single" w:sz="4" w:space="0" w:color="auto"/>
            </w:tcBorders>
            <w:shd w:val="clear" w:color="000000" w:fill="D9D9D9"/>
            <w:vAlign w:val="center"/>
            <w:hideMark/>
          </w:tcPr>
          <w:p w14:paraId="7135660C"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1.2.2 Shkëmbimi dhe ndërveprimi efektiv për të dhënat e migracionit</w:t>
            </w:r>
          </w:p>
        </w:tc>
        <w:tc>
          <w:tcPr>
            <w:tcW w:w="186" w:type="pct"/>
            <w:tcBorders>
              <w:top w:val="nil"/>
              <w:left w:val="nil"/>
              <w:bottom w:val="nil"/>
              <w:right w:val="single" w:sz="4" w:space="0" w:color="auto"/>
            </w:tcBorders>
            <w:shd w:val="clear" w:color="000000" w:fill="D9D9D9"/>
            <w:vAlign w:val="center"/>
            <w:hideMark/>
          </w:tcPr>
          <w:p w14:paraId="2898DEAF"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 01110 Planifikimi, Menaxhimi dhe Administrimi (15), 01320 Veprimtaria Statistikore (50), 03140 Policia e Shtetit</w:t>
            </w:r>
          </w:p>
        </w:tc>
        <w:tc>
          <w:tcPr>
            <w:tcW w:w="169" w:type="pct"/>
            <w:tcBorders>
              <w:top w:val="nil"/>
              <w:left w:val="nil"/>
              <w:bottom w:val="nil"/>
              <w:right w:val="single" w:sz="4" w:space="0" w:color="auto"/>
            </w:tcBorders>
            <w:shd w:val="clear" w:color="000000" w:fill="D9D9D9"/>
            <w:vAlign w:val="center"/>
            <w:hideMark/>
          </w:tcPr>
          <w:p w14:paraId="0BA3B10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 DKM, MEPJ, INSTAT</w:t>
            </w:r>
          </w:p>
        </w:tc>
        <w:tc>
          <w:tcPr>
            <w:tcW w:w="244" w:type="pct"/>
            <w:tcBorders>
              <w:top w:val="nil"/>
              <w:left w:val="nil"/>
              <w:bottom w:val="nil"/>
              <w:right w:val="nil"/>
            </w:tcBorders>
            <w:shd w:val="clear" w:color="000000" w:fill="D9D9D9"/>
            <w:vAlign w:val="center"/>
            <w:hideMark/>
          </w:tcPr>
          <w:p w14:paraId="21CAF7A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 DKM, MEPJ, MEKI, AKPA, AKSHI, MD, SHISH</w:t>
            </w:r>
          </w:p>
        </w:tc>
        <w:tc>
          <w:tcPr>
            <w:tcW w:w="135" w:type="pct"/>
            <w:tcBorders>
              <w:top w:val="nil"/>
              <w:left w:val="single" w:sz="4" w:space="0" w:color="auto"/>
              <w:bottom w:val="nil"/>
              <w:right w:val="single" w:sz="4" w:space="0" w:color="auto"/>
            </w:tcBorders>
            <w:shd w:val="clear" w:color="000000" w:fill="D9D9D9"/>
            <w:vAlign w:val="center"/>
            <w:hideMark/>
          </w:tcPr>
          <w:p w14:paraId="028C0F5A"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nil"/>
              <w:right w:val="single" w:sz="4" w:space="0" w:color="auto"/>
            </w:tcBorders>
            <w:shd w:val="clear" w:color="000000" w:fill="D9D9D9"/>
            <w:vAlign w:val="center"/>
            <w:hideMark/>
          </w:tcPr>
          <w:p w14:paraId="523593F6"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nil"/>
              <w:right w:val="single" w:sz="4" w:space="0" w:color="auto"/>
            </w:tcBorders>
            <w:shd w:val="clear" w:color="000000" w:fill="D9D9D9"/>
            <w:vAlign w:val="center"/>
            <w:hideMark/>
          </w:tcPr>
          <w:p w14:paraId="6C7A1AE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11,304,199</w:t>
            </w:r>
          </w:p>
        </w:tc>
        <w:tc>
          <w:tcPr>
            <w:tcW w:w="155" w:type="pct"/>
            <w:tcBorders>
              <w:top w:val="nil"/>
              <w:left w:val="nil"/>
              <w:bottom w:val="nil"/>
              <w:right w:val="single" w:sz="4" w:space="0" w:color="auto"/>
            </w:tcBorders>
            <w:shd w:val="clear" w:color="000000" w:fill="D9D9D9"/>
            <w:vAlign w:val="center"/>
            <w:hideMark/>
          </w:tcPr>
          <w:p w14:paraId="2367459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11,500,000</w:t>
            </w:r>
          </w:p>
        </w:tc>
        <w:tc>
          <w:tcPr>
            <w:tcW w:w="162" w:type="pct"/>
            <w:tcBorders>
              <w:top w:val="nil"/>
              <w:left w:val="nil"/>
              <w:bottom w:val="nil"/>
              <w:right w:val="single" w:sz="4" w:space="0" w:color="auto"/>
            </w:tcBorders>
            <w:shd w:val="clear" w:color="000000" w:fill="D9D9D9"/>
            <w:vAlign w:val="center"/>
            <w:hideMark/>
          </w:tcPr>
          <w:p w14:paraId="4BE6AAA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22,804,199</w:t>
            </w:r>
          </w:p>
        </w:tc>
        <w:tc>
          <w:tcPr>
            <w:tcW w:w="165" w:type="pct"/>
            <w:tcBorders>
              <w:top w:val="nil"/>
              <w:left w:val="nil"/>
              <w:bottom w:val="nil"/>
              <w:right w:val="single" w:sz="4" w:space="0" w:color="auto"/>
            </w:tcBorders>
            <w:shd w:val="clear" w:color="000000" w:fill="D9D9D9"/>
            <w:vAlign w:val="center"/>
            <w:hideMark/>
          </w:tcPr>
          <w:p w14:paraId="6B2E4E0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4,984,832</w:t>
            </w:r>
          </w:p>
        </w:tc>
        <w:tc>
          <w:tcPr>
            <w:tcW w:w="163" w:type="pct"/>
            <w:tcBorders>
              <w:top w:val="nil"/>
              <w:left w:val="nil"/>
              <w:bottom w:val="nil"/>
              <w:right w:val="single" w:sz="4" w:space="0" w:color="auto"/>
            </w:tcBorders>
            <w:shd w:val="clear" w:color="000000" w:fill="D9D9D9"/>
            <w:vAlign w:val="center"/>
            <w:hideMark/>
          </w:tcPr>
          <w:p w14:paraId="6A73DED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126,500,000</w:t>
            </w:r>
          </w:p>
        </w:tc>
        <w:tc>
          <w:tcPr>
            <w:tcW w:w="163" w:type="pct"/>
            <w:tcBorders>
              <w:top w:val="nil"/>
              <w:left w:val="nil"/>
              <w:bottom w:val="nil"/>
              <w:right w:val="single" w:sz="4" w:space="0" w:color="auto"/>
            </w:tcBorders>
            <w:shd w:val="clear" w:color="000000" w:fill="D9D9D9"/>
            <w:vAlign w:val="center"/>
            <w:hideMark/>
          </w:tcPr>
          <w:p w14:paraId="7A39EEB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131,484,832</w:t>
            </w:r>
          </w:p>
        </w:tc>
        <w:tc>
          <w:tcPr>
            <w:tcW w:w="163" w:type="pct"/>
            <w:tcBorders>
              <w:top w:val="nil"/>
              <w:left w:val="nil"/>
              <w:bottom w:val="nil"/>
              <w:right w:val="single" w:sz="4" w:space="0" w:color="auto"/>
            </w:tcBorders>
            <w:shd w:val="clear" w:color="000000" w:fill="D9D9D9"/>
            <w:vAlign w:val="center"/>
            <w:hideMark/>
          </w:tcPr>
          <w:p w14:paraId="1B88F82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1,364,227</w:t>
            </w:r>
          </w:p>
        </w:tc>
        <w:tc>
          <w:tcPr>
            <w:tcW w:w="148" w:type="pct"/>
            <w:tcBorders>
              <w:top w:val="nil"/>
              <w:left w:val="nil"/>
              <w:bottom w:val="nil"/>
              <w:right w:val="single" w:sz="4" w:space="0" w:color="auto"/>
            </w:tcBorders>
            <w:shd w:val="clear" w:color="000000" w:fill="D9D9D9"/>
            <w:vAlign w:val="center"/>
            <w:hideMark/>
          </w:tcPr>
          <w:p w14:paraId="70A4668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nil"/>
              <w:right w:val="single" w:sz="4" w:space="0" w:color="auto"/>
            </w:tcBorders>
            <w:shd w:val="clear" w:color="000000" w:fill="D9D9D9"/>
            <w:vAlign w:val="center"/>
            <w:hideMark/>
          </w:tcPr>
          <w:p w14:paraId="6DFD2C2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1,364,227</w:t>
            </w:r>
          </w:p>
        </w:tc>
        <w:tc>
          <w:tcPr>
            <w:tcW w:w="165" w:type="pct"/>
            <w:tcBorders>
              <w:top w:val="nil"/>
              <w:left w:val="nil"/>
              <w:bottom w:val="nil"/>
              <w:right w:val="single" w:sz="4" w:space="0" w:color="auto"/>
            </w:tcBorders>
            <w:shd w:val="clear" w:color="000000" w:fill="D9D9D9"/>
            <w:vAlign w:val="center"/>
            <w:hideMark/>
          </w:tcPr>
          <w:p w14:paraId="249353C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17,653,258</w:t>
            </w:r>
          </w:p>
        </w:tc>
        <w:tc>
          <w:tcPr>
            <w:tcW w:w="163" w:type="pct"/>
            <w:tcBorders>
              <w:top w:val="nil"/>
              <w:left w:val="nil"/>
              <w:bottom w:val="nil"/>
              <w:right w:val="single" w:sz="4" w:space="0" w:color="auto"/>
            </w:tcBorders>
            <w:shd w:val="clear" w:color="000000" w:fill="D9D9D9"/>
            <w:vAlign w:val="center"/>
            <w:hideMark/>
          </w:tcPr>
          <w:p w14:paraId="4302702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138,000,000</w:t>
            </w:r>
          </w:p>
        </w:tc>
        <w:tc>
          <w:tcPr>
            <w:tcW w:w="165" w:type="pct"/>
            <w:tcBorders>
              <w:top w:val="nil"/>
              <w:left w:val="nil"/>
              <w:bottom w:val="single" w:sz="4" w:space="0" w:color="auto"/>
              <w:right w:val="single" w:sz="4" w:space="0" w:color="auto"/>
            </w:tcBorders>
            <w:shd w:val="clear" w:color="000000" w:fill="D9D9D9"/>
            <w:vAlign w:val="center"/>
            <w:hideMark/>
          </w:tcPr>
          <w:p w14:paraId="4F9681F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155,653,258</w:t>
            </w:r>
          </w:p>
        </w:tc>
        <w:tc>
          <w:tcPr>
            <w:tcW w:w="163" w:type="pct"/>
            <w:tcBorders>
              <w:top w:val="nil"/>
              <w:left w:val="nil"/>
              <w:bottom w:val="nil"/>
              <w:right w:val="single" w:sz="4" w:space="0" w:color="auto"/>
            </w:tcBorders>
            <w:shd w:val="clear" w:color="000000" w:fill="D9D9D9"/>
            <w:vAlign w:val="center"/>
            <w:hideMark/>
          </w:tcPr>
          <w:p w14:paraId="5C04676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15,433,258</w:t>
            </w:r>
          </w:p>
        </w:tc>
        <w:tc>
          <w:tcPr>
            <w:tcW w:w="155" w:type="pct"/>
            <w:tcBorders>
              <w:top w:val="nil"/>
              <w:left w:val="nil"/>
              <w:bottom w:val="nil"/>
              <w:right w:val="single" w:sz="4" w:space="0" w:color="auto"/>
            </w:tcBorders>
            <w:shd w:val="clear" w:color="000000" w:fill="D9D9D9"/>
            <w:vAlign w:val="center"/>
            <w:hideMark/>
          </w:tcPr>
          <w:p w14:paraId="2FFF944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11,500,000</w:t>
            </w:r>
          </w:p>
        </w:tc>
        <w:tc>
          <w:tcPr>
            <w:tcW w:w="163" w:type="pct"/>
            <w:tcBorders>
              <w:top w:val="nil"/>
              <w:left w:val="nil"/>
              <w:bottom w:val="single" w:sz="4" w:space="0" w:color="auto"/>
              <w:right w:val="single" w:sz="4" w:space="0" w:color="auto"/>
            </w:tcBorders>
            <w:shd w:val="clear" w:color="000000" w:fill="D9D9D9"/>
            <w:vAlign w:val="center"/>
            <w:hideMark/>
          </w:tcPr>
          <w:p w14:paraId="7AE7B0D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26,933,258</w:t>
            </w:r>
          </w:p>
        </w:tc>
        <w:tc>
          <w:tcPr>
            <w:tcW w:w="162" w:type="pct"/>
            <w:tcBorders>
              <w:top w:val="nil"/>
              <w:left w:val="nil"/>
              <w:bottom w:val="nil"/>
              <w:right w:val="single" w:sz="4" w:space="0" w:color="auto"/>
            </w:tcBorders>
            <w:shd w:val="clear" w:color="000000" w:fill="D9D9D9"/>
            <w:vAlign w:val="center"/>
            <w:hideMark/>
          </w:tcPr>
          <w:p w14:paraId="25792F6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nil"/>
              <w:right w:val="single" w:sz="4" w:space="0" w:color="auto"/>
            </w:tcBorders>
            <w:shd w:val="clear" w:color="000000" w:fill="D9D9D9"/>
            <w:vAlign w:val="center"/>
            <w:hideMark/>
          </w:tcPr>
          <w:p w14:paraId="351B8A7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000000" w:fill="D9D9D9"/>
            <w:vAlign w:val="center"/>
            <w:hideMark/>
          </w:tcPr>
          <w:p w14:paraId="7C9B8BC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764D88D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nil"/>
              <w:right w:val="single" w:sz="4" w:space="0" w:color="auto"/>
            </w:tcBorders>
            <w:shd w:val="clear" w:color="000000" w:fill="D9D9D9"/>
            <w:vAlign w:val="center"/>
            <w:hideMark/>
          </w:tcPr>
          <w:p w14:paraId="1787613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nil"/>
              <w:right w:val="single" w:sz="4" w:space="0" w:color="auto"/>
            </w:tcBorders>
            <w:shd w:val="clear" w:color="000000" w:fill="D9D9D9"/>
            <w:vAlign w:val="center"/>
            <w:hideMark/>
          </w:tcPr>
          <w:p w14:paraId="3FA9755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D9D9D9"/>
            <w:vAlign w:val="center"/>
            <w:hideMark/>
          </w:tcPr>
          <w:p w14:paraId="630755D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000000" w:fill="D9D9D9"/>
            <w:vAlign w:val="center"/>
            <w:hideMark/>
          </w:tcPr>
          <w:p w14:paraId="2B74B44E" w14:textId="77E9CE71"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(128,720,000)</w:t>
            </w:r>
          </w:p>
        </w:tc>
      </w:tr>
      <w:tr w:rsidR="00C260C3" w:rsidRPr="00B457F5" w14:paraId="44B519F5" w14:textId="77777777" w:rsidTr="00C260C3">
        <w:trPr>
          <w:trHeight w:val="20"/>
        </w:trPr>
        <w:tc>
          <w:tcPr>
            <w:tcW w:w="1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A02A4A" w14:textId="77777777" w:rsidR="00C260C3" w:rsidRPr="00B457F5" w:rsidRDefault="00C260C3" w:rsidP="00C260C3">
            <w:pPr>
              <w:spacing w:before="0" w:after="0"/>
              <w:jc w:val="center"/>
              <w:rPr>
                <w:rFonts w:ascii="Garamond" w:eastAsia="Times New Roman" w:hAnsi="Garamond" w:cs="Times New Roman"/>
                <w:b/>
                <w:bCs/>
                <w:sz w:val="4"/>
                <w:szCs w:val="10"/>
              </w:rPr>
            </w:pPr>
            <w:r w:rsidRPr="00B457F5">
              <w:rPr>
                <w:rFonts w:ascii="Garamond" w:eastAsia="Times New Roman" w:hAnsi="Garamond" w:cs="Times New Roman"/>
                <w:b/>
                <w:bCs/>
                <w:sz w:val="4"/>
                <w:szCs w:val="10"/>
              </w:rPr>
              <w:t>1.2.2.1</w:t>
            </w:r>
          </w:p>
        </w:tc>
        <w:tc>
          <w:tcPr>
            <w:tcW w:w="281" w:type="pct"/>
            <w:tcBorders>
              <w:top w:val="single" w:sz="4" w:space="0" w:color="auto"/>
              <w:left w:val="nil"/>
              <w:bottom w:val="single" w:sz="4" w:space="0" w:color="auto"/>
              <w:right w:val="single" w:sz="4" w:space="0" w:color="auto"/>
            </w:tcBorders>
            <w:shd w:val="clear" w:color="auto" w:fill="auto"/>
            <w:vAlign w:val="center"/>
            <w:hideMark/>
          </w:tcPr>
          <w:p w14:paraId="5D8320D0" w14:textId="77777777"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1.2.2.1 Vlerësimi i nevojës për ndryshimin e aktit të krijimit të regjistrit elektronik të të huajve (REKH) dhe përditësimi i tij, në përputhje me ndryshimet eventuale ligjore</w:t>
            </w:r>
          </w:p>
        </w:tc>
        <w:tc>
          <w:tcPr>
            <w:tcW w:w="186" w:type="pct"/>
            <w:tcBorders>
              <w:top w:val="single" w:sz="4" w:space="0" w:color="auto"/>
              <w:left w:val="nil"/>
              <w:bottom w:val="single" w:sz="4" w:space="0" w:color="auto"/>
              <w:right w:val="single" w:sz="4" w:space="0" w:color="auto"/>
            </w:tcBorders>
            <w:shd w:val="clear" w:color="auto" w:fill="auto"/>
            <w:vAlign w:val="center"/>
            <w:hideMark/>
          </w:tcPr>
          <w:p w14:paraId="0A8EB3CB"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single" w:sz="4" w:space="0" w:color="auto"/>
              <w:left w:val="nil"/>
              <w:bottom w:val="single" w:sz="4" w:space="0" w:color="auto"/>
              <w:right w:val="single" w:sz="4" w:space="0" w:color="auto"/>
            </w:tcBorders>
            <w:shd w:val="clear" w:color="auto" w:fill="auto"/>
            <w:vAlign w:val="center"/>
            <w:hideMark/>
          </w:tcPr>
          <w:p w14:paraId="1F94194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w:t>
            </w:r>
          </w:p>
        </w:tc>
        <w:tc>
          <w:tcPr>
            <w:tcW w:w="244" w:type="pct"/>
            <w:tcBorders>
              <w:top w:val="single" w:sz="4" w:space="0" w:color="auto"/>
              <w:left w:val="nil"/>
              <w:bottom w:val="single" w:sz="4" w:space="0" w:color="auto"/>
              <w:right w:val="single" w:sz="4" w:space="0" w:color="auto"/>
            </w:tcBorders>
            <w:shd w:val="clear" w:color="auto" w:fill="auto"/>
            <w:vAlign w:val="center"/>
            <w:hideMark/>
          </w:tcPr>
          <w:p w14:paraId="0F99E0C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AKSHI, DKM, MEPJ, MEKI, AKPA </w:t>
            </w:r>
          </w:p>
        </w:tc>
        <w:tc>
          <w:tcPr>
            <w:tcW w:w="135" w:type="pct"/>
            <w:tcBorders>
              <w:top w:val="single" w:sz="4" w:space="0" w:color="auto"/>
              <w:left w:val="nil"/>
              <w:bottom w:val="single" w:sz="4" w:space="0" w:color="auto"/>
              <w:right w:val="single" w:sz="4" w:space="0" w:color="auto"/>
            </w:tcBorders>
            <w:shd w:val="clear" w:color="auto" w:fill="auto"/>
            <w:vAlign w:val="center"/>
            <w:hideMark/>
          </w:tcPr>
          <w:p w14:paraId="1D50158C"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2024 </w:t>
            </w:r>
          </w:p>
        </w:tc>
        <w:tc>
          <w:tcPr>
            <w:tcW w:w="152" w:type="pct"/>
            <w:tcBorders>
              <w:top w:val="single" w:sz="4" w:space="0" w:color="auto"/>
              <w:left w:val="nil"/>
              <w:bottom w:val="single" w:sz="4" w:space="0" w:color="auto"/>
              <w:right w:val="single" w:sz="4" w:space="0" w:color="auto"/>
            </w:tcBorders>
            <w:shd w:val="clear" w:color="auto" w:fill="auto"/>
            <w:vAlign w:val="center"/>
            <w:hideMark/>
          </w:tcPr>
          <w:p w14:paraId="24574FA3"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2025 </w:t>
            </w:r>
          </w:p>
        </w:tc>
        <w:tc>
          <w:tcPr>
            <w:tcW w:w="163" w:type="pct"/>
            <w:tcBorders>
              <w:top w:val="single" w:sz="4" w:space="0" w:color="auto"/>
              <w:left w:val="nil"/>
              <w:bottom w:val="single" w:sz="4" w:space="0" w:color="auto"/>
              <w:right w:val="single" w:sz="4" w:space="0" w:color="auto"/>
            </w:tcBorders>
            <w:shd w:val="clear" w:color="auto" w:fill="auto"/>
            <w:vAlign w:val="center"/>
            <w:hideMark/>
          </w:tcPr>
          <w:p w14:paraId="4496E76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2,698,762</w:t>
            </w:r>
          </w:p>
        </w:tc>
        <w:tc>
          <w:tcPr>
            <w:tcW w:w="155" w:type="pct"/>
            <w:tcBorders>
              <w:top w:val="single" w:sz="4" w:space="0" w:color="auto"/>
              <w:left w:val="nil"/>
              <w:bottom w:val="single" w:sz="4" w:space="0" w:color="auto"/>
              <w:right w:val="single" w:sz="4" w:space="0" w:color="auto"/>
            </w:tcBorders>
            <w:shd w:val="clear" w:color="auto" w:fill="auto"/>
            <w:vAlign w:val="center"/>
            <w:hideMark/>
          </w:tcPr>
          <w:p w14:paraId="6C37FCF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single" w:sz="4" w:space="0" w:color="auto"/>
              <w:left w:val="nil"/>
              <w:bottom w:val="single" w:sz="4" w:space="0" w:color="auto"/>
              <w:right w:val="single" w:sz="4" w:space="0" w:color="auto"/>
            </w:tcBorders>
            <w:shd w:val="clear" w:color="auto" w:fill="auto"/>
            <w:vAlign w:val="center"/>
            <w:hideMark/>
          </w:tcPr>
          <w:p w14:paraId="3AF0391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2,698,762</w:t>
            </w:r>
          </w:p>
        </w:tc>
        <w:tc>
          <w:tcPr>
            <w:tcW w:w="165" w:type="pct"/>
            <w:tcBorders>
              <w:top w:val="single" w:sz="4" w:space="0" w:color="auto"/>
              <w:left w:val="nil"/>
              <w:bottom w:val="single" w:sz="4" w:space="0" w:color="auto"/>
              <w:right w:val="single" w:sz="4" w:space="0" w:color="auto"/>
            </w:tcBorders>
            <w:shd w:val="clear" w:color="auto" w:fill="auto"/>
            <w:vAlign w:val="center"/>
            <w:hideMark/>
          </w:tcPr>
          <w:p w14:paraId="2CCB0B6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single" w:sz="4" w:space="0" w:color="auto"/>
              <w:left w:val="nil"/>
              <w:bottom w:val="single" w:sz="4" w:space="0" w:color="auto"/>
              <w:right w:val="single" w:sz="4" w:space="0" w:color="auto"/>
            </w:tcBorders>
            <w:shd w:val="clear" w:color="auto" w:fill="auto"/>
            <w:vAlign w:val="center"/>
            <w:hideMark/>
          </w:tcPr>
          <w:p w14:paraId="04809B4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115,000,000</w:t>
            </w:r>
          </w:p>
        </w:tc>
        <w:tc>
          <w:tcPr>
            <w:tcW w:w="163" w:type="pct"/>
            <w:tcBorders>
              <w:top w:val="single" w:sz="4" w:space="0" w:color="auto"/>
              <w:left w:val="nil"/>
              <w:bottom w:val="single" w:sz="4" w:space="0" w:color="auto"/>
              <w:right w:val="single" w:sz="4" w:space="0" w:color="auto"/>
            </w:tcBorders>
            <w:shd w:val="clear" w:color="auto" w:fill="auto"/>
            <w:vAlign w:val="center"/>
            <w:hideMark/>
          </w:tcPr>
          <w:p w14:paraId="54D0A84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115,000,000</w:t>
            </w:r>
          </w:p>
        </w:tc>
        <w:tc>
          <w:tcPr>
            <w:tcW w:w="163" w:type="pct"/>
            <w:tcBorders>
              <w:top w:val="single" w:sz="4" w:space="0" w:color="auto"/>
              <w:left w:val="nil"/>
              <w:bottom w:val="single" w:sz="4" w:space="0" w:color="auto"/>
              <w:right w:val="single" w:sz="4" w:space="0" w:color="auto"/>
            </w:tcBorders>
            <w:shd w:val="clear" w:color="auto" w:fill="auto"/>
            <w:vAlign w:val="center"/>
            <w:hideMark/>
          </w:tcPr>
          <w:p w14:paraId="63D3ED2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8" w:type="pct"/>
            <w:tcBorders>
              <w:top w:val="single" w:sz="4" w:space="0" w:color="auto"/>
              <w:left w:val="nil"/>
              <w:bottom w:val="single" w:sz="4" w:space="0" w:color="auto"/>
              <w:right w:val="single" w:sz="4" w:space="0" w:color="auto"/>
            </w:tcBorders>
            <w:shd w:val="clear" w:color="auto" w:fill="auto"/>
            <w:vAlign w:val="center"/>
            <w:hideMark/>
          </w:tcPr>
          <w:p w14:paraId="543DD0B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single" w:sz="4" w:space="0" w:color="auto"/>
              <w:left w:val="nil"/>
              <w:bottom w:val="single" w:sz="4" w:space="0" w:color="auto"/>
              <w:right w:val="single" w:sz="4" w:space="0" w:color="auto"/>
            </w:tcBorders>
            <w:shd w:val="clear" w:color="auto" w:fill="auto"/>
            <w:vAlign w:val="center"/>
            <w:hideMark/>
          </w:tcPr>
          <w:p w14:paraId="627C539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single" w:sz="4" w:space="0" w:color="auto"/>
              <w:left w:val="nil"/>
              <w:bottom w:val="single" w:sz="4" w:space="0" w:color="auto"/>
              <w:right w:val="single" w:sz="4" w:space="0" w:color="auto"/>
            </w:tcBorders>
            <w:shd w:val="clear" w:color="auto" w:fill="auto"/>
            <w:vAlign w:val="center"/>
            <w:hideMark/>
          </w:tcPr>
          <w:p w14:paraId="569EDB2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2,698,762</w:t>
            </w:r>
          </w:p>
        </w:tc>
        <w:tc>
          <w:tcPr>
            <w:tcW w:w="163" w:type="pct"/>
            <w:tcBorders>
              <w:top w:val="single" w:sz="4" w:space="0" w:color="auto"/>
              <w:left w:val="nil"/>
              <w:bottom w:val="single" w:sz="4" w:space="0" w:color="auto"/>
              <w:right w:val="single" w:sz="4" w:space="0" w:color="auto"/>
            </w:tcBorders>
            <w:shd w:val="clear" w:color="auto" w:fill="auto"/>
            <w:vAlign w:val="center"/>
            <w:hideMark/>
          </w:tcPr>
          <w:p w14:paraId="2749920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115,000,000</w:t>
            </w:r>
          </w:p>
        </w:tc>
        <w:tc>
          <w:tcPr>
            <w:tcW w:w="165" w:type="pct"/>
            <w:tcBorders>
              <w:top w:val="nil"/>
              <w:left w:val="nil"/>
              <w:bottom w:val="single" w:sz="4" w:space="0" w:color="auto"/>
              <w:right w:val="single" w:sz="4" w:space="0" w:color="auto"/>
            </w:tcBorders>
            <w:shd w:val="clear" w:color="auto" w:fill="auto"/>
            <w:vAlign w:val="center"/>
            <w:hideMark/>
          </w:tcPr>
          <w:p w14:paraId="4C74C96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117,698,762</w:t>
            </w:r>
          </w:p>
        </w:tc>
        <w:tc>
          <w:tcPr>
            <w:tcW w:w="163" w:type="pct"/>
            <w:tcBorders>
              <w:top w:val="single" w:sz="4" w:space="0" w:color="auto"/>
              <w:left w:val="nil"/>
              <w:bottom w:val="single" w:sz="4" w:space="0" w:color="auto"/>
              <w:right w:val="single" w:sz="4" w:space="0" w:color="auto"/>
            </w:tcBorders>
            <w:shd w:val="clear" w:color="auto" w:fill="auto"/>
            <w:vAlign w:val="center"/>
            <w:hideMark/>
          </w:tcPr>
          <w:p w14:paraId="375E3AB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478,762</w:t>
            </w:r>
          </w:p>
        </w:tc>
        <w:tc>
          <w:tcPr>
            <w:tcW w:w="155" w:type="pct"/>
            <w:tcBorders>
              <w:top w:val="single" w:sz="4" w:space="0" w:color="auto"/>
              <w:left w:val="nil"/>
              <w:bottom w:val="single" w:sz="4" w:space="0" w:color="auto"/>
              <w:right w:val="single" w:sz="4" w:space="0" w:color="auto"/>
            </w:tcBorders>
            <w:shd w:val="clear" w:color="auto" w:fill="auto"/>
            <w:vAlign w:val="center"/>
            <w:hideMark/>
          </w:tcPr>
          <w:p w14:paraId="3500872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704EC8B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478,762</w:t>
            </w:r>
          </w:p>
        </w:tc>
        <w:tc>
          <w:tcPr>
            <w:tcW w:w="162" w:type="pct"/>
            <w:tcBorders>
              <w:top w:val="single" w:sz="4" w:space="0" w:color="auto"/>
              <w:left w:val="nil"/>
              <w:bottom w:val="single" w:sz="4" w:space="0" w:color="auto"/>
              <w:right w:val="single" w:sz="4" w:space="0" w:color="auto"/>
            </w:tcBorders>
            <w:shd w:val="clear" w:color="auto" w:fill="auto"/>
            <w:vAlign w:val="center"/>
            <w:hideMark/>
          </w:tcPr>
          <w:p w14:paraId="1977595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single" w:sz="4" w:space="0" w:color="auto"/>
              <w:left w:val="nil"/>
              <w:bottom w:val="single" w:sz="4" w:space="0" w:color="auto"/>
              <w:right w:val="single" w:sz="4" w:space="0" w:color="auto"/>
            </w:tcBorders>
            <w:shd w:val="clear" w:color="auto" w:fill="auto"/>
            <w:vAlign w:val="center"/>
            <w:hideMark/>
          </w:tcPr>
          <w:p w14:paraId="12AA58D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2C1FC0F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593BBEA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single" w:sz="4" w:space="0" w:color="auto"/>
              <w:left w:val="nil"/>
              <w:bottom w:val="single" w:sz="4" w:space="0" w:color="auto"/>
              <w:right w:val="single" w:sz="4" w:space="0" w:color="auto"/>
            </w:tcBorders>
            <w:shd w:val="clear" w:color="auto" w:fill="auto"/>
            <w:vAlign w:val="center"/>
            <w:hideMark/>
          </w:tcPr>
          <w:p w14:paraId="640D88C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single" w:sz="4" w:space="0" w:color="auto"/>
              <w:left w:val="nil"/>
              <w:bottom w:val="single" w:sz="4" w:space="0" w:color="auto"/>
              <w:right w:val="single" w:sz="4" w:space="0" w:color="auto"/>
            </w:tcBorders>
            <w:shd w:val="clear" w:color="auto" w:fill="auto"/>
            <w:vAlign w:val="center"/>
            <w:hideMark/>
          </w:tcPr>
          <w:p w14:paraId="7644DCA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auto" w:fill="auto"/>
            <w:vAlign w:val="center"/>
            <w:hideMark/>
          </w:tcPr>
          <w:p w14:paraId="4AD30DB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1DC25EA1" w14:textId="5FA1C0C1"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(117,220,000)</w:t>
            </w:r>
          </w:p>
        </w:tc>
      </w:tr>
      <w:tr w:rsidR="00C260C3" w:rsidRPr="00B457F5" w14:paraId="44A6EC07"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72B1B32D"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1.2.2.2</w:t>
            </w:r>
          </w:p>
        </w:tc>
        <w:tc>
          <w:tcPr>
            <w:tcW w:w="281" w:type="pct"/>
            <w:tcBorders>
              <w:top w:val="nil"/>
              <w:left w:val="nil"/>
              <w:bottom w:val="single" w:sz="4" w:space="0" w:color="auto"/>
              <w:right w:val="single" w:sz="4" w:space="0" w:color="auto"/>
            </w:tcBorders>
            <w:shd w:val="clear" w:color="auto" w:fill="auto"/>
            <w:vAlign w:val="center"/>
            <w:hideMark/>
          </w:tcPr>
          <w:p w14:paraId="2633CA1F" w14:textId="442CA081"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1.2.2.2 Të përmirësohet shfrytëzimi i bazës së të dhënave referuar moduleve </w:t>
            </w:r>
            <w:r w:rsidR="006A63AF" w:rsidRPr="00B457F5">
              <w:rPr>
                <w:rFonts w:ascii="Garamond" w:eastAsia="Times New Roman" w:hAnsi="Garamond" w:cs="Times New Roman"/>
                <w:i/>
                <w:color w:val="000000"/>
                <w:sz w:val="4"/>
                <w:szCs w:val="10"/>
              </w:rPr>
              <w:t>e</w:t>
            </w:r>
            <w:r w:rsidRPr="00B457F5">
              <w:rPr>
                <w:rFonts w:ascii="Garamond" w:eastAsia="Times New Roman" w:hAnsi="Garamond" w:cs="Times New Roman"/>
                <w:i/>
                <w:color w:val="000000"/>
                <w:sz w:val="4"/>
                <w:szCs w:val="10"/>
              </w:rPr>
              <w:t>-viza</w:t>
            </w:r>
            <w:r w:rsidRPr="00B457F5">
              <w:rPr>
                <w:rFonts w:ascii="Garamond" w:eastAsia="Times New Roman" w:hAnsi="Garamond" w:cs="Times New Roman"/>
                <w:color w:val="000000"/>
                <w:sz w:val="4"/>
                <w:szCs w:val="10"/>
              </w:rPr>
              <w:t xml:space="preserve">, </w:t>
            </w:r>
            <w:r w:rsidR="006A63AF" w:rsidRPr="00B457F5">
              <w:rPr>
                <w:rFonts w:ascii="Garamond" w:eastAsia="Times New Roman" w:hAnsi="Garamond" w:cs="Times New Roman"/>
                <w:i/>
                <w:color w:val="000000"/>
                <w:sz w:val="4"/>
                <w:szCs w:val="10"/>
              </w:rPr>
              <w:t>e</w:t>
            </w:r>
            <w:r w:rsidRPr="00B457F5">
              <w:rPr>
                <w:rFonts w:ascii="Garamond" w:eastAsia="Times New Roman" w:hAnsi="Garamond" w:cs="Times New Roman"/>
                <w:i/>
                <w:color w:val="000000"/>
                <w:sz w:val="4"/>
                <w:szCs w:val="10"/>
              </w:rPr>
              <w:t>-</w:t>
            </w:r>
            <w:r w:rsidR="006A63AF" w:rsidRPr="00B457F5">
              <w:rPr>
                <w:rFonts w:ascii="Garamond" w:eastAsia="Times New Roman" w:hAnsi="Garamond" w:cs="Times New Roman"/>
                <w:i/>
                <w:color w:val="000000"/>
                <w:sz w:val="4"/>
                <w:szCs w:val="10"/>
              </w:rPr>
              <w:t>l</w:t>
            </w:r>
            <w:r w:rsidRPr="00B457F5">
              <w:rPr>
                <w:rFonts w:ascii="Garamond" w:eastAsia="Times New Roman" w:hAnsi="Garamond" w:cs="Times New Roman"/>
                <w:i/>
                <w:color w:val="000000"/>
                <w:sz w:val="4"/>
                <w:szCs w:val="10"/>
              </w:rPr>
              <w:t xml:space="preserve">eje </w:t>
            </w:r>
            <w:r w:rsidR="006A63AF" w:rsidRPr="00B457F5">
              <w:rPr>
                <w:rFonts w:ascii="Garamond" w:eastAsia="Times New Roman" w:hAnsi="Garamond" w:cs="Times New Roman"/>
                <w:i/>
                <w:color w:val="000000"/>
                <w:sz w:val="4"/>
                <w:szCs w:val="10"/>
              </w:rPr>
              <w:t>q</w:t>
            </w:r>
            <w:r w:rsidRPr="00B457F5">
              <w:rPr>
                <w:rFonts w:ascii="Garamond" w:eastAsia="Times New Roman" w:hAnsi="Garamond" w:cs="Times New Roman"/>
                <w:i/>
                <w:color w:val="000000"/>
                <w:sz w:val="4"/>
                <w:szCs w:val="10"/>
              </w:rPr>
              <w:t>ëndrimi</w:t>
            </w:r>
            <w:r w:rsidRPr="00B457F5">
              <w:rPr>
                <w:rFonts w:ascii="Garamond" w:eastAsia="Times New Roman" w:hAnsi="Garamond" w:cs="Times New Roman"/>
                <w:color w:val="000000"/>
                <w:sz w:val="4"/>
                <w:szCs w:val="10"/>
              </w:rPr>
              <w:t xml:space="preserve"> në FER dhe sistemin TIMS </w:t>
            </w:r>
          </w:p>
        </w:tc>
        <w:tc>
          <w:tcPr>
            <w:tcW w:w="186" w:type="pct"/>
            <w:tcBorders>
              <w:top w:val="nil"/>
              <w:left w:val="nil"/>
              <w:bottom w:val="single" w:sz="4" w:space="0" w:color="auto"/>
              <w:right w:val="single" w:sz="4" w:space="0" w:color="auto"/>
            </w:tcBorders>
            <w:shd w:val="clear" w:color="auto" w:fill="auto"/>
            <w:vAlign w:val="center"/>
            <w:hideMark/>
          </w:tcPr>
          <w:p w14:paraId="2BDDDC02"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794DFCE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MB </w:t>
            </w:r>
          </w:p>
        </w:tc>
        <w:tc>
          <w:tcPr>
            <w:tcW w:w="244" w:type="pct"/>
            <w:tcBorders>
              <w:top w:val="nil"/>
              <w:left w:val="nil"/>
              <w:bottom w:val="single" w:sz="4" w:space="0" w:color="auto"/>
              <w:right w:val="single" w:sz="4" w:space="0" w:color="auto"/>
            </w:tcBorders>
            <w:shd w:val="clear" w:color="auto" w:fill="auto"/>
            <w:vAlign w:val="center"/>
            <w:hideMark/>
          </w:tcPr>
          <w:p w14:paraId="3FEC5BB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MEPJ, MEKI, DKM, AKSHI.</w:t>
            </w:r>
          </w:p>
        </w:tc>
        <w:tc>
          <w:tcPr>
            <w:tcW w:w="135" w:type="pct"/>
            <w:tcBorders>
              <w:top w:val="nil"/>
              <w:left w:val="nil"/>
              <w:bottom w:val="single" w:sz="4" w:space="0" w:color="auto"/>
              <w:right w:val="single" w:sz="4" w:space="0" w:color="auto"/>
            </w:tcBorders>
            <w:shd w:val="clear" w:color="000000" w:fill="DDEBF7"/>
            <w:vAlign w:val="center"/>
            <w:hideMark/>
          </w:tcPr>
          <w:p w14:paraId="6987A364"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2024 </w:t>
            </w:r>
          </w:p>
        </w:tc>
        <w:tc>
          <w:tcPr>
            <w:tcW w:w="152" w:type="pct"/>
            <w:tcBorders>
              <w:top w:val="nil"/>
              <w:left w:val="nil"/>
              <w:bottom w:val="single" w:sz="4" w:space="0" w:color="auto"/>
              <w:right w:val="single" w:sz="4" w:space="0" w:color="auto"/>
            </w:tcBorders>
            <w:shd w:val="clear" w:color="000000" w:fill="DDEBF7"/>
            <w:vAlign w:val="center"/>
            <w:hideMark/>
          </w:tcPr>
          <w:p w14:paraId="139435B5"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2024 </w:t>
            </w:r>
          </w:p>
        </w:tc>
        <w:tc>
          <w:tcPr>
            <w:tcW w:w="163" w:type="pct"/>
            <w:tcBorders>
              <w:top w:val="nil"/>
              <w:left w:val="nil"/>
              <w:bottom w:val="single" w:sz="4" w:space="0" w:color="auto"/>
              <w:right w:val="single" w:sz="4" w:space="0" w:color="auto"/>
            </w:tcBorders>
            <w:shd w:val="clear" w:color="auto" w:fill="auto"/>
            <w:vAlign w:val="center"/>
            <w:hideMark/>
          </w:tcPr>
          <w:p w14:paraId="37DD165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3,620,605</w:t>
            </w:r>
          </w:p>
        </w:tc>
        <w:tc>
          <w:tcPr>
            <w:tcW w:w="155" w:type="pct"/>
            <w:tcBorders>
              <w:top w:val="nil"/>
              <w:left w:val="nil"/>
              <w:bottom w:val="single" w:sz="4" w:space="0" w:color="auto"/>
              <w:right w:val="single" w:sz="4" w:space="0" w:color="auto"/>
            </w:tcBorders>
            <w:shd w:val="clear" w:color="auto" w:fill="auto"/>
            <w:vAlign w:val="center"/>
            <w:hideMark/>
          </w:tcPr>
          <w:p w14:paraId="37AE697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3911932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3,620,605</w:t>
            </w:r>
          </w:p>
        </w:tc>
        <w:tc>
          <w:tcPr>
            <w:tcW w:w="165" w:type="pct"/>
            <w:tcBorders>
              <w:top w:val="nil"/>
              <w:left w:val="nil"/>
              <w:bottom w:val="single" w:sz="4" w:space="0" w:color="auto"/>
              <w:right w:val="single" w:sz="4" w:space="0" w:color="auto"/>
            </w:tcBorders>
            <w:shd w:val="clear" w:color="auto" w:fill="auto"/>
            <w:vAlign w:val="center"/>
            <w:hideMark/>
          </w:tcPr>
          <w:p w14:paraId="72467E6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156D1E3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162C551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3DC8D63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8" w:type="pct"/>
            <w:tcBorders>
              <w:top w:val="nil"/>
              <w:left w:val="nil"/>
              <w:bottom w:val="single" w:sz="4" w:space="0" w:color="auto"/>
              <w:right w:val="single" w:sz="4" w:space="0" w:color="auto"/>
            </w:tcBorders>
            <w:shd w:val="clear" w:color="auto" w:fill="auto"/>
            <w:vAlign w:val="center"/>
            <w:hideMark/>
          </w:tcPr>
          <w:p w14:paraId="5CCE5EF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741EB81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auto" w:fill="auto"/>
            <w:vAlign w:val="center"/>
            <w:hideMark/>
          </w:tcPr>
          <w:p w14:paraId="5988722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3,620,605</w:t>
            </w:r>
          </w:p>
        </w:tc>
        <w:tc>
          <w:tcPr>
            <w:tcW w:w="163" w:type="pct"/>
            <w:tcBorders>
              <w:top w:val="nil"/>
              <w:left w:val="nil"/>
              <w:bottom w:val="single" w:sz="4" w:space="0" w:color="auto"/>
              <w:right w:val="single" w:sz="4" w:space="0" w:color="auto"/>
            </w:tcBorders>
            <w:shd w:val="clear" w:color="auto" w:fill="auto"/>
            <w:vAlign w:val="center"/>
            <w:hideMark/>
          </w:tcPr>
          <w:p w14:paraId="6290973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6004F5C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3,620,605</w:t>
            </w:r>
          </w:p>
        </w:tc>
        <w:tc>
          <w:tcPr>
            <w:tcW w:w="163" w:type="pct"/>
            <w:tcBorders>
              <w:top w:val="nil"/>
              <w:left w:val="nil"/>
              <w:bottom w:val="single" w:sz="4" w:space="0" w:color="auto"/>
              <w:right w:val="single" w:sz="4" w:space="0" w:color="auto"/>
            </w:tcBorders>
            <w:shd w:val="clear" w:color="auto" w:fill="auto"/>
            <w:vAlign w:val="center"/>
            <w:hideMark/>
          </w:tcPr>
          <w:p w14:paraId="395608B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3,620,605</w:t>
            </w:r>
          </w:p>
        </w:tc>
        <w:tc>
          <w:tcPr>
            <w:tcW w:w="155" w:type="pct"/>
            <w:tcBorders>
              <w:top w:val="nil"/>
              <w:left w:val="nil"/>
              <w:bottom w:val="single" w:sz="4" w:space="0" w:color="auto"/>
              <w:right w:val="single" w:sz="4" w:space="0" w:color="auto"/>
            </w:tcBorders>
            <w:shd w:val="clear" w:color="auto" w:fill="auto"/>
            <w:vAlign w:val="center"/>
            <w:hideMark/>
          </w:tcPr>
          <w:p w14:paraId="349864F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55670CF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3,620,605</w:t>
            </w:r>
          </w:p>
        </w:tc>
        <w:tc>
          <w:tcPr>
            <w:tcW w:w="162" w:type="pct"/>
            <w:tcBorders>
              <w:top w:val="nil"/>
              <w:left w:val="nil"/>
              <w:bottom w:val="single" w:sz="4" w:space="0" w:color="auto"/>
              <w:right w:val="single" w:sz="4" w:space="0" w:color="auto"/>
            </w:tcBorders>
            <w:shd w:val="clear" w:color="auto" w:fill="auto"/>
            <w:vAlign w:val="center"/>
            <w:hideMark/>
          </w:tcPr>
          <w:p w14:paraId="6D69050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70F3625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4411953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7196AD4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3C8198F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52D6FDD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1CD542C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3C708B90" w14:textId="3A46E0E3"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08CED261"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52B9A4C7"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1.2.2.3</w:t>
            </w:r>
          </w:p>
        </w:tc>
        <w:tc>
          <w:tcPr>
            <w:tcW w:w="281" w:type="pct"/>
            <w:tcBorders>
              <w:top w:val="nil"/>
              <w:left w:val="nil"/>
              <w:bottom w:val="single" w:sz="4" w:space="0" w:color="auto"/>
              <w:right w:val="single" w:sz="4" w:space="0" w:color="auto"/>
            </w:tcBorders>
            <w:shd w:val="clear" w:color="auto" w:fill="auto"/>
            <w:vAlign w:val="center"/>
            <w:hideMark/>
          </w:tcPr>
          <w:p w14:paraId="36F35723" w14:textId="662E1ECA"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1.2.2.3 Të shtohen n</w:t>
            </w:r>
            <w:r w:rsidR="006A63AF" w:rsidRPr="00B457F5">
              <w:rPr>
                <w:rFonts w:ascii="Garamond" w:eastAsia="Times New Roman" w:hAnsi="Garamond" w:cs="Times New Roman"/>
                <w:color w:val="000000"/>
                <w:sz w:val="4"/>
                <w:szCs w:val="10"/>
              </w:rPr>
              <w:t>ë</w:t>
            </w:r>
            <w:r w:rsidRPr="00B457F5">
              <w:rPr>
                <w:rFonts w:ascii="Garamond" w:eastAsia="Times New Roman" w:hAnsi="Garamond" w:cs="Times New Roman"/>
                <w:color w:val="000000"/>
                <w:sz w:val="4"/>
                <w:szCs w:val="10"/>
              </w:rPr>
              <w:t xml:space="preserve"> modulin e </w:t>
            </w:r>
            <w:r w:rsidR="006A63AF" w:rsidRPr="00B457F5">
              <w:rPr>
                <w:rFonts w:ascii="Garamond" w:eastAsia="Times New Roman" w:hAnsi="Garamond" w:cs="Times New Roman"/>
                <w:i/>
                <w:color w:val="000000"/>
                <w:sz w:val="4"/>
                <w:szCs w:val="10"/>
              </w:rPr>
              <w:t>e</w:t>
            </w:r>
            <w:r w:rsidRPr="00B457F5">
              <w:rPr>
                <w:rFonts w:ascii="Garamond" w:eastAsia="Times New Roman" w:hAnsi="Garamond" w:cs="Times New Roman"/>
                <w:i/>
                <w:color w:val="000000"/>
                <w:sz w:val="4"/>
                <w:szCs w:val="10"/>
              </w:rPr>
              <w:t>-viza</w:t>
            </w:r>
            <w:r w:rsidRPr="00B457F5">
              <w:rPr>
                <w:rFonts w:ascii="Garamond" w:eastAsia="Times New Roman" w:hAnsi="Garamond" w:cs="Times New Roman"/>
                <w:color w:val="000000"/>
                <w:sz w:val="4"/>
                <w:szCs w:val="10"/>
              </w:rPr>
              <w:t xml:space="preserve"> </w:t>
            </w:r>
            <w:r w:rsidR="003737F5" w:rsidRPr="00B457F5">
              <w:rPr>
                <w:rFonts w:ascii="Garamond" w:eastAsia="Times New Roman" w:hAnsi="Garamond" w:cs="Times New Roman"/>
                <w:color w:val="000000"/>
                <w:sz w:val="4"/>
                <w:szCs w:val="10"/>
              </w:rPr>
              <w:t>a</w:t>
            </w:r>
            <w:r w:rsidRPr="00B457F5">
              <w:rPr>
                <w:rFonts w:ascii="Garamond" w:eastAsia="Times New Roman" w:hAnsi="Garamond" w:cs="Times New Roman"/>
                <w:color w:val="000000"/>
                <w:sz w:val="4"/>
                <w:szCs w:val="10"/>
              </w:rPr>
              <w:t>plikant</w:t>
            </w:r>
            <w:r w:rsidR="006A63AF" w:rsidRPr="00B457F5">
              <w:rPr>
                <w:rFonts w:ascii="Garamond" w:eastAsia="Times New Roman" w:hAnsi="Garamond" w:cs="Times New Roman"/>
                <w:color w:val="000000"/>
                <w:sz w:val="4"/>
                <w:szCs w:val="10"/>
              </w:rPr>
              <w:t>ë</w:t>
            </w:r>
            <w:r w:rsidRPr="00B457F5">
              <w:rPr>
                <w:rFonts w:ascii="Garamond" w:eastAsia="Times New Roman" w:hAnsi="Garamond" w:cs="Times New Roman"/>
                <w:color w:val="000000"/>
                <w:sz w:val="4"/>
                <w:szCs w:val="10"/>
              </w:rPr>
              <w:t>t me risk t</w:t>
            </w:r>
            <w:r w:rsidR="006A63AF" w:rsidRPr="00B457F5">
              <w:rPr>
                <w:rFonts w:ascii="Garamond" w:eastAsia="Times New Roman" w:hAnsi="Garamond" w:cs="Times New Roman"/>
                <w:color w:val="000000"/>
                <w:sz w:val="4"/>
                <w:szCs w:val="10"/>
              </w:rPr>
              <w:t>ë</w:t>
            </w:r>
            <w:r w:rsidRPr="00B457F5">
              <w:rPr>
                <w:rFonts w:ascii="Garamond" w:eastAsia="Times New Roman" w:hAnsi="Garamond" w:cs="Times New Roman"/>
                <w:color w:val="000000"/>
                <w:sz w:val="4"/>
                <w:szCs w:val="10"/>
              </w:rPr>
              <w:t xml:space="preserve"> lart</w:t>
            </w:r>
            <w:r w:rsidR="006A63AF" w:rsidRPr="00B457F5">
              <w:rPr>
                <w:rFonts w:ascii="Garamond" w:eastAsia="Times New Roman" w:hAnsi="Garamond" w:cs="Times New Roman"/>
                <w:color w:val="000000"/>
                <w:sz w:val="4"/>
                <w:szCs w:val="10"/>
              </w:rPr>
              <w:t>ë</w:t>
            </w:r>
            <w:r w:rsidRPr="00B457F5">
              <w:rPr>
                <w:rFonts w:ascii="Garamond" w:eastAsia="Times New Roman" w:hAnsi="Garamond" w:cs="Times New Roman"/>
                <w:color w:val="000000"/>
                <w:sz w:val="4"/>
                <w:szCs w:val="10"/>
              </w:rPr>
              <w:t xml:space="preserve"> </w:t>
            </w:r>
          </w:p>
        </w:tc>
        <w:tc>
          <w:tcPr>
            <w:tcW w:w="186" w:type="pct"/>
            <w:tcBorders>
              <w:top w:val="nil"/>
              <w:left w:val="nil"/>
              <w:bottom w:val="single" w:sz="4" w:space="0" w:color="auto"/>
              <w:right w:val="single" w:sz="4" w:space="0" w:color="auto"/>
            </w:tcBorders>
            <w:shd w:val="clear" w:color="auto" w:fill="auto"/>
            <w:vAlign w:val="center"/>
            <w:hideMark/>
          </w:tcPr>
          <w:p w14:paraId="3062A252"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03140 Policia e Shtetit</w:t>
            </w:r>
          </w:p>
        </w:tc>
        <w:tc>
          <w:tcPr>
            <w:tcW w:w="169" w:type="pct"/>
            <w:tcBorders>
              <w:top w:val="nil"/>
              <w:left w:val="nil"/>
              <w:bottom w:val="single" w:sz="4" w:space="0" w:color="auto"/>
              <w:right w:val="single" w:sz="4" w:space="0" w:color="auto"/>
            </w:tcBorders>
            <w:shd w:val="clear" w:color="auto" w:fill="auto"/>
            <w:vAlign w:val="center"/>
            <w:hideMark/>
          </w:tcPr>
          <w:p w14:paraId="52F9FE0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DKM</w:t>
            </w:r>
          </w:p>
        </w:tc>
        <w:tc>
          <w:tcPr>
            <w:tcW w:w="244" w:type="pct"/>
            <w:tcBorders>
              <w:top w:val="nil"/>
              <w:left w:val="nil"/>
              <w:bottom w:val="single" w:sz="4" w:space="0" w:color="auto"/>
              <w:right w:val="single" w:sz="4" w:space="0" w:color="auto"/>
            </w:tcBorders>
            <w:shd w:val="clear" w:color="auto" w:fill="auto"/>
            <w:vAlign w:val="center"/>
            <w:hideMark/>
          </w:tcPr>
          <w:p w14:paraId="5B923A8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AKSHI, MEPJ, SHISH</w:t>
            </w:r>
          </w:p>
        </w:tc>
        <w:tc>
          <w:tcPr>
            <w:tcW w:w="135" w:type="pct"/>
            <w:tcBorders>
              <w:top w:val="nil"/>
              <w:left w:val="nil"/>
              <w:bottom w:val="single" w:sz="4" w:space="0" w:color="auto"/>
              <w:right w:val="single" w:sz="4" w:space="0" w:color="auto"/>
            </w:tcBorders>
            <w:shd w:val="clear" w:color="000000" w:fill="DDEBF7"/>
            <w:vAlign w:val="center"/>
            <w:hideMark/>
          </w:tcPr>
          <w:p w14:paraId="13DB9EBE"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6B6588C2"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2025</w:t>
            </w:r>
          </w:p>
        </w:tc>
        <w:tc>
          <w:tcPr>
            <w:tcW w:w="163" w:type="pct"/>
            <w:tcBorders>
              <w:top w:val="nil"/>
              <w:left w:val="nil"/>
              <w:bottom w:val="single" w:sz="4" w:space="0" w:color="auto"/>
              <w:right w:val="single" w:sz="4" w:space="0" w:color="auto"/>
            </w:tcBorders>
            <w:shd w:val="clear" w:color="auto" w:fill="auto"/>
            <w:vAlign w:val="center"/>
            <w:hideMark/>
          </w:tcPr>
          <w:p w14:paraId="313C5AF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737B4D9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11,500,000</w:t>
            </w:r>
          </w:p>
        </w:tc>
        <w:tc>
          <w:tcPr>
            <w:tcW w:w="162" w:type="pct"/>
            <w:tcBorders>
              <w:top w:val="nil"/>
              <w:left w:val="nil"/>
              <w:bottom w:val="single" w:sz="4" w:space="0" w:color="auto"/>
              <w:right w:val="single" w:sz="4" w:space="0" w:color="auto"/>
            </w:tcBorders>
            <w:shd w:val="clear" w:color="000000" w:fill="FFF2CC"/>
            <w:vAlign w:val="center"/>
            <w:hideMark/>
          </w:tcPr>
          <w:p w14:paraId="5C5C5DB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11,500,000</w:t>
            </w:r>
          </w:p>
        </w:tc>
        <w:tc>
          <w:tcPr>
            <w:tcW w:w="165" w:type="pct"/>
            <w:tcBorders>
              <w:top w:val="nil"/>
              <w:left w:val="nil"/>
              <w:bottom w:val="single" w:sz="4" w:space="0" w:color="auto"/>
              <w:right w:val="single" w:sz="4" w:space="0" w:color="auto"/>
            </w:tcBorders>
            <w:shd w:val="clear" w:color="auto" w:fill="auto"/>
            <w:vAlign w:val="center"/>
            <w:hideMark/>
          </w:tcPr>
          <w:p w14:paraId="5E850B6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31125B6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11,500,000</w:t>
            </w:r>
          </w:p>
        </w:tc>
        <w:tc>
          <w:tcPr>
            <w:tcW w:w="163" w:type="pct"/>
            <w:tcBorders>
              <w:top w:val="nil"/>
              <w:left w:val="nil"/>
              <w:bottom w:val="single" w:sz="4" w:space="0" w:color="auto"/>
              <w:right w:val="single" w:sz="4" w:space="0" w:color="auto"/>
            </w:tcBorders>
            <w:shd w:val="clear" w:color="000000" w:fill="FFF2CC"/>
            <w:vAlign w:val="center"/>
            <w:hideMark/>
          </w:tcPr>
          <w:p w14:paraId="2849967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11,500,000</w:t>
            </w:r>
          </w:p>
        </w:tc>
        <w:tc>
          <w:tcPr>
            <w:tcW w:w="163" w:type="pct"/>
            <w:tcBorders>
              <w:top w:val="nil"/>
              <w:left w:val="nil"/>
              <w:bottom w:val="single" w:sz="4" w:space="0" w:color="auto"/>
              <w:right w:val="single" w:sz="4" w:space="0" w:color="auto"/>
            </w:tcBorders>
            <w:shd w:val="clear" w:color="auto" w:fill="auto"/>
            <w:vAlign w:val="center"/>
            <w:hideMark/>
          </w:tcPr>
          <w:p w14:paraId="2A1D824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8" w:type="pct"/>
            <w:tcBorders>
              <w:top w:val="nil"/>
              <w:left w:val="nil"/>
              <w:bottom w:val="single" w:sz="4" w:space="0" w:color="auto"/>
              <w:right w:val="single" w:sz="4" w:space="0" w:color="auto"/>
            </w:tcBorders>
            <w:shd w:val="clear" w:color="auto" w:fill="auto"/>
            <w:vAlign w:val="center"/>
            <w:hideMark/>
          </w:tcPr>
          <w:p w14:paraId="491CE3F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74618D2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auto" w:fill="auto"/>
            <w:vAlign w:val="center"/>
            <w:hideMark/>
          </w:tcPr>
          <w:p w14:paraId="5D722ED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007C0E8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23,000,000</w:t>
            </w:r>
          </w:p>
        </w:tc>
        <w:tc>
          <w:tcPr>
            <w:tcW w:w="165" w:type="pct"/>
            <w:tcBorders>
              <w:top w:val="nil"/>
              <w:left w:val="nil"/>
              <w:bottom w:val="single" w:sz="4" w:space="0" w:color="auto"/>
              <w:right w:val="single" w:sz="4" w:space="0" w:color="auto"/>
            </w:tcBorders>
            <w:shd w:val="clear" w:color="000000" w:fill="FFF2CC"/>
            <w:vAlign w:val="center"/>
            <w:hideMark/>
          </w:tcPr>
          <w:p w14:paraId="324626C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23,000,000</w:t>
            </w:r>
          </w:p>
        </w:tc>
        <w:tc>
          <w:tcPr>
            <w:tcW w:w="163" w:type="pct"/>
            <w:tcBorders>
              <w:top w:val="nil"/>
              <w:left w:val="nil"/>
              <w:bottom w:val="single" w:sz="4" w:space="0" w:color="auto"/>
              <w:right w:val="single" w:sz="4" w:space="0" w:color="auto"/>
            </w:tcBorders>
            <w:shd w:val="clear" w:color="auto" w:fill="auto"/>
            <w:vAlign w:val="center"/>
            <w:hideMark/>
          </w:tcPr>
          <w:p w14:paraId="4849D8E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54125DD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11,500,000</w:t>
            </w:r>
          </w:p>
        </w:tc>
        <w:tc>
          <w:tcPr>
            <w:tcW w:w="163" w:type="pct"/>
            <w:tcBorders>
              <w:top w:val="nil"/>
              <w:left w:val="nil"/>
              <w:bottom w:val="single" w:sz="4" w:space="0" w:color="auto"/>
              <w:right w:val="single" w:sz="4" w:space="0" w:color="auto"/>
            </w:tcBorders>
            <w:shd w:val="clear" w:color="000000" w:fill="FFF2CC"/>
            <w:vAlign w:val="center"/>
            <w:hideMark/>
          </w:tcPr>
          <w:p w14:paraId="5FA6A2F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11,500,000</w:t>
            </w:r>
          </w:p>
        </w:tc>
        <w:tc>
          <w:tcPr>
            <w:tcW w:w="162" w:type="pct"/>
            <w:tcBorders>
              <w:top w:val="nil"/>
              <w:left w:val="nil"/>
              <w:bottom w:val="single" w:sz="4" w:space="0" w:color="auto"/>
              <w:right w:val="single" w:sz="4" w:space="0" w:color="auto"/>
            </w:tcBorders>
            <w:shd w:val="clear" w:color="auto" w:fill="auto"/>
            <w:vAlign w:val="center"/>
            <w:hideMark/>
          </w:tcPr>
          <w:p w14:paraId="16C7083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6C92228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3D448AD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098FFBB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73B803C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7576C06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67BF8BF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3A69D2F5" w14:textId="473091ED"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(11,500,000)</w:t>
            </w:r>
          </w:p>
        </w:tc>
      </w:tr>
      <w:tr w:rsidR="00C260C3" w:rsidRPr="00B457F5" w14:paraId="7A21CAA6"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016990C2"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1.2.2.4</w:t>
            </w:r>
          </w:p>
        </w:tc>
        <w:tc>
          <w:tcPr>
            <w:tcW w:w="281" w:type="pct"/>
            <w:tcBorders>
              <w:top w:val="nil"/>
              <w:left w:val="nil"/>
              <w:bottom w:val="single" w:sz="4" w:space="0" w:color="auto"/>
              <w:right w:val="single" w:sz="4" w:space="0" w:color="auto"/>
            </w:tcBorders>
            <w:shd w:val="clear" w:color="auto" w:fill="auto"/>
            <w:vAlign w:val="center"/>
            <w:hideMark/>
          </w:tcPr>
          <w:p w14:paraId="49E31AD3"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1.2.2.4 Të krijohen dhe zbatohen procedurat e verifikimit për aplikantët sipas aplikimit dhe historikut të tyre të migracionit</w:t>
            </w:r>
          </w:p>
        </w:tc>
        <w:tc>
          <w:tcPr>
            <w:tcW w:w="186" w:type="pct"/>
            <w:tcBorders>
              <w:top w:val="nil"/>
              <w:left w:val="nil"/>
              <w:bottom w:val="single" w:sz="4" w:space="0" w:color="auto"/>
              <w:right w:val="single" w:sz="4" w:space="0" w:color="auto"/>
            </w:tcBorders>
            <w:shd w:val="clear" w:color="auto" w:fill="auto"/>
            <w:vAlign w:val="center"/>
            <w:hideMark/>
          </w:tcPr>
          <w:p w14:paraId="2888DAE9"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03140 Policia e Shtetit</w:t>
            </w:r>
          </w:p>
        </w:tc>
        <w:tc>
          <w:tcPr>
            <w:tcW w:w="169" w:type="pct"/>
            <w:tcBorders>
              <w:top w:val="nil"/>
              <w:left w:val="nil"/>
              <w:bottom w:val="single" w:sz="4" w:space="0" w:color="auto"/>
              <w:right w:val="single" w:sz="4" w:space="0" w:color="auto"/>
            </w:tcBorders>
            <w:shd w:val="clear" w:color="auto" w:fill="auto"/>
            <w:vAlign w:val="center"/>
            <w:hideMark/>
          </w:tcPr>
          <w:p w14:paraId="2542DBD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DKM</w:t>
            </w:r>
          </w:p>
        </w:tc>
        <w:tc>
          <w:tcPr>
            <w:tcW w:w="244" w:type="pct"/>
            <w:tcBorders>
              <w:top w:val="nil"/>
              <w:left w:val="nil"/>
              <w:bottom w:val="single" w:sz="4" w:space="0" w:color="auto"/>
              <w:right w:val="single" w:sz="4" w:space="0" w:color="auto"/>
            </w:tcBorders>
            <w:shd w:val="clear" w:color="auto" w:fill="auto"/>
            <w:vAlign w:val="center"/>
            <w:hideMark/>
          </w:tcPr>
          <w:p w14:paraId="10F772C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AKSHI</w:t>
            </w:r>
          </w:p>
        </w:tc>
        <w:tc>
          <w:tcPr>
            <w:tcW w:w="135" w:type="pct"/>
            <w:tcBorders>
              <w:top w:val="nil"/>
              <w:left w:val="nil"/>
              <w:bottom w:val="single" w:sz="4" w:space="0" w:color="auto"/>
              <w:right w:val="single" w:sz="4" w:space="0" w:color="auto"/>
            </w:tcBorders>
            <w:shd w:val="clear" w:color="000000" w:fill="DDEBF7"/>
            <w:vAlign w:val="center"/>
            <w:hideMark/>
          </w:tcPr>
          <w:p w14:paraId="7FFA5F27"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2024 </w:t>
            </w:r>
          </w:p>
        </w:tc>
        <w:tc>
          <w:tcPr>
            <w:tcW w:w="152" w:type="pct"/>
            <w:tcBorders>
              <w:top w:val="nil"/>
              <w:left w:val="nil"/>
              <w:bottom w:val="single" w:sz="4" w:space="0" w:color="auto"/>
              <w:right w:val="single" w:sz="4" w:space="0" w:color="auto"/>
            </w:tcBorders>
            <w:shd w:val="clear" w:color="000000" w:fill="DDEBF7"/>
            <w:vAlign w:val="center"/>
            <w:hideMark/>
          </w:tcPr>
          <w:p w14:paraId="432163D6"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2025 </w:t>
            </w:r>
          </w:p>
        </w:tc>
        <w:tc>
          <w:tcPr>
            <w:tcW w:w="163" w:type="pct"/>
            <w:tcBorders>
              <w:top w:val="nil"/>
              <w:left w:val="nil"/>
              <w:bottom w:val="single" w:sz="4" w:space="0" w:color="auto"/>
              <w:right w:val="single" w:sz="4" w:space="0" w:color="auto"/>
            </w:tcBorders>
            <w:shd w:val="clear" w:color="auto" w:fill="auto"/>
            <w:vAlign w:val="center"/>
            <w:hideMark/>
          </w:tcPr>
          <w:p w14:paraId="72FFEE9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3,620,605</w:t>
            </w:r>
          </w:p>
        </w:tc>
        <w:tc>
          <w:tcPr>
            <w:tcW w:w="155" w:type="pct"/>
            <w:tcBorders>
              <w:top w:val="nil"/>
              <w:left w:val="nil"/>
              <w:bottom w:val="single" w:sz="4" w:space="0" w:color="auto"/>
              <w:right w:val="single" w:sz="4" w:space="0" w:color="auto"/>
            </w:tcBorders>
            <w:shd w:val="clear" w:color="auto" w:fill="auto"/>
            <w:vAlign w:val="center"/>
            <w:hideMark/>
          </w:tcPr>
          <w:p w14:paraId="5F702B1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6D32A38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3,620,605</w:t>
            </w:r>
          </w:p>
        </w:tc>
        <w:tc>
          <w:tcPr>
            <w:tcW w:w="165" w:type="pct"/>
            <w:tcBorders>
              <w:top w:val="nil"/>
              <w:left w:val="nil"/>
              <w:bottom w:val="single" w:sz="4" w:space="0" w:color="auto"/>
              <w:right w:val="single" w:sz="4" w:space="0" w:color="auto"/>
            </w:tcBorders>
            <w:shd w:val="clear" w:color="auto" w:fill="auto"/>
            <w:vAlign w:val="center"/>
            <w:hideMark/>
          </w:tcPr>
          <w:p w14:paraId="4AB7F0B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3,620,605</w:t>
            </w:r>
          </w:p>
        </w:tc>
        <w:tc>
          <w:tcPr>
            <w:tcW w:w="163" w:type="pct"/>
            <w:tcBorders>
              <w:top w:val="nil"/>
              <w:left w:val="nil"/>
              <w:bottom w:val="single" w:sz="4" w:space="0" w:color="auto"/>
              <w:right w:val="single" w:sz="4" w:space="0" w:color="auto"/>
            </w:tcBorders>
            <w:shd w:val="clear" w:color="auto" w:fill="auto"/>
            <w:vAlign w:val="center"/>
            <w:hideMark/>
          </w:tcPr>
          <w:p w14:paraId="0D99AC5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5B74561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3,620,605</w:t>
            </w:r>
          </w:p>
        </w:tc>
        <w:tc>
          <w:tcPr>
            <w:tcW w:w="163" w:type="pct"/>
            <w:tcBorders>
              <w:top w:val="nil"/>
              <w:left w:val="nil"/>
              <w:bottom w:val="single" w:sz="4" w:space="0" w:color="auto"/>
              <w:right w:val="single" w:sz="4" w:space="0" w:color="auto"/>
            </w:tcBorders>
            <w:shd w:val="clear" w:color="auto" w:fill="auto"/>
            <w:vAlign w:val="center"/>
            <w:hideMark/>
          </w:tcPr>
          <w:p w14:paraId="1918D40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8" w:type="pct"/>
            <w:tcBorders>
              <w:top w:val="nil"/>
              <w:left w:val="nil"/>
              <w:bottom w:val="single" w:sz="4" w:space="0" w:color="auto"/>
              <w:right w:val="single" w:sz="4" w:space="0" w:color="auto"/>
            </w:tcBorders>
            <w:shd w:val="clear" w:color="auto" w:fill="auto"/>
            <w:vAlign w:val="center"/>
            <w:hideMark/>
          </w:tcPr>
          <w:p w14:paraId="688AF88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366DCAD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auto" w:fill="auto"/>
            <w:vAlign w:val="center"/>
            <w:hideMark/>
          </w:tcPr>
          <w:p w14:paraId="2D0B1B2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7,241,210</w:t>
            </w:r>
          </w:p>
        </w:tc>
        <w:tc>
          <w:tcPr>
            <w:tcW w:w="163" w:type="pct"/>
            <w:tcBorders>
              <w:top w:val="nil"/>
              <w:left w:val="nil"/>
              <w:bottom w:val="single" w:sz="4" w:space="0" w:color="auto"/>
              <w:right w:val="single" w:sz="4" w:space="0" w:color="auto"/>
            </w:tcBorders>
            <w:shd w:val="clear" w:color="auto" w:fill="auto"/>
            <w:vAlign w:val="center"/>
            <w:hideMark/>
          </w:tcPr>
          <w:p w14:paraId="1E1D95D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700A177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7,241,210</w:t>
            </w:r>
          </w:p>
        </w:tc>
        <w:tc>
          <w:tcPr>
            <w:tcW w:w="163" w:type="pct"/>
            <w:tcBorders>
              <w:top w:val="nil"/>
              <w:left w:val="nil"/>
              <w:bottom w:val="single" w:sz="4" w:space="0" w:color="auto"/>
              <w:right w:val="single" w:sz="4" w:space="0" w:color="auto"/>
            </w:tcBorders>
            <w:shd w:val="clear" w:color="auto" w:fill="auto"/>
            <w:vAlign w:val="center"/>
            <w:hideMark/>
          </w:tcPr>
          <w:p w14:paraId="4E324F0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7,241,210</w:t>
            </w:r>
          </w:p>
        </w:tc>
        <w:tc>
          <w:tcPr>
            <w:tcW w:w="155" w:type="pct"/>
            <w:tcBorders>
              <w:top w:val="nil"/>
              <w:left w:val="nil"/>
              <w:bottom w:val="single" w:sz="4" w:space="0" w:color="auto"/>
              <w:right w:val="single" w:sz="4" w:space="0" w:color="auto"/>
            </w:tcBorders>
            <w:shd w:val="clear" w:color="auto" w:fill="auto"/>
            <w:vAlign w:val="center"/>
            <w:hideMark/>
          </w:tcPr>
          <w:p w14:paraId="7B0F691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193F2FC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7,241,210</w:t>
            </w:r>
          </w:p>
        </w:tc>
        <w:tc>
          <w:tcPr>
            <w:tcW w:w="162" w:type="pct"/>
            <w:tcBorders>
              <w:top w:val="nil"/>
              <w:left w:val="nil"/>
              <w:bottom w:val="single" w:sz="4" w:space="0" w:color="auto"/>
              <w:right w:val="single" w:sz="4" w:space="0" w:color="auto"/>
            </w:tcBorders>
            <w:shd w:val="clear" w:color="auto" w:fill="auto"/>
            <w:vAlign w:val="center"/>
            <w:hideMark/>
          </w:tcPr>
          <w:p w14:paraId="2818EDE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5F6AFC5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265ED45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1F0505C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1EBBFDB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2D00F51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18C7B2F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4028D936" w14:textId="4C2E34A3"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55E0D0A2"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7D6840EE"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1.2.2.5</w:t>
            </w:r>
          </w:p>
        </w:tc>
        <w:tc>
          <w:tcPr>
            <w:tcW w:w="281" w:type="pct"/>
            <w:tcBorders>
              <w:top w:val="nil"/>
              <w:left w:val="nil"/>
              <w:bottom w:val="single" w:sz="4" w:space="0" w:color="auto"/>
              <w:right w:val="single" w:sz="4" w:space="0" w:color="auto"/>
            </w:tcBorders>
            <w:shd w:val="clear" w:color="auto" w:fill="auto"/>
            <w:vAlign w:val="center"/>
            <w:hideMark/>
          </w:tcPr>
          <w:p w14:paraId="238FE9C4" w14:textId="24444AED"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1.2.2.5 Përditësimi i bazës së të dhënave që MDK</w:t>
            </w:r>
            <w:r w:rsidR="003737F5" w:rsidRPr="00B457F5">
              <w:rPr>
                <w:rFonts w:ascii="Garamond" w:eastAsia="Times New Roman" w:hAnsi="Garamond" w:cs="Times New Roman"/>
                <w:color w:val="000000"/>
                <w:sz w:val="4"/>
                <w:szCs w:val="10"/>
              </w:rPr>
              <w:t>-ja</w:t>
            </w:r>
            <w:r w:rsidRPr="00B457F5">
              <w:rPr>
                <w:rFonts w:ascii="Garamond" w:eastAsia="Times New Roman" w:hAnsi="Garamond" w:cs="Times New Roman"/>
                <w:color w:val="000000"/>
                <w:sz w:val="4"/>
                <w:szCs w:val="10"/>
              </w:rPr>
              <w:t xml:space="preserve"> raportojnë pranë MEPJ</w:t>
            </w:r>
            <w:r w:rsidR="003737F5" w:rsidRPr="00B457F5">
              <w:rPr>
                <w:rFonts w:ascii="Garamond" w:eastAsia="Times New Roman" w:hAnsi="Garamond" w:cs="Times New Roman"/>
                <w:color w:val="000000"/>
                <w:sz w:val="4"/>
                <w:szCs w:val="10"/>
              </w:rPr>
              <w:t>-së</w:t>
            </w:r>
            <w:r w:rsidRPr="00B457F5">
              <w:rPr>
                <w:rFonts w:ascii="Garamond" w:eastAsia="Times New Roman" w:hAnsi="Garamond" w:cs="Times New Roman"/>
                <w:color w:val="000000"/>
                <w:sz w:val="4"/>
                <w:szCs w:val="10"/>
              </w:rPr>
              <w:t xml:space="preserve"> çdo vit mbi numrin e shtetasve shqiptarë me qëndrim të rregullt dhe jo të rregullt në botë, shtetasit shqiptare të ndaluar/persona që vuajnë dënimin në institucionet e ekzekutimit të </w:t>
            </w:r>
            <w:r w:rsidR="006A63AF" w:rsidRPr="00B457F5">
              <w:rPr>
                <w:rFonts w:ascii="Garamond" w:eastAsia="Times New Roman" w:hAnsi="Garamond" w:cs="Times New Roman"/>
                <w:color w:val="000000"/>
                <w:sz w:val="4"/>
                <w:szCs w:val="10"/>
              </w:rPr>
              <w:t>veprave</w:t>
            </w:r>
            <w:r w:rsidRPr="00B457F5">
              <w:rPr>
                <w:rFonts w:ascii="Garamond" w:eastAsia="Times New Roman" w:hAnsi="Garamond" w:cs="Times New Roman"/>
                <w:color w:val="000000"/>
                <w:sz w:val="4"/>
                <w:szCs w:val="10"/>
              </w:rPr>
              <w:t xml:space="preserve"> penale, numri i fëmijëve të pashoqëruar </w:t>
            </w:r>
          </w:p>
        </w:tc>
        <w:tc>
          <w:tcPr>
            <w:tcW w:w="186" w:type="pct"/>
            <w:tcBorders>
              <w:top w:val="nil"/>
              <w:left w:val="nil"/>
              <w:bottom w:val="single" w:sz="4" w:space="0" w:color="auto"/>
              <w:right w:val="single" w:sz="4" w:space="0" w:color="auto"/>
            </w:tcBorders>
            <w:shd w:val="clear" w:color="auto" w:fill="auto"/>
            <w:vAlign w:val="center"/>
            <w:hideMark/>
          </w:tcPr>
          <w:p w14:paraId="6307CF0E"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(15)</w:t>
            </w:r>
          </w:p>
        </w:tc>
        <w:tc>
          <w:tcPr>
            <w:tcW w:w="169" w:type="pct"/>
            <w:tcBorders>
              <w:top w:val="nil"/>
              <w:left w:val="nil"/>
              <w:bottom w:val="single" w:sz="4" w:space="0" w:color="auto"/>
              <w:right w:val="single" w:sz="4" w:space="0" w:color="auto"/>
            </w:tcBorders>
            <w:shd w:val="clear" w:color="auto" w:fill="auto"/>
            <w:vAlign w:val="center"/>
            <w:hideMark/>
          </w:tcPr>
          <w:p w14:paraId="3D9F378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MEPJ</w:t>
            </w:r>
          </w:p>
        </w:tc>
        <w:tc>
          <w:tcPr>
            <w:tcW w:w="244" w:type="pct"/>
            <w:tcBorders>
              <w:top w:val="nil"/>
              <w:left w:val="nil"/>
              <w:bottom w:val="single" w:sz="4" w:space="0" w:color="auto"/>
              <w:right w:val="single" w:sz="4" w:space="0" w:color="auto"/>
            </w:tcBorders>
            <w:shd w:val="clear" w:color="auto" w:fill="auto"/>
            <w:vAlign w:val="center"/>
            <w:hideMark/>
          </w:tcPr>
          <w:p w14:paraId="2022486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MD, DKM</w:t>
            </w:r>
          </w:p>
        </w:tc>
        <w:tc>
          <w:tcPr>
            <w:tcW w:w="135" w:type="pct"/>
            <w:tcBorders>
              <w:top w:val="nil"/>
              <w:left w:val="nil"/>
              <w:bottom w:val="single" w:sz="4" w:space="0" w:color="auto"/>
              <w:right w:val="single" w:sz="4" w:space="0" w:color="auto"/>
            </w:tcBorders>
            <w:shd w:val="clear" w:color="000000" w:fill="DDEBF7"/>
            <w:vAlign w:val="center"/>
            <w:hideMark/>
          </w:tcPr>
          <w:p w14:paraId="5E3F8143"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2024</w:t>
            </w:r>
          </w:p>
        </w:tc>
        <w:tc>
          <w:tcPr>
            <w:tcW w:w="152" w:type="pct"/>
            <w:tcBorders>
              <w:top w:val="nil"/>
              <w:left w:val="nil"/>
              <w:bottom w:val="single" w:sz="4" w:space="0" w:color="auto"/>
              <w:right w:val="single" w:sz="4" w:space="0" w:color="auto"/>
            </w:tcBorders>
            <w:shd w:val="clear" w:color="000000" w:fill="DDEBF7"/>
            <w:vAlign w:val="center"/>
            <w:hideMark/>
          </w:tcPr>
          <w:p w14:paraId="454EC0E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794A53E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696,139</w:t>
            </w:r>
          </w:p>
        </w:tc>
        <w:tc>
          <w:tcPr>
            <w:tcW w:w="155" w:type="pct"/>
            <w:tcBorders>
              <w:top w:val="nil"/>
              <w:left w:val="nil"/>
              <w:bottom w:val="single" w:sz="4" w:space="0" w:color="auto"/>
              <w:right w:val="single" w:sz="4" w:space="0" w:color="auto"/>
            </w:tcBorders>
            <w:shd w:val="clear" w:color="auto" w:fill="auto"/>
            <w:vAlign w:val="center"/>
            <w:hideMark/>
          </w:tcPr>
          <w:p w14:paraId="3381886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0B5BB0C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696,139</w:t>
            </w:r>
          </w:p>
        </w:tc>
        <w:tc>
          <w:tcPr>
            <w:tcW w:w="165" w:type="pct"/>
            <w:tcBorders>
              <w:top w:val="nil"/>
              <w:left w:val="nil"/>
              <w:bottom w:val="single" w:sz="4" w:space="0" w:color="auto"/>
              <w:right w:val="single" w:sz="4" w:space="0" w:color="auto"/>
            </w:tcBorders>
            <w:shd w:val="clear" w:color="auto" w:fill="auto"/>
            <w:vAlign w:val="center"/>
            <w:hideMark/>
          </w:tcPr>
          <w:p w14:paraId="579909A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696,139</w:t>
            </w:r>
          </w:p>
        </w:tc>
        <w:tc>
          <w:tcPr>
            <w:tcW w:w="163" w:type="pct"/>
            <w:tcBorders>
              <w:top w:val="nil"/>
              <w:left w:val="nil"/>
              <w:bottom w:val="single" w:sz="4" w:space="0" w:color="auto"/>
              <w:right w:val="single" w:sz="4" w:space="0" w:color="auto"/>
            </w:tcBorders>
            <w:shd w:val="clear" w:color="auto" w:fill="auto"/>
            <w:vAlign w:val="center"/>
            <w:hideMark/>
          </w:tcPr>
          <w:p w14:paraId="2513F2D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0958955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696,139</w:t>
            </w:r>
          </w:p>
        </w:tc>
        <w:tc>
          <w:tcPr>
            <w:tcW w:w="163" w:type="pct"/>
            <w:tcBorders>
              <w:top w:val="nil"/>
              <w:left w:val="nil"/>
              <w:bottom w:val="single" w:sz="4" w:space="0" w:color="auto"/>
              <w:right w:val="single" w:sz="4" w:space="0" w:color="auto"/>
            </w:tcBorders>
            <w:shd w:val="clear" w:color="auto" w:fill="auto"/>
            <w:vAlign w:val="center"/>
            <w:hideMark/>
          </w:tcPr>
          <w:p w14:paraId="26655BD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696,139</w:t>
            </w:r>
          </w:p>
        </w:tc>
        <w:tc>
          <w:tcPr>
            <w:tcW w:w="148" w:type="pct"/>
            <w:tcBorders>
              <w:top w:val="nil"/>
              <w:left w:val="nil"/>
              <w:bottom w:val="single" w:sz="4" w:space="0" w:color="auto"/>
              <w:right w:val="single" w:sz="4" w:space="0" w:color="auto"/>
            </w:tcBorders>
            <w:shd w:val="clear" w:color="auto" w:fill="auto"/>
            <w:vAlign w:val="center"/>
            <w:hideMark/>
          </w:tcPr>
          <w:p w14:paraId="1981BE1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2165866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696,139</w:t>
            </w:r>
          </w:p>
        </w:tc>
        <w:tc>
          <w:tcPr>
            <w:tcW w:w="165" w:type="pct"/>
            <w:tcBorders>
              <w:top w:val="nil"/>
              <w:left w:val="nil"/>
              <w:bottom w:val="single" w:sz="4" w:space="0" w:color="auto"/>
              <w:right w:val="single" w:sz="4" w:space="0" w:color="auto"/>
            </w:tcBorders>
            <w:shd w:val="clear" w:color="auto" w:fill="auto"/>
            <w:vAlign w:val="center"/>
            <w:hideMark/>
          </w:tcPr>
          <w:p w14:paraId="4EE1799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2,088,417</w:t>
            </w:r>
          </w:p>
        </w:tc>
        <w:tc>
          <w:tcPr>
            <w:tcW w:w="163" w:type="pct"/>
            <w:tcBorders>
              <w:top w:val="nil"/>
              <w:left w:val="nil"/>
              <w:bottom w:val="single" w:sz="4" w:space="0" w:color="auto"/>
              <w:right w:val="single" w:sz="4" w:space="0" w:color="auto"/>
            </w:tcBorders>
            <w:shd w:val="clear" w:color="auto" w:fill="auto"/>
            <w:vAlign w:val="center"/>
            <w:hideMark/>
          </w:tcPr>
          <w:p w14:paraId="3B02E98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79C5BF0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2,088,417</w:t>
            </w:r>
          </w:p>
        </w:tc>
        <w:tc>
          <w:tcPr>
            <w:tcW w:w="163" w:type="pct"/>
            <w:tcBorders>
              <w:top w:val="nil"/>
              <w:left w:val="nil"/>
              <w:bottom w:val="single" w:sz="4" w:space="0" w:color="auto"/>
              <w:right w:val="single" w:sz="4" w:space="0" w:color="auto"/>
            </w:tcBorders>
            <w:shd w:val="clear" w:color="auto" w:fill="auto"/>
            <w:vAlign w:val="center"/>
            <w:hideMark/>
          </w:tcPr>
          <w:p w14:paraId="323F3BD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2,088,417</w:t>
            </w:r>
          </w:p>
        </w:tc>
        <w:tc>
          <w:tcPr>
            <w:tcW w:w="155" w:type="pct"/>
            <w:tcBorders>
              <w:top w:val="nil"/>
              <w:left w:val="nil"/>
              <w:bottom w:val="single" w:sz="4" w:space="0" w:color="auto"/>
              <w:right w:val="single" w:sz="4" w:space="0" w:color="auto"/>
            </w:tcBorders>
            <w:shd w:val="clear" w:color="auto" w:fill="auto"/>
            <w:vAlign w:val="center"/>
            <w:hideMark/>
          </w:tcPr>
          <w:p w14:paraId="3EE7E3D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611CEAE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2,088,417</w:t>
            </w:r>
          </w:p>
        </w:tc>
        <w:tc>
          <w:tcPr>
            <w:tcW w:w="162" w:type="pct"/>
            <w:tcBorders>
              <w:top w:val="nil"/>
              <w:left w:val="nil"/>
              <w:bottom w:val="single" w:sz="4" w:space="0" w:color="auto"/>
              <w:right w:val="single" w:sz="4" w:space="0" w:color="auto"/>
            </w:tcBorders>
            <w:shd w:val="clear" w:color="auto" w:fill="auto"/>
            <w:vAlign w:val="center"/>
            <w:hideMark/>
          </w:tcPr>
          <w:p w14:paraId="2D6B748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0E635BF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14CC715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0225098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61EC0BC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378C11C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139208C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6466C6AD" w14:textId="23A638B1"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14C9F3F3"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2CB0C55F"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lastRenderedPageBreak/>
              <w:t>1.2.2.6</w:t>
            </w:r>
          </w:p>
        </w:tc>
        <w:tc>
          <w:tcPr>
            <w:tcW w:w="281" w:type="pct"/>
            <w:tcBorders>
              <w:top w:val="nil"/>
              <w:left w:val="nil"/>
              <w:bottom w:val="single" w:sz="4" w:space="0" w:color="auto"/>
              <w:right w:val="single" w:sz="4" w:space="0" w:color="auto"/>
            </w:tcBorders>
            <w:shd w:val="clear" w:color="auto" w:fill="auto"/>
            <w:vAlign w:val="center"/>
            <w:hideMark/>
          </w:tcPr>
          <w:p w14:paraId="1490A448"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1.2.2.6 Prodhimi dhe publikimi i statistikave të ndjeshme gjinore mbi migracionin dhe mbrojtjen ndërkombëtare</w:t>
            </w:r>
          </w:p>
        </w:tc>
        <w:tc>
          <w:tcPr>
            <w:tcW w:w="186" w:type="pct"/>
            <w:tcBorders>
              <w:top w:val="nil"/>
              <w:left w:val="nil"/>
              <w:bottom w:val="single" w:sz="4" w:space="0" w:color="auto"/>
              <w:right w:val="single" w:sz="4" w:space="0" w:color="auto"/>
            </w:tcBorders>
            <w:shd w:val="clear" w:color="auto" w:fill="auto"/>
            <w:vAlign w:val="center"/>
            <w:hideMark/>
          </w:tcPr>
          <w:p w14:paraId="0BFB1EAC"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01320 Veprimtaria Statistikore (50)</w:t>
            </w:r>
          </w:p>
        </w:tc>
        <w:tc>
          <w:tcPr>
            <w:tcW w:w="169" w:type="pct"/>
            <w:tcBorders>
              <w:top w:val="nil"/>
              <w:left w:val="nil"/>
              <w:bottom w:val="single" w:sz="4" w:space="0" w:color="auto"/>
              <w:right w:val="single" w:sz="4" w:space="0" w:color="auto"/>
            </w:tcBorders>
            <w:shd w:val="clear" w:color="auto" w:fill="auto"/>
            <w:vAlign w:val="center"/>
            <w:hideMark/>
          </w:tcPr>
          <w:p w14:paraId="3BD46F0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INSTAT</w:t>
            </w:r>
          </w:p>
        </w:tc>
        <w:tc>
          <w:tcPr>
            <w:tcW w:w="244" w:type="pct"/>
            <w:tcBorders>
              <w:top w:val="nil"/>
              <w:left w:val="nil"/>
              <w:bottom w:val="single" w:sz="4" w:space="0" w:color="auto"/>
              <w:right w:val="single" w:sz="4" w:space="0" w:color="auto"/>
            </w:tcBorders>
            <w:shd w:val="clear" w:color="auto" w:fill="auto"/>
            <w:vAlign w:val="center"/>
            <w:hideMark/>
          </w:tcPr>
          <w:p w14:paraId="5FB3F80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w:t>
            </w:r>
          </w:p>
        </w:tc>
        <w:tc>
          <w:tcPr>
            <w:tcW w:w="135" w:type="pct"/>
            <w:tcBorders>
              <w:top w:val="nil"/>
              <w:left w:val="nil"/>
              <w:bottom w:val="single" w:sz="4" w:space="0" w:color="auto"/>
              <w:right w:val="single" w:sz="4" w:space="0" w:color="auto"/>
            </w:tcBorders>
            <w:shd w:val="clear" w:color="000000" w:fill="DDEBF7"/>
            <w:vAlign w:val="center"/>
            <w:hideMark/>
          </w:tcPr>
          <w:p w14:paraId="163FA70C"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22F8442A"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295BB9B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668,088</w:t>
            </w:r>
          </w:p>
        </w:tc>
        <w:tc>
          <w:tcPr>
            <w:tcW w:w="155" w:type="pct"/>
            <w:tcBorders>
              <w:top w:val="nil"/>
              <w:left w:val="nil"/>
              <w:bottom w:val="single" w:sz="4" w:space="0" w:color="auto"/>
              <w:right w:val="single" w:sz="4" w:space="0" w:color="auto"/>
            </w:tcBorders>
            <w:shd w:val="clear" w:color="auto" w:fill="auto"/>
            <w:vAlign w:val="center"/>
            <w:hideMark/>
          </w:tcPr>
          <w:p w14:paraId="3EEFFBF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17A1265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668,088</w:t>
            </w:r>
          </w:p>
        </w:tc>
        <w:tc>
          <w:tcPr>
            <w:tcW w:w="165" w:type="pct"/>
            <w:tcBorders>
              <w:top w:val="nil"/>
              <w:left w:val="nil"/>
              <w:bottom w:val="single" w:sz="4" w:space="0" w:color="auto"/>
              <w:right w:val="single" w:sz="4" w:space="0" w:color="auto"/>
            </w:tcBorders>
            <w:shd w:val="clear" w:color="auto" w:fill="auto"/>
            <w:vAlign w:val="center"/>
            <w:hideMark/>
          </w:tcPr>
          <w:p w14:paraId="1C47BC2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668,088</w:t>
            </w:r>
          </w:p>
        </w:tc>
        <w:tc>
          <w:tcPr>
            <w:tcW w:w="163" w:type="pct"/>
            <w:tcBorders>
              <w:top w:val="nil"/>
              <w:left w:val="nil"/>
              <w:bottom w:val="single" w:sz="4" w:space="0" w:color="auto"/>
              <w:right w:val="single" w:sz="4" w:space="0" w:color="auto"/>
            </w:tcBorders>
            <w:shd w:val="clear" w:color="auto" w:fill="auto"/>
            <w:vAlign w:val="center"/>
            <w:hideMark/>
          </w:tcPr>
          <w:p w14:paraId="07091B8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0370CB5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668,088</w:t>
            </w:r>
          </w:p>
        </w:tc>
        <w:tc>
          <w:tcPr>
            <w:tcW w:w="163" w:type="pct"/>
            <w:tcBorders>
              <w:top w:val="nil"/>
              <w:left w:val="nil"/>
              <w:bottom w:val="single" w:sz="4" w:space="0" w:color="auto"/>
              <w:right w:val="single" w:sz="4" w:space="0" w:color="auto"/>
            </w:tcBorders>
            <w:shd w:val="clear" w:color="auto" w:fill="auto"/>
            <w:vAlign w:val="center"/>
            <w:hideMark/>
          </w:tcPr>
          <w:p w14:paraId="19360AF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668,088</w:t>
            </w:r>
          </w:p>
        </w:tc>
        <w:tc>
          <w:tcPr>
            <w:tcW w:w="148" w:type="pct"/>
            <w:tcBorders>
              <w:top w:val="nil"/>
              <w:left w:val="nil"/>
              <w:bottom w:val="single" w:sz="4" w:space="0" w:color="auto"/>
              <w:right w:val="single" w:sz="4" w:space="0" w:color="auto"/>
            </w:tcBorders>
            <w:shd w:val="clear" w:color="auto" w:fill="auto"/>
            <w:vAlign w:val="center"/>
            <w:hideMark/>
          </w:tcPr>
          <w:p w14:paraId="494FACA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10A047D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668,088</w:t>
            </w:r>
          </w:p>
        </w:tc>
        <w:tc>
          <w:tcPr>
            <w:tcW w:w="165" w:type="pct"/>
            <w:tcBorders>
              <w:top w:val="nil"/>
              <w:left w:val="nil"/>
              <w:bottom w:val="single" w:sz="4" w:space="0" w:color="auto"/>
              <w:right w:val="single" w:sz="4" w:space="0" w:color="auto"/>
            </w:tcBorders>
            <w:shd w:val="clear" w:color="auto" w:fill="auto"/>
            <w:vAlign w:val="center"/>
            <w:hideMark/>
          </w:tcPr>
          <w:p w14:paraId="6FF182A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2,004,264</w:t>
            </w:r>
          </w:p>
        </w:tc>
        <w:tc>
          <w:tcPr>
            <w:tcW w:w="163" w:type="pct"/>
            <w:tcBorders>
              <w:top w:val="nil"/>
              <w:left w:val="nil"/>
              <w:bottom w:val="single" w:sz="4" w:space="0" w:color="auto"/>
              <w:right w:val="single" w:sz="4" w:space="0" w:color="auto"/>
            </w:tcBorders>
            <w:shd w:val="clear" w:color="auto" w:fill="auto"/>
            <w:vAlign w:val="center"/>
            <w:hideMark/>
          </w:tcPr>
          <w:p w14:paraId="1F2F638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7809A72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2,004,264</w:t>
            </w:r>
          </w:p>
        </w:tc>
        <w:tc>
          <w:tcPr>
            <w:tcW w:w="163" w:type="pct"/>
            <w:tcBorders>
              <w:top w:val="nil"/>
              <w:left w:val="nil"/>
              <w:bottom w:val="single" w:sz="4" w:space="0" w:color="auto"/>
              <w:right w:val="single" w:sz="4" w:space="0" w:color="auto"/>
            </w:tcBorders>
            <w:shd w:val="clear" w:color="auto" w:fill="auto"/>
            <w:vAlign w:val="center"/>
            <w:hideMark/>
          </w:tcPr>
          <w:p w14:paraId="255F5C9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2,004,264</w:t>
            </w:r>
          </w:p>
        </w:tc>
        <w:tc>
          <w:tcPr>
            <w:tcW w:w="155" w:type="pct"/>
            <w:tcBorders>
              <w:top w:val="nil"/>
              <w:left w:val="nil"/>
              <w:bottom w:val="single" w:sz="4" w:space="0" w:color="auto"/>
              <w:right w:val="single" w:sz="4" w:space="0" w:color="auto"/>
            </w:tcBorders>
            <w:shd w:val="clear" w:color="auto" w:fill="auto"/>
            <w:vAlign w:val="center"/>
            <w:hideMark/>
          </w:tcPr>
          <w:p w14:paraId="566FCE6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1A4EB63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2,004,264</w:t>
            </w:r>
          </w:p>
        </w:tc>
        <w:tc>
          <w:tcPr>
            <w:tcW w:w="162" w:type="pct"/>
            <w:tcBorders>
              <w:top w:val="nil"/>
              <w:left w:val="nil"/>
              <w:bottom w:val="single" w:sz="4" w:space="0" w:color="auto"/>
              <w:right w:val="single" w:sz="4" w:space="0" w:color="auto"/>
            </w:tcBorders>
            <w:shd w:val="clear" w:color="auto" w:fill="auto"/>
            <w:vAlign w:val="center"/>
            <w:hideMark/>
          </w:tcPr>
          <w:p w14:paraId="58B2140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42B84B6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3330B07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6DEE921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7467FD9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54782CF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216313D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70FC2951" w14:textId="3AD9B239"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6B5E762B" w14:textId="77777777" w:rsidTr="00C260C3">
        <w:trPr>
          <w:trHeight w:val="20"/>
        </w:trPr>
        <w:tc>
          <w:tcPr>
            <w:tcW w:w="131" w:type="pct"/>
            <w:tcBorders>
              <w:top w:val="nil"/>
              <w:left w:val="single" w:sz="4" w:space="0" w:color="auto"/>
              <w:bottom w:val="single" w:sz="4" w:space="0" w:color="auto"/>
              <w:right w:val="single" w:sz="4" w:space="0" w:color="auto"/>
            </w:tcBorders>
            <w:shd w:val="clear" w:color="000000" w:fill="D9D9D9"/>
            <w:vAlign w:val="center"/>
            <w:hideMark/>
          </w:tcPr>
          <w:p w14:paraId="22A07DEE"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1.2.3 </w:t>
            </w:r>
          </w:p>
        </w:tc>
        <w:tc>
          <w:tcPr>
            <w:tcW w:w="281" w:type="pct"/>
            <w:tcBorders>
              <w:top w:val="nil"/>
              <w:left w:val="nil"/>
              <w:bottom w:val="single" w:sz="4" w:space="0" w:color="auto"/>
              <w:right w:val="single" w:sz="4" w:space="0" w:color="auto"/>
            </w:tcBorders>
            <w:shd w:val="clear" w:color="000000" w:fill="D9D9D9"/>
            <w:vAlign w:val="center"/>
            <w:hideMark/>
          </w:tcPr>
          <w:p w14:paraId="020BE656" w14:textId="3DEE7F71"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1.2.3 Studimi dhe vlerësimi i të dhënave të migracionit për të hartuar politika/</w:t>
            </w:r>
            <w:r w:rsidR="006A63AF" w:rsidRPr="00B457F5">
              <w:rPr>
                <w:rFonts w:ascii="Garamond" w:eastAsia="Times New Roman" w:hAnsi="Garamond" w:cs="Times New Roman"/>
                <w:b/>
                <w:bCs/>
                <w:color w:val="000000"/>
                <w:sz w:val="4"/>
                <w:szCs w:val="10"/>
              </w:rPr>
              <w:t>dokumente</w:t>
            </w:r>
          </w:p>
        </w:tc>
        <w:tc>
          <w:tcPr>
            <w:tcW w:w="186" w:type="pct"/>
            <w:tcBorders>
              <w:top w:val="nil"/>
              <w:left w:val="nil"/>
              <w:bottom w:val="single" w:sz="4" w:space="0" w:color="auto"/>
              <w:right w:val="single" w:sz="4" w:space="0" w:color="auto"/>
            </w:tcBorders>
            <w:shd w:val="clear" w:color="000000" w:fill="D9D9D9"/>
            <w:vAlign w:val="center"/>
            <w:hideMark/>
          </w:tcPr>
          <w:p w14:paraId="1D9020A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000000" w:fill="D9D9D9"/>
            <w:vAlign w:val="center"/>
            <w:hideMark/>
          </w:tcPr>
          <w:p w14:paraId="3D423F8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w:t>
            </w:r>
          </w:p>
        </w:tc>
        <w:tc>
          <w:tcPr>
            <w:tcW w:w="244" w:type="pct"/>
            <w:tcBorders>
              <w:top w:val="nil"/>
              <w:left w:val="nil"/>
              <w:bottom w:val="single" w:sz="4" w:space="0" w:color="auto"/>
              <w:right w:val="single" w:sz="4" w:space="0" w:color="auto"/>
            </w:tcBorders>
            <w:shd w:val="clear" w:color="000000" w:fill="D9D9D9"/>
            <w:vAlign w:val="center"/>
            <w:hideMark/>
          </w:tcPr>
          <w:p w14:paraId="318AFA4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MEPJ, MEKI, AKPA, MSHMS, MAS, BSH, INSTAT</w:t>
            </w:r>
          </w:p>
        </w:tc>
        <w:tc>
          <w:tcPr>
            <w:tcW w:w="135" w:type="pct"/>
            <w:tcBorders>
              <w:top w:val="nil"/>
              <w:left w:val="nil"/>
              <w:bottom w:val="single" w:sz="4" w:space="0" w:color="auto"/>
              <w:right w:val="single" w:sz="4" w:space="0" w:color="auto"/>
            </w:tcBorders>
            <w:shd w:val="clear" w:color="000000" w:fill="D9D9D9"/>
            <w:vAlign w:val="center"/>
            <w:hideMark/>
          </w:tcPr>
          <w:p w14:paraId="3BAF408B"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9D9D9"/>
            <w:vAlign w:val="center"/>
            <w:hideMark/>
          </w:tcPr>
          <w:p w14:paraId="4D4BDF6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000000" w:fill="D9D9D9"/>
            <w:vAlign w:val="center"/>
            <w:hideMark/>
          </w:tcPr>
          <w:p w14:paraId="72C724A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2,715,454</w:t>
            </w:r>
          </w:p>
        </w:tc>
        <w:tc>
          <w:tcPr>
            <w:tcW w:w="155" w:type="pct"/>
            <w:tcBorders>
              <w:top w:val="nil"/>
              <w:left w:val="nil"/>
              <w:bottom w:val="single" w:sz="4" w:space="0" w:color="auto"/>
              <w:right w:val="single" w:sz="4" w:space="0" w:color="auto"/>
            </w:tcBorders>
            <w:shd w:val="clear" w:color="000000" w:fill="D9D9D9"/>
            <w:vAlign w:val="center"/>
            <w:hideMark/>
          </w:tcPr>
          <w:p w14:paraId="5CD5DC2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136BBB1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2,715,454</w:t>
            </w:r>
          </w:p>
        </w:tc>
        <w:tc>
          <w:tcPr>
            <w:tcW w:w="165" w:type="pct"/>
            <w:tcBorders>
              <w:top w:val="nil"/>
              <w:left w:val="nil"/>
              <w:bottom w:val="single" w:sz="4" w:space="0" w:color="auto"/>
              <w:right w:val="single" w:sz="4" w:space="0" w:color="auto"/>
            </w:tcBorders>
            <w:shd w:val="clear" w:color="000000" w:fill="D9D9D9"/>
            <w:vAlign w:val="center"/>
            <w:hideMark/>
          </w:tcPr>
          <w:p w14:paraId="26F4D23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2,715,454</w:t>
            </w:r>
          </w:p>
        </w:tc>
        <w:tc>
          <w:tcPr>
            <w:tcW w:w="163" w:type="pct"/>
            <w:tcBorders>
              <w:top w:val="nil"/>
              <w:left w:val="nil"/>
              <w:bottom w:val="single" w:sz="4" w:space="0" w:color="auto"/>
              <w:right w:val="single" w:sz="4" w:space="0" w:color="auto"/>
            </w:tcBorders>
            <w:shd w:val="clear" w:color="000000" w:fill="D9D9D9"/>
            <w:vAlign w:val="center"/>
            <w:hideMark/>
          </w:tcPr>
          <w:p w14:paraId="1931940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1E08705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2,715,454</w:t>
            </w:r>
          </w:p>
        </w:tc>
        <w:tc>
          <w:tcPr>
            <w:tcW w:w="163" w:type="pct"/>
            <w:tcBorders>
              <w:top w:val="nil"/>
              <w:left w:val="nil"/>
              <w:bottom w:val="single" w:sz="4" w:space="0" w:color="auto"/>
              <w:right w:val="single" w:sz="4" w:space="0" w:color="auto"/>
            </w:tcBorders>
            <w:shd w:val="clear" w:color="000000" w:fill="D9D9D9"/>
            <w:vAlign w:val="center"/>
            <w:hideMark/>
          </w:tcPr>
          <w:p w14:paraId="44C9878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4,978,332</w:t>
            </w:r>
          </w:p>
        </w:tc>
        <w:tc>
          <w:tcPr>
            <w:tcW w:w="148" w:type="pct"/>
            <w:tcBorders>
              <w:top w:val="nil"/>
              <w:left w:val="nil"/>
              <w:bottom w:val="single" w:sz="4" w:space="0" w:color="auto"/>
              <w:right w:val="single" w:sz="4" w:space="0" w:color="auto"/>
            </w:tcBorders>
            <w:shd w:val="clear" w:color="000000" w:fill="D9D9D9"/>
            <w:vAlign w:val="center"/>
            <w:hideMark/>
          </w:tcPr>
          <w:p w14:paraId="02601C8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3C34525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4,978,332</w:t>
            </w:r>
          </w:p>
        </w:tc>
        <w:tc>
          <w:tcPr>
            <w:tcW w:w="165" w:type="pct"/>
            <w:tcBorders>
              <w:top w:val="nil"/>
              <w:left w:val="nil"/>
              <w:bottom w:val="single" w:sz="4" w:space="0" w:color="auto"/>
              <w:right w:val="single" w:sz="4" w:space="0" w:color="auto"/>
            </w:tcBorders>
            <w:shd w:val="clear" w:color="000000" w:fill="D9D9D9"/>
            <w:vAlign w:val="center"/>
            <w:hideMark/>
          </w:tcPr>
          <w:p w14:paraId="3E48D7B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10,409,240</w:t>
            </w:r>
          </w:p>
        </w:tc>
        <w:tc>
          <w:tcPr>
            <w:tcW w:w="163" w:type="pct"/>
            <w:tcBorders>
              <w:top w:val="nil"/>
              <w:left w:val="nil"/>
              <w:bottom w:val="single" w:sz="4" w:space="0" w:color="auto"/>
              <w:right w:val="single" w:sz="4" w:space="0" w:color="auto"/>
            </w:tcBorders>
            <w:shd w:val="clear" w:color="000000" w:fill="D9D9D9"/>
            <w:vAlign w:val="center"/>
            <w:hideMark/>
          </w:tcPr>
          <w:p w14:paraId="0B89343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D9D9D9"/>
            <w:vAlign w:val="center"/>
            <w:hideMark/>
          </w:tcPr>
          <w:p w14:paraId="29A60C6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10,409,240</w:t>
            </w:r>
          </w:p>
        </w:tc>
        <w:tc>
          <w:tcPr>
            <w:tcW w:w="163" w:type="pct"/>
            <w:tcBorders>
              <w:top w:val="nil"/>
              <w:left w:val="nil"/>
              <w:bottom w:val="single" w:sz="4" w:space="0" w:color="auto"/>
              <w:right w:val="single" w:sz="4" w:space="0" w:color="auto"/>
            </w:tcBorders>
            <w:shd w:val="clear" w:color="000000" w:fill="D9D9D9"/>
            <w:vAlign w:val="center"/>
            <w:hideMark/>
          </w:tcPr>
          <w:p w14:paraId="6236E27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10,409,240</w:t>
            </w:r>
          </w:p>
        </w:tc>
        <w:tc>
          <w:tcPr>
            <w:tcW w:w="155" w:type="pct"/>
            <w:tcBorders>
              <w:top w:val="nil"/>
              <w:left w:val="nil"/>
              <w:bottom w:val="single" w:sz="4" w:space="0" w:color="auto"/>
              <w:right w:val="single" w:sz="4" w:space="0" w:color="auto"/>
            </w:tcBorders>
            <w:shd w:val="clear" w:color="000000" w:fill="D9D9D9"/>
            <w:vAlign w:val="center"/>
            <w:hideMark/>
          </w:tcPr>
          <w:p w14:paraId="6E9B1CF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4FB3F85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10,409,240</w:t>
            </w:r>
          </w:p>
        </w:tc>
        <w:tc>
          <w:tcPr>
            <w:tcW w:w="162" w:type="pct"/>
            <w:tcBorders>
              <w:top w:val="nil"/>
              <w:left w:val="nil"/>
              <w:bottom w:val="single" w:sz="4" w:space="0" w:color="auto"/>
              <w:right w:val="single" w:sz="4" w:space="0" w:color="auto"/>
            </w:tcBorders>
            <w:shd w:val="clear" w:color="000000" w:fill="D9D9D9"/>
            <w:vAlign w:val="center"/>
            <w:hideMark/>
          </w:tcPr>
          <w:p w14:paraId="464BFBB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000000" w:fill="D9D9D9"/>
            <w:vAlign w:val="center"/>
            <w:hideMark/>
          </w:tcPr>
          <w:p w14:paraId="6C03DBC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000000" w:fill="D9D9D9"/>
            <w:vAlign w:val="center"/>
            <w:hideMark/>
          </w:tcPr>
          <w:p w14:paraId="6B13C57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708AAA5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000000" w:fill="D9D9D9"/>
            <w:vAlign w:val="center"/>
            <w:hideMark/>
          </w:tcPr>
          <w:p w14:paraId="12B686A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000000" w:fill="D9D9D9"/>
            <w:vAlign w:val="center"/>
            <w:hideMark/>
          </w:tcPr>
          <w:p w14:paraId="7F59936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D9D9D9"/>
            <w:vAlign w:val="center"/>
            <w:hideMark/>
          </w:tcPr>
          <w:p w14:paraId="2A78E09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4" w:space="0" w:color="auto"/>
            </w:tcBorders>
            <w:shd w:val="clear" w:color="000000" w:fill="D9D9D9"/>
            <w:vAlign w:val="center"/>
            <w:hideMark/>
          </w:tcPr>
          <w:p w14:paraId="7A4CB23B" w14:textId="4C96F8F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61F5108F"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21E84FD3"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1.2.3.2</w:t>
            </w:r>
          </w:p>
        </w:tc>
        <w:tc>
          <w:tcPr>
            <w:tcW w:w="281" w:type="pct"/>
            <w:tcBorders>
              <w:top w:val="nil"/>
              <w:left w:val="nil"/>
              <w:bottom w:val="single" w:sz="4" w:space="0" w:color="auto"/>
              <w:right w:val="single" w:sz="4" w:space="0" w:color="auto"/>
            </w:tcBorders>
            <w:shd w:val="clear" w:color="auto" w:fill="auto"/>
            <w:vAlign w:val="center"/>
            <w:hideMark/>
          </w:tcPr>
          <w:p w14:paraId="684B2366"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1.2.3.1 Hartimi i Profilit Vjetor të Migracionit </w:t>
            </w:r>
          </w:p>
        </w:tc>
        <w:tc>
          <w:tcPr>
            <w:tcW w:w="186" w:type="pct"/>
            <w:tcBorders>
              <w:top w:val="nil"/>
              <w:left w:val="nil"/>
              <w:bottom w:val="single" w:sz="4" w:space="0" w:color="auto"/>
              <w:right w:val="single" w:sz="4" w:space="0" w:color="auto"/>
            </w:tcBorders>
            <w:shd w:val="clear" w:color="auto" w:fill="auto"/>
            <w:vAlign w:val="center"/>
            <w:hideMark/>
          </w:tcPr>
          <w:p w14:paraId="2599E06A"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1B430C9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7647AF2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MEPJ, MEKI, MSHMS, MAS, BSH, INSTAT</w:t>
            </w:r>
          </w:p>
        </w:tc>
        <w:tc>
          <w:tcPr>
            <w:tcW w:w="135" w:type="pct"/>
            <w:tcBorders>
              <w:top w:val="nil"/>
              <w:left w:val="nil"/>
              <w:bottom w:val="single" w:sz="4" w:space="0" w:color="auto"/>
              <w:right w:val="single" w:sz="4" w:space="0" w:color="auto"/>
            </w:tcBorders>
            <w:shd w:val="clear" w:color="000000" w:fill="DDEBF7"/>
            <w:vAlign w:val="center"/>
            <w:hideMark/>
          </w:tcPr>
          <w:p w14:paraId="3717A6B7"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2024 </w:t>
            </w:r>
          </w:p>
        </w:tc>
        <w:tc>
          <w:tcPr>
            <w:tcW w:w="152" w:type="pct"/>
            <w:tcBorders>
              <w:top w:val="nil"/>
              <w:left w:val="nil"/>
              <w:bottom w:val="single" w:sz="4" w:space="0" w:color="auto"/>
              <w:right w:val="single" w:sz="4" w:space="0" w:color="auto"/>
            </w:tcBorders>
            <w:shd w:val="clear" w:color="000000" w:fill="DDEBF7"/>
            <w:vAlign w:val="center"/>
            <w:hideMark/>
          </w:tcPr>
          <w:p w14:paraId="216386D6"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63" w:type="pct"/>
            <w:tcBorders>
              <w:top w:val="nil"/>
              <w:left w:val="nil"/>
              <w:bottom w:val="single" w:sz="4" w:space="0" w:color="auto"/>
              <w:right w:val="single" w:sz="4" w:space="0" w:color="auto"/>
            </w:tcBorders>
            <w:shd w:val="clear" w:color="auto" w:fill="auto"/>
            <w:vAlign w:val="center"/>
            <w:hideMark/>
          </w:tcPr>
          <w:p w14:paraId="023876B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905,151</w:t>
            </w:r>
          </w:p>
        </w:tc>
        <w:tc>
          <w:tcPr>
            <w:tcW w:w="155" w:type="pct"/>
            <w:tcBorders>
              <w:top w:val="nil"/>
              <w:left w:val="nil"/>
              <w:bottom w:val="single" w:sz="4" w:space="0" w:color="auto"/>
              <w:right w:val="single" w:sz="4" w:space="0" w:color="auto"/>
            </w:tcBorders>
            <w:shd w:val="clear" w:color="auto" w:fill="auto"/>
            <w:vAlign w:val="center"/>
            <w:hideMark/>
          </w:tcPr>
          <w:p w14:paraId="4B3016F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0EECCCB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905,151</w:t>
            </w:r>
          </w:p>
        </w:tc>
        <w:tc>
          <w:tcPr>
            <w:tcW w:w="165" w:type="pct"/>
            <w:tcBorders>
              <w:top w:val="nil"/>
              <w:left w:val="nil"/>
              <w:bottom w:val="single" w:sz="4" w:space="0" w:color="auto"/>
              <w:right w:val="single" w:sz="4" w:space="0" w:color="auto"/>
            </w:tcBorders>
            <w:shd w:val="clear" w:color="auto" w:fill="auto"/>
            <w:vAlign w:val="center"/>
            <w:hideMark/>
          </w:tcPr>
          <w:p w14:paraId="2D760C3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905,151</w:t>
            </w:r>
          </w:p>
        </w:tc>
        <w:tc>
          <w:tcPr>
            <w:tcW w:w="163" w:type="pct"/>
            <w:tcBorders>
              <w:top w:val="nil"/>
              <w:left w:val="nil"/>
              <w:bottom w:val="single" w:sz="4" w:space="0" w:color="auto"/>
              <w:right w:val="single" w:sz="4" w:space="0" w:color="auto"/>
            </w:tcBorders>
            <w:shd w:val="clear" w:color="auto" w:fill="auto"/>
            <w:vAlign w:val="center"/>
            <w:hideMark/>
          </w:tcPr>
          <w:p w14:paraId="24BFEA0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718304E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905,151</w:t>
            </w:r>
          </w:p>
        </w:tc>
        <w:tc>
          <w:tcPr>
            <w:tcW w:w="163" w:type="pct"/>
            <w:tcBorders>
              <w:top w:val="nil"/>
              <w:left w:val="nil"/>
              <w:bottom w:val="single" w:sz="4" w:space="0" w:color="auto"/>
              <w:right w:val="single" w:sz="4" w:space="0" w:color="auto"/>
            </w:tcBorders>
            <w:shd w:val="clear" w:color="auto" w:fill="auto"/>
            <w:vAlign w:val="center"/>
            <w:hideMark/>
          </w:tcPr>
          <w:p w14:paraId="4A5F3E3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905,151</w:t>
            </w:r>
          </w:p>
        </w:tc>
        <w:tc>
          <w:tcPr>
            <w:tcW w:w="148" w:type="pct"/>
            <w:tcBorders>
              <w:top w:val="nil"/>
              <w:left w:val="nil"/>
              <w:bottom w:val="single" w:sz="4" w:space="0" w:color="auto"/>
              <w:right w:val="single" w:sz="4" w:space="0" w:color="auto"/>
            </w:tcBorders>
            <w:shd w:val="clear" w:color="auto" w:fill="auto"/>
            <w:vAlign w:val="center"/>
            <w:hideMark/>
          </w:tcPr>
          <w:p w14:paraId="42E2EEB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16EDC74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905,151</w:t>
            </w:r>
          </w:p>
        </w:tc>
        <w:tc>
          <w:tcPr>
            <w:tcW w:w="165" w:type="pct"/>
            <w:tcBorders>
              <w:top w:val="nil"/>
              <w:left w:val="nil"/>
              <w:bottom w:val="single" w:sz="4" w:space="0" w:color="auto"/>
              <w:right w:val="single" w:sz="4" w:space="0" w:color="auto"/>
            </w:tcBorders>
            <w:shd w:val="clear" w:color="auto" w:fill="auto"/>
            <w:vAlign w:val="center"/>
            <w:hideMark/>
          </w:tcPr>
          <w:p w14:paraId="3B033AA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2,715,453</w:t>
            </w:r>
          </w:p>
        </w:tc>
        <w:tc>
          <w:tcPr>
            <w:tcW w:w="163" w:type="pct"/>
            <w:tcBorders>
              <w:top w:val="nil"/>
              <w:left w:val="nil"/>
              <w:bottom w:val="single" w:sz="4" w:space="0" w:color="auto"/>
              <w:right w:val="single" w:sz="4" w:space="0" w:color="auto"/>
            </w:tcBorders>
            <w:shd w:val="clear" w:color="auto" w:fill="auto"/>
            <w:vAlign w:val="center"/>
            <w:hideMark/>
          </w:tcPr>
          <w:p w14:paraId="05EEBBB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32A33BA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2,715,453</w:t>
            </w:r>
          </w:p>
        </w:tc>
        <w:tc>
          <w:tcPr>
            <w:tcW w:w="163" w:type="pct"/>
            <w:tcBorders>
              <w:top w:val="nil"/>
              <w:left w:val="nil"/>
              <w:bottom w:val="single" w:sz="4" w:space="0" w:color="auto"/>
              <w:right w:val="single" w:sz="4" w:space="0" w:color="auto"/>
            </w:tcBorders>
            <w:shd w:val="clear" w:color="auto" w:fill="auto"/>
            <w:vAlign w:val="center"/>
            <w:hideMark/>
          </w:tcPr>
          <w:p w14:paraId="3B348B6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2,715,453</w:t>
            </w:r>
          </w:p>
        </w:tc>
        <w:tc>
          <w:tcPr>
            <w:tcW w:w="155" w:type="pct"/>
            <w:tcBorders>
              <w:top w:val="nil"/>
              <w:left w:val="nil"/>
              <w:bottom w:val="single" w:sz="4" w:space="0" w:color="auto"/>
              <w:right w:val="single" w:sz="4" w:space="0" w:color="auto"/>
            </w:tcBorders>
            <w:shd w:val="clear" w:color="auto" w:fill="auto"/>
            <w:vAlign w:val="center"/>
            <w:hideMark/>
          </w:tcPr>
          <w:p w14:paraId="69D3B89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7A5C729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2,715,453</w:t>
            </w:r>
          </w:p>
        </w:tc>
        <w:tc>
          <w:tcPr>
            <w:tcW w:w="162" w:type="pct"/>
            <w:tcBorders>
              <w:top w:val="nil"/>
              <w:left w:val="nil"/>
              <w:bottom w:val="single" w:sz="4" w:space="0" w:color="auto"/>
              <w:right w:val="single" w:sz="4" w:space="0" w:color="auto"/>
            </w:tcBorders>
            <w:shd w:val="clear" w:color="auto" w:fill="auto"/>
            <w:vAlign w:val="center"/>
            <w:hideMark/>
          </w:tcPr>
          <w:p w14:paraId="47A4AB2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1346B5B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1AB6BA7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6F1C913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35FCD6D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3FCA850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575DC9E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4417D938" w14:textId="56DA07C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0AB3C8CC"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11892847"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1.2.3.2</w:t>
            </w:r>
          </w:p>
        </w:tc>
        <w:tc>
          <w:tcPr>
            <w:tcW w:w="281" w:type="pct"/>
            <w:tcBorders>
              <w:top w:val="nil"/>
              <w:left w:val="nil"/>
              <w:bottom w:val="single" w:sz="4" w:space="0" w:color="auto"/>
              <w:right w:val="single" w:sz="4" w:space="0" w:color="auto"/>
            </w:tcBorders>
            <w:shd w:val="clear" w:color="auto" w:fill="auto"/>
            <w:vAlign w:val="center"/>
            <w:hideMark/>
          </w:tcPr>
          <w:p w14:paraId="55DAD59A" w14:textId="54370CB3"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1.2.3.2</w:t>
            </w:r>
            <w:r w:rsidR="0006016F" w:rsidRPr="00B457F5">
              <w:rPr>
                <w:rFonts w:ascii="Garamond" w:eastAsia="Times New Roman" w:hAnsi="Garamond" w:cs="Times New Roman"/>
                <w:color w:val="000000"/>
                <w:sz w:val="4"/>
                <w:szCs w:val="10"/>
              </w:rPr>
              <w:t xml:space="preserve"> </w:t>
            </w:r>
            <w:r w:rsidRPr="00B457F5">
              <w:rPr>
                <w:rFonts w:ascii="Garamond" w:eastAsia="Times New Roman" w:hAnsi="Garamond" w:cs="Times New Roman"/>
                <w:color w:val="000000"/>
                <w:sz w:val="4"/>
                <w:szCs w:val="10"/>
              </w:rPr>
              <w:t>Hartimi i Profilit të Zgjeruar për Migracionit (4</w:t>
            </w:r>
            <w:r w:rsidR="00731229"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vjeçar) </w:t>
            </w:r>
          </w:p>
        </w:tc>
        <w:tc>
          <w:tcPr>
            <w:tcW w:w="186" w:type="pct"/>
            <w:tcBorders>
              <w:top w:val="nil"/>
              <w:left w:val="nil"/>
              <w:bottom w:val="single" w:sz="4" w:space="0" w:color="auto"/>
              <w:right w:val="single" w:sz="4" w:space="0" w:color="auto"/>
            </w:tcBorders>
            <w:shd w:val="clear" w:color="auto" w:fill="auto"/>
            <w:vAlign w:val="center"/>
            <w:hideMark/>
          </w:tcPr>
          <w:p w14:paraId="47415C6C"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31836F2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1A4C15C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MEPJ, MEKI, MSHMS, MAS, BSH, INSTAT</w:t>
            </w:r>
          </w:p>
        </w:tc>
        <w:tc>
          <w:tcPr>
            <w:tcW w:w="135" w:type="pct"/>
            <w:tcBorders>
              <w:top w:val="nil"/>
              <w:left w:val="nil"/>
              <w:bottom w:val="single" w:sz="4" w:space="0" w:color="auto"/>
              <w:right w:val="single" w:sz="4" w:space="0" w:color="auto"/>
            </w:tcBorders>
            <w:shd w:val="clear" w:color="000000" w:fill="DDEBF7"/>
            <w:vAlign w:val="center"/>
            <w:hideMark/>
          </w:tcPr>
          <w:p w14:paraId="73ECD26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52" w:type="pct"/>
            <w:tcBorders>
              <w:top w:val="nil"/>
              <w:left w:val="nil"/>
              <w:bottom w:val="single" w:sz="4" w:space="0" w:color="auto"/>
              <w:right w:val="single" w:sz="4" w:space="0" w:color="auto"/>
            </w:tcBorders>
            <w:shd w:val="clear" w:color="000000" w:fill="DDEBF7"/>
            <w:vAlign w:val="center"/>
            <w:hideMark/>
          </w:tcPr>
          <w:p w14:paraId="5F519CF3"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58FF122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4C6785D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3A8704C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auto" w:fill="auto"/>
            <w:vAlign w:val="center"/>
            <w:hideMark/>
          </w:tcPr>
          <w:p w14:paraId="68CF983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7F105AB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3174F04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6E33A14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2,262,878</w:t>
            </w:r>
          </w:p>
        </w:tc>
        <w:tc>
          <w:tcPr>
            <w:tcW w:w="148" w:type="pct"/>
            <w:tcBorders>
              <w:top w:val="nil"/>
              <w:left w:val="nil"/>
              <w:bottom w:val="single" w:sz="4" w:space="0" w:color="auto"/>
              <w:right w:val="single" w:sz="4" w:space="0" w:color="auto"/>
            </w:tcBorders>
            <w:shd w:val="clear" w:color="auto" w:fill="auto"/>
            <w:vAlign w:val="center"/>
            <w:hideMark/>
          </w:tcPr>
          <w:p w14:paraId="4DBFCCF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52269FA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2,262,878</w:t>
            </w:r>
          </w:p>
        </w:tc>
        <w:tc>
          <w:tcPr>
            <w:tcW w:w="165" w:type="pct"/>
            <w:tcBorders>
              <w:top w:val="nil"/>
              <w:left w:val="nil"/>
              <w:bottom w:val="single" w:sz="4" w:space="0" w:color="auto"/>
              <w:right w:val="single" w:sz="4" w:space="0" w:color="auto"/>
            </w:tcBorders>
            <w:shd w:val="clear" w:color="auto" w:fill="auto"/>
            <w:vAlign w:val="center"/>
            <w:hideMark/>
          </w:tcPr>
          <w:p w14:paraId="2EC7C2E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2,262,878</w:t>
            </w:r>
          </w:p>
        </w:tc>
        <w:tc>
          <w:tcPr>
            <w:tcW w:w="163" w:type="pct"/>
            <w:tcBorders>
              <w:top w:val="nil"/>
              <w:left w:val="nil"/>
              <w:bottom w:val="single" w:sz="4" w:space="0" w:color="auto"/>
              <w:right w:val="single" w:sz="4" w:space="0" w:color="auto"/>
            </w:tcBorders>
            <w:shd w:val="clear" w:color="auto" w:fill="auto"/>
            <w:vAlign w:val="center"/>
            <w:hideMark/>
          </w:tcPr>
          <w:p w14:paraId="408CEDB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7988382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2,262,878</w:t>
            </w:r>
          </w:p>
        </w:tc>
        <w:tc>
          <w:tcPr>
            <w:tcW w:w="163" w:type="pct"/>
            <w:tcBorders>
              <w:top w:val="nil"/>
              <w:left w:val="nil"/>
              <w:bottom w:val="single" w:sz="4" w:space="0" w:color="auto"/>
              <w:right w:val="single" w:sz="4" w:space="0" w:color="auto"/>
            </w:tcBorders>
            <w:shd w:val="clear" w:color="auto" w:fill="auto"/>
            <w:vAlign w:val="center"/>
            <w:hideMark/>
          </w:tcPr>
          <w:p w14:paraId="79DE421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2,262,878</w:t>
            </w:r>
          </w:p>
        </w:tc>
        <w:tc>
          <w:tcPr>
            <w:tcW w:w="155" w:type="pct"/>
            <w:tcBorders>
              <w:top w:val="nil"/>
              <w:left w:val="nil"/>
              <w:bottom w:val="single" w:sz="4" w:space="0" w:color="auto"/>
              <w:right w:val="single" w:sz="4" w:space="0" w:color="auto"/>
            </w:tcBorders>
            <w:shd w:val="clear" w:color="auto" w:fill="auto"/>
            <w:vAlign w:val="center"/>
            <w:hideMark/>
          </w:tcPr>
          <w:p w14:paraId="5E9A998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6C002E1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2,262,878</w:t>
            </w:r>
          </w:p>
        </w:tc>
        <w:tc>
          <w:tcPr>
            <w:tcW w:w="162" w:type="pct"/>
            <w:tcBorders>
              <w:top w:val="nil"/>
              <w:left w:val="nil"/>
              <w:bottom w:val="single" w:sz="4" w:space="0" w:color="auto"/>
              <w:right w:val="single" w:sz="4" w:space="0" w:color="auto"/>
            </w:tcBorders>
            <w:shd w:val="clear" w:color="auto" w:fill="auto"/>
            <w:vAlign w:val="center"/>
            <w:hideMark/>
          </w:tcPr>
          <w:p w14:paraId="5DF56A6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2B00761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4BBF4DC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0517F46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0308123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67AEEEE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3D0F7BC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160CF8DC" w14:textId="0569344A"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63C1BC13"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2E2AE86B"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1.2.3.3</w:t>
            </w:r>
          </w:p>
        </w:tc>
        <w:tc>
          <w:tcPr>
            <w:tcW w:w="281" w:type="pct"/>
            <w:tcBorders>
              <w:top w:val="nil"/>
              <w:left w:val="nil"/>
              <w:bottom w:val="single" w:sz="4" w:space="0" w:color="auto"/>
              <w:right w:val="single" w:sz="4" w:space="0" w:color="auto"/>
            </w:tcBorders>
            <w:shd w:val="clear" w:color="auto" w:fill="auto"/>
            <w:vAlign w:val="center"/>
            <w:hideMark/>
          </w:tcPr>
          <w:p w14:paraId="3F230E16" w14:textId="3736F11D"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1.2.3.3 Përdorimi i profileve specifike të migracionit</w:t>
            </w:r>
            <w:r w:rsidR="00501091"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me qëllim zhvillimin e politikave të migracionit të bazuara në evidenca</w:t>
            </w:r>
          </w:p>
        </w:tc>
        <w:tc>
          <w:tcPr>
            <w:tcW w:w="186" w:type="pct"/>
            <w:tcBorders>
              <w:top w:val="nil"/>
              <w:left w:val="nil"/>
              <w:bottom w:val="single" w:sz="4" w:space="0" w:color="auto"/>
              <w:right w:val="single" w:sz="4" w:space="0" w:color="auto"/>
            </w:tcBorders>
            <w:shd w:val="clear" w:color="auto" w:fill="auto"/>
            <w:vAlign w:val="center"/>
            <w:hideMark/>
          </w:tcPr>
          <w:p w14:paraId="3EE04B3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3DB1718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5B5D93B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MEPJ, MEKI, AKPA, MSHMS, MAS, BSH, INSTAT, </w:t>
            </w:r>
          </w:p>
        </w:tc>
        <w:tc>
          <w:tcPr>
            <w:tcW w:w="135" w:type="pct"/>
            <w:tcBorders>
              <w:top w:val="nil"/>
              <w:left w:val="nil"/>
              <w:bottom w:val="single" w:sz="4" w:space="0" w:color="auto"/>
              <w:right w:val="single" w:sz="4" w:space="0" w:color="auto"/>
            </w:tcBorders>
            <w:shd w:val="clear" w:color="000000" w:fill="DDEBF7"/>
            <w:vAlign w:val="center"/>
            <w:hideMark/>
          </w:tcPr>
          <w:p w14:paraId="2FF80854"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2024 </w:t>
            </w:r>
          </w:p>
        </w:tc>
        <w:tc>
          <w:tcPr>
            <w:tcW w:w="152" w:type="pct"/>
            <w:tcBorders>
              <w:top w:val="nil"/>
              <w:left w:val="nil"/>
              <w:bottom w:val="single" w:sz="4" w:space="0" w:color="auto"/>
              <w:right w:val="single" w:sz="4" w:space="0" w:color="auto"/>
            </w:tcBorders>
            <w:shd w:val="clear" w:color="000000" w:fill="DDEBF7"/>
            <w:vAlign w:val="center"/>
            <w:hideMark/>
          </w:tcPr>
          <w:p w14:paraId="5964513C"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63" w:type="pct"/>
            <w:tcBorders>
              <w:top w:val="nil"/>
              <w:left w:val="nil"/>
              <w:bottom w:val="single" w:sz="4" w:space="0" w:color="auto"/>
              <w:right w:val="single" w:sz="4" w:space="0" w:color="auto"/>
            </w:tcBorders>
            <w:shd w:val="clear" w:color="auto" w:fill="auto"/>
            <w:vAlign w:val="center"/>
            <w:hideMark/>
          </w:tcPr>
          <w:p w14:paraId="788D590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1,810,303</w:t>
            </w:r>
          </w:p>
        </w:tc>
        <w:tc>
          <w:tcPr>
            <w:tcW w:w="155" w:type="pct"/>
            <w:tcBorders>
              <w:top w:val="nil"/>
              <w:left w:val="nil"/>
              <w:bottom w:val="single" w:sz="4" w:space="0" w:color="auto"/>
              <w:right w:val="single" w:sz="4" w:space="0" w:color="auto"/>
            </w:tcBorders>
            <w:shd w:val="clear" w:color="auto" w:fill="auto"/>
            <w:vAlign w:val="center"/>
            <w:hideMark/>
          </w:tcPr>
          <w:p w14:paraId="619CCFB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57D94A4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1,810,303</w:t>
            </w:r>
          </w:p>
        </w:tc>
        <w:tc>
          <w:tcPr>
            <w:tcW w:w="165" w:type="pct"/>
            <w:tcBorders>
              <w:top w:val="nil"/>
              <w:left w:val="nil"/>
              <w:bottom w:val="single" w:sz="4" w:space="0" w:color="auto"/>
              <w:right w:val="single" w:sz="4" w:space="0" w:color="auto"/>
            </w:tcBorders>
            <w:shd w:val="clear" w:color="auto" w:fill="auto"/>
            <w:vAlign w:val="center"/>
            <w:hideMark/>
          </w:tcPr>
          <w:p w14:paraId="4602E1A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1,810,303</w:t>
            </w:r>
          </w:p>
        </w:tc>
        <w:tc>
          <w:tcPr>
            <w:tcW w:w="163" w:type="pct"/>
            <w:tcBorders>
              <w:top w:val="nil"/>
              <w:left w:val="nil"/>
              <w:bottom w:val="single" w:sz="4" w:space="0" w:color="auto"/>
              <w:right w:val="single" w:sz="4" w:space="0" w:color="auto"/>
            </w:tcBorders>
            <w:shd w:val="clear" w:color="auto" w:fill="auto"/>
            <w:vAlign w:val="center"/>
            <w:hideMark/>
          </w:tcPr>
          <w:p w14:paraId="779894E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3395EAD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1,810,303</w:t>
            </w:r>
          </w:p>
        </w:tc>
        <w:tc>
          <w:tcPr>
            <w:tcW w:w="163" w:type="pct"/>
            <w:tcBorders>
              <w:top w:val="nil"/>
              <w:left w:val="nil"/>
              <w:bottom w:val="single" w:sz="4" w:space="0" w:color="auto"/>
              <w:right w:val="single" w:sz="4" w:space="0" w:color="auto"/>
            </w:tcBorders>
            <w:shd w:val="clear" w:color="auto" w:fill="auto"/>
            <w:vAlign w:val="center"/>
            <w:hideMark/>
          </w:tcPr>
          <w:p w14:paraId="196004E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1,810,303</w:t>
            </w:r>
          </w:p>
        </w:tc>
        <w:tc>
          <w:tcPr>
            <w:tcW w:w="148" w:type="pct"/>
            <w:tcBorders>
              <w:top w:val="nil"/>
              <w:left w:val="nil"/>
              <w:bottom w:val="single" w:sz="4" w:space="0" w:color="auto"/>
              <w:right w:val="single" w:sz="4" w:space="0" w:color="auto"/>
            </w:tcBorders>
            <w:shd w:val="clear" w:color="auto" w:fill="auto"/>
            <w:vAlign w:val="center"/>
            <w:hideMark/>
          </w:tcPr>
          <w:p w14:paraId="13A95CA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6355204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1,810,303</w:t>
            </w:r>
          </w:p>
        </w:tc>
        <w:tc>
          <w:tcPr>
            <w:tcW w:w="165" w:type="pct"/>
            <w:tcBorders>
              <w:top w:val="nil"/>
              <w:left w:val="nil"/>
              <w:bottom w:val="single" w:sz="4" w:space="0" w:color="auto"/>
              <w:right w:val="single" w:sz="4" w:space="0" w:color="auto"/>
            </w:tcBorders>
            <w:shd w:val="clear" w:color="auto" w:fill="auto"/>
            <w:vAlign w:val="center"/>
            <w:hideMark/>
          </w:tcPr>
          <w:p w14:paraId="53C33B6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5,430,909</w:t>
            </w:r>
          </w:p>
        </w:tc>
        <w:tc>
          <w:tcPr>
            <w:tcW w:w="163" w:type="pct"/>
            <w:tcBorders>
              <w:top w:val="nil"/>
              <w:left w:val="nil"/>
              <w:bottom w:val="single" w:sz="4" w:space="0" w:color="auto"/>
              <w:right w:val="single" w:sz="4" w:space="0" w:color="auto"/>
            </w:tcBorders>
            <w:shd w:val="clear" w:color="auto" w:fill="auto"/>
            <w:vAlign w:val="center"/>
            <w:hideMark/>
          </w:tcPr>
          <w:p w14:paraId="03CB87F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322BA72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5,430,909</w:t>
            </w:r>
          </w:p>
        </w:tc>
        <w:tc>
          <w:tcPr>
            <w:tcW w:w="163" w:type="pct"/>
            <w:tcBorders>
              <w:top w:val="nil"/>
              <w:left w:val="nil"/>
              <w:bottom w:val="single" w:sz="4" w:space="0" w:color="auto"/>
              <w:right w:val="single" w:sz="4" w:space="0" w:color="auto"/>
            </w:tcBorders>
            <w:shd w:val="clear" w:color="auto" w:fill="auto"/>
            <w:vAlign w:val="center"/>
            <w:hideMark/>
          </w:tcPr>
          <w:p w14:paraId="4FB88B9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5,430,909</w:t>
            </w:r>
          </w:p>
        </w:tc>
        <w:tc>
          <w:tcPr>
            <w:tcW w:w="155" w:type="pct"/>
            <w:tcBorders>
              <w:top w:val="nil"/>
              <w:left w:val="nil"/>
              <w:bottom w:val="single" w:sz="4" w:space="0" w:color="auto"/>
              <w:right w:val="single" w:sz="4" w:space="0" w:color="auto"/>
            </w:tcBorders>
            <w:shd w:val="clear" w:color="auto" w:fill="auto"/>
            <w:vAlign w:val="center"/>
            <w:hideMark/>
          </w:tcPr>
          <w:p w14:paraId="75D0D6F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67D3556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5,430,909</w:t>
            </w:r>
          </w:p>
        </w:tc>
        <w:tc>
          <w:tcPr>
            <w:tcW w:w="162" w:type="pct"/>
            <w:tcBorders>
              <w:top w:val="nil"/>
              <w:left w:val="nil"/>
              <w:bottom w:val="single" w:sz="4" w:space="0" w:color="auto"/>
              <w:right w:val="single" w:sz="4" w:space="0" w:color="auto"/>
            </w:tcBorders>
            <w:shd w:val="clear" w:color="auto" w:fill="auto"/>
            <w:vAlign w:val="center"/>
            <w:hideMark/>
          </w:tcPr>
          <w:p w14:paraId="31817AD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4F5232B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1F70818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3A26EDB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027A6A1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2D458BD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60127E8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408C5C67" w14:textId="3007A9F0"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57162589" w14:textId="77777777" w:rsidTr="00C260C3">
        <w:trPr>
          <w:trHeight w:val="20"/>
        </w:trPr>
        <w:tc>
          <w:tcPr>
            <w:tcW w:w="131" w:type="pct"/>
            <w:tcBorders>
              <w:top w:val="nil"/>
              <w:left w:val="single" w:sz="4" w:space="0" w:color="auto"/>
              <w:bottom w:val="single" w:sz="4" w:space="0" w:color="auto"/>
              <w:right w:val="single" w:sz="4" w:space="0" w:color="auto"/>
            </w:tcBorders>
            <w:shd w:val="clear" w:color="000000" w:fill="D9D9D9"/>
            <w:vAlign w:val="center"/>
            <w:hideMark/>
          </w:tcPr>
          <w:p w14:paraId="1A590AE2"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81" w:type="pct"/>
            <w:tcBorders>
              <w:top w:val="nil"/>
              <w:left w:val="nil"/>
              <w:bottom w:val="single" w:sz="8" w:space="0" w:color="auto"/>
              <w:right w:val="single" w:sz="4" w:space="0" w:color="auto"/>
            </w:tcBorders>
            <w:shd w:val="clear" w:color="000000" w:fill="D9D9D9"/>
            <w:vAlign w:val="center"/>
            <w:hideMark/>
          </w:tcPr>
          <w:p w14:paraId="65033BBE" w14:textId="73AACA51" w:rsidR="00C260C3" w:rsidRPr="00B457F5" w:rsidRDefault="00C260C3" w:rsidP="00C260C3">
            <w:pPr>
              <w:spacing w:before="0" w:after="0"/>
              <w:jc w:val="lef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Kosto</w:t>
            </w:r>
            <w:r w:rsidR="006A63AF" w:rsidRPr="00B457F5">
              <w:rPr>
                <w:rFonts w:ascii="Garamond" w:eastAsia="Times New Roman" w:hAnsi="Garamond" w:cs="Times New Roman"/>
                <w:b/>
                <w:bCs/>
                <w:color w:val="FF0000"/>
                <w:sz w:val="4"/>
                <w:szCs w:val="10"/>
              </w:rPr>
              <w:t>ja</w:t>
            </w:r>
            <w:r w:rsidRPr="00B457F5">
              <w:rPr>
                <w:rFonts w:ascii="Garamond" w:eastAsia="Times New Roman" w:hAnsi="Garamond" w:cs="Times New Roman"/>
                <w:b/>
                <w:bCs/>
                <w:color w:val="FF0000"/>
                <w:sz w:val="4"/>
                <w:szCs w:val="10"/>
              </w:rPr>
              <w:t xml:space="preserve"> treguese</w:t>
            </w:r>
            <w:r w:rsidR="006A63AF" w:rsidRPr="00B457F5">
              <w:rPr>
                <w:rFonts w:ascii="Garamond" w:eastAsia="Times New Roman" w:hAnsi="Garamond" w:cs="Times New Roman"/>
                <w:b/>
                <w:bCs/>
                <w:color w:val="FF0000"/>
                <w:sz w:val="4"/>
                <w:szCs w:val="10"/>
              </w:rPr>
              <w:t xml:space="preserve"> e</w:t>
            </w:r>
            <w:r w:rsidRPr="00B457F5">
              <w:rPr>
                <w:rFonts w:ascii="Garamond" w:eastAsia="Times New Roman" w:hAnsi="Garamond" w:cs="Times New Roman"/>
                <w:b/>
                <w:bCs/>
                <w:color w:val="FF0000"/>
                <w:sz w:val="4"/>
                <w:szCs w:val="10"/>
              </w:rPr>
              <w:t xml:space="preserve"> </w:t>
            </w:r>
            <w:r w:rsidR="006A63AF" w:rsidRPr="00B457F5">
              <w:rPr>
                <w:rFonts w:ascii="Garamond" w:eastAsia="Times New Roman" w:hAnsi="Garamond" w:cs="Times New Roman"/>
                <w:b/>
                <w:bCs/>
                <w:color w:val="FF0000"/>
                <w:sz w:val="4"/>
                <w:szCs w:val="10"/>
              </w:rPr>
              <w:t>o</w:t>
            </w:r>
            <w:r w:rsidRPr="00B457F5">
              <w:rPr>
                <w:rFonts w:ascii="Garamond" w:eastAsia="Times New Roman" w:hAnsi="Garamond" w:cs="Times New Roman"/>
                <w:b/>
                <w:bCs/>
                <w:color w:val="FF0000"/>
                <w:sz w:val="4"/>
                <w:szCs w:val="10"/>
              </w:rPr>
              <w:t>bjektivi</w:t>
            </w:r>
            <w:r w:rsidR="006A63AF" w:rsidRPr="00B457F5">
              <w:rPr>
                <w:rFonts w:ascii="Garamond" w:eastAsia="Times New Roman" w:hAnsi="Garamond" w:cs="Times New Roman"/>
                <w:b/>
                <w:bCs/>
                <w:color w:val="FF0000"/>
                <w:sz w:val="4"/>
                <w:szCs w:val="10"/>
              </w:rPr>
              <w:t>t</w:t>
            </w:r>
            <w:r w:rsidRPr="00B457F5">
              <w:rPr>
                <w:rFonts w:ascii="Garamond" w:eastAsia="Times New Roman" w:hAnsi="Garamond" w:cs="Times New Roman"/>
                <w:b/>
                <w:bCs/>
                <w:color w:val="FF0000"/>
                <w:sz w:val="4"/>
                <w:szCs w:val="10"/>
              </w:rPr>
              <w:t xml:space="preserve"> specifik 1.2</w:t>
            </w:r>
          </w:p>
        </w:tc>
        <w:tc>
          <w:tcPr>
            <w:tcW w:w="186" w:type="pct"/>
            <w:tcBorders>
              <w:top w:val="nil"/>
              <w:left w:val="nil"/>
              <w:bottom w:val="single" w:sz="8" w:space="0" w:color="auto"/>
              <w:right w:val="single" w:sz="4" w:space="0" w:color="auto"/>
            </w:tcBorders>
            <w:shd w:val="clear" w:color="000000" w:fill="D9D9D9"/>
            <w:vAlign w:val="center"/>
            <w:hideMark/>
          </w:tcPr>
          <w:p w14:paraId="4817D857"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9" w:type="pct"/>
            <w:tcBorders>
              <w:top w:val="nil"/>
              <w:left w:val="nil"/>
              <w:bottom w:val="single" w:sz="8" w:space="0" w:color="auto"/>
              <w:right w:val="single" w:sz="4" w:space="0" w:color="auto"/>
            </w:tcBorders>
            <w:shd w:val="clear" w:color="000000" w:fill="D9D9D9"/>
            <w:vAlign w:val="center"/>
            <w:hideMark/>
          </w:tcPr>
          <w:p w14:paraId="55D36629"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44" w:type="pct"/>
            <w:tcBorders>
              <w:top w:val="nil"/>
              <w:left w:val="nil"/>
              <w:bottom w:val="single" w:sz="8" w:space="0" w:color="auto"/>
              <w:right w:val="single" w:sz="4" w:space="0" w:color="auto"/>
            </w:tcBorders>
            <w:shd w:val="clear" w:color="000000" w:fill="D9D9D9"/>
            <w:vAlign w:val="center"/>
            <w:hideMark/>
          </w:tcPr>
          <w:p w14:paraId="2A030398"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35" w:type="pct"/>
            <w:tcBorders>
              <w:top w:val="nil"/>
              <w:left w:val="nil"/>
              <w:bottom w:val="single" w:sz="8" w:space="0" w:color="auto"/>
              <w:right w:val="single" w:sz="4" w:space="0" w:color="auto"/>
            </w:tcBorders>
            <w:shd w:val="clear" w:color="000000" w:fill="D9D9D9"/>
            <w:vAlign w:val="center"/>
            <w:hideMark/>
          </w:tcPr>
          <w:p w14:paraId="50ADA9BF"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2" w:type="pct"/>
            <w:tcBorders>
              <w:top w:val="nil"/>
              <w:left w:val="nil"/>
              <w:bottom w:val="single" w:sz="8" w:space="0" w:color="auto"/>
              <w:right w:val="single" w:sz="4" w:space="0" w:color="auto"/>
            </w:tcBorders>
            <w:shd w:val="clear" w:color="000000" w:fill="D9D9D9"/>
            <w:vAlign w:val="center"/>
            <w:hideMark/>
          </w:tcPr>
          <w:p w14:paraId="3155E1D3"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8" w:space="0" w:color="auto"/>
              <w:right w:val="single" w:sz="4" w:space="0" w:color="auto"/>
            </w:tcBorders>
            <w:shd w:val="clear" w:color="000000" w:fill="D9D9D9"/>
            <w:vAlign w:val="center"/>
            <w:hideMark/>
          </w:tcPr>
          <w:p w14:paraId="46C52289"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20,307,229</w:t>
            </w:r>
          </w:p>
        </w:tc>
        <w:tc>
          <w:tcPr>
            <w:tcW w:w="155" w:type="pct"/>
            <w:tcBorders>
              <w:top w:val="nil"/>
              <w:left w:val="nil"/>
              <w:bottom w:val="single" w:sz="8" w:space="0" w:color="auto"/>
              <w:right w:val="single" w:sz="4" w:space="0" w:color="auto"/>
            </w:tcBorders>
            <w:shd w:val="clear" w:color="000000" w:fill="D9D9D9"/>
            <w:vAlign w:val="center"/>
            <w:hideMark/>
          </w:tcPr>
          <w:p w14:paraId="13CAB52B"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11,500,000</w:t>
            </w:r>
          </w:p>
        </w:tc>
        <w:tc>
          <w:tcPr>
            <w:tcW w:w="162" w:type="pct"/>
            <w:tcBorders>
              <w:top w:val="nil"/>
              <w:left w:val="nil"/>
              <w:bottom w:val="single" w:sz="8" w:space="0" w:color="auto"/>
              <w:right w:val="single" w:sz="4" w:space="0" w:color="auto"/>
            </w:tcBorders>
            <w:shd w:val="clear" w:color="000000" w:fill="D9D9D9"/>
            <w:vAlign w:val="center"/>
            <w:hideMark/>
          </w:tcPr>
          <w:p w14:paraId="6294EC77"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31,807,229</w:t>
            </w:r>
          </w:p>
        </w:tc>
        <w:tc>
          <w:tcPr>
            <w:tcW w:w="165" w:type="pct"/>
            <w:tcBorders>
              <w:top w:val="nil"/>
              <w:left w:val="nil"/>
              <w:bottom w:val="single" w:sz="8" w:space="0" w:color="auto"/>
              <w:right w:val="single" w:sz="4" w:space="0" w:color="auto"/>
            </w:tcBorders>
            <w:shd w:val="clear" w:color="000000" w:fill="D9D9D9"/>
            <w:vAlign w:val="center"/>
            <w:hideMark/>
          </w:tcPr>
          <w:p w14:paraId="064073C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13,123,862</w:t>
            </w:r>
          </w:p>
        </w:tc>
        <w:tc>
          <w:tcPr>
            <w:tcW w:w="163" w:type="pct"/>
            <w:tcBorders>
              <w:top w:val="nil"/>
              <w:left w:val="nil"/>
              <w:bottom w:val="single" w:sz="8" w:space="0" w:color="auto"/>
              <w:right w:val="single" w:sz="4" w:space="0" w:color="auto"/>
            </w:tcBorders>
            <w:shd w:val="clear" w:color="000000" w:fill="D9D9D9"/>
            <w:vAlign w:val="center"/>
            <w:hideMark/>
          </w:tcPr>
          <w:p w14:paraId="71A5D435"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126,500,000</w:t>
            </w:r>
          </w:p>
        </w:tc>
        <w:tc>
          <w:tcPr>
            <w:tcW w:w="163" w:type="pct"/>
            <w:tcBorders>
              <w:top w:val="nil"/>
              <w:left w:val="nil"/>
              <w:bottom w:val="single" w:sz="8" w:space="0" w:color="auto"/>
              <w:right w:val="single" w:sz="4" w:space="0" w:color="auto"/>
            </w:tcBorders>
            <w:shd w:val="clear" w:color="000000" w:fill="D9D9D9"/>
            <w:vAlign w:val="center"/>
            <w:hideMark/>
          </w:tcPr>
          <w:p w14:paraId="01CAE35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139,623,862</w:t>
            </w:r>
          </w:p>
        </w:tc>
        <w:tc>
          <w:tcPr>
            <w:tcW w:w="163" w:type="pct"/>
            <w:tcBorders>
              <w:top w:val="nil"/>
              <w:left w:val="nil"/>
              <w:bottom w:val="single" w:sz="8" w:space="0" w:color="auto"/>
              <w:right w:val="single" w:sz="4" w:space="0" w:color="auto"/>
            </w:tcBorders>
            <w:shd w:val="clear" w:color="000000" w:fill="D9D9D9"/>
            <w:vAlign w:val="center"/>
            <w:hideMark/>
          </w:tcPr>
          <w:p w14:paraId="5F7FBA8C"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11,766,135</w:t>
            </w:r>
          </w:p>
        </w:tc>
        <w:tc>
          <w:tcPr>
            <w:tcW w:w="148" w:type="pct"/>
            <w:tcBorders>
              <w:top w:val="nil"/>
              <w:left w:val="nil"/>
              <w:bottom w:val="single" w:sz="8" w:space="0" w:color="auto"/>
              <w:right w:val="single" w:sz="4" w:space="0" w:color="auto"/>
            </w:tcBorders>
            <w:shd w:val="clear" w:color="000000" w:fill="D9D9D9"/>
            <w:vAlign w:val="center"/>
            <w:hideMark/>
          </w:tcPr>
          <w:p w14:paraId="42246D1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2" w:type="pct"/>
            <w:tcBorders>
              <w:top w:val="nil"/>
              <w:left w:val="nil"/>
              <w:bottom w:val="single" w:sz="8" w:space="0" w:color="auto"/>
              <w:right w:val="single" w:sz="4" w:space="0" w:color="auto"/>
            </w:tcBorders>
            <w:shd w:val="clear" w:color="000000" w:fill="D9D9D9"/>
            <w:vAlign w:val="center"/>
            <w:hideMark/>
          </w:tcPr>
          <w:p w14:paraId="0A791EB7"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11,766,135</w:t>
            </w:r>
          </w:p>
        </w:tc>
        <w:tc>
          <w:tcPr>
            <w:tcW w:w="165" w:type="pct"/>
            <w:tcBorders>
              <w:top w:val="nil"/>
              <w:left w:val="nil"/>
              <w:bottom w:val="single" w:sz="8" w:space="0" w:color="auto"/>
              <w:right w:val="single" w:sz="4" w:space="0" w:color="auto"/>
            </w:tcBorders>
            <w:shd w:val="clear" w:color="000000" w:fill="D9D9D9"/>
            <w:vAlign w:val="center"/>
            <w:hideMark/>
          </w:tcPr>
          <w:p w14:paraId="639BF76B"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45,197,226</w:t>
            </w:r>
          </w:p>
        </w:tc>
        <w:tc>
          <w:tcPr>
            <w:tcW w:w="163" w:type="pct"/>
            <w:tcBorders>
              <w:top w:val="nil"/>
              <w:left w:val="nil"/>
              <w:bottom w:val="single" w:sz="8" w:space="0" w:color="auto"/>
              <w:right w:val="single" w:sz="4" w:space="0" w:color="auto"/>
            </w:tcBorders>
            <w:shd w:val="clear" w:color="000000" w:fill="D9D9D9"/>
            <w:vAlign w:val="center"/>
            <w:hideMark/>
          </w:tcPr>
          <w:p w14:paraId="716FB2C3"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138,000,000</w:t>
            </w:r>
          </w:p>
        </w:tc>
        <w:tc>
          <w:tcPr>
            <w:tcW w:w="165" w:type="pct"/>
            <w:tcBorders>
              <w:top w:val="nil"/>
              <w:left w:val="nil"/>
              <w:bottom w:val="single" w:sz="8" w:space="0" w:color="auto"/>
              <w:right w:val="single" w:sz="4" w:space="0" w:color="auto"/>
            </w:tcBorders>
            <w:shd w:val="clear" w:color="000000" w:fill="D9D9D9"/>
            <w:vAlign w:val="center"/>
            <w:hideMark/>
          </w:tcPr>
          <w:p w14:paraId="6529DC7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183,197,226</w:t>
            </w:r>
          </w:p>
        </w:tc>
        <w:tc>
          <w:tcPr>
            <w:tcW w:w="163" w:type="pct"/>
            <w:tcBorders>
              <w:top w:val="nil"/>
              <w:left w:val="nil"/>
              <w:bottom w:val="single" w:sz="8" w:space="0" w:color="auto"/>
              <w:right w:val="single" w:sz="4" w:space="0" w:color="auto"/>
            </w:tcBorders>
            <w:shd w:val="clear" w:color="000000" w:fill="D9D9D9"/>
            <w:vAlign w:val="center"/>
            <w:hideMark/>
          </w:tcPr>
          <w:p w14:paraId="11FAFA20"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36,029,226</w:t>
            </w:r>
          </w:p>
        </w:tc>
        <w:tc>
          <w:tcPr>
            <w:tcW w:w="155" w:type="pct"/>
            <w:tcBorders>
              <w:top w:val="nil"/>
              <w:left w:val="nil"/>
              <w:bottom w:val="single" w:sz="8" w:space="0" w:color="auto"/>
              <w:right w:val="single" w:sz="4" w:space="0" w:color="auto"/>
            </w:tcBorders>
            <w:shd w:val="clear" w:color="000000" w:fill="D9D9D9"/>
            <w:vAlign w:val="center"/>
            <w:hideMark/>
          </w:tcPr>
          <w:p w14:paraId="645A6900"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11,500,000</w:t>
            </w:r>
          </w:p>
        </w:tc>
        <w:tc>
          <w:tcPr>
            <w:tcW w:w="163" w:type="pct"/>
            <w:tcBorders>
              <w:top w:val="nil"/>
              <w:left w:val="nil"/>
              <w:bottom w:val="single" w:sz="8" w:space="0" w:color="auto"/>
              <w:right w:val="single" w:sz="4" w:space="0" w:color="auto"/>
            </w:tcBorders>
            <w:shd w:val="clear" w:color="000000" w:fill="D9D9D9"/>
            <w:vAlign w:val="center"/>
            <w:hideMark/>
          </w:tcPr>
          <w:p w14:paraId="7B7B1ADC"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47,529,226</w:t>
            </w:r>
          </w:p>
        </w:tc>
        <w:tc>
          <w:tcPr>
            <w:tcW w:w="162" w:type="pct"/>
            <w:tcBorders>
              <w:top w:val="nil"/>
              <w:left w:val="nil"/>
              <w:bottom w:val="single" w:sz="8" w:space="0" w:color="auto"/>
              <w:right w:val="single" w:sz="4" w:space="0" w:color="auto"/>
            </w:tcBorders>
            <w:shd w:val="clear" w:color="000000" w:fill="D9D9D9"/>
            <w:vAlign w:val="center"/>
            <w:hideMark/>
          </w:tcPr>
          <w:p w14:paraId="3CC25F69"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3,060,000</w:t>
            </w:r>
          </w:p>
        </w:tc>
        <w:tc>
          <w:tcPr>
            <w:tcW w:w="155" w:type="pct"/>
            <w:tcBorders>
              <w:top w:val="nil"/>
              <w:left w:val="nil"/>
              <w:bottom w:val="single" w:sz="8" w:space="0" w:color="auto"/>
              <w:right w:val="single" w:sz="4" w:space="0" w:color="auto"/>
            </w:tcBorders>
            <w:shd w:val="clear" w:color="000000" w:fill="D9D9D9"/>
            <w:vAlign w:val="center"/>
            <w:hideMark/>
          </w:tcPr>
          <w:p w14:paraId="07D311CB"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218" w:type="pct"/>
            <w:tcBorders>
              <w:top w:val="nil"/>
              <w:left w:val="nil"/>
              <w:bottom w:val="single" w:sz="8" w:space="0" w:color="auto"/>
              <w:right w:val="single" w:sz="4" w:space="0" w:color="auto"/>
            </w:tcBorders>
            <w:shd w:val="clear" w:color="000000" w:fill="D9D9D9"/>
            <w:vAlign w:val="center"/>
            <w:hideMark/>
          </w:tcPr>
          <w:p w14:paraId="475E59A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8" w:space="0" w:color="auto"/>
              <w:right w:val="single" w:sz="4" w:space="0" w:color="auto"/>
            </w:tcBorders>
            <w:shd w:val="clear" w:color="000000" w:fill="D9D9D9"/>
            <w:vAlign w:val="center"/>
            <w:hideMark/>
          </w:tcPr>
          <w:p w14:paraId="09A1813C"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3,060,000</w:t>
            </w:r>
          </w:p>
        </w:tc>
        <w:tc>
          <w:tcPr>
            <w:tcW w:w="139" w:type="pct"/>
            <w:tcBorders>
              <w:top w:val="nil"/>
              <w:left w:val="nil"/>
              <w:bottom w:val="single" w:sz="8" w:space="0" w:color="auto"/>
              <w:right w:val="single" w:sz="4" w:space="0" w:color="auto"/>
            </w:tcBorders>
            <w:shd w:val="clear" w:color="000000" w:fill="D9D9D9"/>
            <w:vAlign w:val="center"/>
            <w:hideMark/>
          </w:tcPr>
          <w:p w14:paraId="13E7850F"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42" w:type="pct"/>
            <w:tcBorders>
              <w:top w:val="nil"/>
              <w:left w:val="nil"/>
              <w:bottom w:val="single" w:sz="8" w:space="0" w:color="auto"/>
              <w:right w:val="single" w:sz="4" w:space="0" w:color="auto"/>
            </w:tcBorders>
            <w:shd w:val="clear" w:color="000000" w:fill="D9D9D9"/>
            <w:vAlign w:val="center"/>
            <w:hideMark/>
          </w:tcPr>
          <w:p w14:paraId="33E8550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28" w:type="pct"/>
            <w:tcBorders>
              <w:top w:val="nil"/>
              <w:left w:val="nil"/>
              <w:bottom w:val="single" w:sz="8" w:space="0" w:color="auto"/>
              <w:right w:val="single" w:sz="4" w:space="0" w:color="auto"/>
            </w:tcBorders>
            <w:shd w:val="clear" w:color="000000" w:fill="D9D9D9"/>
            <w:vAlign w:val="center"/>
            <w:hideMark/>
          </w:tcPr>
          <w:p w14:paraId="73120F48"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77" w:type="pct"/>
            <w:tcBorders>
              <w:top w:val="nil"/>
              <w:left w:val="nil"/>
              <w:bottom w:val="single" w:sz="4" w:space="0" w:color="auto"/>
              <w:right w:val="single" w:sz="4" w:space="0" w:color="auto"/>
            </w:tcBorders>
            <w:shd w:val="clear" w:color="000000" w:fill="D9D9D9"/>
            <w:vAlign w:val="center"/>
            <w:hideMark/>
          </w:tcPr>
          <w:p w14:paraId="16E12A08" w14:textId="5B6CA81E"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(132,608,000)</w:t>
            </w:r>
          </w:p>
        </w:tc>
      </w:tr>
      <w:tr w:rsidR="00C260C3" w:rsidRPr="00B457F5" w14:paraId="5FA7F68F"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07AACE31"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81" w:type="pct"/>
            <w:tcBorders>
              <w:top w:val="nil"/>
              <w:left w:val="nil"/>
              <w:bottom w:val="single" w:sz="8" w:space="0" w:color="auto"/>
              <w:right w:val="single" w:sz="4" w:space="0" w:color="auto"/>
            </w:tcBorders>
            <w:shd w:val="clear" w:color="auto" w:fill="auto"/>
            <w:vAlign w:val="center"/>
            <w:hideMark/>
          </w:tcPr>
          <w:p w14:paraId="3EB4E3F9" w14:textId="2FD5092D" w:rsidR="00C260C3" w:rsidRPr="00B457F5" w:rsidRDefault="00C260C3" w:rsidP="00C260C3">
            <w:pPr>
              <w:spacing w:before="0" w:after="0"/>
              <w:jc w:val="left"/>
              <w:rPr>
                <w:rFonts w:ascii="Garamond" w:eastAsia="Times New Roman" w:hAnsi="Garamond" w:cs="Times New Roman"/>
                <w:b/>
                <w:bCs/>
                <w:sz w:val="4"/>
                <w:szCs w:val="10"/>
              </w:rPr>
            </w:pPr>
            <w:r w:rsidRPr="00B457F5">
              <w:rPr>
                <w:rFonts w:ascii="Garamond" w:eastAsia="Times New Roman" w:hAnsi="Garamond" w:cs="Times New Roman"/>
                <w:b/>
                <w:bCs/>
                <w:sz w:val="4"/>
                <w:szCs w:val="10"/>
              </w:rPr>
              <w:t>Objektivi specifik 1.3</w:t>
            </w:r>
            <w:r w:rsidR="0006016F" w:rsidRPr="00B457F5">
              <w:rPr>
                <w:rFonts w:ascii="Garamond" w:eastAsia="Times New Roman" w:hAnsi="Garamond" w:cs="Times New Roman"/>
                <w:b/>
                <w:bCs/>
                <w:sz w:val="4"/>
                <w:szCs w:val="10"/>
              </w:rPr>
              <w:t xml:space="preserve"> </w:t>
            </w:r>
            <w:r w:rsidRPr="00B457F5">
              <w:rPr>
                <w:rFonts w:ascii="Garamond" w:eastAsia="Times New Roman" w:hAnsi="Garamond" w:cs="Times New Roman"/>
                <w:b/>
                <w:bCs/>
                <w:sz w:val="4"/>
                <w:szCs w:val="10"/>
              </w:rPr>
              <w:t xml:space="preserve">Forcimi i bashkëpunimit ndërkombëtar dhe partneriteteve globale për migrim të sigurt dhe të rregullt </w:t>
            </w:r>
          </w:p>
        </w:tc>
        <w:tc>
          <w:tcPr>
            <w:tcW w:w="186" w:type="pct"/>
            <w:tcBorders>
              <w:top w:val="nil"/>
              <w:left w:val="nil"/>
              <w:bottom w:val="single" w:sz="8" w:space="0" w:color="auto"/>
              <w:right w:val="single" w:sz="4" w:space="0" w:color="auto"/>
            </w:tcBorders>
            <w:shd w:val="clear" w:color="auto" w:fill="auto"/>
            <w:vAlign w:val="center"/>
            <w:hideMark/>
          </w:tcPr>
          <w:p w14:paraId="3C9AADCF"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9" w:type="pct"/>
            <w:tcBorders>
              <w:top w:val="nil"/>
              <w:left w:val="nil"/>
              <w:bottom w:val="single" w:sz="8" w:space="0" w:color="auto"/>
              <w:right w:val="single" w:sz="4" w:space="0" w:color="auto"/>
            </w:tcBorders>
            <w:shd w:val="clear" w:color="auto" w:fill="auto"/>
            <w:vAlign w:val="center"/>
            <w:hideMark/>
          </w:tcPr>
          <w:p w14:paraId="150ABCB0"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44" w:type="pct"/>
            <w:tcBorders>
              <w:top w:val="nil"/>
              <w:left w:val="nil"/>
              <w:bottom w:val="single" w:sz="8" w:space="0" w:color="auto"/>
              <w:right w:val="single" w:sz="4" w:space="0" w:color="auto"/>
            </w:tcBorders>
            <w:shd w:val="clear" w:color="auto" w:fill="auto"/>
            <w:vAlign w:val="center"/>
            <w:hideMark/>
          </w:tcPr>
          <w:p w14:paraId="57F56149"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35" w:type="pct"/>
            <w:tcBorders>
              <w:top w:val="nil"/>
              <w:left w:val="nil"/>
              <w:bottom w:val="single" w:sz="8" w:space="0" w:color="auto"/>
              <w:right w:val="single" w:sz="4" w:space="0" w:color="auto"/>
            </w:tcBorders>
            <w:shd w:val="clear" w:color="auto" w:fill="auto"/>
            <w:vAlign w:val="center"/>
            <w:hideMark/>
          </w:tcPr>
          <w:p w14:paraId="7BA213F1"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2" w:type="pct"/>
            <w:tcBorders>
              <w:top w:val="nil"/>
              <w:left w:val="nil"/>
              <w:bottom w:val="single" w:sz="8" w:space="0" w:color="auto"/>
              <w:right w:val="single" w:sz="4" w:space="0" w:color="auto"/>
            </w:tcBorders>
            <w:shd w:val="clear" w:color="auto" w:fill="auto"/>
            <w:vAlign w:val="center"/>
            <w:hideMark/>
          </w:tcPr>
          <w:p w14:paraId="13E4105F"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8" w:space="0" w:color="auto"/>
              <w:right w:val="single" w:sz="4" w:space="0" w:color="auto"/>
            </w:tcBorders>
            <w:shd w:val="clear" w:color="auto" w:fill="auto"/>
            <w:vAlign w:val="center"/>
            <w:hideMark/>
          </w:tcPr>
          <w:p w14:paraId="2F54BDE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55" w:type="pct"/>
            <w:tcBorders>
              <w:top w:val="nil"/>
              <w:left w:val="nil"/>
              <w:bottom w:val="single" w:sz="8" w:space="0" w:color="auto"/>
              <w:right w:val="single" w:sz="4" w:space="0" w:color="auto"/>
            </w:tcBorders>
            <w:shd w:val="clear" w:color="auto" w:fill="auto"/>
            <w:vAlign w:val="center"/>
            <w:hideMark/>
          </w:tcPr>
          <w:p w14:paraId="6105A23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2" w:type="pct"/>
            <w:tcBorders>
              <w:top w:val="nil"/>
              <w:left w:val="nil"/>
              <w:bottom w:val="single" w:sz="8" w:space="0" w:color="auto"/>
              <w:right w:val="single" w:sz="4" w:space="0" w:color="auto"/>
            </w:tcBorders>
            <w:shd w:val="clear" w:color="auto" w:fill="auto"/>
            <w:vAlign w:val="center"/>
            <w:hideMark/>
          </w:tcPr>
          <w:p w14:paraId="302C7E95"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5" w:type="pct"/>
            <w:tcBorders>
              <w:top w:val="nil"/>
              <w:left w:val="nil"/>
              <w:bottom w:val="single" w:sz="8" w:space="0" w:color="auto"/>
              <w:right w:val="single" w:sz="4" w:space="0" w:color="auto"/>
            </w:tcBorders>
            <w:shd w:val="clear" w:color="auto" w:fill="auto"/>
            <w:vAlign w:val="center"/>
            <w:hideMark/>
          </w:tcPr>
          <w:p w14:paraId="3600DDD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8" w:space="0" w:color="auto"/>
              <w:right w:val="single" w:sz="4" w:space="0" w:color="auto"/>
            </w:tcBorders>
            <w:shd w:val="clear" w:color="auto" w:fill="auto"/>
            <w:vAlign w:val="center"/>
            <w:hideMark/>
          </w:tcPr>
          <w:p w14:paraId="5A4C48EA"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8" w:space="0" w:color="auto"/>
              <w:right w:val="single" w:sz="4" w:space="0" w:color="auto"/>
            </w:tcBorders>
            <w:shd w:val="clear" w:color="auto" w:fill="auto"/>
            <w:vAlign w:val="center"/>
            <w:hideMark/>
          </w:tcPr>
          <w:p w14:paraId="3B962CD9"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8" w:space="0" w:color="auto"/>
              <w:right w:val="single" w:sz="4" w:space="0" w:color="auto"/>
            </w:tcBorders>
            <w:shd w:val="clear" w:color="auto" w:fill="auto"/>
            <w:vAlign w:val="center"/>
            <w:hideMark/>
          </w:tcPr>
          <w:p w14:paraId="0B4353A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48" w:type="pct"/>
            <w:tcBorders>
              <w:top w:val="nil"/>
              <w:left w:val="nil"/>
              <w:bottom w:val="single" w:sz="8" w:space="0" w:color="auto"/>
              <w:right w:val="single" w:sz="4" w:space="0" w:color="auto"/>
            </w:tcBorders>
            <w:shd w:val="clear" w:color="auto" w:fill="auto"/>
            <w:vAlign w:val="center"/>
            <w:hideMark/>
          </w:tcPr>
          <w:p w14:paraId="30EC1650"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2" w:type="pct"/>
            <w:tcBorders>
              <w:top w:val="nil"/>
              <w:left w:val="nil"/>
              <w:bottom w:val="single" w:sz="8" w:space="0" w:color="auto"/>
              <w:right w:val="single" w:sz="4" w:space="0" w:color="auto"/>
            </w:tcBorders>
            <w:shd w:val="clear" w:color="auto" w:fill="auto"/>
            <w:vAlign w:val="center"/>
            <w:hideMark/>
          </w:tcPr>
          <w:p w14:paraId="6C20D83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5" w:type="pct"/>
            <w:tcBorders>
              <w:top w:val="nil"/>
              <w:left w:val="nil"/>
              <w:bottom w:val="single" w:sz="8" w:space="0" w:color="auto"/>
              <w:right w:val="single" w:sz="4" w:space="0" w:color="auto"/>
            </w:tcBorders>
            <w:shd w:val="clear" w:color="auto" w:fill="auto"/>
            <w:vAlign w:val="center"/>
            <w:hideMark/>
          </w:tcPr>
          <w:p w14:paraId="4312EDE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8" w:space="0" w:color="auto"/>
              <w:right w:val="single" w:sz="4" w:space="0" w:color="auto"/>
            </w:tcBorders>
            <w:shd w:val="clear" w:color="auto" w:fill="auto"/>
            <w:vAlign w:val="center"/>
            <w:hideMark/>
          </w:tcPr>
          <w:p w14:paraId="483D7495"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5" w:type="pct"/>
            <w:tcBorders>
              <w:top w:val="nil"/>
              <w:left w:val="nil"/>
              <w:bottom w:val="single" w:sz="8" w:space="0" w:color="auto"/>
              <w:right w:val="single" w:sz="4" w:space="0" w:color="auto"/>
            </w:tcBorders>
            <w:shd w:val="clear" w:color="auto" w:fill="auto"/>
            <w:vAlign w:val="center"/>
            <w:hideMark/>
          </w:tcPr>
          <w:p w14:paraId="78AE64C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8" w:space="0" w:color="auto"/>
              <w:right w:val="single" w:sz="4" w:space="0" w:color="auto"/>
            </w:tcBorders>
            <w:shd w:val="clear" w:color="auto" w:fill="auto"/>
            <w:vAlign w:val="center"/>
            <w:hideMark/>
          </w:tcPr>
          <w:p w14:paraId="555CE84E"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55" w:type="pct"/>
            <w:tcBorders>
              <w:top w:val="nil"/>
              <w:left w:val="nil"/>
              <w:bottom w:val="single" w:sz="8" w:space="0" w:color="auto"/>
              <w:right w:val="single" w:sz="4" w:space="0" w:color="auto"/>
            </w:tcBorders>
            <w:shd w:val="clear" w:color="auto" w:fill="auto"/>
            <w:vAlign w:val="center"/>
            <w:hideMark/>
          </w:tcPr>
          <w:p w14:paraId="6848D339"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8" w:space="0" w:color="auto"/>
              <w:right w:val="single" w:sz="4" w:space="0" w:color="auto"/>
            </w:tcBorders>
            <w:shd w:val="clear" w:color="auto" w:fill="auto"/>
            <w:vAlign w:val="center"/>
            <w:hideMark/>
          </w:tcPr>
          <w:p w14:paraId="4CDC1835"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2" w:type="pct"/>
            <w:tcBorders>
              <w:top w:val="nil"/>
              <w:left w:val="nil"/>
              <w:bottom w:val="single" w:sz="8" w:space="0" w:color="auto"/>
              <w:right w:val="single" w:sz="4" w:space="0" w:color="auto"/>
            </w:tcBorders>
            <w:shd w:val="clear" w:color="auto" w:fill="auto"/>
            <w:vAlign w:val="center"/>
            <w:hideMark/>
          </w:tcPr>
          <w:p w14:paraId="329995A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55" w:type="pct"/>
            <w:tcBorders>
              <w:top w:val="nil"/>
              <w:left w:val="nil"/>
              <w:bottom w:val="single" w:sz="8" w:space="0" w:color="auto"/>
              <w:right w:val="single" w:sz="4" w:space="0" w:color="auto"/>
            </w:tcBorders>
            <w:shd w:val="clear" w:color="auto" w:fill="auto"/>
            <w:vAlign w:val="center"/>
            <w:hideMark/>
          </w:tcPr>
          <w:p w14:paraId="490FE151"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218" w:type="pct"/>
            <w:tcBorders>
              <w:top w:val="nil"/>
              <w:left w:val="nil"/>
              <w:bottom w:val="single" w:sz="8" w:space="0" w:color="auto"/>
              <w:right w:val="single" w:sz="4" w:space="0" w:color="auto"/>
            </w:tcBorders>
            <w:shd w:val="clear" w:color="auto" w:fill="auto"/>
            <w:vAlign w:val="center"/>
            <w:hideMark/>
          </w:tcPr>
          <w:p w14:paraId="0143C79B"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8" w:space="0" w:color="auto"/>
              <w:right w:val="single" w:sz="4" w:space="0" w:color="auto"/>
            </w:tcBorders>
            <w:shd w:val="clear" w:color="auto" w:fill="auto"/>
            <w:vAlign w:val="center"/>
            <w:hideMark/>
          </w:tcPr>
          <w:p w14:paraId="204D3D5B"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39" w:type="pct"/>
            <w:tcBorders>
              <w:top w:val="nil"/>
              <w:left w:val="nil"/>
              <w:bottom w:val="single" w:sz="8" w:space="0" w:color="auto"/>
              <w:right w:val="single" w:sz="4" w:space="0" w:color="auto"/>
            </w:tcBorders>
            <w:shd w:val="clear" w:color="auto" w:fill="auto"/>
            <w:vAlign w:val="center"/>
            <w:hideMark/>
          </w:tcPr>
          <w:p w14:paraId="4E37A0CE"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42" w:type="pct"/>
            <w:tcBorders>
              <w:top w:val="nil"/>
              <w:left w:val="nil"/>
              <w:bottom w:val="single" w:sz="8" w:space="0" w:color="auto"/>
              <w:right w:val="single" w:sz="4" w:space="0" w:color="auto"/>
            </w:tcBorders>
            <w:shd w:val="clear" w:color="auto" w:fill="auto"/>
            <w:vAlign w:val="center"/>
            <w:hideMark/>
          </w:tcPr>
          <w:p w14:paraId="4720CE8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28" w:type="pct"/>
            <w:tcBorders>
              <w:top w:val="nil"/>
              <w:left w:val="nil"/>
              <w:bottom w:val="single" w:sz="8" w:space="0" w:color="auto"/>
              <w:right w:val="single" w:sz="4" w:space="0" w:color="auto"/>
            </w:tcBorders>
            <w:shd w:val="clear" w:color="auto" w:fill="auto"/>
            <w:vAlign w:val="center"/>
            <w:hideMark/>
          </w:tcPr>
          <w:p w14:paraId="509FB801"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77" w:type="pct"/>
            <w:tcBorders>
              <w:top w:val="nil"/>
              <w:left w:val="nil"/>
              <w:bottom w:val="single" w:sz="8" w:space="0" w:color="auto"/>
              <w:right w:val="single" w:sz="4" w:space="0" w:color="auto"/>
            </w:tcBorders>
            <w:shd w:val="clear" w:color="auto" w:fill="auto"/>
            <w:vAlign w:val="center"/>
            <w:hideMark/>
          </w:tcPr>
          <w:p w14:paraId="1A62E997"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r>
      <w:tr w:rsidR="00C260C3" w:rsidRPr="00B457F5" w14:paraId="66563083"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49AAA856"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81" w:type="pct"/>
            <w:tcBorders>
              <w:top w:val="nil"/>
              <w:left w:val="nil"/>
              <w:bottom w:val="single" w:sz="8" w:space="0" w:color="auto"/>
              <w:right w:val="single" w:sz="4" w:space="0" w:color="auto"/>
            </w:tcBorders>
            <w:shd w:val="clear" w:color="auto" w:fill="auto"/>
            <w:vAlign w:val="center"/>
            <w:hideMark/>
          </w:tcPr>
          <w:p w14:paraId="3308C3A9" w14:textId="77777777" w:rsidR="00C260C3" w:rsidRPr="00B457F5" w:rsidRDefault="00C260C3" w:rsidP="00C260C3">
            <w:pPr>
              <w:spacing w:before="0" w:after="0"/>
              <w:jc w:val="left"/>
              <w:rPr>
                <w:rFonts w:ascii="Garamond" w:eastAsia="Times New Roman" w:hAnsi="Garamond" w:cs="Times New Roman"/>
                <w:b/>
                <w:bCs/>
                <w:i/>
                <w:iCs/>
                <w:color w:val="2F75B5"/>
                <w:sz w:val="4"/>
                <w:szCs w:val="10"/>
              </w:rPr>
            </w:pPr>
            <w:r w:rsidRPr="00B457F5">
              <w:rPr>
                <w:rFonts w:ascii="Garamond" w:eastAsia="Times New Roman" w:hAnsi="Garamond" w:cs="Times New Roman"/>
                <w:b/>
                <w:bCs/>
                <w:i/>
                <w:iCs/>
                <w:color w:val="2F75B5"/>
                <w:sz w:val="4"/>
                <w:szCs w:val="10"/>
              </w:rPr>
              <w:t>Masat</w:t>
            </w:r>
          </w:p>
        </w:tc>
        <w:tc>
          <w:tcPr>
            <w:tcW w:w="186" w:type="pct"/>
            <w:tcBorders>
              <w:top w:val="nil"/>
              <w:left w:val="nil"/>
              <w:bottom w:val="single" w:sz="8" w:space="0" w:color="auto"/>
              <w:right w:val="single" w:sz="4" w:space="0" w:color="auto"/>
            </w:tcBorders>
            <w:shd w:val="clear" w:color="auto" w:fill="auto"/>
            <w:vAlign w:val="center"/>
            <w:hideMark/>
          </w:tcPr>
          <w:p w14:paraId="7246EAC1"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9" w:type="pct"/>
            <w:tcBorders>
              <w:top w:val="nil"/>
              <w:left w:val="nil"/>
              <w:bottom w:val="single" w:sz="8" w:space="0" w:color="auto"/>
              <w:right w:val="single" w:sz="4" w:space="0" w:color="auto"/>
            </w:tcBorders>
            <w:shd w:val="clear" w:color="auto" w:fill="auto"/>
            <w:vAlign w:val="center"/>
            <w:hideMark/>
          </w:tcPr>
          <w:p w14:paraId="25A8EF71"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44" w:type="pct"/>
            <w:tcBorders>
              <w:top w:val="nil"/>
              <w:left w:val="nil"/>
              <w:bottom w:val="single" w:sz="8" w:space="0" w:color="auto"/>
              <w:right w:val="single" w:sz="4" w:space="0" w:color="auto"/>
            </w:tcBorders>
            <w:shd w:val="clear" w:color="auto" w:fill="auto"/>
            <w:vAlign w:val="center"/>
            <w:hideMark/>
          </w:tcPr>
          <w:p w14:paraId="5CF6894E"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35" w:type="pct"/>
            <w:tcBorders>
              <w:top w:val="nil"/>
              <w:left w:val="nil"/>
              <w:bottom w:val="single" w:sz="8" w:space="0" w:color="auto"/>
              <w:right w:val="single" w:sz="4" w:space="0" w:color="auto"/>
            </w:tcBorders>
            <w:shd w:val="clear" w:color="auto" w:fill="auto"/>
            <w:vAlign w:val="center"/>
            <w:hideMark/>
          </w:tcPr>
          <w:p w14:paraId="78FE6B92"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2" w:type="pct"/>
            <w:tcBorders>
              <w:top w:val="nil"/>
              <w:left w:val="nil"/>
              <w:bottom w:val="single" w:sz="8" w:space="0" w:color="auto"/>
              <w:right w:val="single" w:sz="4" w:space="0" w:color="auto"/>
            </w:tcBorders>
            <w:shd w:val="clear" w:color="auto" w:fill="auto"/>
            <w:vAlign w:val="center"/>
            <w:hideMark/>
          </w:tcPr>
          <w:p w14:paraId="5371B201"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8" w:space="0" w:color="auto"/>
              <w:right w:val="single" w:sz="4" w:space="0" w:color="auto"/>
            </w:tcBorders>
            <w:shd w:val="clear" w:color="auto" w:fill="auto"/>
            <w:vAlign w:val="center"/>
            <w:hideMark/>
          </w:tcPr>
          <w:p w14:paraId="4BC6B4D7"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55" w:type="pct"/>
            <w:tcBorders>
              <w:top w:val="nil"/>
              <w:left w:val="nil"/>
              <w:bottom w:val="single" w:sz="8" w:space="0" w:color="auto"/>
              <w:right w:val="single" w:sz="4" w:space="0" w:color="auto"/>
            </w:tcBorders>
            <w:shd w:val="clear" w:color="auto" w:fill="auto"/>
            <w:vAlign w:val="center"/>
            <w:hideMark/>
          </w:tcPr>
          <w:p w14:paraId="21148C33"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2" w:type="pct"/>
            <w:tcBorders>
              <w:top w:val="nil"/>
              <w:left w:val="nil"/>
              <w:bottom w:val="single" w:sz="8" w:space="0" w:color="auto"/>
              <w:right w:val="single" w:sz="4" w:space="0" w:color="auto"/>
            </w:tcBorders>
            <w:shd w:val="clear" w:color="auto" w:fill="auto"/>
            <w:vAlign w:val="center"/>
            <w:hideMark/>
          </w:tcPr>
          <w:p w14:paraId="2C53502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5" w:type="pct"/>
            <w:tcBorders>
              <w:top w:val="nil"/>
              <w:left w:val="nil"/>
              <w:bottom w:val="single" w:sz="8" w:space="0" w:color="auto"/>
              <w:right w:val="single" w:sz="4" w:space="0" w:color="auto"/>
            </w:tcBorders>
            <w:shd w:val="clear" w:color="auto" w:fill="auto"/>
            <w:vAlign w:val="center"/>
            <w:hideMark/>
          </w:tcPr>
          <w:p w14:paraId="1337AB69"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8" w:space="0" w:color="auto"/>
              <w:right w:val="single" w:sz="4" w:space="0" w:color="auto"/>
            </w:tcBorders>
            <w:shd w:val="clear" w:color="auto" w:fill="auto"/>
            <w:vAlign w:val="center"/>
            <w:hideMark/>
          </w:tcPr>
          <w:p w14:paraId="59B7A58C"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8" w:space="0" w:color="auto"/>
              <w:right w:val="single" w:sz="4" w:space="0" w:color="auto"/>
            </w:tcBorders>
            <w:shd w:val="clear" w:color="auto" w:fill="auto"/>
            <w:vAlign w:val="center"/>
            <w:hideMark/>
          </w:tcPr>
          <w:p w14:paraId="7556D3DB"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8" w:space="0" w:color="auto"/>
              <w:right w:val="single" w:sz="4" w:space="0" w:color="auto"/>
            </w:tcBorders>
            <w:shd w:val="clear" w:color="auto" w:fill="auto"/>
            <w:vAlign w:val="center"/>
            <w:hideMark/>
          </w:tcPr>
          <w:p w14:paraId="1F0A7D4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48" w:type="pct"/>
            <w:tcBorders>
              <w:top w:val="nil"/>
              <w:left w:val="nil"/>
              <w:bottom w:val="single" w:sz="8" w:space="0" w:color="auto"/>
              <w:right w:val="single" w:sz="4" w:space="0" w:color="auto"/>
            </w:tcBorders>
            <w:shd w:val="clear" w:color="auto" w:fill="auto"/>
            <w:vAlign w:val="center"/>
            <w:hideMark/>
          </w:tcPr>
          <w:p w14:paraId="70741AD3"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2" w:type="pct"/>
            <w:tcBorders>
              <w:top w:val="nil"/>
              <w:left w:val="nil"/>
              <w:bottom w:val="single" w:sz="8" w:space="0" w:color="auto"/>
              <w:right w:val="single" w:sz="4" w:space="0" w:color="auto"/>
            </w:tcBorders>
            <w:shd w:val="clear" w:color="auto" w:fill="auto"/>
            <w:vAlign w:val="center"/>
            <w:hideMark/>
          </w:tcPr>
          <w:p w14:paraId="3136064A"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5" w:type="pct"/>
            <w:tcBorders>
              <w:top w:val="nil"/>
              <w:left w:val="nil"/>
              <w:bottom w:val="single" w:sz="8" w:space="0" w:color="auto"/>
              <w:right w:val="single" w:sz="4" w:space="0" w:color="auto"/>
            </w:tcBorders>
            <w:shd w:val="clear" w:color="auto" w:fill="auto"/>
            <w:vAlign w:val="center"/>
            <w:hideMark/>
          </w:tcPr>
          <w:p w14:paraId="009C259F"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8" w:space="0" w:color="auto"/>
              <w:right w:val="single" w:sz="4" w:space="0" w:color="auto"/>
            </w:tcBorders>
            <w:shd w:val="clear" w:color="auto" w:fill="auto"/>
            <w:vAlign w:val="center"/>
            <w:hideMark/>
          </w:tcPr>
          <w:p w14:paraId="015BE4FC"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5" w:type="pct"/>
            <w:tcBorders>
              <w:top w:val="nil"/>
              <w:left w:val="nil"/>
              <w:bottom w:val="single" w:sz="8" w:space="0" w:color="auto"/>
              <w:right w:val="single" w:sz="4" w:space="0" w:color="auto"/>
            </w:tcBorders>
            <w:shd w:val="clear" w:color="auto" w:fill="auto"/>
            <w:vAlign w:val="center"/>
            <w:hideMark/>
          </w:tcPr>
          <w:p w14:paraId="3D6C4F1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8" w:space="0" w:color="auto"/>
              <w:right w:val="single" w:sz="4" w:space="0" w:color="auto"/>
            </w:tcBorders>
            <w:shd w:val="clear" w:color="auto" w:fill="auto"/>
            <w:vAlign w:val="center"/>
            <w:hideMark/>
          </w:tcPr>
          <w:p w14:paraId="7F223B5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55" w:type="pct"/>
            <w:tcBorders>
              <w:top w:val="nil"/>
              <w:left w:val="nil"/>
              <w:bottom w:val="single" w:sz="8" w:space="0" w:color="auto"/>
              <w:right w:val="single" w:sz="4" w:space="0" w:color="auto"/>
            </w:tcBorders>
            <w:shd w:val="clear" w:color="auto" w:fill="auto"/>
            <w:vAlign w:val="center"/>
            <w:hideMark/>
          </w:tcPr>
          <w:p w14:paraId="5F4C5DD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8" w:space="0" w:color="auto"/>
              <w:right w:val="single" w:sz="4" w:space="0" w:color="auto"/>
            </w:tcBorders>
            <w:shd w:val="clear" w:color="auto" w:fill="auto"/>
            <w:vAlign w:val="center"/>
            <w:hideMark/>
          </w:tcPr>
          <w:p w14:paraId="0FB9C38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2" w:type="pct"/>
            <w:tcBorders>
              <w:top w:val="nil"/>
              <w:left w:val="nil"/>
              <w:bottom w:val="single" w:sz="8" w:space="0" w:color="auto"/>
              <w:right w:val="single" w:sz="4" w:space="0" w:color="auto"/>
            </w:tcBorders>
            <w:shd w:val="clear" w:color="auto" w:fill="auto"/>
            <w:vAlign w:val="center"/>
            <w:hideMark/>
          </w:tcPr>
          <w:p w14:paraId="648EB628"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55" w:type="pct"/>
            <w:tcBorders>
              <w:top w:val="nil"/>
              <w:left w:val="nil"/>
              <w:bottom w:val="single" w:sz="8" w:space="0" w:color="auto"/>
              <w:right w:val="single" w:sz="4" w:space="0" w:color="auto"/>
            </w:tcBorders>
            <w:shd w:val="clear" w:color="auto" w:fill="auto"/>
            <w:vAlign w:val="center"/>
            <w:hideMark/>
          </w:tcPr>
          <w:p w14:paraId="51EF0B80"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218" w:type="pct"/>
            <w:tcBorders>
              <w:top w:val="nil"/>
              <w:left w:val="nil"/>
              <w:bottom w:val="single" w:sz="8" w:space="0" w:color="auto"/>
              <w:right w:val="single" w:sz="4" w:space="0" w:color="auto"/>
            </w:tcBorders>
            <w:shd w:val="clear" w:color="auto" w:fill="auto"/>
            <w:vAlign w:val="center"/>
            <w:hideMark/>
          </w:tcPr>
          <w:p w14:paraId="5A9907B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8" w:space="0" w:color="auto"/>
              <w:right w:val="single" w:sz="4" w:space="0" w:color="auto"/>
            </w:tcBorders>
            <w:shd w:val="clear" w:color="auto" w:fill="auto"/>
            <w:vAlign w:val="center"/>
            <w:hideMark/>
          </w:tcPr>
          <w:p w14:paraId="3BC9C5A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39" w:type="pct"/>
            <w:tcBorders>
              <w:top w:val="nil"/>
              <w:left w:val="nil"/>
              <w:bottom w:val="single" w:sz="8" w:space="0" w:color="auto"/>
              <w:right w:val="single" w:sz="4" w:space="0" w:color="auto"/>
            </w:tcBorders>
            <w:shd w:val="clear" w:color="auto" w:fill="auto"/>
            <w:vAlign w:val="center"/>
            <w:hideMark/>
          </w:tcPr>
          <w:p w14:paraId="46AF9CA3"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42" w:type="pct"/>
            <w:tcBorders>
              <w:top w:val="nil"/>
              <w:left w:val="nil"/>
              <w:bottom w:val="single" w:sz="8" w:space="0" w:color="auto"/>
              <w:right w:val="single" w:sz="4" w:space="0" w:color="auto"/>
            </w:tcBorders>
            <w:shd w:val="clear" w:color="auto" w:fill="auto"/>
            <w:vAlign w:val="center"/>
            <w:hideMark/>
          </w:tcPr>
          <w:p w14:paraId="5A18E950"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28" w:type="pct"/>
            <w:tcBorders>
              <w:top w:val="nil"/>
              <w:left w:val="nil"/>
              <w:bottom w:val="single" w:sz="8" w:space="0" w:color="auto"/>
              <w:right w:val="single" w:sz="4" w:space="0" w:color="auto"/>
            </w:tcBorders>
            <w:shd w:val="clear" w:color="auto" w:fill="auto"/>
            <w:vAlign w:val="center"/>
            <w:hideMark/>
          </w:tcPr>
          <w:p w14:paraId="08BB8293"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77" w:type="pct"/>
            <w:tcBorders>
              <w:top w:val="nil"/>
              <w:left w:val="nil"/>
              <w:bottom w:val="single" w:sz="8" w:space="0" w:color="auto"/>
              <w:right w:val="single" w:sz="4" w:space="0" w:color="auto"/>
            </w:tcBorders>
            <w:shd w:val="clear" w:color="auto" w:fill="auto"/>
            <w:vAlign w:val="center"/>
            <w:hideMark/>
          </w:tcPr>
          <w:p w14:paraId="1C8CF315"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r>
      <w:tr w:rsidR="00C260C3" w:rsidRPr="00B457F5" w14:paraId="561AB31C" w14:textId="77777777" w:rsidTr="00C260C3">
        <w:trPr>
          <w:trHeight w:val="20"/>
        </w:trPr>
        <w:tc>
          <w:tcPr>
            <w:tcW w:w="131" w:type="pct"/>
            <w:tcBorders>
              <w:top w:val="nil"/>
              <w:left w:val="single" w:sz="4" w:space="0" w:color="auto"/>
              <w:bottom w:val="single" w:sz="4" w:space="0" w:color="auto"/>
              <w:right w:val="single" w:sz="4" w:space="0" w:color="auto"/>
            </w:tcBorders>
            <w:shd w:val="clear" w:color="000000" w:fill="D9D9D9"/>
            <w:vAlign w:val="center"/>
            <w:hideMark/>
          </w:tcPr>
          <w:p w14:paraId="13900129"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1.3.1 </w:t>
            </w:r>
          </w:p>
        </w:tc>
        <w:tc>
          <w:tcPr>
            <w:tcW w:w="281" w:type="pct"/>
            <w:tcBorders>
              <w:top w:val="single" w:sz="4" w:space="0" w:color="auto"/>
              <w:left w:val="nil"/>
              <w:bottom w:val="single" w:sz="4" w:space="0" w:color="auto"/>
              <w:right w:val="single" w:sz="4" w:space="0" w:color="auto"/>
            </w:tcBorders>
            <w:shd w:val="clear" w:color="000000" w:fill="D9D9D9"/>
            <w:vAlign w:val="center"/>
            <w:hideMark/>
          </w:tcPr>
          <w:p w14:paraId="16894722" w14:textId="51CCAA3E"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1.3.1 Ndjekja e proceseve rajonale dhe ndërkombëtare</w:t>
            </w:r>
          </w:p>
        </w:tc>
        <w:tc>
          <w:tcPr>
            <w:tcW w:w="186" w:type="pct"/>
            <w:tcBorders>
              <w:top w:val="single" w:sz="4" w:space="0" w:color="auto"/>
              <w:left w:val="nil"/>
              <w:bottom w:val="single" w:sz="4" w:space="0" w:color="auto"/>
              <w:right w:val="single" w:sz="4" w:space="0" w:color="auto"/>
            </w:tcBorders>
            <w:shd w:val="clear" w:color="000000" w:fill="D9D9D9"/>
            <w:vAlign w:val="center"/>
            <w:hideMark/>
          </w:tcPr>
          <w:p w14:paraId="2B7A9089"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 01110 Planifikimi, Menaxhimi dhe Administrimi (15)</w:t>
            </w:r>
          </w:p>
        </w:tc>
        <w:tc>
          <w:tcPr>
            <w:tcW w:w="169" w:type="pct"/>
            <w:tcBorders>
              <w:top w:val="single" w:sz="4" w:space="0" w:color="auto"/>
              <w:left w:val="nil"/>
              <w:bottom w:val="single" w:sz="4" w:space="0" w:color="auto"/>
              <w:right w:val="single" w:sz="4" w:space="0" w:color="auto"/>
            </w:tcBorders>
            <w:shd w:val="clear" w:color="000000" w:fill="D9D9D9"/>
            <w:vAlign w:val="center"/>
            <w:hideMark/>
          </w:tcPr>
          <w:p w14:paraId="18079F8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MEPJ, MB</w:t>
            </w:r>
          </w:p>
        </w:tc>
        <w:tc>
          <w:tcPr>
            <w:tcW w:w="244" w:type="pct"/>
            <w:tcBorders>
              <w:top w:val="single" w:sz="4" w:space="0" w:color="auto"/>
              <w:left w:val="nil"/>
              <w:bottom w:val="single" w:sz="4" w:space="0" w:color="auto"/>
              <w:right w:val="single" w:sz="4" w:space="0" w:color="auto"/>
            </w:tcBorders>
            <w:shd w:val="clear" w:color="000000" w:fill="D9D9D9"/>
            <w:vAlign w:val="center"/>
            <w:hideMark/>
          </w:tcPr>
          <w:p w14:paraId="7780BE8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 MEKI, MEPJ, IOM, organizata partnere, ministritë</w:t>
            </w:r>
          </w:p>
        </w:tc>
        <w:tc>
          <w:tcPr>
            <w:tcW w:w="135" w:type="pct"/>
            <w:tcBorders>
              <w:top w:val="single" w:sz="4" w:space="0" w:color="auto"/>
              <w:left w:val="nil"/>
              <w:bottom w:val="single" w:sz="4" w:space="0" w:color="auto"/>
              <w:right w:val="single" w:sz="4" w:space="0" w:color="auto"/>
            </w:tcBorders>
            <w:shd w:val="clear" w:color="000000" w:fill="D9D9D9"/>
            <w:vAlign w:val="center"/>
            <w:hideMark/>
          </w:tcPr>
          <w:p w14:paraId="21197CB6"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single" w:sz="4" w:space="0" w:color="auto"/>
              <w:left w:val="nil"/>
              <w:bottom w:val="single" w:sz="4" w:space="0" w:color="auto"/>
              <w:right w:val="single" w:sz="4" w:space="0" w:color="auto"/>
            </w:tcBorders>
            <w:shd w:val="clear" w:color="000000" w:fill="D9D9D9"/>
            <w:vAlign w:val="center"/>
            <w:hideMark/>
          </w:tcPr>
          <w:p w14:paraId="69D212C7"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single" w:sz="4" w:space="0" w:color="auto"/>
              <w:left w:val="nil"/>
              <w:bottom w:val="single" w:sz="4" w:space="0" w:color="auto"/>
              <w:right w:val="single" w:sz="4" w:space="0" w:color="auto"/>
            </w:tcBorders>
            <w:shd w:val="clear" w:color="000000" w:fill="D9D9D9"/>
            <w:vAlign w:val="center"/>
            <w:hideMark/>
          </w:tcPr>
          <w:p w14:paraId="3B27532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4,717,034</w:t>
            </w:r>
          </w:p>
        </w:tc>
        <w:tc>
          <w:tcPr>
            <w:tcW w:w="155" w:type="pct"/>
            <w:tcBorders>
              <w:top w:val="single" w:sz="4" w:space="0" w:color="auto"/>
              <w:left w:val="nil"/>
              <w:bottom w:val="single" w:sz="4" w:space="0" w:color="auto"/>
              <w:right w:val="single" w:sz="4" w:space="0" w:color="auto"/>
            </w:tcBorders>
            <w:shd w:val="clear" w:color="000000" w:fill="D9D9D9"/>
            <w:vAlign w:val="center"/>
            <w:hideMark/>
          </w:tcPr>
          <w:p w14:paraId="6EACF5F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single" w:sz="4" w:space="0" w:color="auto"/>
              <w:left w:val="nil"/>
              <w:bottom w:val="single" w:sz="4" w:space="0" w:color="auto"/>
              <w:right w:val="single" w:sz="4" w:space="0" w:color="auto"/>
            </w:tcBorders>
            <w:shd w:val="clear" w:color="000000" w:fill="D9D9D9"/>
            <w:vAlign w:val="center"/>
            <w:hideMark/>
          </w:tcPr>
          <w:p w14:paraId="7C653B4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4,717,034</w:t>
            </w:r>
          </w:p>
        </w:tc>
        <w:tc>
          <w:tcPr>
            <w:tcW w:w="165" w:type="pct"/>
            <w:tcBorders>
              <w:top w:val="single" w:sz="4" w:space="0" w:color="auto"/>
              <w:left w:val="nil"/>
              <w:bottom w:val="single" w:sz="4" w:space="0" w:color="auto"/>
              <w:right w:val="single" w:sz="4" w:space="0" w:color="auto"/>
            </w:tcBorders>
            <w:shd w:val="clear" w:color="000000" w:fill="D9D9D9"/>
            <w:vAlign w:val="center"/>
            <w:hideMark/>
          </w:tcPr>
          <w:p w14:paraId="529F18B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4,717,034</w:t>
            </w:r>
          </w:p>
        </w:tc>
        <w:tc>
          <w:tcPr>
            <w:tcW w:w="163" w:type="pct"/>
            <w:tcBorders>
              <w:top w:val="single" w:sz="4" w:space="0" w:color="auto"/>
              <w:left w:val="nil"/>
              <w:bottom w:val="single" w:sz="4" w:space="0" w:color="auto"/>
              <w:right w:val="single" w:sz="4" w:space="0" w:color="auto"/>
            </w:tcBorders>
            <w:shd w:val="clear" w:color="000000" w:fill="D9D9D9"/>
            <w:vAlign w:val="center"/>
            <w:hideMark/>
          </w:tcPr>
          <w:p w14:paraId="3C84C25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single" w:sz="4" w:space="0" w:color="auto"/>
              <w:left w:val="nil"/>
              <w:bottom w:val="single" w:sz="4" w:space="0" w:color="auto"/>
              <w:right w:val="single" w:sz="4" w:space="0" w:color="auto"/>
            </w:tcBorders>
            <w:shd w:val="clear" w:color="000000" w:fill="D9D9D9"/>
            <w:vAlign w:val="center"/>
            <w:hideMark/>
          </w:tcPr>
          <w:p w14:paraId="4C200F2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4,717,034</w:t>
            </w:r>
          </w:p>
        </w:tc>
        <w:tc>
          <w:tcPr>
            <w:tcW w:w="163" w:type="pct"/>
            <w:tcBorders>
              <w:top w:val="single" w:sz="4" w:space="0" w:color="auto"/>
              <w:left w:val="nil"/>
              <w:bottom w:val="single" w:sz="4" w:space="0" w:color="auto"/>
              <w:right w:val="single" w:sz="4" w:space="0" w:color="auto"/>
            </w:tcBorders>
            <w:shd w:val="clear" w:color="000000" w:fill="D9D9D9"/>
            <w:vAlign w:val="center"/>
            <w:hideMark/>
          </w:tcPr>
          <w:p w14:paraId="04F1D73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4,717,034</w:t>
            </w:r>
          </w:p>
        </w:tc>
        <w:tc>
          <w:tcPr>
            <w:tcW w:w="148" w:type="pct"/>
            <w:tcBorders>
              <w:top w:val="single" w:sz="4" w:space="0" w:color="auto"/>
              <w:left w:val="nil"/>
              <w:bottom w:val="single" w:sz="4" w:space="0" w:color="auto"/>
              <w:right w:val="single" w:sz="4" w:space="0" w:color="auto"/>
            </w:tcBorders>
            <w:shd w:val="clear" w:color="000000" w:fill="D9D9D9"/>
            <w:vAlign w:val="center"/>
            <w:hideMark/>
          </w:tcPr>
          <w:p w14:paraId="4CDAD5A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single" w:sz="4" w:space="0" w:color="auto"/>
              <w:left w:val="nil"/>
              <w:bottom w:val="single" w:sz="4" w:space="0" w:color="auto"/>
              <w:right w:val="single" w:sz="4" w:space="0" w:color="auto"/>
            </w:tcBorders>
            <w:shd w:val="clear" w:color="000000" w:fill="D9D9D9"/>
            <w:vAlign w:val="center"/>
            <w:hideMark/>
          </w:tcPr>
          <w:p w14:paraId="0242BAF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4,717,034</w:t>
            </w:r>
          </w:p>
        </w:tc>
        <w:tc>
          <w:tcPr>
            <w:tcW w:w="165" w:type="pct"/>
            <w:tcBorders>
              <w:top w:val="single" w:sz="4" w:space="0" w:color="auto"/>
              <w:left w:val="nil"/>
              <w:bottom w:val="single" w:sz="4" w:space="0" w:color="auto"/>
              <w:right w:val="single" w:sz="4" w:space="0" w:color="auto"/>
            </w:tcBorders>
            <w:shd w:val="clear" w:color="000000" w:fill="D9D9D9"/>
            <w:vAlign w:val="center"/>
            <w:hideMark/>
          </w:tcPr>
          <w:p w14:paraId="550A522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14,151,102</w:t>
            </w:r>
          </w:p>
        </w:tc>
        <w:tc>
          <w:tcPr>
            <w:tcW w:w="163" w:type="pct"/>
            <w:tcBorders>
              <w:top w:val="single" w:sz="4" w:space="0" w:color="auto"/>
              <w:left w:val="nil"/>
              <w:bottom w:val="single" w:sz="4" w:space="0" w:color="auto"/>
              <w:right w:val="single" w:sz="4" w:space="0" w:color="auto"/>
            </w:tcBorders>
            <w:shd w:val="clear" w:color="000000" w:fill="D9D9D9"/>
            <w:vAlign w:val="center"/>
            <w:hideMark/>
          </w:tcPr>
          <w:p w14:paraId="07FF125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single" w:sz="4" w:space="0" w:color="auto"/>
              <w:left w:val="nil"/>
              <w:bottom w:val="single" w:sz="4" w:space="0" w:color="auto"/>
              <w:right w:val="single" w:sz="4" w:space="0" w:color="auto"/>
            </w:tcBorders>
            <w:shd w:val="clear" w:color="000000" w:fill="D9D9D9"/>
            <w:vAlign w:val="center"/>
            <w:hideMark/>
          </w:tcPr>
          <w:p w14:paraId="5F6E7DF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14,151,102</w:t>
            </w:r>
          </w:p>
        </w:tc>
        <w:tc>
          <w:tcPr>
            <w:tcW w:w="163" w:type="pct"/>
            <w:tcBorders>
              <w:top w:val="single" w:sz="4" w:space="0" w:color="auto"/>
              <w:left w:val="nil"/>
              <w:bottom w:val="single" w:sz="4" w:space="0" w:color="auto"/>
              <w:right w:val="single" w:sz="4" w:space="0" w:color="auto"/>
            </w:tcBorders>
            <w:shd w:val="clear" w:color="000000" w:fill="D9D9D9"/>
            <w:vAlign w:val="center"/>
            <w:hideMark/>
          </w:tcPr>
          <w:p w14:paraId="2CE39D6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10,551,102</w:t>
            </w:r>
          </w:p>
        </w:tc>
        <w:tc>
          <w:tcPr>
            <w:tcW w:w="155" w:type="pct"/>
            <w:tcBorders>
              <w:top w:val="single" w:sz="4" w:space="0" w:color="auto"/>
              <w:left w:val="nil"/>
              <w:bottom w:val="single" w:sz="4" w:space="0" w:color="auto"/>
              <w:right w:val="single" w:sz="4" w:space="0" w:color="auto"/>
            </w:tcBorders>
            <w:shd w:val="clear" w:color="000000" w:fill="D9D9D9"/>
            <w:vAlign w:val="center"/>
            <w:hideMark/>
          </w:tcPr>
          <w:p w14:paraId="331AAAD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single" w:sz="4" w:space="0" w:color="auto"/>
              <w:left w:val="nil"/>
              <w:bottom w:val="single" w:sz="4" w:space="0" w:color="auto"/>
              <w:right w:val="single" w:sz="4" w:space="0" w:color="auto"/>
            </w:tcBorders>
            <w:shd w:val="clear" w:color="000000" w:fill="D9D9D9"/>
            <w:vAlign w:val="center"/>
            <w:hideMark/>
          </w:tcPr>
          <w:p w14:paraId="211826C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10,551,102</w:t>
            </w:r>
          </w:p>
        </w:tc>
        <w:tc>
          <w:tcPr>
            <w:tcW w:w="162" w:type="pct"/>
            <w:tcBorders>
              <w:top w:val="single" w:sz="4" w:space="0" w:color="auto"/>
              <w:left w:val="nil"/>
              <w:bottom w:val="single" w:sz="4" w:space="0" w:color="auto"/>
              <w:right w:val="single" w:sz="4" w:space="0" w:color="auto"/>
            </w:tcBorders>
            <w:shd w:val="clear" w:color="000000" w:fill="D9D9D9"/>
            <w:vAlign w:val="center"/>
            <w:hideMark/>
          </w:tcPr>
          <w:p w14:paraId="3694C77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single" w:sz="4" w:space="0" w:color="auto"/>
              <w:left w:val="nil"/>
              <w:bottom w:val="single" w:sz="4" w:space="0" w:color="auto"/>
              <w:right w:val="single" w:sz="4" w:space="0" w:color="auto"/>
            </w:tcBorders>
            <w:shd w:val="clear" w:color="000000" w:fill="D9D9D9"/>
            <w:vAlign w:val="center"/>
            <w:hideMark/>
          </w:tcPr>
          <w:p w14:paraId="04B4B69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single" w:sz="4" w:space="0" w:color="auto"/>
              <w:left w:val="nil"/>
              <w:bottom w:val="single" w:sz="4" w:space="0" w:color="auto"/>
              <w:right w:val="single" w:sz="4" w:space="0" w:color="auto"/>
            </w:tcBorders>
            <w:shd w:val="clear" w:color="000000" w:fill="D9D9D9"/>
            <w:vAlign w:val="center"/>
            <w:hideMark/>
          </w:tcPr>
          <w:p w14:paraId="23CC6AB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single" w:sz="4" w:space="0" w:color="auto"/>
              <w:left w:val="nil"/>
              <w:bottom w:val="single" w:sz="4" w:space="0" w:color="auto"/>
              <w:right w:val="single" w:sz="4" w:space="0" w:color="auto"/>
            </w:tcBorders>
            <w:shd w:val="clear" w:color="000000" w:fill="D9D9D9"/>
            <w:vAlign w:val="center"/>
            <w:hideMark/>
          </w:tcPr>
          <w:p w14:paraId="74277F8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single" w:sz="4" w:space="0" w:color="auto"/>
              <w:left w:val="nil"/>
              <w:bottom w:val="single" w:sz="4" w:space="0" w:color="auto"/>
              <w:right w:val="single" w:sz="4" w:space="0" w:color="auto"/>
            </w:tcBorders>
            <w:shd w:val="clear" w:color="000000" w:fill="D9D9D9"/>
            <w:vAlign w:val="center"/>
            <w:hideMark/>
          </w:tcPr>
          <w:p w14:paraId="2A53E74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single" w:sz="4" w:space="0" w:color="auto"/>
              <w:left w:val="nil"/>
              <w:bottom w:val="single" w:sz="4" w:space="0" w:color="auto"/>
              <w:right w:val="single" w:sz="4" w:space="0" w:color="auto"/>
            </w:tcBorders>
            <w:shd w:val="clear" w:color="000000" w:fill="D9D9D9"/>
            <w:vAlign w:val="center"/>
            <w:hideMark/>
          </w:tcPr>
          <w:p w14:paraId="6FDBB60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single" w:sz="4" w:space="0" w:color="auto"/>
              <w:left w:val="nil"/>
              <w:bottom w:val="single" w:sz="4" w:space="0" w:color="auto"/>
              <w:right w:val="single" w:sz="4" w:space="0" w:color="auto"/>
            </w:tcBorders>
            <w:shd w:val="clear" w:color="000000" w:fill="D9D9D9"/>
            <w:vAlign w:val="center"/>
            <w:hideMark/>
          </w:tcPr>
          <w:p w14:paraId="5AE214D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single" w:sz="4" w:space="0" w:color="auto"/>
              <w:left w:val="nil"/>
              <w:bottom w:val="single" w:sz="4" w:space="0" w:color="auto"/>
              <w:right w:val="single" w:sz="4" w:space="0" w:color="auto"/>
            </w:tcBorders>
            <w:shd w:val="clear" w:color="000000" w:fill="D9D9D9"/>
            <w:vAlign w:val="center"/>
            <w:hideMark/>
          </w:tcPr>
          <w:p w14:paraId="2E4632E1" w14:textId="727A7856"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(3,600,000)</w:t>
            </w:r>
          </w:p>
        </w:tc>
      </w:tr>
      <w:tr w:rsidR="00C260C3" w:rsidRPr="00B457F5" w14:paraId="65E3EFCE"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59561D0D"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1.3.1.1</w:t>
            </w:r>
          </w:p>
        </w:tc>
        <w:tc>
          <w:tcPr>
            <w:tcW w:w="281" w:type="pct"/>
            <w:tcBorders>
              <w:top w:val="nil"/>
              <w:left w:val="nil"/>
              <w:bottom w:val="single" w:sz="4" w:space="0" w:color="auto"/>
              <w:right w:val="single" w:sz="4" w:space="0" w:color="auto"/>
            </w:tcBorders>
            <w:shd w:val="clear" w:color="auto" w:fill="auto"/>
            <w:vAlign w:val="center"/>
            <w:hideMark/>
          </w:tcPr>
          <w:p w14:paraId="57A55A6E"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1.3.1.1 Të raportohet periodikisht për angazhimin në proceset rajonale dhe ndërkombëtare që ka vendi</w:t>
            </w:r>
          </w:p>
        </w:tc>
        <w:tc>
          <w:tcPr>
            <w:tcW w:w="186" w:type="pct"/>
            <w:tcBorders>
              <w:top w:val="nil"/>
              <w:left w:val="nil"/>
              <w:bottom w:val="single" w:sz="4" w:space="0" w:color="auto"/>
              <w:right w:val="single" w:sz="4" w:space="0" w:color="auto"/>
            </w:tcBorders>
            <w:shd w:val="clear" w:color="auto" w:fill="auto"/>
            <w:vAlign w:val="center"/>
            <w:hideMark/>
          </w:tcPr>
          <w:p w14:paraId="7D8B1E93"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(15)</w:t>
            </w:r>
          </w:p>
        </w:tc>
        <w:tc>
          <w:tcPr>
            <w:tcW w:w="169" w:type="pct"/>
            <w:tcBorders>
              <w:top w:val="nil"/>
              <w:left w:val="nil"/>
              <w:bottom w:val="single" w:sz="4" w:space="0" w:color="auto"/>
              <w:right w:val="single" w:sz="4" w:space="0" w:color="auto"/>
            </w:tcBorders>
            <w:shd w:val="clear" w:color="auto" w:fill="auto"/>
            <w:vAlign w:val="center"/>
            <w:hideMark/>
          </w:tcPr>
          <w:p w14:paraId="5D20EDD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MEPJ </w:t>
            </w:r>
          </w:p>
        </w:tc>
        <w:tc>
          <w:tcPr>
            <w:tcW w:w="244" w:type="pct"/>
            <w:tcBorders>
              <w:top w:val="nil"/>
              <w:left w:val="nil"/>
              <w:bottom w:val="single" w:sz="4" w:space="0" w:color="auto"/>
              <w:right w:val="single" w:sz="4" w:space="0" w:color="auto"/>
            </w:tcBorders>
            <w:shd w:val="clear" w:color="auto" w:fill="auto"/>
            <w:vAlign w:val="center"/>
            <w:hideMark/>
          </w:tcPr>
          <w:p w14:paraId="5350C4B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IOM, organizata partnere, ministritë</w:t>
            </w:r>
          </w:p>
        </w:tc>
        <w:tc>
          <w:tcPr>
            <w:tcW w:w="135" w:type="pct"/>
            <w:tcBorders>
              <w:top w:val="nil"/>
              <w:left w:val="nil"/>
              <w:bottom w:val="single" w:sz="4" w:space="0" w:color="auto"/>
              <w:right w:val="single" w:sz="4" w:space="0" w:color="auto"/>
            </w:tcBorders>
            <w:shd w:val="clear" w:color="000000" w:fill="DDEBF7"/>
            <w:vAlign w:val="center"/>
            <w:hideMark/>
          </w:tcPr>
          <w:p w14:paraId="5C9887FC"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62A5BC04"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0B2ACDC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1,608,639</w:t>
            </w:r>
          </w:p>
        </w:tc>
        <w:tc>
          <w:tcPr>
            <w:tcW w:w="155" w:type="pct"/>
            <w:tcBorders>
              <w:top w:val="nil"/>
              <w:left w:val="nil"/>
              <w:bottom w:val="single" w:sz="4" w:space="0" w:color="auto"/>
              <w:right w:val="single" w:sz="4" w:space="0" w:color="auto"/>
            </w:tcBorders>
            <w:shd w:val="clear" w:color="auto" w:fill="auto"/>
            <w:vAlign w:val="center"/>
            <w:hideMark/>
          </w:tcPr>
          <w:p w14:paraId="042438F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7CA9F2A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1,608,639</w:t>
            </w:r>
          </w:p>
        </w:tc>
        <w:tc>
          <w:tcPr>
            <w:tcW w:w="165" w:type="pct"/>
            <w:tcBorders>
              <w:top w:val="nil"/>
              <w:left w:val="nil"/>
              <w:bottom w:val="single" w:sz="4" w:space="0" w:color="auto"/>
              <w:right w:val="single" w:sz="4" w:space="0" w:color="auto"/>
            </w:tcBorders>
            <w:shd w:val="clear" w:color="auto" w:fill="auto"/>
            <w:vAlign w:val="center"/>
            <w:hideMark/>
          </w:tcPr>
          <w:p w14:paraId="1ECF073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1,608,639</w:t>
            </w:r>
          </w:p>
        </w:tc>
        <w:tc>
          <w:tcPr>
            <w:tcW w:w="163" w:type="pct"/>
            <w:tcBorders>
              <w:top w:val="nil"/>
              <w:left w:val="nil"/>
              <w:bottom w:val="single" w:sz="4" w:space="0" w:color="auto"/>
              <w:right w:val="single" w:sz="4" w:space="0" w:color="auto"/>
            </w:tcBorders>
            <w:shd w:val="clear" w:color="auto" w:fill="auto"/>
            <w:vAlign w:val="center"/>
            <w:hideMark/>
          </w:tcPr>
          <w:p w14:paraId="0754063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3D7F724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1,608,639</w:t>
            </w:r>
          </w:p>
        </w:tc>
        <w:tc>
          <w:tcPr>
            <w:tcW w:w="163" w:type="pct"/>
            <w:tcBorders>
              <w:top w:val="nil"/>
              <w:left w:val="nil"/>
              <w:bottom w:val="single" w:sz="4" w:space="0" w:color="auto"/>
              <w:right w:val="single" w:sz="4" w:space="0" w:color="auto"/>
            </w:tcBorders>
            <w:shd w:val="clear" w:color="auto" w:fill="auto"/>
            <w:vAlign w:val="center"/>
            <w:hideMark/>
          </w:tcPr>
          <w:p w14:paraId="5D4EEE4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1,608,639</w:t>
            </w:r>
          </w:p>
        </w:tc>
        <w:tc>
          <w:tcPr>
            <w:tcW w:w="148" w:type="pct"/>
            <w:tcBorders>
              <w:top w:val="nil"/>
              <w:left w:val="nil"/>
              <w:bottom w:val="single" w:sz="4" w:space="0" w:color="auto"/>
              <w:right w:val="single" w:sz="4" w:space="0" w:color="auto"/>
            </w:tcBorders>
            <w:shd w:val="clear" w:color="auto" w:fill="auto"/>
            <w:vAlign w:val="center"/>
            <w:hideMark/>
          </w:tcPr>
          <w:p w14:paraId="3817B1E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001170F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1,608,639</w:t>
            </w:r>
          </w:p>
        </w:tc>
        <w:tc>
          <w:tcPr>
            <w:tcW w:w="165" w:type="pct"/>
            <w:tcBorders>
              <w:top w:val="nil"/>
              <w:left w:val="nil"/>
              <w:bottom w:val="single" w:sz="4" w:space="0" w:color="auto"/>
              <w:right w:val="single" w:sz="4" w:space="0" w:color="auto"/>
            </w:tcBorders>
            <w:shd w:val="clear" w:color="auto" w:fill="auto"/>
            <w:vAlign w:val="center"/>
            <w:hideMark/>
          </w:tcPr>
          <w:p w14:paraId="3826AEF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4,825,917</w:t>
            </w:r>
          </w:p>
        </w:tc>
        <w:tc>
          <w:tcPr>
            <w:tcW w:w="163" w:type="pct"/>
            <w:tcBorders>
              <w:top w:val="nil"/>
              <w:left w:val="nil"/>
              <w:bottom w:val="single" w:sz="4" w:space="0" w:color="auto"/>
              <w:right w:val="single" w:sz="4" w:space="0" w:color="auto"/>
            </w:tcBorders>
            <w:shd w:val="clear" w:color="auto" w:fill="auto"/>
            <w:vAlign w:val="center"/>
            <w:hideMark/>
          </w:tcPr>
          <w:p w14:paraId="3F12CBF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4F26A2F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4,825,917</w:t>
            </w:r>
          </w:p>
        </w:tc>
        <w:tc>
          <w:tcPr>
            <w:tcW w:w="163" w:type="pct"/>
            <w:tcBorders>
              <w:top w:val="nil"/>
              <w:left w:val="nil"/>
              <w:bottom w:val="single" w:sz="4" w:space="0" w:color="auto"/>
              <w:right w:val="single" w:sz="4" w:space="0" w:color="auto"/>
            </w:tcBorders>
            <w:shd w:val="clear" w:color="auto" w:fill="auto"/>
            <w:vAlign w:val="center"/>
            <w:hideMark/>
          </w:tcPr>
          <w:p w14:paraId="18476D8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4,825,917</w:t>
            </w:r>
          </w:p>
        </w:tc>
        <w:tc>
          <w:tcPr>
            <w:tcW w:w="155" w:type="pct"/>
            <w:tcBorders>
              <w:top w:val="nil"/>
              <w:left w:val="nil"/>
              <w:bottom w:val="single" w:sz="4" w:space="0" w:color="auto"/>
              <w:right w:val="single" w:sz="4" w:space="0" w:color="auto"/>
            </w:tcBorders>
            <w:shd w:val="clear" w:color="auto" w:fill="auto"/>
            <w:vAlign w:val="center"/>
            <w:hideMark/>
          </w:tcPr>
          <w:p w14:paraId="074073B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4EA3C70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4,825,917</w:t>
            </w:r>
          </w:p>
        </w:tc>
        <w:tc>
          <w:tcPr>
            <w:tcW w:w="162" w:type="pct"/>
            <w:tcBorders>
              <w:top w:val="nil"/>
              <w:left w:val="nil"/>
              <w:bottom w:val="single" w:sz="4" w:space="0" w:color="auto"/>
              <w:right w:val="single" w:sz="4" w:space="0" w:color="auto"/>
            </w:tcBorders>
            <w:shd w:val="clear" w:color="auto" w:fill="auto"/>
            <w:vAlign w:val="center"/>
            <w:hideMark/>
          </w:tcPr>
          <w:p w14:paraId="7C178DC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2EA68ED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46C1B01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0F8CEC6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2C55C59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7189349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37B2D0A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61FA999C" w14:textId="2FFFF78F"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69C019AE"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74738E85"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1.3.1.2</w:t>
            </w:r>
          </w:p>
        </w:tc>
        <w:tc>
          <w:tcPr>
            <w:tcW w:w="281" w:type="pct"/>
            <w:tcBorders>
              <w:top w:val="nil"/>
              <w:left w:val="nil"/>
              <w:bottom w:val="single" w:sz="4" w:space="0" w:color="auto"/>
              <w:right w:val="single" w:sz="4" w:space="0" w:color="auto"/>
            </w:tcBorders>
            <w:shd w:val="clear" w:color="auto" w:fill="auto"/>
            <w:vAlign w:val="center"/>
            <w:hideMark/>
          </w:tcPr>
          <w:p w14:paraId="102F789C"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1.3.1.2 Vlerësimi i ndikimi të proceseve në përmirësimin e kuadrit politik dhe ligjor migrator në vend</w:t>
            </w:r>
          </w:p>
        </w:tc>
        <w:tc>
          <w:tcPr>
            <w:tcW w:w="186" w:type="pct"/>
            <w:tcBorders>
              <w:top w:val="nil"/>
              <w:left w:val="nil"/>
              <w:bottom w:val="single" w:sz="4" w:space="0" w:color="auto"/>
              <w:right w:val="single" w:sz="4" w:space="0" w:color="auto"/>
            </w:tcBorders>
            <w:shd w:val="clear" w:color="auto" w:fill="auto"/>
            <w:vAlign w:val="center"/>
            <w:hideMark/>
          </w:tcPr>
          <w:p w14:paraId="0832A88E"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1A7905B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2FDBE9F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MEPJ, MEKI</w:t>
            </w:r>
          </w:p>
        </w:tc>
        <w:tc>
          <w:tcPr>
            <w:tcW w:w="135" w:type="pct"/>
            <w:tcBorders>
              <w:top w:val="nil"/>
              <w:left w:val="nil"/>
              <w:bottom w:val="single" w:sz="4" w:space="0" w:color="auto"/>
              <w:right w:val="single" w:sz="4" w:space="0" w:color="auto"/>
            </w:tcBorders>
            <w:shd w:val="clear" w:color="000000" w:fill="DDEBF7"/>
            <w:vAlign w:val="center"/>
            <w:hideMark/>
          </w:tcPr>
          <w:p w14:paraId="22AB3E9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1E8DC203"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3F58B0A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1,296,139</w:t>
            </w:r>
          </w:p>
        </w:tc>
        <w:tc>
          <w:tcPr>
            <w:tcW w:w="155" w:type="pct"/>
            <w:tcBorders>
              <w:top w:val="nil"/>
              <w:left w:val="nil"/>
              <w:bottom w:val="single" w:sz="4" w:space="0" w:color="auto"/>
              <w:right w:val="single" w:sz="4" w:space="0" w:color="auto"/>
            </w:tcBorders>
            <w:shd w:val="clear" w:color="auto" w:fill="auto"/>
            <w:vAlign w:val="center"/>
            <w:hideMark/>
          </w:tcPr>
          <w:p w14:paraId="487EB08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3F479A3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1,296,139</w:t>
            </w:r>
          </w:p>
        </w:tc>
        <w:tc>
          <w:tcPr>
            <w:tcW w:w="165" w:type="pct"/>
            <w:tcBorders>
              <w:top w:val="nil"/>
              <w:left w:val="nil"/>
              <w:bottom w:val="single" w:sz="4" w:space="0" w:color="auto"/>
              <w:right w:val="single" w:sz="4" w:space="0" w:color="auto"/>
            </w:tcBorders>
            <w:shd w:val="clear" w:color="auto" w:fill="auto"/>
            <w:vAlign w:val="center"/>
            <w:hideMark/>
          </w:tcPr>
          <w:p w14:paraId="38F4020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1,296,139</w:t>
            </w:r>
          </w:p>
        </w:tc>
        <w:tc>
          <w:tcPr>
            <w:tcW w:w="163" w:type="pct"/>
            <w:tcBorders>
              <w:top w:val="nil"/>
              <w:left w:val="nil"/>
              <w:bottom w:val="single" w:sz="4" w:space="0" w:color="auto"/>
              <w:right w:val="single" w:sz="4" w:space="0" w:color="auto"/>
            </w:tcBorders>
            <w:shd w:val="clear" w:color="auto" w:fill="auto"/>
            <w:vAlign w:val="center"/>
            <w:hideMark/>
          </w:tcPr>
          <w:p w14:paraId="03FE9C6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59C3482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1,296,139</w:t>
            </w:r>
          </w:p>
        </w:tc>
        <w:tc>
          <w:tcPr>
            <w:tcW w:w="163" w:type="pct"/>
            <w:tcBorders>
              <w:top w:val="nil"/>
              <w:left w:val="nil"/>
              <w:bottom w:val="single" w:sz="4" w:space="0" w:color="auto"/>
              <w:right w:val="single" w:sz="4" w:space="0" w:color="auto"/>
            </w:tcBorders>
            <w:shd w:val="clear" w:color="auto" w:fill="auto"/>
            <w:vAlign w:val="center"/>
            <w:hideMark/>
          </w:tcPr>
          <w:p w14:paraId="33B2E79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1,296,139</w:t>
            </w:r>
          </w:p>
        </w:tc>
        <w:tc>
          <w:tcPr>
            <w:tcW w:w="148" w:type="pct"/>
            <w:tcBorders>
              <w:top w:val="nil"/>
              <w:left w:val="nil"/>
              <w:bottom w:val="single" w:sz="4" w:space="0" w:color="auto"/>
              <w:right w:val="single" w:sz="4" w:space="0" w:color="auto"/>
            </w:tcBorders>
            <w:shd w:val="clear" w:color="auto" w:fill="auto"/>
            <w:vAlign w:val="center"/>
            <w:hideMark/>
          </w:tcPr>
          <w:p w14:paraId="716C52C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63B0162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1,296,139</w:t>
            </w:r>
          </w:p>
        </w:tc>
        <w:tc>
          <w:tcPr>
            <w:tcW w:w="165" w:type="pct"/>
            <w:tcBorders>
              <w:top w:val="nil"/>
              <w:left w:val="nil"/>
              <w:bottom w:val="single" w:sz="4" w:space="0" w:color="auto"/>
              <w:right w:val="single" w:sz="4" w:space="0" w:color="auto"/>
            </w:tcBorders>
            <w:shd w:val="clear" w:color="auto" w:fill="auto"/>
            <w:vAlign w:val="center"/>
            <w:hideMark/>
          </w:tcPr>
          <w:p w14:paraId="754E8DD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3,888,417</w:t>
            </w:r>
          </w:p>
        </w:tc>
        <w:tc>
          <w:tcPr>
            <w:tcW w:w="163" w:type="pct"/>
            <w:tcBorders>
              <w:top w:val="nil"/>
              <w:left w:val="nil"/>
              <w:bottom w:val="single" w:sz="4" w:space="0" w:color="auto"/>
              <w:right w:val="single" w:sz="4" w:space="0" w:color="auto"/>
            </w:tcBorders>
            <w:shd w:val="clear" w:color="auto" w:fill="auto"/>
            <w:vAlign w:val="center"/>
            <w:hideMark/>
          </w:tcPr>
          <w:p w14:paraId="61A4495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769F9A7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3,888,417</w:t>
            </w:r>
          </w:p>
        </w:tc>
        <w:tc>
          <w:tcPr>
            <w:tcW w:w="163" w:type="pct"/>
            <w:tcBorders>
              <w:top w:val="nil"/>
              <w:left w:val="nil"/>
              <w:bottom w:val="single" w:sz="4" w:space="0" w:color="auto"/>
              <w:right w:val="single" w:sz="4" w:space="0" w:color="auto"/>
            </w:tcBorders>
            <w:shd w:val="clear" w:color="auto" w:fill="auto"/>
            <w:vAlign w:val="center"/>
            <w:hideMark/>
          </w:tcPr>
          <w:p w14:paraId="63F51EE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2,088,417</w:t>
            </w:r>
          </w:p>
        </w:tc>
        <w:tc>
          <w:tcPr>
            <w:tcW w:w="155" w:type="pct"/>
            <w:tcBorders>
              <w:top w:val="nil"/>
              <w:left w:val="nil"/>
              <w:bottom w:val="single" w:sz="4" w:space="0" w:color="auto"/>
              <w:right w:val="single" w:sz="4" w:space="0" w:color="auto"/>
            </w:tcBorders>
            <w:shd w:val="clear" w:color="auto" w:fill="auto"/>
            <w:vAlign w:val="center"/>
            <w:hideMark/>
          </w:tcPr>
          <w:p w14:paraId="4DB0020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744991A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2,088,417</w:t>
            </w:r>
          </w:p>
        </w:tc>
        <w:tc>
          <w:tcPr>
            <w:tcW w:w="162" w:type="pct"/>
            <w:tcBorders>
              <w:top w:val="nil"/>
              <w:left w:val="nil"/>
              <w:bottom w:val="single" w:sz="4" w:space="0" w:color="auto"/>
              <w:right w:val="single" w:sz="4" w:space="0" w:color="auto"/>
            </w:tcBorders>
            <w:shd w:val="clear" w:color="auto" w:fill="auto"/>
            <w:vAlign w:val="center"/>
            <w:hideMark/>
          </w:tcPr>
          <w:p w14:paraId="4566148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782E5CE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25AFE0C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674F866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70E472F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071B3B2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3AB8534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4C5EBE87" w14:textId="5F677B98"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(1,800,000)</w:t>
            </w:r>
          </w:p>
        </w:tc>
      </w:tr>
      <w:tr w:rsidR="00C260C3" w:rsidRPr="00B457F5" w14:paraId="5D2A790C"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09A623D9"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1.3.1.3</w:t>
            </w:r>
          </w:p>
        </w:tc>
        <w:tc>
          <w:tcPr>
            <w:tcW w:w="281" w:type="pct"/>
            <w:tcBorders>
              <w:top w:val="nil"/>
              <w:left w:val="nil"/>
              <w:bottom w:val="single" w:sz="4" w:space="0" w:color="auto"/>
              <w:right w:val="single" w:sz="4" w:space="0" w:color="auto"/>
            </w:tcBorders>
            <w:shd w:val="clear" w:color="auto" w:fill="auto"/>
            <w:vAlign w:val="center"/>
            <w:hideMark/>
          </w:tcPr>
          <w:p w14:paraId="45B9E412" w14:textId="64E80069"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1.3.1.3 Vlerësimi</w:t>
            </w:r>
            <w:r w:rsidR="0006016F" w:rsidRPr="00B457F5">
              <w:rPr>
                <w:rFonts w:ascii="Garamond" w:eastAsia="Times New Roman" w:hAnsi="Garamond" w:cs="Times New Roman"/>
                <w:color w:val="000000"/>
                <w:sz w:val="4"/>
                <w:szCs w:val="10"/>
              </w:rPr>
              <w:t xml:space="preserve"> </w:t>
            </w:r>
            <w:r w:rsidRPr="00B457F5">
              <w:rPr>
                <w:rFonts w:ascii="Garamond" w:eastAsia="Times New Roman" w:hAnsi="Garamond" w:cs="Times New Roman"/>
                <w:color w:val="000000"/>
                <w:sz w:val="4"/>
                <w:szCs w:val="10"/>
              </w:rPr>
              <w:t>i partneriteteve ekzistuese institucionale për migracionin dhe krijimi i partneriteteve të reja</w:t>
            </w:r>
          </w:p>
        </w:tc>
        <w:tc>
          <w:tcPr>
            <w:tcW w:w="186" w:type="pct"/>
            <w:tcBorders>
              <w:top w:val="nil"/>
              <w:left w:val="nil"/>
              <w:bottom w:val="single" w:sz="4" w:space="0" w:color="auto"/>
              <w:right w:val="single" w:sz="4" w:space="0" w:color="auto"/>
            </w:tcBorders>
            <w:shd w:val="clear" w:color="auto" w:fill="auto"/>
            <w:vAlign w:val="center"/>
            <w:hideMark/>
          </w:tcPr>
          <w:p w14:paraId="076F4EC6"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(15)</w:t>
            </w:r>
          </w:p>
        </w:tc>
        <w:tc>
          <w:tcPr>
            <w:tcW w:w="169" w:type="pct"/>
            <w:tcBorders>
              <w:top w:val="nil"/>
              <w:left w:val="nil"/>
              <w:bottom w:val="single" w:sz="4" w:space="0" w:color="auto"/>
              <w:right w:val="single" w:sz="4" w:space="0" w:color="auto"/>
            </w:tcBorders>
            <w:shd w:val="clear" w:color="auto" w:fill="auto"/>
            <w:vAlign w:val="center"/>
            <w:hideMark/>
          </w:tcPr>
          <w:p w14:paraId="542DB94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MEPJ</w:t>
            </w:r>
          </w:p>
        </w:tc>
        <w:tc>
          <w:tcPr>
            <w:tcW w:w="244" w:type="pct"/>
            <w:tcBorders>
              <w:top w:val="nil"/>
              <w:left w:val="nil"/>
              <w:bottom w:val="single" w:sz="4" w:space="0" w:color="auto"/>
              <w:right w:val="single" w:sz="4" w:space="0" w:color="auto"/>
            </w:tcBorders>
            <w:shd w:val="clear" w:color="auto" w:fill="auto"/>
            <w:vAlign w:val="center"/>
            <w:hideMark/>
          </w:tcPr>
          <w:p w14:paraId="792AA1BA"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r w:rsidRPr="00B457F5">
              <w:rPr>
                <w:rFonts w:ascii="Garamond" w:eastAsia="Times New Roman" w:hAnsi="Garamond" w:cs="Times New Roman"/>
                <w:color w:val="000000"/>
                <w:sz w:val="4"/>
                <w:szCs w:val="10"/>
              </w:rPr>
              <w:t>MB, MEKI</w:t>
            </w:r>
          </w:p>
        </w:tc>
        <w:tc>
          <w:tcPr>
            <w:tcW w:w="135" w:type="pct"/>
            <w:tcBorders>
              <w:top w:val="nil"/>
              <w:left w:val="nil"/>
              <w:bottom w:val="single" w:sz="4" w:space="0" w:color="auto"/>
              <w:right w:val="single" w:sz="4" w:space="0" w:color="auto"/>
            </w:tcBorders>
            <w:shd w:val="clear" w:color="000000" w:fill="DDEBF7"/>
            <w:vAlign w:val="center"/>
            <w:hideMark/>
          </w:tcPr>
          <w:p w14:paraId="738B45D7"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41035140"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3750DFB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1,812,256</w:t>
            </w:r>
          </w:p>
        </w:tc>
        <w:tc>
          <w:tcPr>
            <w:tcW w:w="155" w:type="pct"/>
            <w:tcBorders>
              <w:top w:val="nil"/>
              <w:left w:val="nil"/>
              <w:bottom w:val="single" w:sz="4" w:space="0" w:color="auto"/>
              <w:right w:val="single" w:sz="4" w:space="0" w:color="auto"/>
            </w:tcBorders>
            <w:shd w:val="clear" w:color="auto" w:fill="auto"/>
            <w:vAlign w:val="center"/>
            <w:hideMark/>
          </w:tcPr>
          <w:p w14:paraId="34A4272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1880018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1,812,256</w:t>
            </w:r>
          </w:p>
        </w:tc>
        <w:tc>
          <w:tcPr>
            <w:tcW w:w="165" w:type="pct"/>
            <w:tcBorders>
              <w:top w:val="nil"/>
              <w:left w:val="nil"/>
              <w:bottom w:val="single" w:sz="4" w:space="0" w:color="auto"/>
              <w:right w:val="single" w:sz="4" w:space="0" w:color="auto"/>
            </w:tcBorders>
            <w:shd w:val="clear" w:color="auto" w:fill="auto"/>
            <w:vAlign w:val="center"/>
            <w:hideMark/>
          </w:tcPr>
          <w:p w14:paraId="01C76E8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1,812,256</w:t>
            </w:r>
          </w:p>
        </w:tc>
        <w:tc>
          <w:tcPr>
            <w:tcW w:w="163" w:type="pct"/>
            <w:tcBorders>
              <w:top w:val="nil"/>
              <w:left w:val="nil"/>
              <w:bottom w:val="single" w:sz="4" w:space="0" w:color="auto"/>
              <w:right w:val="single" w:sz="4" w:space="0" w:color="auto"/>
            </w:tcBorders>
            <w:shd w:val="clear" w:color="auto" w:fill="auto"/>
            <w:vAlign w:val="center"/>
            <w:hideMark/>
          </w:tcPr>
          <w:p w14:paraId="5AE7629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79BE343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1,812,256</w:t>
            </w:r>
          </w:p>
        </w:tc>
        <w:tc>
          <w:tcPr>
            <w:tcW w:w="163" w:type="pct"/>
            <w:tcBorders>
              <w:top w:val="nil"/>
              <w:left w:val="nil"/>
              <w:bottom w:val="single" w:sz="4" w:space="0" w:color="auto"/>
              <w:right w:val="single" w:sz="4" w:space="0" w:color="auto"/>
            </w:tcBorders>
            <w:shd w:val="clear" w:color="auto" w:fill="auto"/>
            <w:vAlign w:val="center"/>
            <w:hideMark/>
          </w:tcPr>
          <w:p w14:paraId="10E702E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1,812,256</w:t>
            </w:r>
          </w:p>
        </w:tc>
        <w:tc>
          <w:tcPr>
            <w:tcW w:w="148" w:type="pct"/>
            <w:tcBorders>
              <w:top w:val="nil"/>
              <w:left w:val="nil"/>
              <w:bottom w:val="single" w:sz="4" w:space="0" w:color="auto"/>
              <w:right w:val="single" w:sz="4" w:space="0" w:color="auto"/>
            </w:tcBorders>
            <w:shd w:val="clear" w:color="auto" w:fill="auto"/>
            <w:vAlign w:val="center"/>
            <w:hideMark/>
          </w:tcPr>
          <w:p w14:paraId="0966D30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48BB549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1,812,256</w:t>
            </w:r>
          </w:p>
        </w:tc>
        <w:tc>
          <w:tcPr>
            <w:tcW w:w="165" w:type="pct"/>
            <w:tcBorders>
              <w:top w:val="nil"/>
              <w:left w:val="nil"/>
              <w:bottom w:val="single" w:sz="4" w:space="0" w:color="auto"/>
              <w:right w:val="single" w:sz="4" w:space="0" w:color="auto"/>
            </w:tcBorders>
            <w:shd w:val="clear" w:color="auto" w:fill="auto"/>
            <w:vAlign w:val="center"/>
            <w:hideMark/>
          </w:tcPr>
          <w:p w14:paraId="55AA026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5,436,768</w:t>
            </w:r>
          </w:p>
        </w:tc>
        <w:tc>
          <w:tcPr>
            <w:tcW w:w="163" w:type="pct"/>
            <w:tcBorders>
              <w:top w:val="nil"/>
              <w:left w:val="nil"/>
              <w:bottom w:val="single" w:sz="4" w:space="0" w:color="auto"/>
              <w:right w:val="single" w:sz="4" w:space="0" w:color="auto"/>
            </w:tcBorders>
            <w:shd w:val="clear" w:color="auto" w:fill="auto"/>
            <w:vAlign w:val="center"/>
            <w:hideMark/>
          </w:tcPr>
          <w:p w14:paraId="762AC41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61B199A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5,436,768</w:t>
            </w:r>
          </w:p>
        </w:tc>
        <w:tc>
          <w:tcPr>
            <w:tcW w:w="163" w:type="pct"/>
            <w:tcBorders>
              <w:top w:val="nil"/>
              <w:left w:val="nil"/>
              <w:bottom w:val="single" w:sz="4" w:space="0" w:color="auto"/>
              <w:right w:val="single" w:sz="4" w:space="0" w:color="auto"/>
            </w:tcBorders>
            <w:shd w:val="clear" w:color="auto" w:fill="auto"/>
            <w:vAlign w:val="center"/>
            <w:hideMark/>
          </w:tcPr>
          <w:p w14:paraId="756123F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3,636,768</w:t>
            </w:r>
          </w:p>
        </w:tc>
        <w:tc>
          <w:tcPr>
            <w:tcW w:w="155" w:type="pct"/>
            <w:tcBorders>
              <w:top w:val="nil"/>
              <w:left w:val="nil"/>
              <w:bottom w:val="single" w:sz="4" w:space="0" w:color="auto"/>
              <w:right w:val="single" w:sz="4" w:space="0" w:color="auto"/>
            </w:tcBorders>
            <w:shd w:val="clear" w:color="auto" w:fill="auto"/>
            <w:vAlign w:val="center"/>
            <w:hideMark/>
          </w:tcPr>
          <w:p w14:paraId="2AACA0D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3BA2BB8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3,636,768</w:t>
            </w:r>
          </w:p>
        </w:tc>
        <w:tc>
          <w:tcPr>
            <w:tcW w:w="162" w:type="pct"/>
            <w:tcBorders>
              <w:top w:val="nil"/>
              <w:left w:val="nil"/>
              <w:bottom w:val="single" w:sz="4" w:space="0" w:color="auto"/>
              <w:right w:val="single" w:sz="4" w:space="0" w:color="auto"/>
            </w:tcBorders>
            <w:shd w:val="clear" w:color="auto" w:fill="auto"/>
            <w:vAlign w:val="center"/>
            <w:hideMark/>
          </w:tcPr>
          <w:p w14:paraId="6D022EE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07CEE2A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26D9450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783A181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67BC63C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414BE51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17A168F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2645C1D9" w14:textId="1FFD55E8"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(1,800,000)</w:t>
            </w:r>
          </w:p>
        </w:tc>
      </w:tr>
      <w:tr w:rsidR="00C260C3" w:rsidRPr="00B457F5" w14:paraId="3F79F49B" w14:textId="77777777" w:rsidTr="00C260C3">
        <w:trPr>
          <w:trHeight w:val="20"/>
        </w:trPr>
        <w:tc>
          <w:tcPr>
            <w:tcW w:w="131" w:type="pct"/>
            <w:tcBorders>
              <w:top w:val="nil"/>
              <w:left w:val="single" w:sz="4" w:space="0" w:color="auto"/>
              <w:bottom w:val="single" w:sz="4" w:space="0" w:color="auto"/>
              <w:right w:val="single" w:sz="4" w:space="0" w:color="auto"/>
            </w:tcBorders>
            <w:shd w:val="clear" w:color="000000" w:fill="D9D9D9"/>
            <w:vAlign w:val="center"/>
            <w:hideMark/>
          </w:tcPr>
          <w:p w14:paraId="4172ABAF"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1.3.2</w:t>
            </w:r>
          </w:p>
        </w:tc>
        <w:tc>
          <w:tcPr>
            <w:tcW w:w="281" w:type="pct"/>
            <w:tcBorders>
              <w:top w:val="nil"/>
              <w:left w:val="nil"/>
              <w:bottom w:val="single" w:sz="4" w:space="0" w:color="auto"/>
              <w:right w:val="single" w:sz="4" w:space="0" w:color="auto"/>
            </w:tcBorders>
            <w:shd w:val="clear" w:color="000000" w:fill="D9D9D9"/>
            <w:vAlign w:val="center"/>
            <w:hideMark/>
          </w:tcPr>
          <w:p w14:paraId="673128BF" w14:textId="33ABFC05"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1.3.2 Krijimi i partneriteteve të reja për migracionin e punës</w:t>
            </w:r>
          </w:p>
        </w:tc>
        <w:tc>
          <w:tcPr>
            <w:tcW w:w="186" w:type="pct"/>
            <w:tcBorders>
              <w:top w:val="nil"/>
              <w:left w:val="nil"/>
              <w:bottom w:val="single" w:sz="4" w:space="0" w:color="auto"/>
              <w:right w:val="single" w:sz="4" w:space="0" w:color="auto"/>
            </w:tcBorders>
            <w:shd w:val="clear" w:color="000000" w:fill="D9D9D9"/>
            <w:vAlign w:val="center"/>
            <w:hideMark/>
          </w:tcPr>
          <w:p w14:paraId="63F50EDC" w14:textId="17164F9C"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10550 Tregu i Pun</w:t>
            </w:r>
            <w:r w:rsidR="009B25CE" w:rsidRPr="00B457F5">
              <w:rPr>
                <w:rFonts w:ascii="Garamond" w:eastAsia="Times New Roman" w:hAnsi="Garamond" w:cs="Times New Roman"/>
                <w:color w:val="FF0000"/>
                <w:sz w:val="4"/>
                <w:szCs w:val="10"/>
              </w:rPr>
              <w:t>ë</w:t>
            </w:r>
            <w:r w:rsidRPr="00B457F5">
              <w:rPr>
                <w:rFonts w:ascii="Garamond" w:eastAsia="Times New Roman" w:hAnsi="Garamond" w:cs="Times New Roman"/>
                <w:color w:val="FF0000"/>
                <w:sz w:val="4"/>
                <w:szCs w:val="10"/>
              </w:rPr>
              <w:t>s</w:t>
            </w:r>
          </w:p>
        </w:tc>
        <w:tc>
          <w:tcPr>
            <w:tcW w:w="169" w:type="pct"/>
            <w:tcBorders>
              <w:top w:val="nil"/>
              <w:left w:val="nil"/>
              <w:bottom w:val="single" w:sz="4" w:space="0" w:color="auto"/>
              <w:right w:val="single" w:sz="4" w:space="0" w:color="auto"/>
            </w:tcBorders>
            <w:shd w:val="clear" w:color="000000" w:fill="D9D9D9"/>
            <w:vAlign w:val="center"/>
            <w:hideMark/>
          </w:tcPr>
          <w:p w14:paraId="4B48083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MEKI</w:t>
            </w:r>
          </w:p>
        </w:tc>
        <w:tc>
          <w:tcPr>
            <w:tcW w:w="244" w:type="pct"/>
            <w:tcBorders>
              <w:top w:val="nil"/>
              <w:left w:val="nil"/>
              <w:bottom w:val="single" w:sz="4" w:space="0" w:color="auto"/>
              <w:right w:val="single" w:sz="4" w:space="0" w:color="auto"/>
            </w:tcBorders>
            <w:shd w:val="clear" w:color="000000" w:fill="D9D9D9"/>
            <w:vAlign w:val="center"/>
            <w:hideMark/>
          </w:tcPr>
          <w:p w14:paraId="256F9D8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MEPJ, AKPA, MB</w:t>
            </w:r>
          </w:p>
        </w:tc>
        <w:tc>
          <w:tcPr>
            <w:tcW w:w="135" w:type="pct"/>
            <w:tcBorders>
              <w:top w:val="nil"/>
              <w:left w:val="nil"/>
              <w:bottom w:val="single" w:sz="4" w:space="0" w:color="auto"/>
              <w:right w:val="single" w:sz="4" w:space="0" w:color="auto"/>
            </w:tcBorders>
            <w:shd w:val="clear" w:color="000000" w:fill="D9D9D9"/>
            <w:vAlign w:val="center"/>
            <w:hideMark/>
          </w:tcPr>
          <w:p w14:paraId="45FA96A3"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9D9D9"/>
            <w:vAlign w:val="center"/>
            <w:hideMark/>
          </w:tcPr>
          <w:p w14:paraId="3971C235"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000000" w:fill="D9D9D9"/>
            <w:vAlign w:val="center"/>
            <w:hideMark/>
          </w:tcPr>
          <w:p w14:paraId="5C3440A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5,615,537</w:t>
            </w:r>
          </w:p>
        </w:tc>
        <w:tc>
          <w:tcPr>
            <w:tcW w:w="155" w:type="pct"/>
            <w:tcBorders>
              <w:top w:val="nil"/>
              <w:left w:val="nil"/>
              <w:bottom w:val="single" w:sz="4" w:space="0" w:color="auto"/>
              <w:right w:val="single" w:sz="4" w:space="0" w:color="auto"/>
            </w:tcBorders>
            <w:shd w:val="clear" w:color="000000" w:fill="D9D9D9"/>
            <w:vAlign w:val="center"/>
            <w:hideMark/>
          </w:tcPr>
          <w:p w14:paraId="5BA1E30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6C8F1D2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5,615,537</w:t>
            </w:r>
          </w:p>
        </w:tc>
        <w:tc>
          <w:tcPr>
            <w:tcW w:w="165" w:type="pct"/>
            <w:tcBorders>
              <w:top w:val="nil"/>
              <w:left w:val="nil"/>
              <w:bottom w:val="single" w:sz="4" w:space="0" w:color="auto"/>
              <w:right w:val="single" w:sz="4" w:space="0" w:color="auto"/>
            </w:tcBorders>
            <w:shd w:val="clear" w:color="000000" w:fill="D9D9D9"/>
            <w:vAlign w:val="center"/>
            <w:hideMark/>
          </w:tcPr>
          <w:p w14:paraId="495ED91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5,615,537</w:t>
            </w:r>
          </w:p>
        </w:tc>
        <w:tc>
          <w:tcPr>
            <w:tcW w:w="163" w:type="pct"/>
            <w:tcBorders>
              <w:top w:val="nil"/>
              <w:left w:val="nil"/>
              <w:bottom w:val="single" w:sz="4" w:space="0" w:color="auto"/>
              <w:right w:val="single" w:sz="4" w:space="0" w:color="auto"/>
            </w:tcBorders>
            <w:shd w:val="clear" w:color="000000" w:fill="D9D9D9"/>
            <w:vAlign w:val="center"/>
            <w:hideMark/>
          </w:tcPr>
          <w:p w14:paraId="56BBBC9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7B3F009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5,615,537</w:t>
            </w:r>
          </w:p>
        </w:tc>
        <w:tc>
          <w:tcPr>
            <w:tcW w:w="163" w:type="pct"/>
            <w:tcBorders>
              <w:top w:val="nil"/>
              <w:left w:val="nil"/>
              <w:bottom w:val="single" w:sz="4" w:space="0" w:color="auto"/>
              <w:right w:val="single" w:sz="4" w:space="0" w:color="auto"/>
            </w:tcBorders>
            <w:shd w:val="clear" w:color="000000" w:fill="D9D9D9"/>
            <w:vAlign w:val="center"/>
            <w:hideMark/>
          </w:tcPr>
          <w:p w14:paraId="3B07685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5,615,537</w:t>
            </w:r>
          </w:p>
        </w:tc>
        <w:tc>
          <w:tcPr>
            <w:tcW w:w="148" w:type="pct"/>
            <w:tcBorders>
              <w:top w:val="nil"/>
              <w:left w:val="nil"/>
              <w:bottom w:val="single" w:sz="4" w:space="0" w:color="auto"/>
              <w:right w:val="single" w:sz="4" w:space="0" w:color="auto"/>
            </w:tcBorders>
            <w:shd w:val="clear" w:color="000000" w:fill="D9D9D9"/>
            <w:vAlign w:val="center"/>
            <w:hideMark/>
          </w:tcPr>
          <w:p w14:paraId="263BB63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5BC939A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5,615,537</w:t>
            </w:r>
          </w:p>
        </w:tc>
        <w:tc>
          <w:tcPr>
            <w:tcW w:w="165" w:type="pct"/>
            <w:tcBorders>
              <w:top w:val="nil"/>
              <w:left w:val="nil"/>
              <w:bottom w:val="single" w:sz="4" w:space="0" w:color="auto"/>
              <w:right w:val="single" w:sz="4" w:space="0" w:color="auto"/>
            </w:tcBorders>
            <w:shd w:val="clear" w:color="000000" w:fill="D9D9D9"/>
            <w:vAlign w:val="center"/>
            <w:hideMark/>
          </w:tcPr>
          <w:p w14:paraId="51B6DE2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16,846,611</w:t>
            </w:r>
          </w:p>
        </w:tc>
        <w:tc>
          <w:tcPr>
            <w:tcW w:w="163" w:type="pct"/>
            <w:tcBorders>
              <w:top w:val="nil"/>
              <w:left w:val="nil"/>
              <w:bottom w:val="single" w:sz="4" w:space="0" w:color="auto"/>
              <w:right w:val="single" w:sz="4" w:space="0" w:color="auto"/>
            </w:tcBorders>
            <w:shd w:val="clear" w:color="000000" w:fill="D9D9D9"/>
            <w:vAlign w:val="center"/>
            <w:hideMark/>
          </w:tcPr>
          <w:p w14:paraId="6F74F6A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D9D9D9"/>
            <w:vAlign w:val="center"/>
            <w:hideMark/>
          </w:tcPr>
          <w:p w14:paraId="75281E6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16,846,611</w:t>
            </w:r>
          </w:p>
        </w:tc>
        <w:tc>
          <w:tcPr>
            <w:tcW w:w="163" w:type="pct"/>
            <w:tcBorders>
              <w:top w:val="nil"/>
              <w:left w:val="nil"/>
              <w:bottom w:val="single" w:sz="4" w:space="0" w:color="auto"/>
              <w:right w:val="single" w:sz="4" w:space="0" w:color="auto"/>
            </w:tcBorders>
            <w:shd w:val="clear" w:color="000000" w:fill="D9D9D9"/>
            <w:vAlign w:val="center"/>
            <w:hideMark/>
          </w:tcPr>
          <w:p w14:paraId="1F22D08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8,566,611</w:t>
            </w:r>
          </w:p>
        </w:tc>
        <w:tc>
          <w:tcPr>
            <w:tcW w:w="155" w:type="pct"/>
            <w:tcBorders>
              <w:top w:val="nil"/>
              <w:left w:val="nil"/>
              <w:bottom w:val="single" w:sz="4" w:space="0" w:color="auto"/>
              <w:right w:val="single" w:sz="4" w:space="0" w:color="auto"/>
            </w:tcBorders>
            <w:shd w:val="clear" w:color="000000" w:fill="D9D9D9"/>
            <w:vAlign w:val="center"/>
            <w:hideMark/>
          </w:tcPr>
          <w:p w14:paraId="15A76C3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52EE6BC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8,566,611</w:t>
            </w:r>
          </w:p>
        </w:tc>
        <w:tc>
          <w:tcPr>
            <w:tcW w:w="162" w:type="pct"/>
            <w:tcBorders>
              <w:top w:val="nil"/>
              <w:left w:val="nil"/>
              <w:bottom w:val="single" w:sz="4" w:space="0" w:color="auto"/>
              <w:right w:val="single" w:sz="4" w:space="0" w:color="auto"/>
            </w:tcBorders>
            <w:shd w:val="clear" w:color="000000" w:fill="D9D9D9"/>
            <w:vAlign w:val="center"/>
            <w:hideMark/>
          </w:tcPr>
          <w:p w14:paraId="1FA9217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000000" w:fill="D9D9D9"/>
            <w:vAlign w:val="center"/>
            <w:hideMark/>
          </w:tcPr>
          <w:p w14:paraId="36765F6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000000" w:fill="D9D9D9"/>
            <w:vAlign w:val="center"/>
            <w:hideMark/>
          </w:tcPr>
          <w:p w14:paraId="7635AAB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03E3C55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000000" w:fill="D9D9D9"/>
            <w:vAlign w:val="center"/>
            <w:hideMark/>
          </w:tcPr>
          <w:p w14:paraId="54175D5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000000" w:fill="D9D9D9"/>
            <w:vAlign w:val="center"/>
            <w:hideMark/>
          </w:tcPr>
          <w:p w14:paraId="1F63F92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D9D9D9"/>
            <w:vAlign w:val="center"/>
            <w:hideMark/>
          </w:tcPr>
          <w:p w14:paraId="5959B89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4" w:space="0" w:color="auto"/>
            </w:tcBorders>
            <w:shd w:val="clear" w:color="000000" w:fill="D9D9D9"/>
            <w:vAlign w:val="center"/>
            <w:hideMark/>
          </w:tcPr>
          <w:p w14:paraId="620A4806" w14:textId="54D55708"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(8,280,000)</w:t>
            </w:r>
          </w:p>
        </w:tc>
      </w:tr>
      <w:tr w:rsidR="00C260C3" w:rsidRPr="00B457F5" w14:paraId="5E81AD9A"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44A9C3C3"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1.3.2.1</w:t>
            </w:r>
          </w:p>
        </w:tc>
        <w:tc>
          <w:tcPr>
            <w:tcW w:w="281" w:type="pct"/>
            <w:tcBorders>
              <w:top w:val="nil"/>
              <w:left w:val="nil"/>
              <w:bottom w:val="single" w:sz="4" w:space="0" w:color="auto"/>
              <w:right w:val="single" w:sz="4" w:space="0" w:color="auto"/>
            </w:tcBorders>
            <w:shd w:val="clear" w:color="auto" w:fill="auto"/>
            <w:vAlign w:val="center"/>
            <w:hideMark/>
          </w:tcPr>
          <w:p w14:paraId="3FC7E76E"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1.3.2.1 Zgjerimi i bashkëpunimit me institucionet homologe në rajon dhe më gjerë për të marrë informacion të përditësuar mbi tregun e tyre të punës dhe mundësitë për migracion të rregullt</w:t>
            </w:r>
          </w:p>
        </w:tc>
        <w:tc>
          <w:tcPr>
            <w:tcW w:w="186" w:type="pct"/>
            <w:tcBorders>
              <w:top w:val="nil"/>
              <w:left w:val="nil"/>
              <w:bottom w:val="single" w:sz="4" w:space="0" w:color="auto"/>
              <w:right w:val="single" w:sz="4" w:space="0" w:color="auto"/>
            </w:tcBorders>
            <w:shd w:val="clear" w:color="auto" w:fill="auto"/>
            <w:vAlign w:val="center"/>
            <w:hideMark/>
          </w:tcPr>
          <w:p w14:paraId="73064DC2" w14:textId="54E77F89" w:rsidR="00C260C3" w:rsidRPr="00B457F5" w:rsidRDefault="00C260C3" w:rsidP="009B25CE">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9B25CE" w:rsidRPr="00B457F5">
              <w:rPr>
                <w:rFonts w:ascii="Garamond" w:eastAsia="Times New Roman" w:hAnsi="Garamond" w:cs="Times New Roman"/>
                <w:color w:val="FF0000"/>
                <w:sz w:val="4"/>
                <w:szCs w:val="10"/>
              </w:rPr>
              <w:t>Punës</w:t>
            </w:r>
          </w:p>
        </w:tc>
        <w:tc>
          <w:tcPr>
            <w:tcW w:w="169" w:type="pct"/>
            <w:tcBorders>
              <w:top w:val="nil"/>
              <w:left w:val="nil"/>
              <w:bottom w:val="single" w:sz="4" w:space="0" w:color="auto"/>
              <w:right w:val="single" w:sz="4" w:space="0" w:color="auto"/>
            </w:tcBorders>
            <w:shd w:val="clear" w:color="auto" w:fill="auto"/>
            <w:vAlign w:val="center"/>
            <w:hideMark/>
          </w:tcPr>
          <w:p w14:paraId="53E213C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MEKI</w:t>
            </w:r>
          </w:p>
        </w:tc>
        <w:tc>
          <w:tcPr>
            <w:tcW w:w="244" w:type="pct"/>
            <w:tcBorders>
              <w:top w:val="nil"/>
              <w:left w:val="nil"/>
              <w:bottom w:val="single" w:sz="4" w:space="0" w:color="auto"/>
              <w:right w:val="single" w:sz="4" w:space="0" w:color="auto"/>
            </w:tcBorders>
            <w:shd w:val="clear" w:color="auto" w:fill="auto"/>
            <w:vAlign w:val="center"/>
            <w:hideMark/>
          </w:tcPr>
          <w:p w14:paraId="231D55F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MEPJ</w:t>
            </w:r>
          </w:p>
        </w:tc>
        <w:tc>
          <w:tcPr>
            <w:tcW w:w="135" w:type="pct"/>
            <w:tcBorders>
              <w:top w:val="nil"/>
              <w:left w:val="nil"/>
              <w:bottom w:val="single" w:sz="4" w:space="0" w:color="auto"/>
              <w:right w:val="single" w:sz="4" w:space="0" w:color="auto"/>
            </w:tcBorders>
            <w:shd w:val="clear" w:color="000000" w:fill="DDEBF7"/>
            <w:vAlign w:val="center"/>
            <w:hideMark/>
          </w:tcPr>
          <w:p w14:paraId="3778BA8E"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2024 </w:t>
            </w:r>
          </w:p>
        </w:tc>
        <w:tc>
          <w:tcPr>
            <w:tcW w:w="152" w:type="pct"/>
            <w:tcBorders>
              <w:top w:val="nil"/>
              <w:left w:val="nil"/>
              <w:bottom w:val="single" w:sz="4" w:space="0" w:color="auto"/>
              <w:right w:val="single" w:sz="4" w:space="0" w:color="auto"/>
            </w:tcBorders>
            <w:shd w:val="clear" w:color="000000" w:fill="DDEBF7"/>
            <w:vAlign w:val="center"/>
            <w:hideMark/>
          </w:tcPr>
          <w:p w14:paraId="2D99A5CA"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63" w:type="pct"/>
            <w:tcBorders>
              <w:top w:val="nil"/>
              <w:left w:val="nil"/>
              <w:bottom w:val="single" w:sz="4" w:space="0" w:color="auto"/>
              <w:right w:val="single" w:sz="4" w:space="0" w:color="auto"/>
            </w:tcBorders>
            <w:shd w:val="clear" w:color="auto" w:fill="auto"/>
            <w:vAlign w:val="center"/>
            <w:hideMark/>
          </w:tcPr>
          <w:p w14:paraId="7A7A05C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538,781</w:t>
            </w:r>
          </w:p>
        </w:tc>
        <w:tc>
          <w:tcPr>
            <w:tcW w:w="155" w:type="pct"/>
            <w:tcBorders>
              <w:top w:val="nil"/>
              <w:left w:val="nil"/>
              <w:bottom w:val="single" w:sz="4" w:space="0" w:color="auto"/>
              <w:right w:val="single" w:sz="4" w:space="0" w:color="auto"/>
            </w:tcBorders>
            <w:shd w:val="clear" w:color="auto" w:fill="auto"/>
            <w:vAlign w:val="center"/>
            <w:hideMark/>
          </w:tcPr>
          <w:p w14:paraId="363D9E5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74F0DFE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538,781</w:t>
            </w:r>
          </w:p>
        </w:tc>
        <w:tc>
          <w:tcPr>
            <w:tcW w:w="165" w:type="pct"/>
            <w:tcBorders>
              <w:top w:val="nil"/>
              <w:left w:val="nil"/>
              <w:bottom w:val="single" w:sz="4" w:space="0" w:color="auto"/>
              <w:right w:val="single" w:sz="4" w:space="0" w:color="auto"/>
            </w:tcBorders>
            <w:shd w:val="clear" w:color="auto" w:fill="auto"/>
            <w:vAlign w:val="center"/>
            <w:hideMark/>
          </w:tcPr>
          <w:p w14:paraId="57CA686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538,781</w:t>
            </w:r>
          </w:p>
        </w:tc>
        <w:tc>
          <w:tcPr>
            <w:tcW w:w="163" w:type="pct"/>
            <w:tcBorders>
              <w:top w:val="nil"/>
              <w:left w:val="nil"/>
              <w:bottom w:val="single" w:sz="4" w:space="0" w:color="auto"/>
              <w:right w:val="single" w:sz="4" w:space="0" w:color="auto"/>
            </w:tcBorders>
            <w:shd w:val="clear" w:color="auto" w:fill="auto"/>
            <w:vAlign w:val="center"/>
            <w:hideMark/>
          </w:tcPr>
          <w:p w14:paraId="0B13F5F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17D091B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538,781</w:t>
            </w:r>
          </w:p>
        </w:tc>
        <w:tc>
          <w:tcPr>
            <w:tcW w:w="163" w:type="pct"/>
            <w:tcBorders>
              <w:top w:val="nil"/>
              <w:left w:val="nil"/>
              <w:bottom w:val="single" w:sz="4" w:space="0" w:color="auto"/>
              <w:right w:val="single" w:sz="4" w:space="0" w:color="auto"/>
            </w:tcBorders>
            <w:shd w:val="clear" w:color="auto" w:fill="auto"/>
            <w:vAlign w:val="center"/>
            <w:hideMark/>
          </w:tcPr>
          <w:p w14:paraId="3773437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538,781</w:t>
            </w:r>
          </w:p>
        </w:tc>
        <w:tc>
          <w:tcPr>
            <w:tcW w:w="148" w:type="pct"/>
            <w:tcBorders>
              <w:top w:val="nil"/>
              <w:left w:val="nil"/>
              <w:bottom w:val="single" w:sz="4" w:space="0" w:color="auto"/>
              <w:right w:val="single" w:sz="4" w:space="0" w:color="auto"/>
            </w:tcBorders>
            <w:shd w:val="clear" w:color="auto" w:fill="auto"/>
            <w:vAlign w:val="center"/>
            <w:hideMark/>
          </w:tcPr>
          <w:p w14:paraId="5BF1181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4B35B94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538,781</w:t>
            </w:r>
          </w:p>
        </w:tc>
        <w:tc>
          <w:tcPr>
            <w:tcW w:w="165" w:type="pct"/>
            <w:tcBorders>
              <w:top w:val="nil"/>
              <w:left w:val="nil"/>
              <w:bottom w:val="single" w:sz="4" w:space="0" w:color="auto"/>
              <w:right w:val="single" w:sz="4" w:space="0" w:color="auto"/>
            </w:tcBorders>
            <w:shd w:val="clear" w:color="auto" w:fill="auto"/>
            <w:vAlign w:val="center"/>
            <w:hideMark/>
          </w:tcPr>
          <w:p w14:paraId="6711452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1,616,343</w:t>
            </w:r>
          </w:p>
        </w:tc>
        <w:tc>
          <w:tcPr>
            <w:tcW w:w="163" w:type="pct"/>
            <w:tcBorders>
              <w:top w:val="nil"/>
              <w:left w:val="nil"/>
              <w:bottom w:val="single" w:sz="4" w:space="0" w:color="auto"/>
              <w:right w:val="single" w:sz="4" w:space="0" w:color="auto"/>
            </w:tcBorders>
            <w:shd w:val="clear" w:color="auto" w:fill="auto"/>
            <w:vAlign w:val="center"/>
            <w:hideMark/>
          </w:tcPr>
          <w:p w14:paraId="1C971F7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6C9F15C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1,616,343</w:t>
            </w:r>
          </w:p>
        </w:tc>
        <w:tc>
          <w:tcPr>
            <w:tcW w:w="163" w:type="pct"/>
            <w:tcBorders>
              <w:top w:val="nil"/>
              <w:left w:val="nil"/>
              <w:bottom w:val="single" w:sz="4" w:space="0" w:color="auto"/>
              <w:right w:val="single" w:sz="4" w:space="0" w:color="auto"/>
            </w:tcBorders>
            <w:shd w:val="clear" w:color="auto" w:fill="auto"/>
            <w:vAlign w:val="center"/>
            <w:hideMark/>
          </w:tcPr>
          <w:p w14:paraId="2E14908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1,616,343</w:t>
            </w:r>
          </w:p>
        </w:tc>
        <w:tc>
          <w:tcPr>
            <w:tcW w:w="155" w:type="pct"/>
            <w:tcBorders>
              <w:top w:val="nil"/>
              <w:left w:val="nil"/>
              <w:bottom w:val="single" w:sz="4" w:space="0" w:color="auto"/>
              <w:right w:val="single" w:sz="4" w:space="0" w:color="auto"/>
            </w:tcBorders>
            <w:shd w:val="clear" w:color="auto" w:fill="auto"/>
            <w:vAlign w:val="center"/>
            <w:hideMark/>
          </w:tcPr>
          <w:p w14:paraId="65F934E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470568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1,616,343</w:t>
            </w:r>
          </w:p>
        </w:tc>
        <w:tc>
          <w:tcPr>
            <w:tcW w:w="162" w:type="pct"/>
            <w:tcBorders>
              <w:top w:val="nil"/>
              <w:left w:val="nil"/>
              <w:bottom w:val="single" w:sz="4" w:space="0" w:color="auto"/>
              <w:right w:val="single" w:sz="4" w:space="0" w:color="auto"/>
            </w:tcBorders>
            <w:shd w:val="clear" w:color="auto" w:fill="auto"/>
            <w:vAlign w:val="center"/>
            <w:hideMark/>
          </w:tcPr>
          <w:p w14:paraId="04B4E24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2A5A423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63AC2D0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5F490E1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10AF1F7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2956E32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055567F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388196C4" w14:textId="09C90770"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3590B63E"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2FEDC2F7"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1.3.2.2</w:t>
            </w:r>
          </w:p>
        </w:tc>
        <w:tc>
          <w:tcPr>
            <w:tcW w:w="281" w:type="pct"/>
            <w:tcBorders>
              <w:top w:val="nil"/>
              <w:left w:val="nil"/>
              <w:bottom w:val="single" w:sz="4" w:space="0" w:color="auto"/>
              <w:right w:val="single" w:sz="4" w:space="0" w:color="auto"/>
            </w:tcBorders>
            <w:shd w:val="clear" w:color="auto" w:fill="auto"/>
            <w:vAlign w:val="center"/>
            <w:hideMark/>
          </w:tcPr>
          <w:p w14:paraId="4F5D4549" w14:textId="7EBF9F4B"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1.3.2.2 Studim vlerësues mbi përcaktimin e nevojës për marrëveshje dypalëshe punësimi që rregullojnë emigrimin e rregullt për punë të shqiptarëve, në kontekstin e emigrimit të punës së shtetasve shqiptarë</w:t>
            </w:r>
          </w:p>
        </w:tc>
        <w:tc>
          <w:tcPr>
            <w:tcW w:w="186" w:type="pct"/>
            <w:tcBorders>
              <w:top w:val="nil"/>
              <w:left w:val="nil"/>
              <w:bottom w:val="single" w:sz="4" w:space="0" w:color="auto"/>
              <w:right w:val="single" w:sz="4" w:space="0" w:color="auto"/>
            </w:tcBorders>
            <w:shd w:val="clear" w:color="auto" w:fill="auto"/>
            <w:vAlign w:val="center"/>
            <w:hideMark/>
          </w:tcPr>
          <w:p w14:paraId="4837ED44" w14:textId="3326CA9B" w:rsidR="00C260C3" w:rsidRPr="00B457F5" w:rsidRDefault="00C260C3" w:rsidP="009B25CE">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9B25CE" w:rsidRPr="00B457F5">
              <w:rPr>
                <w:rFonts w:ascii="Garamond" w:eastAsia="Times New Roman" w:hAnsi="Garamond" w:cs="Times New Roman"/>
                <w:color w:val="FF0000"/>
                <w:sz w:val="4"/>
                <w:szCs w:val="10"/>
              </w:rPr>
              <w:t>Punës</w:t>
            </w:r>
          </w:p>
        </w:tc>
        <w:tc>
          <w:tcPr>
            <w:tcW w:w="169" w:type="pct"/>
            <w:tcBorders>
              <w:top w:val="nil"/>
              <w:left w:val="nil"/>
              <w:bottom w:val="single" w:sz="4" w:space="0" w:color="auto"/>
              <w:right w:val="single" w:sz="4" w:space="0" w:color="auto"/>
            </w:tcBorders>
            <w:shd w:val="clear" w:color="auto" w:fill="auto"/>
            <w:vAlign w:val="center"/>
            <w:hideMark/>
          </w:tcPr>
          <w:p w14:paraId="24962B3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MEKI</w:t>
            </w:r>
          </w:p>
        </w:tc>
        <w:tc>
          <w:tcPr>
            <w:tcW w:w="244" w:type="pct"/>
            <w:tcBorders>
              <w:top w:val="nil"/>
              <w:left w:val="nil"/>
              <w:bottom w:val="single" w:sz="4" w:space="0" w:color="auto"/>
              <w:right w:val="single" w:sz="4" w:space="0" w:color="auto"/>
            </w:tcBorders>
            <w:shd w:val="clear" w:color="auto" w:fill="auto"/>
            <w:vAlign w:val="center"/>
            <w:hideMark/>
          </w:tcPr>
          <w:p w14:paraId="30038FF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AKPA</w:t>
            </w:r>
          </w:p>
        </w:tc>
        <w:tc>
          <w:tcPr>
            <w:tcW w:w="135" w:type="pct"/>
            <w:tcBorders>
              <w:top w:val="nil"/>
              <w:left w:val="nil"/>
              <w:bottom w:val="single" w:sz="4" w:space="0" w:color="auto"/>
              <w:right w:val="single" w:sz="4" w:space="0" w:color="auto"/>
            </w:tcBorders>
            <w:shd w:val="clear" w:color="000000" w:fill="DDEBF7"/>
            <w:vAlign w:val="center"/>
            <w:hideMark/>
          </w:tcPr>
          <w:p w14:paraId="13B744DC"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2024 </w:t>
            </w:r>
          </w:p>
        </w:tc>
        <w:tc>
          <w:tcPr>
            <w:tcW w:w="152" w:type="pct"/>
            <w:tcBorders>
              <w:top w:val="nil"/>
              <w:left w:val="nil"/>
              <w:bottom w:val="single" w:sz="4" w:space="0" w:color="auto"/>
              <w:right w:val="single" w:sz="4" w:space="0" w:color="auto"/>
            </w:tcBorders>
            <w:shd w:val="clear" w:color="000000" w:fill="DDEBF7"/>
            <w:vAlign w:val="center"/>
            <w:hideMark/>
          </w:tcPr>
          <w:p w14:paraId="78D979FE"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63" w:type="pct"/>
            <w:tcBorders>
              <w:top w:val="nil"/>
              <w:left w:val="nil"/>
              <w:bottom w:val="single" w:sz="4" w:space="0" w:color="auto"/>
              <w:right w:val="single" w:sz="4" w:space="0" w:color="auto"/>
            </w:tcBorders>
            <w:shd w:val="clear" w:color="auto" w:fill="auto"/>
            <w:vAlign w:val="center"/>
            <w:hideMark/>
          </w:tcPr>
          <w:p w14:paraId="4A2A0FD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3,568,171</w:t>
            </w:r>
          </w:p>
        </w:tc>
        <w:tc>
          <w:tcPr>
            <w:tcW w:w="155" w:type="pct"/>
            <w:tcBorders>
              <w:top w:val="nil"/>
              <w:left w:val="nil"/>
              <w:bottom w:val="single" w:sz="4" w:space="0" w:color="auto"/>
              <w:right w:val="single" w:sz="4" w:space="0" w:color="auto"/>
            </w:tcBorders>
            <w:shd w:val="clear" w:color="auto" w:fill="auto"/>
            <w:vAlign w:val="center"/>
            <w:hideMark/>
          </w:tcPr>
          <w:p w14:paraId="4AAD993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00DBE07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3,568,171</w:t>
            </w:r>
          </w:p>
        </w:tc>
        <w:tc>
          <w:tcPr>
            <w:tcW w:w="165" w:type="pct"/>
            <w:tcBorders>
              <w:top w:val="nil"/>
              <w:left w:val="nil"/>
              <w:bottom w:val="single" w:sz="4" w:space="0" w:color="auto"/>
              <w:right w:val="single" w:sz="4" w:space="0" w:color="auto"/>
            </w:tcBorders>
            <w:shd w:val="clear" w:color="auto" w:fill="auto"/>
            <w:vAlign w:val="center"/>
            <w:hideMark/>
          </w:tcPr>
          <w:p w14:paraId="0E3E4CD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3,568,171</w:t>
            </w:r>
          </w:p>
        </w:tc>
        <w:tc>
          <w:tcPr>
            <w:tcW w:w="163" w:type="pct"/>
            <w:tcBorders>
              <w:top w:val="nil"/>
              <w:left w:val="nil"/>
              <w:bottom w:val="single" w:sz="4" w:space="0" w:color="auto"/>
              <w:right w:val="single" w:sz="4" w:space="0" w:color="auto"/>
            </w:tcBorders>
            <w:shd w:val="clear" w:color="auto" w:fill="auto"/>
            <w:vAlign w:val="center"/>
            <w:hideMark/>
          </w:tcPr>
          <w:p w14:paraId="0717466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2F592E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3,568,171</w:t>
            </w:r>
          </w:p>
        </w:tc>
        <w:tc>
          <w:tcPr>
            <w:tcW w:w="163" w:type="pct"/>
            <w:tcBorders>
              <w:top w:val="nil"/>
              <w:left w:val="nil"/>
              <w:bottom w:val="single" w:sz="4" w:space="0" w:color="auto"/>
              <w:right w:val="single" w:sz="4" w:space="0" w:color="auto"/>
            </w:tcBorders>
            <w:shd w:val="clear" w:color="auto" w:fill="auto"/>
            <w:vAlign w:val="center"/>
            <w:hideMark/>
          </w:tcPr>
          <w:p w14:paraId="4211C58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3,568,171</w:t>
            </w:r>
          </w:p>
        </w:tc>
        <w:tc>
          <w:tcPr>
            <w:tcW w:w="148" w:type="pct"/>
            <w:tcBorders>
              <w:top w:val="nil"/>
              <w:left w:val="nil"/>
              <w:bottom w:val="single" w:sz="4" w:space="0" w:color="auto"/>
              <w:right w:val="single" w:sz="4" w:space="0" w:color="auto"/>
            </w:tcBorders>
            <w:shd w:val="clear" w:color="auto" w:fill="auto"/>
            <w:vAlign w:val="center"/>
            <w:hideMark/>
          </w:tcPr>
          <w:p w14:paraId="3ED3BC2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5BE6CA5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3,568,171</w:t>
            </w:r>
          </w:p>
        </w:tc>
        <w:tc>
          <w:tcPr>
            <w:tcW w:w="165" w:type="pct"/>
            <w:tcBorders>
              <w:top w:val="nil"/>
              <w:left w:val="nil"/>
              <w:bottom w:val="single" w:sz="4" w:space="0" w:color="auto"/>
              <w:right w:val="single" w:sz="4" w:space="0" w:color="auto"/>
            </w:tcBorders>
            <w:shd w:val="clear" w:color="auto" w:fill="auto"/>
            <w:vAlign w:val="center"/>
            <w:hideMark/>
          </w:tcPr>
          <w:p w14:paraId="3FED23B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10,704,513</w:t>
            </w:r>
          </w:p>
        </w:tc>
        <w:tc>
          <w:tcPr>
            <w:tcW w:w="163" w:type="pct"/>
            <w:tcBorders>
              <w:top w:val="nil"/>
              <w:left w:val="nil"/>
              <w:bottom w:val="single" w:sz="4" w:space="0" w:color="auto"/>
              <w:right w:val="single" w:sz="4" w:space="0" w:color="auto"/>
            </w:tcBorders>
            <w:shd w:val="clear" w:color="auto" w:fill="auto"/>
            <w:vAlign w:val="center"/>
            <w:hideMark/>
          </w:tcPr>
          <w:p w14:paraId="0780724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65AD1A9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10,704,513</w:t>
            </w:r>
          </w:p>
        </w:tc>
        <w:tc>
          <w:tcPr>
            <w:tcW w:w="163" w:type="pct"/>
            <w:tcBorders>
              <w:top w:val="nil"/>
              <w:left w:val="nil"/>
              <w:bottom w:val="single" w:sz="4" w:space="0" w:color="auto"/>
              <w:right w:val="single" w:sz="4" w:space="0" w:color="auto"/>
            </w:tcBorders>
            <w:shd w:val="clear" w:color="auto" w:fill="auto"/>
            <w:vAlign w:val="center"/>
            <w:hideMark/>
          </w:tcPr>
          <w:p w14:paraId="3CE1AB9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2,424,513</w:t>
            </w:r>
          </w:p>
        </w:tc>
        <w:tc>
          <w:tcPr>
            <w:tcW w:w="155" w:type="pct"/>
            <w:tcBorders>
              <w:top w:val="nil"/>
              <w:left w:val="nil"/>
              <w:bottom w:val="single" w:sz="4" w:space="0" w:color="auto"/>
              <w:right w:val="single" w:sz="4" w:space="0" w:color="auto"/>
            </w:tcBorders>
            <w:shd w:val="clear" w:color="auto" w:fill="auto"/>
            <w:vAlign w:val="center"/>
            <w:hideMark/>
          </w:tcPr>
          <w:p w14:paraId="38804AB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CBF5BA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2,424,513</w:t>
            </w:r>
          </w:p>
        </w:tc>
        <w:tc>
          <w:tcPr>
            <w:tcW w:w="162" w:type="pct"/>
            <w:tcBorders>
              <w:top w:val="nil"/>
              <w:left w:val="nil"/>
              <w:bottom w:val="single" w:sz="4" w:space="0" w:color="auto"/>
              <w:right w:val="single" w:sz="4" w:space="0" w:color="auto"/>
            </w:tcBorders>
            <w:shd w:val="clear" w:color="auto" w:fill="auto"/>
            <w:vAlign w:val="center"/>
            <w:hideMark/>
          </w:tcPr>
          <w:p w14:paraId="442BAAD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5A47165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7431B01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313D7F6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1F4D87D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7C60C20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27017E7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7F5D3394" w14:textId="1778BF20"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(8,280,000)</w:t>
            </w:r>
          </w:p>
        </w:tc>
      </w:tr>
      <w:tr w:rsidR="00C260C3" w:rsidRPr="00B457F5" w14:paraId="2900F764"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0BAC3D92"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1.3.2.3</w:t>
            </w:r>
          </w:p>
        </w:tc>
        <w:tc>
          <w:tcPr>
            <w:tcW w:w="281" w:type="pct"/>
            <w:tcBorders>
              <w:top w:val="nil"/>
              <w:left w:val="nil"/>
              <w:bottom w:val="single" w:sz="4" w:space="0" w:color="auto"/>
              <w:right w:val="single" w:sz="4" w:space="0" w:color="auto"/>
            </w:tcBorders>
            <w:shd w:val="clear" w:color="auto" w:fill="auto"/>
            <w:vAlign w:val="center"/>
            <w:hideMark/>
          </w:tcPr>
          <w:p w14:paraId="69C2C3BB" w14:textId="39C2DDB4"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1.3.2.3 Të identifikohen vendet prioritare me të cilat duhet të lidhen marrëveshje të reja për migracionin e punësimit</w:t>
            </w:r>
            <w:r w:rsidR="0006016F" w:rsidRPr="00B457F5">
              <w:rPr>
                <w:rFonts w:ascii="Garamond" w:eastAsia="Times New Roman" w:hAnsi="Garamond" w:cs="Times New Roman"/>
                <w:color w:val="000000"/>
                <w:sz w:val="4"/>
                <w:szCs w:val="10"/>
              </w:rPr>
              <w:t xml:space="preserve"> </w:t>
            </w:r>
          </w:p>
        </w:tc>
        <w:tc>
          <w:tcPr>
            <w:tcW w:w="186" w:type="pct"/>
            <w:tcBorders>
              <w:top w:val="nil"/>
              <w:left w:val="nil"/>
              <w:bottom w:val="single" w:sz="4" w:space="0" w:color="auto"/>
              <w:right w:val="single" w:sz="4" w:space="0" w:color="auto"/>
            </w:tcBorders>
            <w:shd w:val="clear" w:color="auto" w:fill="auto"/>
            <w:vAlign w:val="center"/>
            <w:hideMark/>
          </w:tcPr>
          <w:p w14:paraId="6FDBD7E3" w14:textId="7A8DA008" w:rsidR="00C260C3" w:rsidRPr="00B457F5" w:rsidRDefault="00C260C3" w:rsidP="009B25CE">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9B25CE" w:rsidRPr="00B457F5">
              <w:rPr>
                <w:rFonts w:ascii="Garamond" w:eastAsia="Times New Roman" w:hAnsi="Garamond" w:cs="Times New Roman"/>
                <w:color w:val="FF0000"/>
                <w:sz w:val="4"/>
                <w:szCs w:val="10"/>
              </w:rPr>
              <w:t>Punës</w:t>
            </w:r>
          </w:p>
        </w:tc>
        <w:tc>
          <w:tcPr>
            <w:tcW w:w="169" w:type="pct"/>
            <w:tcBorders>
              <w:top w:val="nil"/>
              <w:left w:val="nil"/>
              <w:bottom w:val="single" w:sz="4" w:space="0" w:color="auto"/>
              <w:right w:val="single" w:sz="4" w:space="0" w:color="auto"/>
            </w:tcBorders>
            <w:shd w:val="clear" w:color="auto" w:fill="auto"/>
            <w:vAlign w:val="center"/>
            <w:hideMark/>
          </w:tcPr>
          <w:p w14:paraId="5FF6227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MEKI</w:t>
            </w:r>
          </w:p>
        </w:tc>
        <w:tc>
          <w:tcPr>
            <w:tcW w:w="244" w:type="pct"/>
            <w:tcBorders>
              <w:top w:val="nil"/>
              <w:left w:val="nil"/>
              <w:bottom w:val="single" w:sz="4" w:space="0" w:color="auto"/>
              <w:right w:val="single" w:sz="4" w:space="0" w:color="auto"/>
            </w:tcBorders>
            <w:shd w:val="clear" w:color="auto" w:fill="auto"/>
            <w:vAlign w:val="center"/>
            <w:hideMark/>
          </w:tcPr>
          <w:p w14:paraId="0094100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MEPJ, MB</w:t>
            </w:r>
          </w:p>
        </w:tc>
        <w:tc>
          <w:tcPr>
            <w:tcW w:w="135" w:type="pct"/>
            <w:tcBorders>
              <w:top w:val="nil"/>
              <w:left w:val="nil"/>
              <w:bottom w:val="single" w:sz="4" w:space="0" w:color="auto"/>
              <w:right w:val="single" w:sz="4" w:space="0" w:color="auto"/>
            </w:tcBorders>
            <w:shd w:val="clear" w:color="000000" w:fill="DDEBF7"/>
            <w:vAlign w:val="center"/>
            <w:hideMark/>
          </w:tcPr>
          <w:p w14:paraId="4B36F717"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2024 </w:t>
            </w:r>
          </w:p>
        </w:tc>
        <w:tc>
          <w:tcPr>
            <w:tcW w:w="152" w:type="pct"/>
            <w:tcBorders>
              <w:top w:val="nil"/>
              <w:left w:val="nil"/>
              <w:bottom w:val="single" w:sz="4" w:space="0" w:color="auto"/>
              <w:right w:val="single" w:sz="4" w:space="0" w:color="auto"/>
            </w:tcBorders>
            <w:shd w:val="clear" w:color="000000" w:fill="DDEBF7"/>
            <w:vAlign w:val="center"/>
            <w:hideMark/>
          </w:tcPr>
          <w:p w14:paraId="16B20972"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63" w:type="pct"/>
            <w:tcBorders>
              <w:top w:val="nil"/>
              <w:left w:val="nil"/>
              <w:bottom w:val="single" w:sz="4" w:space="0" w:color="auto"/>
              <w:right w:val="single" w:sz="4" w:space="0" w:color="auto"/>
            </w:tcBorders>
            <w:shd w:val="clear" w:color="auto" w:fill="auto"/>
            <w:vAlign w:val="center"/>
            <w:hideMark/>
          </w:tcPr>
          <w:p w14:paraId="4721226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301,717</w:t>
            </w:r>
          </w:p>
        </w:tc>
        <w:tc>
          <w:tcPr>
            <w:tcW w:w="155" w:type="pct"/>
            <w:tcBorders>
              <w:top w:val="nil"/>
              <w:left w:val="nil"/>
              <w:bottom w:val="single" w:sz="4" w:space="0" w:color="auto"/>
              <w:right w:val="single" w:sz="4" w:space="0" w:color="auto"/>
            </w:tcBorders>
            <w:shd w:val="clear" w:color="auto" w:fill="auto"/>
            <w:vAlign w:val="center"/>
            <w:hideMark/>
          </w:tcPr>
          <w:p w14:paraId="5D32521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6E831EE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301,717</w:t>
            </w:r>
          </w:p>
        </w:tc>
        <w:tc>
          <w:tcPr>
            <w:tcW w:w="165" w:type="pct"/>
            <w:tcBorders>
              <w:top w:val="nil"/>
              <w:left w:val="nil"/>
              <w:bottom w:val="single" w:sz="4" w:space="0" w:color="auto"/>
              <w:right w:val="single" w:sz="4" w:space="0" w:color="auto"/>
            </w:tcBorders>
            <w:shd w:val="clear" w:color="auto" w:fill="auto"/>
            <w:vAlign w:val="center"/>
            <w:hideMark/>
          </w:tcPr>
          <w:p w14:paraId="3746789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301,717</w:t>
            </w:r>
          </w:p>
        </w:tc>
        <w:tc>
          <w:tcPr>
            <w:tcW w:w="163" w:type="pct"/>
            <w:tcBorders>
              <w:top w:val="nil"/>
              <w:left w:val="nil"/>
              <w:bottom w:val="single" w:sz="4" w:space="0" w:color="auto"/>
              <w:right w:val="single" w:sz="4" w:space="0" w:color="auto"/>
            </w:tcBorders>
            <w:shd w:val="clear" w:color="auto" w:fill="auto"/>
            <w:vAlign w:val="center"/>
            <w:hideMark/>
          </w:tcPr>
          <w:p w14:paraId="258DE51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4F9A9D3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301,717</w:t>
            </w:r>
          </w:p>
        </w:tc>
        <w:tc>
          <w:tcPr>
            <w:tcW w:w="163" w:type="pct"/>
            <w:tcBorders>
              <w:top w:val="nil"/>
              <w:left w:val="nil"/>
              <w:bottom w:val="single" w:sz="4" w:space="0" w:color="auto"/>
              <w:right w:val="single" w:sz="4" w:space="0" w:color="auto"/>
            </w:tcBorders>
            <w:shd w:val="clear" w:color="auto" w:fill="auto"/>
            <w:vAlign w:val="center"/>
            <w:hideMark/>
          </w:tcPr>
          <w:p w14:paraId="798D219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301,717</w:t>
            </w:r>
          </w:p>
        </w:tc>
        <w:tc>
          <w:tcPr>
            <w:tcW w:w="148" w:type="pct"/>
            <w:tcBorders>
              <w:top w:val="nil"/>
              <w:left w:val="nil"/>
              <w:bottom w:val="single" w:sz="4" w:space="0" w:color="auto"/>
              <w:right w:val="single" w:sz="4" w:space="0" w:color="auto"/>
            </w:tcBorders>
            <w:shd w:val="clear" w:color="auto" w:fill="auto"/>
            <w:vAlign w:val="center"/>
            <w:hideMark/>
          </w:tcPr>
          <w:p w14:paraId="364F627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1E80842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301,717</w:t>
            </w:r>
          </w:p>
        </w:tc>
        <w:tc>
          <w:tcPr>
            <w:tcW w:w="165" w:type="pct"/>
            <w:tcBorders>
              <w:top w:val="nil"/>
              <w:left w:val="nil"/>
              <w:bottom w:val="single" w:sz="4" w:space="0" w:color="auto"/>
              <w:right w:val="single" w:sz="4" w:space="0" w:color="auto"/>
            </w:tcBorders>
            <w:shd w:val="clear" w:color="auto" w:fill="auto"/>
            <w:vAlign w:val="center"/>
            <w:hideMark/>
          </w:tcPr>
          <w:p w14:paraId="435ADD1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905,151</w:t>
            </w:r>
          </w:p>
        </w:tc>
        <w:tc>
          <w:tcPr>
            <w:tcW w:w="163" w:type="pct"/>
            <w:tcBorders>
              <w:top w:val="nil"/>
              <w:left w:val="nil"/>
              <w:bottom w:val="single" w:sz="4" w:space="0" w:color="auto"/>
              <w:right w:val="single" w:sz="4" w:space="0" w:color="auto"/>
            </w:tcBorders>
            <w:shd w:val="clear" w:color="auto" w:fill="auto"/>
            <w:vAlign w:val="center"/>
            <w:hideMark/>
          </w:tcPr>
          <w:p w14:paraId="0FE02D5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2638641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905,151</w:t>
            </w:r>
          </w:p>
        </w:tc>
        <w:tc>
          <w:tcPr>
            <w:tcW w:w="163" w:type="pct"/>
            <w:tcBorders>
              <w:top w:val="nil"/>
              <w:left w:val="nil"/>
              <w:bottom w:val="single" w:sz="4" w:space="0" w:color="auto"/>
              <w:right w:val="single" w:sz="4" w:space="0" w:color="auto"/>
            </w:tcBorders>
            <w:shd w:val="clear" w:color="auto" w:fill="auto"/>
            <w:vAlign w:val="center"/>
            <w:hideMark/>
          </w:tcPr>
          <w:p w14:paraId="5C644EA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905,151</w:t>
            </w:r>
          </w:p>
        </w:tc>
        <w:tc>
          <w:tcPr>
            <w:tcW w:w="155" w:type="pct"/>
            <w:tcBorders>
              <w:top w:val="nil"/>
              <w:left w:val="nil"/>
              <w:bottom w:val="single" w:sz="4" w:space="0" w:color="auto"/>
              <w:right w:val="single" w:sz="4" w:space="0" w:color="auto"/>
            </w:tcBorders>
            <w:shd w:val="clear" w:color="auto" w:fill="auto"/>
            <w:vAlign w:val="center"/>
            <w:hideMark/>
          </w:tcPr>
          <w:p w14:paraId="0F2AFC8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7F27351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905,151</w:t>
            </w:r>
          </w:p>
        </w:tc>
        <w:tc>
          <w:tcPr>
            <w:tcW w:w="162" w:type="pct"/>
            <w:tcBorders>
              <w:top w:val="nil"/>
              <w:left w:val="nil"/>
              <w:bottom w:val="single" w:sz="4" w:space="0" w:color="auto"/>
              <w:right w:val="single" w:sz="4" w:space="0" w:color="auto"/>
            </w:tcBorders>
            <w:shd w:val="clear" w:color="auto" w:fill="auto"/>
            <w:vAlign w:val="center"/>
            <w:hideMark/>
          </w:tcPr>
          <w:p w14:paraId="1E2C8FF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2E9BE40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2D88A11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6D98A51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1401D32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250F0FD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4DDF37D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076E2EAA" w14:textId="002F090A"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0FA73748"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251F83AF"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1.3.2.4 </w:t>
            </w:r>
          </w:p>
        </w:tc>
        <w:tc>
          <w:tcPr>
            <w:tcW w:w="281" w:type="pct"/>
            <w:tcBorders>
              <w:top w:val="nil"/>
              <w:left w:val="nil"/>
              <w:bottom w:val="single" w:sz="8" w:space="0" w:color="auto"/>
              <w:right w:val="single" w:sz="4" w:space="0" w:color="auto"/>
            </w:tcBorders>
            <w:shd w:val="clear" w:color="auto" w:fill="auto"/>
            <w:vAlign w:val="center"/>
            <w:hideMark/>
          </w:tcPr>
          <w:p w14:paraId="450B8792" w14:textId="77777777"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1.3.2.4 Negocimi i marrëveshjeve të reja dypalëshe të punësimit sipas vendeve të identifikuara në masat më sipër dhe SKPA 2030</w:t>
            </w:r>
          </w:p>
        </w:tc>
        <w:tc>
          <w:tcPr>
            <w:tcW w:w="186" w:type="pct"/>
            <w:tcBorders>
              <w:top w:val="nil"/>
              <w:left w:val="nil"/>
              <w:bottom w:val="single" w:sz="8" w:space="0" w:color="auto"/>
              <w:right w:val="single" w:sz="4" w:space="0" w:color="auto"/>
            </w:tcBorders>
            <w:shd w:val="clear" w:color="auto" w:fill="auto"/>
            <w:vAlign w:val="center"/>
            <w:hideMark/>
          </w:tcPr>
          <w:p w14:paraId="665CD250" w14:textId="57BF295A" w:rsidR="00C260C3" w:rsidRPr="00B457F5" w:rsidRDefault="00C260C3" w:rsidP="009B25CE">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9B25CE" w:rsidRPr="00B457F5">
              <w:rPr>
                <w:rFonts w:ascii="Garamond" w:eastAsia="Times New Roman" w:hAnsi="Garamond" w:cs="Times New Roman"/>
                <w:color w:val="FF0000"/>
                <w:sz w:val="4"/>
                <w:szCs w:val="10"/>
              </w:rPr>
              <w:t>Punës</w:t>
            </w:r>
          </w:p>
        </w:tc>
        <w:tc>
          <w:tcPr>
            <w:tcW w:w="169" w:type="pct"/>
            <w:tcBorders>
              <w:top w:val="nil"/>
              <w:left w:val="nil"/>
              <w:bottom w:val="single" w:sz="8" w:space="0" w:color="auto"/>
              <w:right w:val="single" w:sz="4" w:space="0" w:color="auto"/>
            </w:tcBorders>
            <w:shd w:val="clear" w:color="auto" w:fill="auto"/>
            <w:vAlign w:val="center"/>
            <w:hideMark/>
          </w:tcPr>
          <w:p w14:paraId="11FD44F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MEKI</w:t>
            </w:r>
          </w:p>
        </w:tc>
        <w:tc>
          <w:tcPr>
            <w:tcW w:w="244" w:type="pct"/>
            <w:tcBorders>
              <w:top w:val="nil"/>
              <w:left w:val="nil"/>
              <w:bottom w:val="single" w:sz="8" w:space="0" w:color="auto"/>
              <w:right w:val="single" w:sz="4" w:space="0" w:color="auto"/>
            </w:tcBorders>
            <w:shd w:val="clear" w:color="auto" w:fill="auto"/>
            <w:vAlign w:val="center"/>
            <w:hideMark/>
          </w:tcPr>
          <w:p w14:paraId="3C4AB16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AKPA</w:t>
            </w:r>
          </w:p>
        </w:tc>
        <w:tc>
          <w:tcPr>
            <w:tcW w:w="135" w:type="pct"/>
            <w:tcBorders>
              <w:top w:val="nil"/>
              <w:left w:val="nil"/>
              <w:bottom w:val="single" w:sz="4" w:space="0" w:color="auto"/>
              <w:right w:val="single" w:sz="4" w:space="0" w:color="auto"/>
            </w:tcBorders>
            <w:shd w:val="clear" w:color="000000" w:fill="DDEBF7"/>
            <w:vAlign w:val="center"/>
            <w:hideMark/>
          </w:tcPr>
          <w:p w14:paraId="1883E2A8"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2024 </w:t>
            </w:r>
          </w:p>
        </w:tc>
        <w:tc>
          <w:tcPr>
            <w:tcW w:w="152" w:type="pct"/>
            <w:tcBorders>
              <w:top w:val="nil"/>
              <w:left w:val="nil"/>
              <w:bottom w:val="single" w:sz="4" w:space="0" w:color="auto"/>
              <w:right w:val="single" w:sz="4" w:space="0" w:color="auto"/>
            </w:tcBorders>
            <w:shd w:val="clear" w:color="000000" w:fill="DDEBF7"/>
            <w:vAlign w:val="center"/>
            <w:hideMark/>
          </w:tcPr>
          <w:p w14:paraId="169B09A5"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63" w:type="pct"/>
            <w:tcBorders>
              <w:top w:val="nil"/>
              <w:left w:val="nil"/>
              <w:bottom w:val="single" w:sz="8" w:space="0" w:color="auto"/>
              <w:right w:val="single" w:sz="4" w:space="0" w:color="auto"/>
            </w:tcBorders>
            <w:shd w:val="clear" w:color="auto" w:fill="auto"/>
            <w:vAlign w:val="center"/>
            <w:hideMark/>
          </w:tcPr>
          <w:p w14:paraId="54CDC4C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1,206,868</w:t>
            </w:r>
          </w:p>
        </w:tc>
        <w:tc>
          <w:tcPr>
            <w:tcW w:w="155" w:type="pct"/>
            <w:tcBorders>
              <w:top w:val="nil"/>
              <w:left w:val="nil"/>
              <w:bottom w:val="single" w:sz="8" w:space="0" w:color="auto"/>
              <w:right w:val="single" w:sz="4" w:space="0" w:color="auto"/>
            </w:tcBorders>
            <w:shd w:val="clear" w:color="auto" w:fill="auto"/>
            <w:vAlign w:val="center"/>
            <w:hideMark/>
          </w:tcPr>
          <w:p w14:paraId="7502C4D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0646F91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1,206,868</w:t>
            </w:r>
          </w:p>
        </w:tc>
        <w:tc>
          <w:tcPr>
            <w:tcW w:w="165" w:type="pct"/>
            <w:tcBorders>
              <w:top w:val="nil"/>
              <w:left w:val="nil"/>
              <w:bottom w:val="single" w:sz="8" w:space="0" w:color="auto"/>
              <w:right w:val="single" w:sz="4" w:space="0" w:color="auto"/>
            </w:tcBorders>
            <w:shd w:val="clear" w:color="auto" w:fill="auto"/>
            <w:vAlign w:val="center"/>
            <w:hideMark/>
          </w:tcPr>
          <w:p w14:paraId="6BCF118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1,206,868</w:t>
            </w:r>
          </w:p>
        </w:tc>
        <w:tc>
          <w:tcPr>
            <w:tcW w:w="163" w:type="pct"/>
            <w:tcBorders>
              <w:top w:val="nil"/>
              <w:left w:val="nil"/>
              <w:bottom w:val="single" w:sz="8" w:space="0" w:color="auto"/>
              <w:right w:val="single" w:sz="4" w:space="0" w:color="auto"/>
            </w:tcBorders>
            <w:shd w:val="clear" w:color="auto" w:fill="auto"/>
            <w:vAlign w:val="center"/>
            <w:hideMark/>
          </w:tcPr>
          <w:p w14:paraId="01DFE23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04F5921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1,206,868</w:t>
            </w:r>
          </w:p>
        </w:tc>
        <w:tc>
          <w:tcPr>
            <w:tcW w:w="163" w:type="pct"/>
            <w:tcBorders>
              <w:top w:val="nil"/>
              <w:left w:val="nil"/>
              <w:bottom w:val="single" w:sz="8" w:space="0" w:color="auto"/>
              <w:right w:val="single" w:sz="4" w:space="0" w:color="auto"/>
            </w:tcBorders>
            <w:shd w:val="clear" w:color="auto" w:fill="auto"/>
            <w:vAlign w:val="center"/>
            <w:hideMark/>
          </w:tcPr>
          <w:p w14:paraId="5BF1AAA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1,206,868</w:t>
            </w:r>
          </w:p>
        </w:tc>
        <w:tc>
          <w:tcPr>
            <w:tcW w:w="148" w:type="pct"/>
            <w:tcBorders>
              <w:top w:val="nil"/>
              <w:left w:val="nil"/>
              <w:bottom w:val="single" w:sz="8" w:space="0" w:color="auto"/>
              <w:right w:val="single" w:sz="4" w:space="0" w:color="auto"/>
            </w:tcBorders>
            <w:shd w:val="clear" w:color="auto" w:fill="auto"/>
            <w:vAlign w:val="center"/>
            <w:hideMark/>
          </w:tcPr>
          <w:p w14:paraId="612DECD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39E470B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1,206,868</w:t>
            </w:r>
          </w:p>
        </w:tc>
        <w:tc>
          <w:tcPr>
            <w:tcW w:w="165" w:type="pct"/>
            <w:tcBorders>
              <w:top w:val="nil"/>
              <w:left w:val="nil"/>
              <w:bottom w:val="single" w:sz="4" w:space="0" w:color="auto"/>
              <w:right w:val="single" w:sz="4" w:space="0" w:color="auto"/>
            </w:tcBorders>
            <w:shd w:val="clear" w:color="auto" w:fill="auto"/>
            <w:vAlign w:val="center"/>
            <w:hideMark/>
          </w:tcPr>
          <w:p w14:paraId="0BC3F5B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3,620,604</w:t>
            </w:r>
          </w:p>
        </w:tc>
        <w:tc>
          <w:tcPr>
            <w:tcW w:w="163" w:type="pct"/>
            <w:tcBorders>
              <w:top w:val="nil"/>
              <w:left w:val="nil"/>
              <w:bottom w:val="single" w:sz="4" w:space="0" w:color="auto"/>
              <w:right w:val="single" w:sz="4" w:space="0" w:color="auto"/>
            </w:tcBorders>
            <w:shd w:val="clear" w:color="auto" w:fill="auto"/>
            <w:vAlign w:val="center"/>
            <w:hideMark/>
          </w:tcPr>
          <w:p w14:paraId="77B5546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0273C9B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3,620,604</w:t>
            </w:r>
          </w:p>
        </w:tc>
        <w:tc>
          <w:tcPr>
            <w:tcW w:w="163" w:type="pct"/>
            <w:tcBorders>
              <w:top w:val="nil"/>
              <w:left w:val="nil"/>
              <w:bottom w:val="single" w:sz="8" w:space="0" w:color="auto"/>
              <w:right w:val="single" w:sz="4" w:space="0" w:color="auto"/>
            </w:tcBorders>
            <w:shd w:val="clear" w:color="auto" w:fill="auto"/>
            <w:vAlign w:val="center"/>
            <w:hideMark/>
          </w:tcPr>
          <w:p w14:paraId="2F0F14B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3,620,604</w:t>
            </w:r>
          </w:p>
        </w:tc>
        <w:tc>
          <w:tcPr>
            <w:tcW w:w="155" w:type="pct"/>
            <w:tcBorders>
              <w:top w:val="nil"/>
              <w:left w:val="nil"/>
              <w:bottom w:val="single" w:sz="8" w:space="0" w:color="auto"/>
              <w:right w:val="single" w:sz="4" w:space="0" w:color="auto"/>
            </w:tcBorders>
            <w:shd w:val="clear" w:color="auto" w:fill="auto"/>
            <w:vAlign w:val="center"/>
            <w:hideMark/>
          </w:tcPr>
          <w:p w14:paraId="709AFED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052F2B5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3,620,604</w:t>
            </w:r>
          </w:p>
        </w:tc>
        <w:tc>
          <w:tcPr>
            <w:tcW w:w="162" w:type="pct"/>
            <w:tcBorders>
              <w:top w:val="nil"/>
              <w:left w:val="nil"/>
              <w:bottom w:val="single" w:sz="8" w:space="0" w:color="auto"/>
              <w:right w:val="single" w:sz="4" w:space="0" w:color="auto"/>
            </w:tcBorders>
            <w:shd w:val="clear" w:color="auto" w:fill="auto"/>
            <w:vAlign w:val="center"/>
            <w:hideMark/>
          </w:tcPr>
          <w:p w14:paraId="7D9F5D8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8" w:space="0" w:color="auto"/>
              <w:right w:val="single" w:sz="4" w:space="0" w:color="auto"/>
            </w:tcBorders>
            <w:shd w:val="clear" w:color="auto" w:fill="auto"/>
            <w:vAlign w:val="center"/>
            <w:hideMark/>
          </w:tcPr>
          <w:p w14:paraId="65D426E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8" w:space="0" w:color="auto"/>
              <w:right w:val="single" w:sz="4" w:space="0" w:color="auto"/>
            </w:tcBorders>
            <w:shd w:val="clear" w:color="auto" w:fill="auto"/>
            <w:vAlign w:val="center"/>
            <w:hideMark/>
          </w:tcPr>
          <w:p w14:paraId="16E69AD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27CEA87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8" w:space="0" w:color="auto"/>
              <w:right w:val="single" w:sz="4" w:space="0" w:color="auto"/>
            </w:tcBorders>
            <w:shd w:val="clear" w:color="auto" w:fill="auto"/>
            <w:vAlign w:val="center"/>
            <w:hideMark/>
          </w:tcPr>
          <w:p w14:paraId="3E216A7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8" w:space="0" w:color="auto"/>
              <w:right w:val="single" w:sz="4" w:space="0" w:color="auto"/>
            </w:tcBorders>
            <w:shd w:val="clear" w:color="auto" w:fill="auto"/>
            <w:vAlign w:val="center"/>
            <w:hideMark/>
          </w:tcPr>
          <w:p w14:paraId="22FF436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35C8D7C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7509AFB9" w14:textId="277A84B3"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68A55ECE" w14:textId="77777777" w:rsidTr="00C260C3">
        <w:trPr>
          <w:trHeight w:val="20"/>
        </w:trPr>
        <w:tc>
          <w:tcPr>
            <w:tcW w:w="131" w:type="pct"/>
            <w:tcBorders>
              <w:top w:val="nil"/>
              <w:left w:val="single" w:sz="4" w:space="0" w:color="auto"/>
              <w:bottom w:val="nil"/>
              <w:right w:val="single" w:sz="4" w:space="0" w:color="auto"/>
            </w:tcBorders>
            <w:shd w:val="clear" w:color="000000" w:fill="D9D9D9"/>
            <w:vAlign w:val="center"/>
            <w:hideMark/>
          </w:tcPr>
          <w:p w14:paraId="1D008E5D"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81" w:type="pct"/>
            <w:tcBorders>
              <w:top w:val="nil"/>
              <w:left w:val="nil"/>
              <w:bottom w:val="nil"/>
              <w:right w:val="single" w:sz="4" w:space="0" w:color="auto"/>
            </w:tcBorders>
            <w:shd w:val="clear" w:color="000000" w:fill="D9D9D9"/>
            <w:vAlign w:val="center"/>
            <w:hideMark/>
          </w:tcPr>
          <w:p w14:paraId="39624B05" w14:textId="7C49F221" w:rsidR="00C260C3" w:rsidRPr="00B457F5" w:rsidRDefault="00C260C3" w:rsidP="00C260C3">
            <w:pPr>
              <w:spacing w:before="0" w:after="0"/>
              <w:jc w:val="lef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Kosto</w:t>
            </w:r>
            <w:r w:rsidR="006A63AF" w:rsidRPr="00B457F5">
              <w:rPr>
                <w:rFonts w:ascii="Garamond" w:eastAsia="Times New Roman" w:hAnsi="Garamond" w:cs="Times New Roman"/>
                <w:b/>
                <w:bCs/>
                <w:color w:val="FF0000"/>
                <w:sz w:val="4"/>
                <w:szCs w:val="10"/>
              </w:rPr>
              <w:t>ja</w:t>
            </w:r>
            <w:r w:rsidRPr="00B457F5">
              <w:rPr>
                <w:rFonts w:ascii="Garamond" w:eastAsia="Times New Roman" w:hAnsi="Garamond" w:cs="Times New Roman"/>
                <w:b/>
                <w:bCs/>
                <w:color w:val="FF0000"/>
                <w:sz w:val="4"/>
                <w:szCs w:val="10"/>
              </w:rPr>
              <w:t xml:space="preserve"> treguese</w:t>
            </w:r>
            <w:r w:rsidR="006A63AF" w:rsidRPr="00B457F5">
              <w:rPr>
                <w:rFonts w:ascii="Garamond" w:eastAsia="Times New Roman" w:hAnsi="Garamond" w:cs="Times New Roman"/>
                <w:b/>
                <w:bCs/>
                <w:color w:val="FF0000"/>
                <w:sz w:val="4"/>
                <w:szCs w:val="10"/>
              </w:rPr>
              <w:t xml:space="preserve"> e</w:t>
            </w:r>
            <w:r w:rsidR="0006016F" w:rsidRPr="00B457F5">
              <w:rPr>
                <w:rFonts w:ascii="Garamond" w:eastAsia="Times New Roman" w:hAnsi="Garamond" w:cs="Times New Roman"/>
                <w:b/>
                <w:bCs/>
                <w:color w:val="FF0000"/>
                <w:sz w:val="4"/>
                <w:szCs w:val="10"/>
              </w:rPr>
              <w:t xml:space="preserve"> </w:t>
            </w:r>
            <w:r w:rsidR="006A63AF" w:rsidRPr="00B457F5">
              <w:rPr>
                <w:rFonts w:ascii="Garamond" w:eastAsia="Times New Roman" w:hAnsi="Garamond" w:cs="Times New Roman"/>
                <w:b/>
                <w:bCs/>
                <w:color w:val="FF0000"/>
                <w:sz w:val="4"/>
                <w:szCs w:val="10"/>
              </w:rPr>
              <w:t>o</w:t>
            </w:r>
            <w:r w:rsidRPr="00B457F5">
              <w:rPr>
                <w:rFonts w:ascii="Garamond" w:eastAsia="Times New Roman" w:hAnsi="Garamond" w:cs="Times New Roman"/>
                <w:b/>
                <w:bCs/>
                <w:color w:val="FF0000"/>
                <w:sz w:val="4"/>
                <w:szCs w:val="10"/>
              </w:rPr>
              <w:t>bjektivi</w:t>
            </w:r>
            <w:r w:rsidR="006A63AF" w:rsidRPr="00B457F5">
              <w:rPr>
                <w:rFonts w:ascii="Garamond" w:eastAsia="Times New Roman" w:hAnsi="Garamond" w:cs="Times New Roman"/>
                <w:b/>
                <w:bCs/>
                <w:color w:val="FF0000"/>
                <w:sz w:val="4"/>
                <w:szCs w:val="10"/>
              </w:rPr>
              <w:t>t</w:t>
            </w:r>
            <w:r w:rsidRPr="00B457F5">
              <w:rPr>
                <w:rFonts w:ascii="Garamond" w:eastAsia="Times New Roman" w:hAnsi="Garamond" w:cs="Times New Roman"/>
                <w:b/>
                <w:bCs/>
                <w:color w:val="FF0000"/>
                <w:sz w:val="4"/>
                <w:szCs w:val="10"/>
              </w:rPr>
              <w:t xml:space="preserve"> specifik 1.3</w:t>
            </w:r>
          </w:p>
        </w:tc>
        <w:tc>
          <w:tcPr>
            <w:tcW w:w="186" w:type="pct"/>
            <w:tcBorders>
              <w:top w:val="nil"/>
              <w:left w:val="nil"/>
              <w:bottom w:val="nil"/>
              <w:right w:val="single" w:sz="4" w:space="0" w:color="auto"/>
            </w:tcBorders>
            <w:shd w:val="clear" w:color="000000" w:fill="D9D9D9"/>
            <w:vAlign w:val="center"/>
            <w:hideMark/>
          </w:tcPr>
          <w:p w14:paraId="0AE4D25D"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9" w:type="pct"/>
            <w:tcBorders>
              <w:top w:val="nil"/>
              <w:left w:val="nil"/>
              <w:bottom w:val="nil"/>
              <w:right w:val="single" w:sz="4" w:space="0" w:color="auto"/>
            </w:tcBorders>
            <w:shd w:val="clear" w:color="000000" w:fill="D9D9D9"/>
            <w:vAlign w:val="center"/>
            <w:hideMark/>
          </w:tcPr>
          <w:p w14:paraId="07670192"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44" w:type="pct"/>
            <w:tcBorders>
              <w:top w:val="nil"/>
              <w:left w:val="nil"/>
              <w:bottom w:val="nil"/>
              <w:right w:val="single" w:sz="4" w:space="0" w:color="auto"/>
            </w:tcBorders>
            <w:shd w:val="clear" w:color="000000" w:fill="D9D9D9"/>
            <w:vAlign w:val="center"/>
            <w:hideMark/>
          </w:tcPr>
          <w:p w14:paraId="15B3F1F8"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35" w:type="pct"/>
            <w:tcBorders>
              <w:top w:val="nil"/>
              <w:left w:val="nil"/>
              <w:bottom w:val="nil"/>
              <w:right w:val="single" w:sz="4" w:space="0" w:color="auto"/>
            </w:tcBorders>
            <w:shd w:val="clear" w:color="000000" w:fill="D9D9D9"/>
            <w:vAlign w:val="center"/>
            <w:hideMark/>
          </w:tcPr>
          <w:p w14:paraId="335665DA"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2" w:type="pct"/>
            <w:tcBorders>
              <w:top w:val="nil"/>
              <w:left w:val="nil"/>
              <w:bottom w:val="nil"/>
              <w:right w:val="single" w:sz="4" w:space="0" w:color="auto"/>
            </w:tcBorders>
            <w:shd w:val="clear" w:color="000000" w:fill="D9D9D9"/>
            <w:vAlign w:val="center"/>
            <w:hideMark/>
          </w:tcPr>
          <w:p w14:paraId="148E1CDD"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nil"/>
              <w:right w:val="single" w:sz="4" w:space="0" w:color="auto"/>
            </w:tcBorders>
            <w:shd w:val="clear" w:color="000000" w:fill="D9D9D9"/>
            <w:vAlign w:val="center"/>
            <w:hideMark/>
          </w:tcPr>
          <w:p w14:paraId="2AF5F465"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10,332,571</w:t>
            </w:r>
          </w:p>
        </w:tc>
        <w:tc>
          <w:tcPr>
            <w:tcW w:w="155" w:type="pct"/>
            <w:tcBorders>
              <w:top w:val="nil"/>
              <w:left w:val="nil"/>
              <w:bottom w:val="nil"/>
              <w:right w:val="single" w:sz="4" w:space="0" w:color="auto"/>
            </w:tcBorders>
            <w:shd w:val="clear" w:color="000000" w:fill="D9D9D9"/>
            <w:vAlign w:val="center"/>
            <w:hideMark/>
          </w:tcPr>
          <w:p w14:paraId="38ADA3AE"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2" w:type="pct"/>
            <w:tcBorders>
              <w:top w:val="nil"/>
              <w:left w:val="nil"/>
              <w:bottom w:val="nil"/>
              <w:right w:val="single" w:sz="4" w:space="0" w:color="auto"/>
            </w:tcBorders>
            <w:shd w:val="clear" w:color="000000" w:fill="D9D9D9"/>
            <w:vAlign w:val="center"/>
            <w:hideMark/>
          </w:tcPr>
          <w:p w14:paraId="786D0DA5"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10,332,571</w:t>
            </w:r>
          </w:p>
        </w:tc>
        <w:tc>
          <w:tcPr>
            <w:tcW w:w="165" w:type="pct"/>
            <w:tcBorders>
              <w:top w:val="nil"/>
              <w:left w:val="nil"/>
              <w:bottom w:val="nil"/>
              <w:right w:val="single" w:sz="4" w:space="0" w:color="auto"/>
            </w:tcBorders>
            <w:shd w:val="clear" w:color="000000" w:fill="D9D9D9"/>
            <w:vAlign w:val="center"/>
            <w:hideMark/>
          </w:tcPr>
          <w:p w14:paraId="0AB15F11"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10,332,571</w:t>
            </w:r>
          </w:p>
        </w:tc>
        <w:tc>
          <w:tcPr>
            <w:tcW w:w="163" w:type="pct"/>
            <w:tcBorders>
              <w:top w:val="nil"/>
              <w:left w:val="nil"/>
              <w:bottom w:val="nil"/>
              <w:right w:val="single" w:sz="4" w:space="0" w:color="auto"/>
            </w:tcBorders>
            <w:shd w:val="clear" w:color="000000" w:fill="D9D9D9"/>
            <w:vAlign w:val="center"/>
            <w:hideMark/>
          </w:tcPr>
          <w:p w14:paraId="5198C6D9"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3" w:type="pct"/>
            <w:tcBorders>
              <w:top w:val="nil"/>
              <w:left w:val="nil"/>
              <w:bottom w:val="nil"/>
              <w:right w:val="single" w:sz="4" w:space="0" w:color="auto"/>
            </w:tcBorders>
            <w:shd w:val="clear" w:color="000000" w:fill="D9D9D9"/>
            <w:vAlign w:val="center"/>
            <w:hideMark/>
          </w:tcPr>
          <w:p w14:paraId="6D114B18"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10,332,571</w:t>
            </w:r>
          </w:p>
        </w:tc>
        <w:tc>
          <w:tcPr>
            <w:tcW w:w="163" w:type="pct"/>
            <w:tcBorders>
              <w:top w:val="nil"/>
              <w:left w:val="nil"/>
              <w:bottom w:val="nil"/>
              <w:right w:val="single" w:sz="4" w:space="0" w:color="auto"/>
            </w:tcBorders>
            <w:shd w:val="clear" w:color="000000" w:fill="D9D9D9"/>
            <w:vAlign w:val="center"/>
            <w:hideMark/>
          </w:tcPr>
          <w:p w14:paraId="4B7AD6DF"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10,332,571</w:t>
            </w:r>
          </w:p>
        </w:tc>
        <w:tc>
          <w:tcPr>
            <w:tcW w:w="148" w:type="pct"/>
            <w:tcBorders>
              <w:top w:val="nil"/>
              <w:left w:val="nil"/>
              <w:bottom w:val="nil"/>
              <w:right w:val="single" w:sz="4" w:space="0" w:color="auto"/>
            </w:tcBorders>
            <w:shd w:val="clear" w:color="000000" w:fill="D9D9D9"/>
            <w:vAlign w:val="center"/>
            <w:hideMark/>
          </w:tcPr>
          <w:p w14:paraId="42920C4B"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2" w:type="pct"/>
            <w:tcBorders>
              <w:top w:val="nil"/>
              <w:left w:val="nil"/>
              <w:bottom w:val="nil"/>
              <w:right w:val="single" w:sz="4" w:space="0" w:color="auto"/>
            </w:tcBorders>
            <w:shd w:val="clear" w:color="000000" w:fill="D9D9D9"/>
            <w:vAlign w:val="center"/>
            <w:hideMark/>
          </w:tcPr>
          <w:p w14:paraId="77EE669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10,332,571</w:t>
            </w:r>
          </w:p>
        </w:tc>
        <w:tc>
          <w:tcPr>
            <w:tcW w:w="165" w:type="pct"/>
            <w:tcBorders>
              <w:top w:val="nil"/>
              <w:left w:val="nil"/>
              <w:bottom w:val="nil"/>
              <w:right w:val="single" w:sz="4" w:space="0" w:color="auto"/>
            </w:tcBorders>
            <w:shd w:val="clear" w:color="000000" w:fill="D9D9D9"/>
            <w:vAlign w:val="center"/>
            <w:hideMark/>
          </w:tcPr>
          <w:p w14:paraId="0FE1DA4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30,997,713</w:t>
            </w:r>
          </w:p>
        </w:tc>
        <w:tc>
          <w:tcPr>
            <w:tcW w:w="163" w:type="pct"/>
            <w:tcBorders>
              <w:top w:val="nil"/>
              <w:left w:val="nil"/>
              <w:bottom w:val="nil"/>
              <w:right w:val="single" w:sz="4" w:space="0" w:color="auto"/>
            </w:tcBorders>
            <w:shd w:val="clear" w:color="000000" w:fill="D9D9D9"/>
            <w:vAlign w:val="center"/>
            <w:hideMark/>
          </w:tcPr>
          <w:p w14:paraId="667F137B"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5" w:type="pct"/>
            <w:tcBorders>
              <w:top w:val="nil"/>
              <w:left w:val="nil"/>
              <w:bottom w:val="nil"/>
              <w:right w:val="single" w:sz="4" w:space="0" w:color="auto"/>
            </w:tcBorders>
            <w:shd w:val="clear" w:color="000000" w:fill="D9D9D9"/>
            <w:vAlign w:val="center"/>
            <w:hideMark/>
          </w:tcPr>
          <w:p w14:paraId="341B390A"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30,997,713</w:t>
            </w:r>
          </w:p>
        </w:tc>
        <w:tc>
          <w:tcPr>
            <w:tcW w:w="163" w:type="pct"/>
            <w:tcBorders>
              <w:top w:val="nil"/>
              <w:left w:val="nil"/>
              <w:bottom w:val="nil"/>
              <w:right w:val="single" w:sz="4" w:space="0" w:color="auto"/>
            </w:tcBorders>
            <w:shd w:val="clear" w:color="000000" w:fill="D9D9D9"/>
            <w:vAlign w:val="center"/>
            <w:hideMark/>
          </w:tcPr>
          <w:p w14:paraId="136808EE"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19,117,713</w:t>
            </w:r>
          </w:p>
        </w:tc>
        <w:tc>
          <w:tcPr>
            <w:tcW w:w="155" w:type="pct"/>
            <w:tcBorders>
              <w:top w:val="nil"/>
              <w:left w:val="nil"/>
              <w:bottom w:val="nil"/>
              <w:right w:val="single" w:sz="4" w:space="0" w:color="auto"/>
            </w:tcBorders>
            <w:shd w:val="clear" w:color="000000" w:fill="D9D9D9"/>
            <w:vAlign w:val="center"/>
            <w:hideMark/>
          </w:tcPr>
          <w:p w14:paraId="192B533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3" w:type="pct"/>
            <w:tcBorders>
              <w:top w:val="nil"/>
              <w:left w:val="nil"/>
              <w:bottom w:val="nil"/>
              <w:right w:val="single" w:sz="4" w:space="0" w:color="auto"/>
            </w:tcBorders>
            <w:shd w:val="clear" w:color="000000" w:fill="D9D9D9"/>
            <w:vAlign w:val="center"/>
            <w:hideMark/>
          </w:tcPr>
          <w:p w14:paraId="2E23A2F8"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19,117,713</w:t>
            </w:r>
          </w:p>
        </w:tc>
        <w:tc>
          <w:tcPr>
            <w:tcW w:w="162" w:type="pct"/>
            <w:tcBorders>
              <w:top w:val="nil"/>
              <w:left w:val="nil"/>
              <w:bottom w:val="nil"/>
              <w:right w:val="single" w:sz="4" w:space="0" w:color="auto"/>
            </w:tcBorders>
            <w:shd w:val="clear" w:color="000000" w:fill="D9D9D9"/>
            <w:vAlign w:val="center"/>
            <w:hideMark/>
          </w:tcPr>
          <w:p w14:paraId="282FDCF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55" w:type="pct"/>
            <w:tcBorders>
              <w:top w:val="nil"/>
              <w:left w:val="nil"/>
              <w:bottom w:val="nil"/>
              <w:right w:val="single" w:sz="4" w:space="0" w:color="auto"/>
            </w:tcBorders>
            <w:shd w:val="clear" w:color="000000" w:fill="D9D9D9"/>
            <w:vAlign w:val="center"/>
            <w:hideMark/>
          </w:tcPr>
          <w:p w14:paraId="4F3C8D2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218" w:type="pct"/>
            <w:tcBorders>
              <w:top w:val="nil"/>
              <w:left w:val="nil"/>
              <w:bottom w:val="nil"/>
              <w:right w:val="single" w:sz="4" w:space="0" w:color="auto"/>
            </w:tcBorders>
            <w:shd w:val="clear" w:color="000000" w:fill="D9D9D9"/>
            <w:vAlign w:val="center"/>
            <w:hideMark/>
          </w:tcPr>
          <w:p w14:paraId="6100DFF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nil"/>
              <w:right w:val="single" w:sz="4" w:space="0" w:color="auto"/>
            </w:tcBorders>
            <w:shd w:val="clear" w:color="000000" w:fill="D9D9D9"/>
            <w:vAlign w:val="center"/>
            <w:hideMark/>
          </w:tcPr>
          <w:p w14:paraId="799C36A1"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39" w:type="pct"/>
            <w:tcBorders>
              <w:top w:val="nil"/>
              <w:left w:val="nil"/>
              <w:bottom w:val="nil"/>
              <w:right w:val="single" w:sz="4" w:space="0" w:color="auto"/>
            </w:tcBorders>
            <w:shd w:val="clear" w:color="000000" w:fill="D9D9D9"/>
            <w:vAlign w:val="center"/>
            <w:hideMark/>
          </w:tcPr>
          <w:p w14:paraId="78E8B805"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42" w:type="pct"/>
            <w:tcBorders>
              <w:top w:val="nil"/>
              <w:left w:val="nil"/>
              <w:bottom w:val="nil"/>
              <w:right w:val="single" w:sz="4" w:space="0" w:color="auto"/>
            </w:tcBorders>
            <w:shd w:val="clear" w:color="000000" w:fill="D9D9D9"/>
            <w:vAlign w:val="center"/>
            <w:hideMark/>
          </w:tcPr>
          <w:p w14:paraId="12E889A3"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28" w:type="pct"/>
            <w:tcBorders>
              <w:top w:val="nil"/>
              <w:left w:val="nil"/>
              <w:bottom w:val="nil"/>
              <w:right w:val="single" w:sz="4" w:space="0" w:color="auto"/>
            </w:tcBorders>
            <w:shd w:val="clear" w:color="000000" w:fill="D9D9D9"/>
            <w:vAlign w:val="center"/>
            <w:hideMark/>
          </w:tcPr>
          <w:p w14:paraId="7DF4E26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77" w:type="pct"/>
            <w:tcBorders>
              <w:top w:val="nil"/>
              <w:left w:val="nil"/>
              <w:bottom w:val="nil"/>
              <w:right w:val="single" w:sz="4" w:space="0" w:color="auto"/>
            </w:tcBorders>
            <w:shd w:val="clear" w:color="000000" w:fill="D9D9D9"/>
            <w:vAlign w:val="center"/>
            <w:hideMark/>
          </w:tcPr>
          <w:p w14:paraId="369E0EAA" w14:textId="0A32F062"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(11,880,000)</w:t>
            </w:r>
          </w:p>
        </w:tc>
      </w:tr>
      <w:tr w:rsidR="00C260C3" w:rsidRPr="00B457F5" w14:paraId="586CB1EC" w14:textId="77777777" w:rsidTr="00C260C3">
        <w:trPr>
          <w:trHeight w:val="20"/>
        </w:trPr>
        <w:tc>
          <w:tcPr>
            <w:tcW w:w="1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32F6E1"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1.4</w:t>
            </w:r>
          </w:p>
        </w:tc>
        <w:tc>
          <w:tcPr>
            <w:tcW w:w="281" w:type="pct"/>
            <w:tcBorders>
              <w:top w:val="single" w:sz="4" w:space="0" w:color="auto"/>
              <w:left w:val="nil"/>
              <w:bottom w:val="single" w:sz="4" w:space="0" w:color="auto"/>
              <w:right w:val="single" w:sz="4" w:space="0" w:color="auto"/>
            </w:tcBorders>
            <w:shd w:val="clear" w:color="auto" w:fill="auto"/>
            <w:vAlign w:val="center"/>
            <w:hideMark/>
          </w:tcPr>
          <w:p w14:paraId="5D35DABF" w14:textId="5378156A"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Objektivi specifik 1.4</w:t>
            </w:r>
            <w:r w:rsidR="006A63AF" w:rsidRPr="00B457F5">
              <w:rPr>
                <w:rFonts w:ascii="Garamond" w:eastAsia="Times New Roman" w:hAnsi="Garamond" w:cs="Times New Roman"/>
                <w:b/>
                <w:bCs/>
                <w:color w:val="000000"/>
                <w:sz w:val="4"/>
                <w:szCs w:val="10"/>
              </w:rPr>
              <w:t>:</w:t>
            </w:r>
            <w:r w:rsidRPr="00B457F5">
              <w:rPr>
                <w:rFonts w:ascii="Garamond" w:eastAsia="Times New Roman" w:hAnsi="Garamond" w:cs="Times New Roman"/>
                <w:b/>
                <w:bCs/>
                <w:color w:val="000000"/>
                <w:sz w:val="4"/>
                <w:szCs w:val="10"/>
              </w:rPr>
              <w:t xml:space="preserve"> Parandalimi i</w:t>
            </w:r>
            <w:r w:rsidR="0006016F" w:rsidRPr="00B457F5">
              <w:rPr>
                <w:rFonts w:ascii="Garamond" w:eastAsia="Times New Roman" w:hAnsi="Garamond" w:cs="Times New Roman"/>
                <w:b/>
                <w:bCs/>
                <w:color w:val="000000"/>
                <w:sz w:val="4"/>
                <w:szCs w:val="10"/>
              </w:rPr>
              <w:t xml:space="preserve"> </w:t>
            </w:r>
            <w:r w:rsidRPr="00B457F5">
              <w:rPr>
                <w:rFonts w:ascii="Garamond" w:eastAsia="Times New Roman" w:hAnsi="Garamond" w:cs="Times New Roman"/>
                <w:b/>
                <w:bCs/>
                <w:color w:val="000000"/>
                <w:sz w:val="4"/>
                <w:szCs w:val="10"/>
              </w:rPr>
              <w:t>migracionit të parregullt në dhe nga Shqipëria</w:t>
            </w:r>
          </w:p>
        </w:tc>
        <w:tc>
          <w:tcPr>
            <w:tcW w:w="186" w:type="pct"/>
            <w:tcBorders>
              <w:top w:val="single" w:sz="4" w:space="0" w:color="auto"/>
              <w:left w:val="nil"/>
              <w:bottom w:val="single" w:sz="4" w:space="0" w:color="auto"/>
              <w:right w:val="single" w:sz="4" w:space="0" w:color="auto"/>
            </w:tcBorders>
            <w:shd w:val="clear" w:color="auto" w:fill="auto"/>
            <w:vAlign w:val="center"/>
            <w:hideMark/>
          </w:tcPr>
          <w:p w14:paraId="7615B663"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9" w:type="pct"/>
            <w:tcBorders>
              <w:top w:val="single" w:sz="4" w:space="0" w:color="auto"/>
              <w:left w:val="nil"/>
              <w:bottom w:val="single" w:sz="4" w:space="0" w:color="auto"/>
              <w:right w:val="single" w:sz="4" w:space="0" w:color="auto"/>
            </w:tcBorders>
            <w:shd w:val="clear" w:color="auto" w:fill="auto"/>
            <w:vAlign w:val="center"/>
            <w:hideMark/>
          </w:tcPr>
          <w:p w14:paraId="3A02EE79"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44" w:type="pct"/>
            <w:tcBorders>
              <w:top w:val="single" w:sz="4" w:space="0" w:color="auto"/>
              <w:left w:val="nil"/>
              <w:bottom w:val="single" w:sz="4" w:space="0" w:color="auto"/>
              <w:right w:val="single" w:sz="4" w:space="0" w:color="auto"/>
            </w:tcBorders>
            <w:shd w:val="clear" w:color="auto" w:fill="auto"/>
            <w:vAlign w:val="center"/>
            <w:hideMark/>
          </w:tcPr>
          <w:p w14:paraId="1D837133"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35" w:type="pct"/>
            <w:tcBorders>
              <w:top w:val="single" w:sz="4" w:space="0" w:color="auto"/>
              <w:left w:val="nil"/>
              <w:bottom w:val="single" w:sz="4" w:space="0" w:color="auto"/>
              <w:right w:val="single" w:sz="4" w:space="0" w:color="auto"/>
            </w:tcBorders>
            <w:shd w:val="clear" w:color="auto" w:fill="auto"/>
            <w:vAlign w:val="center"/>
            <w:hideMark/>
          </w:tcPr>
          <w:p w14:paraId="569A71D1"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2" w:type="pct"/>
            <w:tcBorders>
              <w:top w:val="single" w:sz="4" w:space="0" w:color="auto"/>
              <w:left w:val="nil"/>
              <w:bottom w:val="single" w:sz="4" w:space="0" w:color="auto"/>
              <w:right w:val="single" w:sz="4" w:space="0" w:color="auto"/>
            </w:tcBorders>
            <w:shd w:val="clear" w:color="auto" w:fill="auto"/>
            <w:vAlign w:val="center"/>
            <w:hideMark/>
          </w:tcPr>
          <w:p w14:paraId="7E0D32EB"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single" w:sz="4" w:space="0" w:color="auto"/>
              <w:left w:val="nil"/>
              <w:bottom w:val="single" w:sz="4" w:space="0" w:color="auto"/>
              <w:right w:val="single" w:sz="4" w:space="0" w:color="auto"/>
            </w:tcBorders>
            <w:shd w:val="clear" w:color="auto" w:fill="auto"/>
            <w:vAlign w:val="center"/>
            <w:hideMark/>
          </w:tcPr>
          <w:p w14:paraId="5B6752F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55" w:type="pct"/>
            <w:tcBorders>
              <w:top w:val="single" w:sz="4" w:space="0" w:color="auto"/>
              <w:left w:val="nil"/>
              <w:bottom w:val="single" w:sz="4" w:space="0" w:color="auto"/>
              <w:right w:val="single" w:sz="4" w:space="0" w:color="auto"/>
            </w:tcBorders>
            <w:shd w:val="clear" w:color="auto" w:fill="auto"/>
            <w:vAlign w:val="center"/>
            <w:hideMark/>
          </w:tcPr>
          <w:p w14:paraId="25E68F4B"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2" w:type="pct"/>
            <w:tcBorders>
              <w:top w:val="single" w:sz="4" w:space="0" w:color="auto"/>
              <w:left w:val="nil"/>
              <w:bottom w:val="single" w:sz="4" w:space="0" w:color="auto"/>
              <w:right w:val="single" w:sz="4" w:space="0" w:color="auto"/>
            </w:tcBorders>
            <w:shd w:val="clear" w:color="auto" w:fill="auto"/>
            <w:vAlign w:val="center"/>
            <w:hideMark/>
          </w:tcPr>
          <w:p w14:paraId="1914079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5" w:type="pct"/>
            <w:tcBorders>
              <w:top w:val="single" w:sz="4" w:space="0" w:color="auto"/>
              <w:left w:val="nil"/>
              <w:bottom w:val="single" w:sz="4" w:space="0" w:color="auto"/>
              <w:right w:val="single" w:sz="4" w:space="0" w:color="auto"/>
            </w:tcBorders>
            <w:shd w:val="clear" w:color="auto" w:fill="auto"/>
            <w:vAlign w:val="center"/>
            <w:hideMark/>
          </w:tcPr>
          <w:p w14:paraId="3074E3EF"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single" w:sz="4" w:space="0" w:color="auto"/>
              <w:left w:val="nil"/>
              <w:bottom w:val="single" w:sz="4" w:space="0" w:color="auto"/>
              <w:right w:val="single" w:sz="4" w:space="0" w:color="auto"/>
            </w:tcBorders>
            <w:shd w:val="clear" w:color="auto" w:fill="auto"/>
            <w:vAlign w:val="center"/>
            <w:hideMark/>
          </w:tcPr>
          <w:p w14:paraId="0F590FC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single" w:sz="4" w:space="0" w:color="auto"/>
              <w:left w:val="nil"/>
              <w:bottom w:val="single" w:sz="4" w:space="0" w:color="auto"/>
              <w:right w:val="single" w:sz="4" w:space="0" w:color="auto"/>
            </w:tcBorders>
            <w:shd w:val="clear" w:color="auto" w:fill="auto"/>
            <w:vAlign w:val="center"/>
            <w:hideMark/>
          </w:tcPr>
          <w:p w14:paraId="66BE475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single" w:sz="4" w:space="0" w:color="auto"/>
              <w:left w:val="nil"/>
              <w:bottom w:val="single" w:sz="4" w:space="0" w:color="auto"/>
              <w:right w:val="single" w:sz="4" w:space="0" w:color="auto"/>
            </w:tcBorders>
            <w:shd w:val="clear" w:color="auto" w:fill="auto"/>
            <w:vAlign w:val="center"/>
            <w:hideMark/>
          </w:tcPr>
          <w:p w14:paraId="2CC3A17C"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48" w:type="pct"/>
            <w:tcBorders>
              <w:top w:val="single" w:sz="4" w:space="0" w:color="auto"/>
              <w:left w:val="nil"/>
              <w:bottom w:val="single" w:sz="4" w:space="0" w:color="auto"/>
              <w:right w:val="single" w:sz="4" w:space="0" w:color="auto"/>
            </w:tcBorders>
            <w:shd w:val="clear" w:color="auto" w:fill="auto"/>
            <w:vAlign w:val="center"/>
            <w:hideMark/>
          </w:tcPr>
          <w:p w14:paraId="6816D375"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2" w:type="pct"/>
            <w:tcBorders>
              <w:top w:val="single" w:sz="4" w:space="0" w:color="auto"/>
              <w:left w:val="nil"/>
              <w:bottom w:val="single" w:sz="4" w:space="0" w:color="auto"/>
              <w:right w:val="single" w:sz="4" w:space="0" w:color="auto"/>
            </w:tcBorders>
            <w:shd w:val="clear" w:color="auto" w:fill="auto"/>
            <w:vAlign w:val="center"/>
            <w:hideMark/>
          </w:tcPr>
          <w:p w14:paraId="4EBB1F4C"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5" w:type="pct"/>
            <w:tcBorders>
              <w:top w:val="single" w:sz="4" w:space="0" w:color="auto"/>
              <w:left w:val="nil"/>
              <w:bottom w:val="single" w:sz="4" w:space="0" w:color="auto"/>
              <w:right w:val="single" w:sz="4" w:space="0" w:color="auto"/>
            </w:tcBorders>
            <w:shd w:val="clear" w:color="auto" w:fill="auto"/>
            <w:vAlign w:val="center"/>
            <w:hideMark/>
          </w:tcPr>
          <w:p w14:paraId="7BAC80BF"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single" w:sz="4" w:space="0" w:color="auto"/>
              <w:left w:val="nil"/>
              <w:bottom w:val="single" w:sz="4" w:space="0" w:color="auto"/>
              <w:right w:val="single" w:sz="4" w:space="0" w:color="auto"/>
            </w:tcBorders>
            <w:shd w:val="clear" w:color="auto" w:fill="auto"/>
            <w:vAlign w:val="center"/>
            <w:hideMark/>
          </w:tcPr>
          <w:p w14:paraId="23D40CEF"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5" w:type="pct"/>
            <w:tcBorders>
              <w:top w:val="single" w:sz="4" w:space="0" w:color="auto"/>
              <w:left w:val="nil"/>
              <w:bottom w:val="single" w:sz="4" w:space="0" w:color="auto"/>
              <w:right w:val="single" w:sz="4" w:space="0" w:color="auto"/>
            </w:tcBorders>
            <w:shd w:val="clear" w:color="auto" w:fill="auto"/>
            <w:vAlign w:val="center"/>
            <w:hideMark/>
          </w:tcPr>
          <w:p w14:paraId="1900F5E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single" w:sz="4" w:space="0" w:color="auto"/>
              <w:left w:val="nil"/>
              <w:bottom w:val="single" w:sz="4" w:space="0" w:color="auto"/>
              <w:right w:val="single" w:sz="4" w:space="0" w:color="auto"/>
            </w:tcBorders>
            <w:shd w:val="clear" w:color="auto" w:fill="auto"/>
            <w:vAlign w:val="center"/>
            <w:hideMark/>
          </w:tcPr>
          <w:p w14:paraId="54E5966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55" w:type="pct"/>
            <w:tcBorders>
              <w:top w:val="single" w:sz="4" w:space="0" w:color="auto"/>
              <w:left w:val="nil"/>
              <w:bottom w:val="single" w:sz="4" w:space="0" w:color="auto"/>
              <w:right w:val="single" w:sz="4" w:space="0" w:color="auto"/>
            </w:tcBorders>
            <w:shd w:val="clear" w:color="auto" w:fill="auto"/>
            <w:vAlign w:val="center"/>
            <w:hideMark/>
          </w:tcPr>
          <w:p w14:paraId="06C7A2D8"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single" w:sz="4" w:space="0" w:color="auto"/>
              <w:left w:val="nil"/>
              <w:bottom w:val="single" w:sz="4" w:space="0" w:color="auto"/>
              <w:right w:val="single" w:sz="4" w:space="0" w:color="auto"/>
            </w:tcBorders>
            <w:shd w:val="clear" w:color="auto" w:fill="auto"/>
            <w:vAlign w:val="center"/>
            <w:hideMark/>
          </w:tcPr>
          <w:p w14:paraId="33BEFF80"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2" w:type="pct"/>
            <w:tcBorders>
              <w:top w:val="single" w:sz="4" w:space="0" w:color="auto"/>
              <w:left w:val="nil"/>
              <w:bottom w:val="single" w:sz="4" w:space="0" w:color="auto"/>
              <w:right w:val="single" w:sz="4" w:space="0" w:color="auto"/>
            </w:tcBorders>
            <w:shd w:val="clear" w:color="auto" w:fill="auto"/>
            <w:vAlign w:val="center"/>
            <w:hideMark/>
          </w:tcPr>
          <w:p w14:paraId="415CB2D5"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55" w:type="pct"/>
            <w:tcBorders>
              <w:top w:val="single" w:sz="4" w:space="0" w:color="auto"/>
              <w:left w:val="nil"/>
              <w:bottom w:val="single" w:sz="4" w:space="0" w:color="auto"/>
              <w:right w:val="single" w:sz="4" w:space="0" w:color="auto"/>
            </w:tcBorders>
            <w:shd w:val="clear" w:color="auto" w:fill="auto"/>
            <w:vAlign w:val="center"/>
            <w:hideMark/>
          </w:tcPr>
          <w:p w14:paraId="1C456D59"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218" w:type="pct"/>
            <w:tcBorders>
              <w:top w:val="single" w:sz="4" w:space="0" w:color="auto"/>
              <w:left w:val="nil"/>
              <w:bottom w:val="single" w:sz="4" w:space="0" w:color="auto"/>
              <w:right w:val="single" w:sz="4" w:space="0" w:color="auto"/>
            </w:tcBorders>
            <w:shd w:val="clear" w:color="auto" w:fill="auto"/>
            <w:vAlign w:val="center"/>
            <w:hideMark/>
          </w:tcPr>
          <w:p w14:paraId="2E80AC40"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single" w:sz="4" w:space="0" w:color="auto"/>
              <w:left w:val="nil"/>
              <w:bottom w:val="single" w:sz="4" w:space="0" w:color="auto"/>
              <w:right w:val="single" w:sz="4" w:space="0" w:color="auto"/>
            </w:tcBorders>
            <w:shd w:val="clear" w:color="auto" w:fill="auto"/>
            <w:vAlign w:val="center"/>
            <w:hideMark/>
          </w:tcPr>
          <w:p w14:paraId="195CE09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39" w:type="pct"/>
            <w:tcBorders>
              <w:top w:val="single" w:sz="4" w:space="0" w:color="auto"/>
              <w:left w:val="nil"/>
              <w:bottom w:val="single" w:sz="4" w:space="0" w:color="auto"/>
              <w:right w:val="single" w:sz="4" w:space="0" w:color="auto"/>
            </w:tcBorders>
            <w:shd w:val="clear" w:color="auto" w:fill="auto"/>
            <w:vAlign w:val="center"/>
            <w:hideMark/>
          </w:tcPr>
          <w:p w14:paraId="1B2052A1"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42" w:type="pct"/>
            <w:tcBorders>
              <w:top w:val="single" w:sz="4" w:space="0" w:color="auto"/>
              <w:left w:val="nil"/>
              <w:bottom w:val="single" w:sz="4" w:space="0" w:color="auto"/>
              <w:right w:val="single" w:sz="4" w:space="0" w:color="auto"/>
            </w:tcBorders>
            <w:shd w:val="clear" w:color="auto" w:fill="auto"/>
            <w:vAlign w:val="center"/>
            <w:hideMark/>
          </w:tcPr>
          <w:p w14:paraId="420E9B31"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28" w:type="pct"/>
            <w:tcBorders>
              <w:top w:val="single" w:sz="4" w:space="0" w:color="auto"/>
              <w:left w:val="nil"/>
              <w:bottom w:val="single" w:sz="4" w:space="0" w:color="auto"/>
              <w:right w:val="single" w:sz="4" w:space="0" w:color="auto"/>
            </w:tcBorders>
            <w:shd w:val="clear" w:color="auto" w:fill="auto"/>
            <w:vAlign w:val="center"/>
            <w:hideMark/>
          </w:tcPr>
          <w:p w14:paraId="45648330"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77" w:type="pct"/>
            <w:tcBorders>
              <w:top w:val="single" w:sz="4" w:space="0" w:color="auto"/>
              <w:left w:val="nil"/>
              <w:bottom w:val="single" w:sz="4" w:space="0" w:color="auto"/>
              <w:right w:val="single" w:sz="4" w:space="0" w:color="auto"/>
            </w:tcBorders>
            <w:shd w:val="clear" w:color="auto" w:fill="auto"/>
            <w:vAlign w:val="center"/>
            <w:hideMark/>
          </w:tcPr>
          <w:p w14:paraId="3C09A0DA"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r>
      <w:tr w:rsidR="00C260C3" w:rsidRPr="00B457F5" w14:paraId="59ADE84F"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5CF285B2"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81" w:type="pct"/>
            <w:tcBorders>
              <w:top w:val="nil"/>
              <w:left w:val="nil"/>
              <w:bottom w:val="single" w:sz="4" w:space="0" w:color="auto"/>
              <w:right w:val="single" w:sz="4" w:space="0" w:color="auto"/>
            </w:tcBorders>
            <w:shd w:val="clear" w:color="auto" w:fill="auto"/>
            <w:vAlign w:val="center"/>
            <w:hideMark/>
          </w:tcPr>
          <w:p w14:paraId="5EFFEB22" w14:textId="77777777" w:rsidR="00C260C3" w:rsidRPr="00B457F5" w:rsidRDefault="00C260C3" w:rsidP="00C260C3">
            <w:pPr>
              <w:spacing w:before="0" w:after="0"/>
              <w:jc w:val="left"/>
              <w:rPr>
                <w:rFonts w:ascii="Garamond" w:eastAsia="Times New Roman" w:hAnsi="Garamond" w:cs="Times New Roman"/>
                <w:b/>
                <w:bCs/>
                <w:i/>
                <w:iCs/>
                <w:color w:val="0070C0"/>
                <w:sz w:val="4"/>
                <w:szCs w:val="10"/>
              </w:rPr>
            </w:pPr>
            <w:r w:rsidRPr="00B457F5">
              <w:rPr>
                <w:rFonts w:ascii="Garamond" w:eastAsia="Times New Roman" w:hAnsi="Garamond" w:cs="Times New Roman"/>
                <w:b/>
                <w:bCs/>
                <w:i/>
                <w:iCs/>
                <w:color w:val="0070C0"/>
                <w:sz w:val="4"/>
                <w:szCs w:val="10"/>
              </w:rPr>
              <w:t>Masat</w:t>
            </w:r>
          </w:p>
        </w:tc>
        <w:tc>
          <w:tcPr>
            <w:tcW w:w="186" w:type="pct"/>
            <w:tcBorders>
              <w:top w:val="nil"/>
              <w:left w:val="nil"/>
              <w:bottom w:val="single" w:sz="4" w:space="0" w:color="auto"/>
              <w:right w:val="single" w:sz="4" w:space="0" w:color="auto"/>
            </w:tcBorders>
            <w:shd w:val="clear" w:color="auto" w:fill="auto"/>
            <w:vAlign w:val="center"/>
            <w:hideMark/>
          </w:tcPr>
          <w:p w14:paraId="1AEC5FA8"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9" w:type="pct"/>
            <w:tcBorders>
              <w:top w:val="nil"/>
              <w:left w:val="nil"/>
              <w:bottom w:val="single" w:sz="4" w:space="0" w:color="auto"/>
              <w:right w:val="single" w:sz="4" w:space="0" w:color="auto"/>
            </w:tcBorders>
            <w:shd w:val="clear" w:color="auto" w:fill="auto"/>
            <w:vAlign w:val="center"/>
            <w:hideMark/>
          </w:tcPr>
          <w:p w14:paraId="791E5D82"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44" w:type="pct"/>
            <w:tcBorders>
              <w:top w:val="nil"/>
              <w:left w:val="nil"/>
              <w:bottom w:val="single" w:sz="4" w:space="0" w:color="auto"/>
              <w:right w:val="single" w:sz="4" w:space="0" w:color="auto"/>
            </w:tcBorders>
            <w:shd w:val="clear" w:color="auto" w:fill="auto"/>
            <w:vAlign w:val="center"/>
            <w:hideMark/>
          </w:tcPr>
          <w:p w14:paraId="1CF64E3F"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35" w:type="pct"/>
            <w:tcBorders>
              <w:top w:val="nil"/>
              <w:left w:val="nil"/>
              <w:bottom w:val="single" w:sz="4" w:space="0" w:color="auto"/>
              <w:right w:val="single" w:sz="4" w:space="0" w:color="auto"/>
            </w:tcBorders>
            <w:shd w:val="clear" w:color="auto" w:fill="auto"/>
            <w:vAlign w:val="center"/>
            <w:hideMark/>
          </w:tcPr>
          <w:p w14:paraId="302490D8"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2" w:type="pct"/>
            <w:tcBorders>
              <w:top w:val="nil"/>
              <w:left w:val="nil"/>
              <w:bottom w:val="single" w:sz="4" w:space="0" w:color="auto"/>
              <w:right w:val="single" w:sz="4" w:space="0" w:color="auto"/>
            </w:tcBorders>
            <w:shd w:val="clear" w:color="auto" w:fill="auto"/>
            <w:vAlign w:val="center"/>
            <w:hideMark/>
          </w:tcPr>
          <w:p w14:paraId="05D56CAA"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67B66017"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55" w:type="pct"/>
            <w:tcBorders>
              <w:top w:val="nil"/>
              <w:left w:val="nil"/>
              <w:bottom w:val="single" w:sz="4" w:space="0" w:color="auto"/>
              <w:right w:val="single" w:sz="4" w:space="0" w:color="auto"/>
            </w:tcBorders>
            <w:shd w:val="clear" w:color="auto" w:fill="auto"/>
            <w:vAlign w:val="center"/>
            <w:hideMark/>
          </w:tcPr>
          <w:p w14:paraId="5A91443F"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2" w:type="pct"/>
            <w:tcBorders>
              <w:top w:val="nil"/>
              <w:left w:val="nil"/>
              <w:bottom w:val="single" w:sz="4" w:space="0" w:color="auto"/>
              <w:right w:val="single" w:sz="4" w:space="0" w:color="auto"/>
            </w:tcBorders>
            <w:shd w:val="clear" w:color="auto" w:fill="auto"/>
            <w:vAlign w:val="center"/>
            <w:hideMark/>
          </w:tcPr>
          <w:p w14:paraId="11F40253"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5" w:type="pct"/>
            <w:tcBorders>
              <w:top w:val="nil"/>
              <w:left w:val="nil"/>
              <w:bottom w:val="single" w:sz="4" w:space="0" w:color="auto"/>
              <w:right w:val="single" w:sz="4" w:space="0" w:color="auto"/>
            </w:tcBorders>
            <w:shd w:val="clear" w:color="auto" w:fill="auto"/>
            <w:vAlign w:val="center"/>
            <w:hideMark/>
          </w:tcPr>
          <w:p w14:paraId="5909F109"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6D70B9AA"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188F8EF8"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566C7C43"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48" w:type="pct"/>
            <w:tcBorders>
              <w:top w:val="nil"/>
              <w:left w:val="nil"/>
              <w:bottom w:val="single" w:sz="4" w:space="0" w:color="auto"/>
              <w:right w:val="single" w:sz="4" w:space="0" w:color="auto"/>
            </w:tcBorders>
            <w:shd w:val="clear" w:color="auto" w:fill="auto"/>
            <w:vAlign w:val="center"/>
            <w:hideMark/>
          </w:tcPr>
          <w:p w14:paraId="1AE7EAB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2" w:type="pct"/>
            <w:tcBorders>
              <w:top w:val="nil"/>
              <w:left w:val="nil"/>
              <w:bottom w:val="single" w:sz="4" w:space="0" w:color="auto"/>
              <w:right w:val="single" w:sz="4" w:space="0" w:color="auto"/>
            </w:tcBorders>
            <w:shd w:val="clear" w:color="auto" w:fill="auto"/>
            <w:vAlign w:val="center"/>
            <w:hideMark/>
          </w:tcPr>
          <w:p w14:paraId="4E240FD3"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5" w:type="pct"/>
            <w:tcBorders>
              <w:top w:val="nil"/>
              <w:left w:val="nil"/>
              <w:bottom w:val="single" w:sz="4" w:space="0" w:color="auto"/>
              <w:right w:val="single" w:sz="4" w:space="0" w:color="auto"/>
            </w:tcBorders>
            <w:shd w:val="clear" w:color="auto" w:fill="auto"/>
            <w:vAlign w:val="center"/>
            <w:hideMark/>
          </w:tcPr>
          <w:p w14:paraId="587FE4F9"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3D7FFDB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5" w:type="pct"/>
            <w:tcBorders>
              <w:top w:val="nil"/>
              <w:left w:val="nil"/>
              <w:bottom w:val="single" w:sz="4" w:space="0" w:color="auto"/>
              <w:right w:val="single" w:sz="4" w:space="0" w:color="auto"/>
            </w:tcBorders>
            <w:shd w:val="clear" w:color="auto" w:fill="auto"/>
            <w:vAlign w:val="center"/>
            <w:hideMark/>
          </w:tcPr>
          <w:p w14:paraId="72347C50"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6292036B"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55" w:type="pct"/>
            <w:tcBorders>
              <w:top w:val="nil"/>
              <w:left w:val="nil"/>
              <w:bottom w:val="single" w:sz="4" w:space="0" w:color="auto"/>
              <w:right w:val="single" w:sz="4" w:space="0" w:color="auto"/>
            </w:tcBorders>
            <w:shd w:val="clear" w:color="auto" w:fill="auto"/>
            <w:vAlign w:val="center"/>
            <w:hideMark/>
          </w:tcPr>
          <w:p w14:paraId="169A118A"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2F9FA3AA"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2" w:type="pct"/>
            <w:tcBorders>
              <w:top w:val="nil"/>
              <w:left w:val="nil"/>
              <w:bottom w:val="single" w:sz="4" w:space="0" w:color="auto"/>
              <w:right w:val="single" w:sz="4" w:space="0" w:color="auto"/>
            </w:tcBorders>
            <w:shd w:val="clear" w:color="auto" w:fill="auto"/>
            <w:vAlign w:val="center"/>
            <w:hideMark/>
          </w:tcPr>
          <w:p w14:paraId="1A568401"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55" w:type="pct"/>
            <w:tcBorders>
              <w:top w:val="nil"/>
              <w:left w:val="nil"/>
              <w:bottom w:val="single" w:sz="4" w:space="0" w:color="auto"/>
              <w:right w:val="single" w:sz="4" w:space="0" w:color="auto"/>
            </w:tcBorders>
            <w:shd w:val="clear" w:color="auto" w:fill="auto"/>
            <w:vAlign w:val="center"/>
            <w:hideMark/>
          </w:tcPr>
          <w:p w14:paraId="0412ECA3"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218" w:type="pct"/>
            <w:tcBorders>
              <w:top w:val="nil"/>
              <w:left w:val="nil"/>
              <w:bottom w:val="single" w:sz="4" w:space="0" w:color="auto"/>
              <w:right w:val="single" w:sz="4" w:space="0" w:color="auto"/>
            </w:tcBorders>
            <w:shd w:val="clear" w:color="auto" w:fill="auto"/>
            <w:vAlign w:val="center"/>
            <w:hideMark/>
          </w:tcPr>
          <w:p w14:paraId="650CED9F"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3C04E6BF"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39" w:type="pct"/>
            <w:tcBorders>
              <w:top w:val="nil"/>
              <w:left w:val="nil"/>
              <w:bottom w:val="single" w:sz="4" w:space="0" w:color="auto"/>
              <w:right w:val="single" w:sz="4" w:space="0" w:color="auto"/>
            </w:tcBorders>
            <w:shd w:val="clear" w:color="auto" w:fill="auto"/>
            <w:vAlign w:val="center"/>
            <w:hideMark/>
          </w:tcPr>
          <w:p w14:paraId="2314FC23"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42" w:type="pct"/>
            <w:tcBorders>
              <w:top w:val="nil"/>
              <w:left w:val="nil"/>
              <w:bottom w:val="single" w:sz="4" w:space="0" w:color="auto"/>
              <w:right w:val="single" w:sz="4" w:space="0" w:color="auto"/>
            </w:tcBorders>
            <w:shd w:val="clear" w:color="auto" w:fill="auto"/>
            <w:vAlign w:val="center"/>
            <w:hideMark/>
          </w:tcPr>
          <w:p w14:paraId="7719A0E1"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28" w:type="pct"/>
            <w:tcBorders>
              <w:top w:val="nil"/>
              <w:left w:val="nil"/>
              <w:bottom w:val="single" w:sz="4" w:space="0" w:color="auto"/>
              <w:right w:val="single" w:sz="4" w:space="0" w:color="auto"/>
            </w:tcBorders>
            <w:shd w:val="clear" w:color="auto" w:fill="auto"/>
            <w:vAlign w:val="center"/>
            <w:hideMark/>
          </w:tcPr>
          <w:p w14:paraId="2D3DD399"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77" w:type="pct"/>
            <w:tcBorders>
              <w:top w:val="nil"/>
              <w:left w:val="nil"/>
              <w:bottom w:val="single" w:sz="4" w:space="0" w:color="auto"/>
              <w:right w:val="single" w:sz="4" w:space="0" w:color="auto"/>
            </w:tcBorders>
            <w:shd w:val="clear" w:color="auto" w:fill="auto"/>
            <w:vAlign w:val="center"/>
            <w:hideMark/>
          </w:tcPr>
          <w:p w14:paraId="37EB51C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r>
      <w:tr w:rsidR="00C260C3" w:rsidRPr="00B457F5" w14:paraId="44A78A0C"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7FB5F96F"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1.4.1 </w:t>
            </w:r>
          </w:p>
        </w:tc>
        <w:tc>
          <w:tcPr>
            <w:tcW w:w="281" w:type="pct"/>
            <w:tcBorders>
              <w:top w:val="nil"/>
              <w:left w:val="nil"/>
              <w:bottom w:val="single" w:sz="4" w:space="0" w:color="auto"/>
              <w:right w:val="single" w:sz="4" w:space="0" w:color="auto"/>
            </w:tcBorders>
            <w:shd w:val="clear" w:color="000000" w:fill="D9D9D9"/>
            <w:vAlign w:val="center"/>
            <w:hideMark/>
          </w:tcPr>
          <w:p w14:paraId="032F1642" w14:textId="45D04406"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1.4.1 Informimi dhe ndër</w:t>
            </w:r>
            <w:r w:rsidR="006A63AF" w:rsidRPr="00B457F5">
              <w:rPr>
                <w:rFonts w:ascii="Garamond" w:eastAsia="Times New Roman" w:hAnsi="Garamond" w:cs="Times New Roman"/>
                <w:b/>
                <w:bCs/>
                <w:color w:val="000000"/>
                <w:sz w:val="4"/>
                <w:szCs w:val="10"/>
              </w:rPr>
              <w:t>gje</w:t>
            </w:r>
            <w:r w:rsidRPr="00B457F5">
              <w:rPr>
                <w:rFonts w:ascii="Garamond" w:eastAsia="Times New Roman" w:hAnsi="Garamond" w:cs="Times New Roman"/>
                <w:b/>
                <w:bCs/>
                <w:color w:val="000000"/>
                <w:sz w:val="4"/>
                <w:szCs w:val="10"/>
              </w:rPr>
              <w:t>gjësimi</w:t>
            </w:r>
          </w:p>
        </w:tc>
        <w:tc>
          <w:tcPr>
            <w:tcW w:w="186" w:type="pct"/>
            <w:tcBorders>
              <w:top w:val="nil"/>
              <w:left w:val="nil"/>
              <w:bottom w:val="single" w:sz="4" w:space="0" w:color="auto"/>
              <w:right w:val="single" w:sz="4" w:space="0" w:color="auto"/>
            </w:tcBorders>
            <w:shd w:val="clear" w:color="000000" w:fill="D9D9D9"/>
            <w:vAlign w:val="center"/>
            <w:hideMark/>
          </w:tcPr>
          <w:p w14:paraId="40758A10" w14:textId="173B6E7A"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01110 Planifikimi, Menaxhimi dhe Administrimi (16), 09230 Arsimi i </w:t>
            </w:r>
            <w:r w:rsidR="006A63AF" w:rsidRPr="00B457F5">
              <w:rPr>
                <w:rFonts w:ascii="Garamond" w:eastAsia="Times New Roman" w:hAnsi="Garamond" w:cs="Times New Roman"/>
                <w:color w:val="FF0000"/>
                <w:sz w:val="4"/>
                <w:szCs w:val="10"/>
              </w:rPr>
              <w:t>Mesëm</w:t>
            </w:r>
            <w:r w:rsidRPr="00B457F5">
              <w:rPr>
                <w:rFonts w:ascii="Garamond" w:eastAsia="Times New Roman" w:hAnsi="Garamond" w:cs="Times New Roman"/>
                <w:color w:val="FF0000"/>
                <w:sz w:val="4"/>
                <w:szCs w:val="10"/>
              </w:rPr>
              <w:t xml:space="preserve"> (i </w:t>
            </w:r>
            <w:r w:rsidR="006A63AF" w:rsidRPr="00B457F5">
              <w:rPr>
                <w:rFonts w:ascii="Garamond" w:eastAsia="Times New Roman" w:hAnsi="Garamond" w:cs="Times New Roman"/>
                <w:color w:val="FF0000"/>
                <w:sz w:val="4"/>
                <w:szCs w:val="10"/>
              </w:rPr>
              <w:t>përgjithshëm</w:t>
            </w:r>
            <w:r w:rsidRPr="00B457F5">
              <w:rPr>
                <w:rFonts w:ascii="Garamond" w:eastAsia="Times New Roman" w:hAnsi="Garamond" w:cs="Times New Roman"/>
                <w:color w:val="FF0000"/>
                <w:sz w:val="4"/>
                <w:szCs w:val="10"/>
              </w:rPr>
              <w:t>), 09240 Arsimi i</w:t>
            </w:r>
            <w:r w:rsidR="0006016F" w:rsidRPr="00B457F5">
              <w:rPr>
                <w:rFonts w:ascii="Garamond" w:eastAsia="Times New Roman" w:hAnsi="Garamond" w:cs="Times New Roman"/>
                <w:color w:val="FF0000"/>
                <w:sz w:val="4"/>
                <w:szCs w:val="10"/>
              </w:rPr>
              <w:t xml:space="preserve"> </w:t>
            </w:r>
            <w:r w:rsidR="006A63AF" w:rsidRPr="00B457F5">
              <w:rPr>
                <w:rFonts w:ascii="Garamond" w:eastAsia="Times New Roman" w:hAnsi="Garamond" w:cs="Times New Roman"/>
                <w:color w:val="FF0000"/>
                <w:sz w:val="4"/>
                <w:szCs w:val="10"/>
              </w:rPr>
              <w:t>Mesëm</w:t>
            </w:r>
            <w:r w:rsidRPr="00B457F5">
              <w:rPr>
                <w:rFonts w:ascii="Garamond" w:eastAsia="Times New Roman" w:hAnsi="Garamond" w:cs="Times New Roman"/>
                <w:color w:val="FF0000"/>
                <w:sz w:val="4"/>
                <w:szCs w:val="10"/>
              </w:rPr>
              <w:t xml:space="preserve"> (profesional), 10550 Tregu i </w:t>
            </w:r>
            <w:r w:rsidR="006A63AF" w:rsidRPr="00B457F5">
              <w:rPr>
                <w:rFonts w:ascii="Garamond" w:eastAsia="Times New Roman" w:hAnsi="Garamond" w:cs="Times New Roman"/>
                <w:color w:val="FF0000"/>
                <w:sz w:val="4"/>
                <w:szCs w:val="10"/>
              </w:rPr>
              <w:t>Punës</w:t>
            </w:r>
          </w:p>
        </w:tc>
        <w:tc>
          <w:tcPr>
            <w:tcW w:w="169" w:type="pct"/>
            <w:tcBorders>
              <w:top w:val="nil"/>
              <w:left w:val="nil"/>
              <w:bottom w:val="single" w:sz="4" w:space="0" w:color="auto"/>
              <w:right w:val="single" w:sz="4" w:space="0" w:color="auto"/>
            </w:tcBorders>
            <w:shd w:val="clear" w:color="000000" w:fill="D9D9D9"/>
            <w:vAlign w:val="center"/>
            <w:hideMark/>
          </w:tcPr>
          <w:p w14:paraId="783E6878" w14:textId="270DED5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MB, MAS, MEKI, AKPA, </w:t>
            </w:r>
            <w:r w:rsidR="00501091" w:rsidRPr="00B457F5">
              <w:rPr>
                <w:rFonts w:ascii="Garamond" w:eastAsia="Times New Roman" w:hAnsi="Garamond" w:cs="Times New Roman"/>
                <w:color w:val="000000"/>
                <w:sz w:val="4"/>
                <w:szCs w:val="10"/>
              </w:rPr>
              <w:t>bashkitë</w:t>
            </w:r>
          </w:p>
        </w:tc>
        <w:tc>
          <w:tcPr>
            <w:tcW w:w="244" w:type="pct"/>
            <w:tcBorders>
              <w:top w:val="nil"/>
              <w:left w:val="nil"/>
              <w:bottom w:val="single" w:sz="4" w:space="0" w:color="auto"/>
              <w:right w:val="single" w:sz="4" w:space="0" w:color="auto"/>
            </w:tcBorders>
            <w:shd w:val="clear" w:color="000000" w:fill="D9D9D9"/>
            <w:vAlign w:val="center"/>
            <w:hideMark/>
          </w:tcPr>
          <w:p w14:paraId="0D3AC094" w14:textId="181152A6"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DKM, MEPJ, MEKI, IOM, </w:t>
            </w:r>
            <w:r w:rsidR="006A63AF" w:rsidRPr="00B457F5">
              <w:rPr>
                <w:rFonts w:ascii="Garamond" w:eastAsia="Times New Roman" w:hAnsi="Garamond" w:cs="Times New Roman"/>
                <w:color w:val="000000"/>
                <w:sz w:val="4"/>
                <w:szCs w:val="10"/>
              </w:rPr>
              <w:t>organizatat</w:t>
            </w:r>
            <w:r w:rsidRPr="00B457F5">
              <w:rPr>
                <w:rFonts w:ascii="Garamond" w:eastAsia="Times New Roman" w:hAnsi="Garamond" w:cs="Times New Roman"/>
                <w:color w:val="000000"/>
                <w:sz w:val="4"/>
                <w:szCs w:val="10"/>
              </w:rPr>
              <w:t>, MB</w:t>
            </w:r>
          </w:p>
        </w:tc>
        <w:tc>
          <w:tcPr>
            <w:tcW w:w="135" w:type="pct"/>
            <w:tcBorders>
              <w:top w:val="nil"/>
              <w:left w:val="nil"/>
              <w:bottom w:val="single" w:sz="4" w:space="0" w:color="auto"/>
              <w:right w:val="single" w:sz="4" w:space="0" w:color="auto"/>
            </w:tcBorders>
            <w:shd w:val="clear" w:color="000000" w:fill="D9D9D9"/>
            <w:vAlign w:val="center"/>
            <w:hideMark/>
          </w:tcPr>
          <w:p w14:paraId="21FAA058"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9D9D9"/>
            <w:vAlign w:val="center"/>
            <w:hideMark/>
          </w:tcPr>
          <w:p w14:paraId="26E61AC0"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000000" w:fill="D9D9D9"/>
            <w:vAlign w:val="center"/>
            <w:hideMark/>
          </w:tcPr>
          <w:p w14:paraId="649CF5D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37,539,566</w:t>
            </w:r>
          </w:p>
        </w:tc>
        <w:tc>
          <w:tcPr>
            <w:tcW w:w="155" w:type="pct"/>
            <w:tcBorders>
              <w:top w:val="nil"/>
              <w:left w:val="nil"/>
              <w:bottom w:val="single" w:sz="4" w:space="0" w:color="auto"/>
              <w:right w:val="single" w:sz="4" w:space="0" w:color="auto"/>
            </w:tcBorders>
            <w:shd w:val="clear" w:color="000000" w:fill="D9D9D9"/>
            <w:vAlign w:val="center"/>
            <w:hideMark/>
          </w:tcPr>
          <w:p w14:paraId="74910F6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7C07CBE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37,539,566</w:t>
            </w:r>
          </w:p>
        </w:tc>
        <w:tc>
          <w:tcPr>
            <w:tcW w:w="165" w:type="pct"/>
            <w:tcBorders>
              <w:top w:val="nil"/>
              <w:left w:val="nil"/>
              <w:bottom w:val="single" w:sz="4" w:space="0" w:color="auto"/>
              <w:right w:val="single" w:sz="4" w:space="0" w:color="auto"/>
            </w:tcBorders>
            <w:shd w:val="clear" w:color="000000" w:fill="D9D9D9"/>
            <w:vAlign w:val="center"/>
            <w:hideMark/>
          </w:tcPr>
          <w:p w14:paraId="5225A09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36,999,566</w:t>
            </w:r>
          </w:p>
        </w:tc>
        <w:tc>
          <w:tcPr>
            <w:tcW w:w="163" w:type="pct"/>
            <w:tcBorders>
              <w:top w:val="nil"/>
              <w:left w:val="nil"/>
              <w:bottom w:val="single" w:sz="4" w:space="0" w:color="auto"/>
              <w:right w:val="single" w:sz="4" w:space="0" w:color="auto"/>
            </w:tcBorders>
            <w:shd w:val="clear" w:color="000000" w:fill="D9D9D9"/>
            <w:vAlign w:val="center"/>
            <w:hideMark/>
          </w:tcPr>
          <w:p w14:paraId="088F056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71CEB82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36,999,566</w:t>
            </w:r>
          </w:p>
        </w:tc>
        <w:tc>
          <w:tcPr>
            <w:tcW w:w="163" w:type="pct"/>
            <w:tcBorders>
              <w:top w:val="nil"/>
              <w:left w:val="nil"/>
              <w:bottom w:val="single" w:sz="4" w:space="0" w:color="auto"/>
              <w:right w:val="single" w:sz="4" w:space="0" w:color="auto"/>
            </w:tcBorders>
            <w:shd w:val="clear" w:color="000000" w:fill="D9D9D9"/>
            <w:vAlign w:val="center"/>
            <w:hideMark/>
          </w:tcPr>
          <w:p w14:paraId="227C70F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17,440,176</w:t>
            </w:r>
          </w:p>
        </w:tc>
        <w:tc>
          <w:tcPr>
            <w:tcW w:w="148" w:type="pct"/>
            <w:tcBorders>
              <w:top w:val="nil"/>
              <w:left w:val="nil"/>
              <w:bottom w:val="single" w:sz="4" w:space="0" w:color="auto"/>
              <w:right w:val="single" w:sz="4" w:space="0" w:color="auto"/>
            </w:tcBorders>
            <w:shd w:val="clear" w:color="000000" w:fill="D9D9D9"/>
            <w:vAlign w:val="center"/>
            <w:hideMark/>
          </w:tcPr>
          <w:p w14:paraId="1B0571E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3AEF155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17,440,176</w:t>
            </w:r>
          </w:p>
        </w:tc>
        <w:tc>
          <w:tcPr>
            <w:tcW w:w="165" w:type="pct"/>
            <w:tcBorders>
              <w:top w:val="nil"/>
              <w:left w:val="nil"/>
              <w:bottom w:val="single" w:sz="4" w:space="0" w:color="auto"/>
              <w:right w:val="single" w:sz="4" w:space="0" w:color="auto"/>
            </w:tcBorders>
            <w:shd w:val="clear" w:color="000000" w:fill="D9D9D9"/>
            <w:vAlign w:val="center"/>
            <w:hideMark/>
          </w:tcPr>
          <w:p w14:paraId="0112787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91,979,308</w:t>
            </w:r>
          </w:p>
        </w:tc>
        <w:tc>
          <w:tcPr>
            <w:tcW w:w="163" w:type="pct"/>
            <w:tcBorders>
              <w:top w:val="nil"/>
              <w:left w:val="nil"/>
              <w:bottom w:val="single" w:sz="4" w:space="0" w:color="auto"/>
              <w:right w:val="single" w:sz="4" w:space="0" w:color="auto"/>
            </w:tcBorders>
            <w:shd w:val="clear" w:color="000000" w:fill="D9D9D9"/>
            <w:vAlign w:val="center"/>
            <w:hideMark/>
          </w:tcPr>
          <w:p w14:paraId="3CA3EFC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D9D9D9"/>
            <w:vAlign w:val="center"/>
            <w:hideMark/>
          </w:tcPr>
          <w:p w14:paraId="783285E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91,979,308</w:t>
            </w:r>
          </w:p>
        </w:tc>
        <w:tc>
          <w:tcPr>
            <w:tcW w:w="163" w:type="pct"/>
            <w:tcBorders>
              <w:top w:val="nil"/>
              <w:left w:val="nil"/>
              <w:bottom w:val="single" w:sz="4" w:space="0" w:color="auto"/>
              <w:right w:val="single" w:sz="4" w:space="0" w:color="auto"/>
            </w:tcBorders>
            <w:shd w:val="clear" w:color="000000" w:fill="D9D9D9"/>
            <w:vAlign w:val="center"/>
            <w:hideMark/>
          </w:tcPr>
          <w:p w14:paraId="4546CCD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41,147,308</w:t>
            </w:r>
          </w:p>
        </w:tc>
        <w:tc>
          <w:tcPr>
            <w:tcW w:w="155" w:type="pct"/>
            <w:tcBorders>
              <w:top w:val="nil"/>
              <w:left w:val="nil"/>
              <w:bottom w:val="single" w:sz="4" w:space="0" w:color="auto"/>
              <w:right w:val="single" w:sz="4" w:space="0" w:color="auto"/>
            </w:tcBorders>
            <w:shd w:val="clear" w:color="000000" w:fill="D9D9D9"/>
            <w:vAlign w:val="center"/>
            <w:hideMark/>
          </w:tcPr>
          <w:p w14:paraId="482D7F0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146EA2A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41,147,308</w:t>
            </w:r>
          </w:p>
        </w:tc>
        <w:tc>
          <w:tcPr>
            <w:tcW w:w="162" w:type="pct"/>
            <w:tcBorders>
              <w:top w:val="nil"/>
              <w:left w:val="nil"/>
              <w:bottom w:val="single" w:sz="4" w:space="0" w:color="auto"/>
              <w:right w:val="single" w:sz="4" w:space="0" w:color="auto"/>
            </w:tcBorders>
            <w:shd w:val="clear" w:color="000000" w:fill="D9D9D9"/>
            <w:vAlign w:val="center"/>
            <w:hideMark/>
          </w:tcPr>
          <w:p w14:paraId="7362D79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44,064,000</w:t>
            </w:r>
          </w:p>
        </w:tc>
        <w:tc>
          <w:tcPr>
            <w:tcW w:w="155" w:type="pct"/>
            <w:tcBorders>
              <w:top w:val="nil"/>
              <w:left w:val="nil"/>
              <w:bottom w:val="single" w:sz="4" w:space="0" w:color="auto"/>
              <w:right w:val="single" w:sz="4" w:space="0" w:color="auto"/>
            </w:tcBorders>
            <w:shd w:val="clear" w:color="000000" w:fill="D9D9D9"/>
            <w:vAlign w:val="center"/>
            <w:hideMark/>
          </w:tcPr>
          <w:p w14:paraId="31F52CB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000000" w:fill="D9D9D9"/>
            <w:vAlign w:val="center"/>
            <w:hideMark/>
          </w:tcPr>
          <w:p w14:paraId="25C174A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09A5BE8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44,064,000</w:t>
            </w:r>
          </w:p>
        </w:tc>
        <w:tc>
          <w:tcPr>
            <w:tcW w:w="139" w:type="pct"/>
            <w:tcBorders>
              <w:top w:val="nil"/>
              <w:left w:val="nil"/>
              <w:bottom w:val="single" w:sz="4" w:space="0" w:color="auto"/>
              <w:right w:val="single" w:sz="4" w:space="0" w:color="auto"/>
            </w:tcBorders>
            <w:shd w:val="clear" w:color="000000" w:fill="D9D9D9"/>
            <w:vAlign w:val="center"/>
            <w:hideMark/>
          </w:tcPr>
          <w:p w14:paraId="368C1FC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000000" w:fill="D9D9D9"/>
            <w:vAlign w:val="center"/>
            <w:hideMark/>
          </w:tcPr>
          <w:p w14:paraId="38AC1F7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D9D9D9"/>
            <w:vAlign w:val="center"/>
            <w:hideMark/>
          </w:tcPr>
          <w:p w14:paraId="3E3FC99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4" w:space="0" w:color="auto"/>
            </w:tcBorders>
            <w:shd w:val="clear" w:color="000000" w:fill="D9D9D9"/>
            <w:vAlign w:val="center"/>
            <w:hideMark/>
          </w:tcPr>
          <w:p w14:paraId="3026340C" w14:textId="0E48F3B6"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(6,768,000)</w:t>
            </w:r>
          </w:p>
        </w:tc>
      </w:tr>
      <w:tr w:rsidR="00C260C3" w:rsidRPr="00B457F5" w14:paraId="26F56817"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6A67D875"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1.4.1.1</w:t>
            </w:r>
          </w:p>
        </w:tc>
        <w:tc>
          <w:tcPr>
            <w:tcW w:w="281" w:type="pct"/>
            <w:tcBorders>
              <w:top w:val="nil"/>
              <w:left w:val="nil"/>
              <w:bottom w:val="single" w:sz="4" w:space="0" w:color="auto"/>
              <w:right w:val="single" w:sz="4" w:space="0" w:color="auto"/>
            </w:tcBorders>
            <w:shd w:val="clear" w:color="auto" w:fill="auto"/>
            <w:vAlign w:val="center"/>
            <w:hideMark/>
          </w:tcPr>
          <w:p w14:paraId="2CE7E223" w14:textId="55D5F4ED"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 xml:space="preserve">1.4.1.1 Të kryhet një studim vlerësues për arsyet e emigrimit </w:t>
            </w:r>
            <w:r w:rsidR="00164C66" w:rsidRPr="00B457F5">
              <w:rPr>
                <w:rFonts w:ascii="Garamond" w:eastAsia="Times New Roman" w:hAnsi="Garamond" w:cs="Times New Roman"/>
                <w:color w:val="000000"/>
                <w:sz w:val="4"/>
                <w:szCs w:val="10"/>
              </w:rPr>
              <w:t>të</w:t>
            </w:r>
            <w:r w:rsidR="00164C66" w:rsidRPr="00B457F5">
              <w:rPr>
                <w:rFonts w:ascii="Garamond" w:eastAsia="Times New Roman" w:hAnsi="Garamond" w:cs="Times New Roman"/>
                <w:sz w:val="4"/>
                <w:szCs w:val="10"/>
              </w:rPr>
              <w:t xml:space="preserve"> </w:t>
            </w:r>
            <w:r w:rsidRPr="00B457F5">
              <w:rPr>
                <w:rFonts w:ascii="Garamond" w:eastAsia="Times New Roman" w:hAnsi="Garamond" w:cs="Times New Roman"/>
                <w:sz w:val="4"/>
                <w:szCs w:val="10"/>
              </w:rPr>
              <w:t xml:space="preserve">parregullt, faktorët shtytës dhe zonat më të prekura </w:t>
            </w:r>
          </w:p>
        </w:tc>
        <w:tc>
          <w:tcPr>
            <w:tcW w:w="186" w:type="pct"/>
            <w:tcBorders>
              <w:top w:val="nil"/>
              <w:left w:val="nil"/>
              <w:bottom w:val="single" w:sz="4" w:space="0" w:color="auto"/>
              <w:right w:val="single" w:sz="4" w:space="0" w:color="auto"/>
            </w:tcBorders>
            <w:shd w:val="clear" w:color="auto" w:fill="auto"/>
            <w:vAlign w:val="center"/>
            <w:hideMark/>
          </w:tcPr>
          <w:p w14:paraId="56DB263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3054F89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46D1D468" w14:textId="41109632"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DKM, MEPJ, MEKI, </w:t>
            </w:r>
            <w:r w:rsidR="006A63AF" w:rsidRPr="00B457F5">
              <w:rPr>
                <w:rFonts w:ascii="Garamond" w:eastAsia="Times New Roman" w:hAnsi="Garamond" w:cs="Times New Roman"/>
                <w:sz w:val="4"/>
                <w:szCs w:val="10"/>
              </w:rPr>
              <w:t>organizatat</w:t>
            </w:r>
          </w:p>
        </w:tc>
        <w:tc>
          <w:tcPr>
            <w:tcW w:w="135" w:type="pct"/>
            <w:tcBorders>
              <w:top w:val="nil"/>
              <w:left w:val="nil"/>
              <w:bottom w:val="single" w:sz="4" w:space="0" w:color="auto"/>
              <w:right w:val="single" w:sz="4" w:space="0" w:color="auto"/>
            </w:tcBorders>
            <w:shd w:val="clear" w:color="000000" w:fill="DDEBF7"/>
            <w:vAlign w:val="center"/>
            <w:hideMark/>
          </w:tcPr>
          <w:p w14:paraId="7ACE76EA"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2024 </w:t>
            </w:r>
          </w:p>
        </w:tc>
        <w:tc>
          <w:tcPr>
            <w:tcW w:w="152" w:type="pct"/>
            <w:tcBorders>
              <w:top w:val="nil"/>
              <w:left w:val="nil"/>
              <w:bottom w:val="single" w:sz="4" w:space="0" w:color="auto"/>
              <w:right w:val="single" w:sz="4" w:space="0" w:color="auto"/>
            </w:tcBorders>
            <w:shd w:val="clear" w:color="000000" w:fill="DDEBF7"/>
            <w:vAlign w:val="center"/>
            <w:hideMark/>
          </w:tcPr>
          <w:p w14:paraId="5DB4E6BE"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2025</w:t>
            </w:r>
          </w:p>
        </w:tc>
        <w:tc>
          <w:tcPr>
            <w:tcW w:w="163" w:type="pct"/>
            <w:tcBorders>
              <w:top w:val="nil"/>
              <w:left w:val="nil"/>
              <w:bottom w:val="single" w:sz="4" w:space="0" w:color="auto"/>
              <w:right w:val="single" w:sz="4" w:space="0" w:color="auto"/>
            </w:tcBorders>
            <w:shd w:val="clear" w:color="auto" w:fill="auto"/>
            <w:vAlign w:val="center"/>
            <w:hideMark/>
          </w:tcPr>
          <w:p w14:paraId="0004EB0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1,799,390</w:t>
            </w:r>
          </w:p>
        </w:tc>
        <w:tc>
          <w:tcPr>
            <w:tcW w:w="155" w:type="pct"/>
            <w:tcBorders>
              <w:top w:val="nil"/>
              <w:left w:val="nil"/>
              <w:bottom w:val="single" w:sz="4" w:space="0" w:color="auto"/>
              <w:right w:val="single" w:sz="4" w:space="0" w:color="auto"/>
            </w:tcBorders>
            <w:shd w:val="clear" w:color="auto" w:fill="auto"/>
            <w:vAlign w:val="center"/>
            <w:hideMark/>
          </w:tcPr>
          <w:p w14:paraId="57BA3E5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1EF7848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1,799,390</w:t>
            </w:r>
          </w:p>
        </w:tc>
        <w:tc>
          <w:tcPr>
            <w:tcW w:w="165" w:type="pct"/>
            <w:tcBorders>
              <w:top w:val="nil"/>
              <w:left w:val="nil"/>
              <w:bottom w:val="single" w:sz="4" w:space="0" w:color="auto"/>
              <w:right w:val="single" w:sz="4" w:space="0" w:color="auto"/>
            </w:tcBorders>
            <w:shd w:val="clear" w:color="auto" w:fill="auto"/>
            <w:vAlign w:val="center"/>
            <w:hideMark/>
          </w:tcPr>
          <w:p w14:paraId="18A3F15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1,259,390</w:t>
            </w:r>
          </w:p>
        </w:tc>
        <w:tc>
          <w:tcPr>
            <w:tcW w:w="163" w:type="pct"/>
            <w:tcBorders>
              <w:top w:val="nil"/>
              <w:left w:val="nil"/>
              <w:bottom w:val="single" w:sz="4" w:space="0" w:color="auto"/>
              <w:right w:val="single" w:sz="4" w:space="0" w:color="auto"/>
            </w:tcBorders>
            <w:shd w:val="clear" w:color="auto" w:fill="auto"/>
            <w:vAlign w:val="center"/>
            <w:hideMark/>
          </w:tcPr>
          <w:p w14:paraId="646F006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116E7EA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1,259,390</w:t>
            </w:r>
          </w:p>
        </w:tc>
        <w:tc>
          <w:tcPr>
            <w:tcW w:w="163" w:type="pct"/>
            <w:tcBorders>
              <w:top w:val="nil"/>
              <w:left w:val="nil"/>
              <w:bottom w:val="single" w:sz="4" w:space="0" w:color="auto"/>
              <w:right w:val="single" w:sz="4" w:space="0" w:color="auto"/>
            </w:tcBorders>
            <w:shd w:val="clear" w:color="auto" w:fill="auto"/>
            <w:vAlign w:val="center"/>
            <w:hideMark/>
          </w:tcPr>
          <w:p w14:paraId="56FD985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8" w:type="pct"/>
            <w:tcBorders>
              <w:top w:val="nil"/>
              <w:left w:val="nil"/>
              <w:bottom w:val="single" w:sz="4" w:space="0" w:color="auto"/>
              <w:right w:val="single" w:sz="4" w:space="0" w:color="auto"/>
            </w:tcBorders>
            <w:shd w:val="clear" w:color="auto" w:fill="auto"/>
            <w:vAlign w:val="center"/>
            <w:hideMark/>
          </w:tcPr>
          <w:p w14:paraId="59CA535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41EC159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auto" w:fill="auto"/>
            <w:vAlign w:val="center"/>
            <w:hideMark/>
          </w:tcPr>
          <w:p w14:paraId="1905D5D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3,058,780</w:t>
            </w:r>
          </w:p>
        </w:tc>
        <w:tc>
          <w:tcPr>
            <w:tcW w:w="163" w:type="pct"/>
            <w:tcBorders>
              <w:top w:val="nil"/>
              <w:left w:val="nil"/>
              <w:bottom w:val="single" w:sz="4" w:space="0" w:color="auto"/>
              <w:right w:val="single" w:sz="4" w:space="0" w:color="auto"/>
            </w:tcBorders>
            <w:shd w:val="clear" w:color="auto" w:fill="auto"/>
            <w:vAlign w:val="center"/>
            <w:hideMark/>
          </w:tcPr>
          <w:p w14:paraId="0FE88C1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67532E0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3,058,780</w:t>
            </w:r>
          </w:p>
        </w:tc>
        <w:tc>
          <w:tcPr>
            <w:tcW w:w="163" w:type="pct"/>
            <w:tcBorders>
              <w:top w:val="nil"/>
              <w:left w:val="nil"/>
              <w:bottom w:val="single" w:sz="4" w:space="0" w:color="auto"/>
              <w:right w:val="single" w:sz="4" w:space="0" w:color="auto"/>
            </w:tcBorders>
            <w:shd w:val="clear" w:color="auto" w:fill="auto"/>
            <w:vAlign w:val="center"/>
            <w:hideMark/>
          </w:tcPr>
          <w:p w14:paraId="7D1A0DB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538,780</w:t>
            </w:r>
          </w:p>
        </w:tc>
        <w:tc>
          <w:tcPr>
            <w:tcW w:w="155" w:type="pct"/>
            <w:tcBorders>
              <w:top w:val="nil"/>
              <w:left w:val="nil"/>
              <w:bottom w:val="single" w:sz="4" w:space="0" w:color="auto"/>
              <w:right w:val="single" w:sz="4" w:space="0" w:color="auto"/>
            </w:tcBorders>
            <w:shd w:val="clear" w:color="auto" w:fill="auto"/>
            <w:vAlign w:val="center"/>
            <w:hideMark/>
          </w:tcPr>
          <w:p w14:paraId="6B8E499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4CAA847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538,780</w:t>
            </w:r>
          </w:p>
        </w:tc>
        <w:tc>
          <w:tcPr>
            <w:tcW w:w="162" w:type="pct"/>
            <w:tcBorders>
              <w:top w:val="nil"/>
              <w:left w:val="nil"/>
              <w:bottom w:val="single" w:sz="4" w:space="0" w:color="auto"/>
              <w:right w:val="single" w:sz="4" w:space="0" w:color="auto"/>
            </w:tcBorders>
            <w:shd w:val="clear" w:color="auto" w:fill="auto"/>
            <w:vAlign w:val="center"/>
            <w:hideMark/>
          </w:tcPr>
          <w:p w14:paraId="44A8BC3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2,520,000</w:t>
            </w:r>
          </w:p>
        </w:tc>
        <w:tc>
          <w:tcPr>
            <w:tcW w:w="155" w:type="pct"/>
            <w:tcBorders>
              <w:top w:val="nil"/>
              <w:left w:val="nil"/>
              <w:bottom w:val="single" w:sz="4" w:space="0" w:color="auto"/>
              <w:right w:val="single" w:sz="4" w:space="0" w:color="auto"/>
            </w:tcBorders>
            <w:shd w:val="clear" w:color="auto" w:fill="auto"/>
            <w:vAlign w:val="center"/>
            <w:hideMark/>
          </w:tcPr>
          <w:p w14:paraId="184A8FC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7F79DB4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Ambasada e Mbretërisë së Bashkuar</w:t>
            </w:r>
          </w:p>
        </w:tc>
        <w:tc>
          <w:tcPr>
            <w:tcW w:w="163" w:type="pct"/>
            <w:tcBorders>
              <w:top w:val="nil"/>
              <w:left w:val="nil"/>
              <w:bottom w:val="single" w:sz="4" w:space="0" w:color="auto"/>
              <w:right w:val="single" w:sz="4" w:space="0" w:color="auto"/>
            </w:tcBorders>
            <w:shd w:val="clear" w:color="000000" w:fill="FFF2CC"/>
            <w:vAlign w:val="center"/>
            <w:hideMark/>
          </w:tcPr>
          <w:p w14:paraId="00DDBF1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2,520,000</w:t>
            </w:r>
          </w:p>
        </w:tc>
        <w:tc>
          <w:tcPr>
            <w:tcW w:w="139" w:type="pct"/>
            <w:tcBorders>
              <w:top w:val="nil"/>
              <w:left w:val="nil"/>
              <w:bottom w:val="single" w:sz="4" w:space="0" w:color="auto"/>
              <w:right w:val="single" w:sz="4" w:space="0" w:color="auto"/>
            </w:tcBorders>
            <w:shd w:val="clear" w:color="auto" w:fill="auto"/>
            <w:vAlign w:val="center"/>
            <w:hideMark/>
          </w:tcPr>
          <w:p w14:paraId="55F85A6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33AFF53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005FD45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7762DE41" w14:textId="2241861F"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54C2FCE4"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2FA7019D"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1.4.1.2</w:t>
            </w:r>
          </w:p>
        </w:tc>
        <w:tc>
          <w:tcPr>
            <w:tcW w:w="281" w:type="pct"/>
            <w:tcBorders>
              <w:top w:val="nil"/>
              <w:left w:val="nil"/>
              <w:bottom w:val="single" w:sz="4" w:space="0" w:color="auto"/>
              <w:right w:val="single" w:sz="4" w:space="0" w:color="auto"/>
            </w:tcBorders>
            <w:shd w:val="clear" w:color="auto" w:fill="auto"/>
            <w:vAlign w:val="center"/>
            <w:hideMark/>
          </w:tcPr>
          <w:p w14:paraId="34F5B3E9" w14:textId="5C56ECEF"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 xml:space="preserve">1.4.1.2 Ndërmarrja e një fushate kombëtare për informim mbi rrugët e rregullta të emigrimit dhe pasojat e emigracionit </w:t>
            </w:r>
            <w:r w:rsidR="00164C66" w:rsidRPr="00B457F5">
              <w:rPr>
                <w:rFonts w:ascii="Garamond" w:eastAsia="Times New Roman" w:hAnsi="Garamond" w:cs="Times New Roman"/>
                <w:color w:val="000000"/>
                <w:sz w:val="4"/>
                <w:szCs w:val="10"/>
              </w:rPr>
              <w:t>të</w:t>
            </w:r>
            <w:r w:rsidR="00164C66" w:rsidRPr="00B457F5">
              <w:rPr>
                <w:rFonts w:ascii="Garamond" w:eastAsia="Times New Roman" w:hAnsi="Garamond" w:cs="Times New Roman"/>
                <w:sz w:val="4"/>
                <w:szCs w:val="10"/>
              </w:rPr>
              <w:t xml:space="preserve"> </w:t>
            </w:r>
            <w:r w:rsidRPr="00B457F5">
              <w:rPr>
                <w:rFonts w:ascii="Garamond" w:eastAsia="Times New Roman" w:hAnsi="Garamond" w:cs="Times New Roman"/>
                <w:sz w:val="4"/>
                <w:szCs w:val="10"/>
              </w:rPr>
              <w:t>parregullt</w:t>
            </w:r>
          </w:p>
        </w:tc>
        <w:tc>
          <w:tcPr>
            <w:tcW w:w="186" w:type="pct"/>
            <w:tcBorders>
              <w:top w:val="nil"/>
              <w:left w:val="nil"/>
              <w:bottom w:val="single" w:sz="4" w:space="0" w:color="auto"/>
              <w:right w:val="single" w:sz="4" w:space="0" w:color="auto"/>
            </w:tcBorders>
            <w:shd w:val="clear" w:color="auto" w:fill="auto"/>
            <w:vAlign w:val="center"/>
            <w:hideMark/>
          </w:tcPr>
          <w:p w14:paraId="5103BD3F"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177FFE4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244B4602" w14:textId="46BCEEED"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DKM, MEPJ, MEKI, IOM, </w:t>
            </w:r>
            <w:r w:rsidR="006A63AF" w:rsidRPr="00B457F5">
              <w:rPr>
                <w:rFonts w:ascii="Garamond" w:eastAsia="Times New Roman" w:hAnsi="Garamond" w:cs="Times New Roman"/>
                <w:sz w:val="4"/>
                <w:szCs w:val="10"/>
              </w:rPr>
              <w:t>organizatat</w:t>
            </w:r>
          </w:p>
        </w:tc>
        <w:tc>
          <w:tcPr>
            <w:tcW w:w="135" w:type="pct"/>
            <w:tcBorders>
              <w:top w:val="nil"/>
              <w:left w:val="nil"/>
              <w:bottom w:val="single" w:sz="4" w:space="0" w:color="auto"/>
              <w:right w:val="single" w:sz="4" w:space="0" w:color="auto"/>
            </w:tcBorders>
            <w:shd w:val="clear" w:color="000000" w:fill="DDEBF7"/>
            <w:vAlign w:val="center"/>
            <w:hideMark/>
          </w:tcPr>
          <w:p w14:paraId="76C98E7E"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2024 </w:t>
            </w:r>
          </w:p>
        </w:tc>
        <w:tc>
          <w:tcPr>
            <w:tcW w:w="152" w:type="pct"/>
            <w:tcBorders>
              <w:top w:val="nil"/>
              <w:left w:val="nil"/>
              <w:bottom w:val="single" w:sz="4" w:space="0" w:color="auto"/>
              <w:right w:val="single" w:sz="4" w:space="0" w:color="auto"/>
            </w:tcBorders>
            <w:shd w:val="clear" w:color="000000" w:fill="DDEBF7"/>
            <w:vAlign w:val="center"/>
            <w:hideMark/>
          </w:tcPr>
          <w:p w14:paraId="2D6C7AD3"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63" w:type="pct"/>
            <w:tcBorders>
              <w:top w:val="nil"/>
              <w:left w:val="nil"/>
              <w:bottom w:val="single" w:sz="4" w:space="0" w:color="auto"/>
              <w:right w:val="single" w:sz="4" w:space="0" w:color="auto"/>
            </w:tcBorders>
            <w:shd w:val="clear" w:color="auto" w:fill="auto"/>
            <w:vAlign w:val="center"/>
            <w:hideMark/>
          </w:tcPr>
          <w:p w14:paraId="35B0BEA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1,440,000</w:t>
            </w:r>
          </w:p>
        </w:tc>
        <w:tc>
          <w:tcPr>
            <w:tcW w:w="155" w:type="pct"/>
            <w:tcBorders>
              <w:top w:val="nil"/>
              <w:left w:val="nil"/>
              <w:bottom w:val="single" w:sz="4" w:space="0" w:color="auto"/>
              <w:right w:val="single" w:sz="4" w:space="0" w:color="auto"/>
            </w:tcBorders>
            <w:shd w:val="clear" w:color="auto" w:fill="auto"/>
            <w:vAlign w:val="center"/>
            <w:hideMark/>
          </w:tcPr>
          <w:p w14:paraId="588EE9E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7DAF351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1,440,000</w:t>
            </w:r>
          </w:p>
        </w:tc>
        <w:tc>
          <w:tcPr>
            <w:tcW w:w="165" w:type="pct"/>
            <w:tcBorders>
              <w:top w:val="nil"/>
              <w:left w:val="nil"/>
              <w:bottom w:val="single" w:sz="4" w:space="0" w:color="auto"/>
              <w:right w:val="single" w:sz="4" w:space="0" w:color="auto"/>
            </w:tcBorders>
            <w:shd w:val="clear" w:color="auto" w:fill="auto"/>
            <w:vAlign w:val="center"/>
            <w:hideMark/>
          </w:tcPr>
          <w:p w14:paraId="4594200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1,440,000</w:t>
            </w:r>
          </w:p>
        </w:tc>
        <w:tc>
          <w:tcPr>
            <w:tcW w:w="163" w:type="pct"/>
            <w:tcBorders>
              <w:top w:val="nil"/>
              <w:left w:val="nil"/>
              <w:bottom w:val="single" w:sz="4" w:space="0" w:color="auto"/>
              <w:right w:val="single" w:sz="4" w:space="0" w:color="auto"/>
            </w:tcBorders>
            <w:shd w:val="clear" w:color="auto" w:fill="auto"/>
            <w:vAlign w:val="center"/>
            <w:hideMark/>
          </w:tcPr>
          <w:p w14:paraId="5E9D656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5748682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1,440,000</w:t>
            </w:r>
          </w:p>
        </w:tc>
        <w:tc>
          <w:tcPr>
            <w:tcW w:w="163" w:type="pct"/>
            <w:tcBorders>
              <w:top w:val="nil"/>
              <w:left w:val="nil"/>
              <w:bottom w:val="single" w:sz="4" w:space="0" w:color="auto"/>
              <w:right w:val="single" w:sz="4" w:space="0" w:color="auto"/>
            </w:tcBorders>
            <w:shd w:val="clear" w:color="auto" w:fill="auto"/>
            <w:vAlign w:val="center"/>
            <w:hideMark/>
          </w:tcPr>
          <w:p w14:paraId="0FD169E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1,440,000</w:t>
            </w:r>
          </w:p>
        </w:tc>
        <w:tc>
          <w:tcPr>
            <w:tcW w:w="148" w:type="pct"/>
            <w:tcBorders>
              <w:top w:val="nil"/>
              <w:left w:val="nil"/>
              <w:bottom w:val="single" w:sz="4" w:space="0" w:color="auto"/>
              <w:right w:val="single" w:sz="4" w:space="0" w:color="auto"/>
            </w:tcBorders>
            <w:shd w:val="clear" w:color="auto" w:fill="auto"/>
            <w:vAlign w:val="center"/>
            <w:hideMark/>
          </w:tcPr>
          <w:p w14:paraId="6FD9924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08CE485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1,440,000</w:t>
            </w:r>
          </w:p>
        </w:tc>
        <w:tc>
          <w:tcPr>
            <w:tcW w:w="165" w:type="pct"/>
            <w:tcBorders>
              <w:top w:val="nil"/>
              <w:left w:val="nil"/>
              <w:bottom w:val="single" w:sz="4" w:space="0" w:color="auto"/>
              <w:right w:val="single" w:sz="4" w:space="0" w:color="auto"/>
            </w:tcBorders>
            <w:shd w:val="clear" w:color="auto" w:fill="auto"/>
            <w:vAlign w:val="center"/>
            <w:hideMark/>
          </w:tcPr>
          <w:p w14:paraId="6CBA56F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4,320,000</w:t>
            </w:r>
          </w:p>
        </w:tc>
        <w:tc>
          <w:tcPr>
            <w:tcW w:w="163" w:type="pct"/>
            <w:tcBorders>
              <w:top w:val="nil"/>
              <w:left w:val="nil"/>
              <w:bottom w:val="single" w:sz="4" w:space="0" w:color="auto"/>
              <w:right w:val="single" w:sz="4" w:space="0" w:color="auto"/>
            </w:tcBorders>
            <w:shd w:val="clear" w:color="auto" w:fill="auto"/>
            <w:vAlign w:val="center"/>
            <w:hideMark/>
          </w:tcPr>
          <w:p w14:paraId="43A763B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07A9A55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4,320,000</w:t>
            </w:r>
          </w:p>
        </w:tc>
        <w:tc>
          <w:tcPr>
            <w:tcW w:w="163" w:type="pct"/>
            <w:tcBorders>
              <w:top w:val="nil"/>
              <w:left w:val="nil"/>
              <w:bottom w:val="single" w:sz="4" w:space="0" w:color="auto"/>
              <w:right w:val="single" w:sz="4" w:space="0" w:color="auto"/>
            </w:tcBorders>
            <w:shd w:val="clear" w:color="auto" w:fill="auto"/>
            <w:vAlign w:val="center"/>
            <w:hideMark/>
          </w:tcPr>
          <w:p w14:paraId="123810F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0BEF5C8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78BC57A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6C7B10C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4840B42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754B5B9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67055E2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53FA2EA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3FDB80E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62ECCA0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31102E0A" w14:textId="1FBA52BA"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(4,320,000)</w:t>
            </w:r>
          </w:p>
        </w:tc>
      </w:tr>
      <w:tr w:rsidR="00C260C3" w:rsidRPr="00B457F5" w14:paraId="47A2684D"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576C86B3"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1.4.1.3</w:t>
            </w:r>
          </w:p>
        </w:tc>
        <w:tc>
          <w:tcPr>
            <w:tcW w:w="281" w:type="pct"/>
            <w:tcBorders>
              <w:top w:val="nil"/>
              <w:left w:val="nil"/>
              <w:bottom w:val="single" w:sz="4" w:space="0" w:color="auto"/>
              <w:right w:val="single" w:sz="4" w:space="0" w:color="auto"/>
            </w:tcBorders>
            <w:shd w:val="clear" w:color="auto" w:fill="auto"/>
            <w:vAlign w:val="center"/>
            <w:hideMark/>
          </w:tcPr>
          <w:p w14:paraId="797872FD" w14:textId="77777777"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 xml:space="preserve">1.4.1.3 Hartimi dhe publikimi i udhëzuesve të migracionit të rregullt </w:t>
            </w:r>
          </w:p>
        </w:tc>
        <w:tc>
          <w:tcPr>
            <w:tcW w:w="186" w:type="pct"/>
            <w:tcBorders>
              <w:top w:val="nil"/>
              <w:left w:val="nil"/>
              <w:bottom w:val="single" w:sz="4" w:space="0" w:color="auto"/>
              <w:right w:val="single" w:sz="4" w:space="0" w:color="auto"/>
            </w:tcBorders>
            <w:shd w:val="clear" w:color="auto" w:fill="auto"/>
            <w:vAlign w:val="center"/>
            <w:hideMark/>
          </w:tcPr>
          <w:p w14:paraId="1CE05EAE"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669CFBF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2F7B533A" w14:textId="36B7855A"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DKM, MEPJ, MEKI, IOM, </w:t>
            </w:r>
            <w:r w:rsidR="006A63AF" w:rsidRPr="00B457F5">
              <w:rPr>
                <w:rFonts w:ascii="Garamond" w:eastAsia="Times New Roman" w:hAnsi="Garamond" w:cs="Times New Roman"/>
                <w:sz w:val="4"/>
                <w:szCs w:val="10"/>
              </w:rPr>
              <w:t>organizatat</w:t>
            </w:r>
          </w:p>
        </w:tc>
        <w:tc>
          <w:tcPr>
            <w:tcW w:w="135" w:type="pct"/>
            <w:tcBorders>
              <w:top w:val="nil"/>
              <w:left w:val="nil"/>
              <w:bottom w:val="single" w:sz="4" w:space="0" w:color="auto"/>
              <w:right w:val="single" w:sz="4" w:space="0" w:color="auto"/>
            </w:tcBorders>
            <w:shd w:val="clear" w:color="000000" w:fill="DDEBF7"/>
            <w:vAlign w:val="center"/>
            <w:hideMark/>
          </w:tcPr>
          <w:p w14:paraId="2934B4C2"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2024 </w:t>
            </w:r>
          </w:p>
        </w:tc>
        <w:tc>
          <w:tcPr>
            <w:tcW w:w="152" w:type="pct"/>
            <w:tcBorders>
              <w:top w:val="nil"/>
              <w:left w:val="nil"/>
              <w:bottom w:val="single" w:sz="4" w:space="0" w:color="auto"/>
              <w:right w:val="single" w:sz="4" w:space="0" w:color="auto"/>
            </w:tcBorders>
            <w:shd w:val="clear" w:color="000000" w:fill="DDEBF7"/>
            <w:vAlign w:val="center"/>
            <w:hideMark/>
          </w:tcPr>
          <w:p w14:paraId="66074466"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63" w:type="pct"/>
            <w:tcBorders>
              <w:top w:val="nil"/>
              <w:left w:val="nil"/>
              <w:bottom w:val="single" w:sz="4" w:space="0" w:color="auto"/>
              <w:right w:val="single" w:sz="4" w:space="0" w:color="auto"/>
            </w:tcBorders>
            <w:shd w:val="clear" w:color="auto" w:fill="auto"/>
            <w:vAlign w:val="center"/>
            <w:hideMark/>
          </w:tcPr>
          <w:p w14:paraId="3FD7F9A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1,336,176</w:t>
            </w:r>
          </w:p>
        </w:tc>
        <w:tc>
          <w:tcPr>
            <w:tcW w:w="155" w:type="pct"/>
            <w:tcBorders>
              <w:top w:val="nil"/>
              <w:left w:val="nil"/>
              <w:bottom w:val="single" w:sz="4" w:space="0" w:color="auto"/>
              <w:right w:val="single" w:sz="4" w:space="0" w:color="auto"/>
            </w:tcBorders>
            <w:shd w:val="clear" w:color="auto" w:fill="auto"/>
            <w:vAlign w:val="center"/>
            <w:hideMark/>
          </w:tcPr>
          <w:p w14:paraId="5B91A4D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7D6E44F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1,336,176</w:t>
            </w:r>
          </w:p>
        </w:tc>
        <w:tc>
          <w:tcPr>
            <w:tcW w:w="165" w:type="pct"/>
            <w:tcBorders>
              <w:top w:val="nil"/>
              <w:left w:val="nil"/>
              <w:bottom w:val="single" w:sz="4" w:space="0" w:color="auto"/>
              <w:right w:val="single" w:sz="4" w:space="0" w:color="auto"/>
            </w:tcBorders>
            <w:shd w:val="clear" w:color="auto" w:fill="auto"/>
            <w:vAlign w:val="center"/>
            <w:hideMark/>
          </w:tcPr>
          <w:p w14:paraId="0A57B42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1,336,176</w:t>
            </w:r>
          </w:p>
        </w:tc>
        <w:tc>
          <w:tcPr>
            <w:tcW w:w="163" w:type="pct"/>
            <w:tcBorders>
              <w:top w:val="nil"/>
              <w:left w:val="nil"/>
              <w:bottom w:val="single" w:sz="4" w:space="0" w:color="auto"/>
              <w:right w:val="single" w:sz="4" w:space="0" w:color="auto"/>
            </w:tcBorders>
            <w:shd w:val="clear" w:color="auto" w:fill="auto"/>
            <w:vAlign w:val="center"/>
            <w:hideMark/>
          </w:tcPr>
          <w:p w14:paraId="61A73DD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67FD579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1,336,176</w:t>
            </w:r>
          </w:p>
        </w:tc>
        <w:tc>
          <w:tcPr>
            <w:tcW w:w="163" w:type="pct"/>
            <w:tcBorders>
              <w:top w:val="nil"/>
              <w:left w:val="nil"/>
              <w:bottom w:val="single" w:sz="4" w:space="0" w:color="auto"/>
              <w:right w:val="single" w:sz="4" w:space="0" w:color="auto"/>
            </w:tcBorders>
            <w:shd w:val="clear" w:color="auto" w:fill="auto"/>
            <w:vAlign w:val="center"/>
            <w:hideMark/>
          </w:tcPr>
          <w:p w14:paraId="7D165C4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1,336,176</w:t>
            </w:r>
          </w:p>
        </w:tc>
        <w:tc>
          <w:tcPr>
            <w:tcW w:w="148" w:type="pct"/>
            <w:tcBorders>
              <w:top w:val="nil"/>
              <w:left w:val="nil"/>
              <w:bottom w:val="single" w:sz="4" w:space="0" w:color="auto"/>
              <w:right w:val="single" w:sz="4" w:space="0" w:color="auto"/>
            </w:tcBorders>
            <w:shd w:val="clear" w:color="auto" w:fill="auto"/>
            <w:vAlign w:val="center"/>
            <w:hideMark/>
          </w:tcPr>
          <w:p w14:paraId="5DDEE58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4B17A4A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1,336,176</w:t>
            </w:r>
          </w:p>
        </w:tc>
        <w:tc>
          <w:tcPr>
            <w:tcW w:w="165" w:type="pct"/>
            <w:tcBorders>
              <w:top w:val="nil"/>
              <w:left w:val="nil"/>
              <w:bottom w:val="single" w:sz="4" w:space="0" w:color="auto"/>
              <w:right w:val="single" w:sz="4" w:space="0" w:color="auto"/>
            </w:tcBorders>
            <w:shd w:val="clear" w:color="auto" w:fill="auto"/>
            <w:vAlign w:val="center"/>
            <w:hideMark/>
          </w:tcPr>
          <w:p w14:paraId="6513D71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4,008,528</w:t>
            </w:r>
          </w:p>
        </w:tc>
        <w:tc>
          <w:tcPr>
            <w:tcW w:w="163" w:type="pct"/>
            <w:tcBorders>
              <w:top w:val="nil"/>
              <w:left w:val="nil"/>
              <w:bottom w:val="single" w:sz="4" w:space="0" w:color="auto"/>
              <w:right w:val="single" w:sz="4" w:space="0" w:color="auto"/>
            </w:tcBorders>
            <w:shd w:val="clear" w:color="auto" w:fill="auto"/>
            <w:vAlign w:val="center"/>
            <w:hideMark/>
          </w:tcPr>
          <w:p w14:paraId="452F209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3C02F4A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4,008,528</w:t>
            </w:r>
          </w:p>
        </w:tc>
        <w:tc>
          <w:tcPr>
            <w:tcW w:w="163" w:type="pct"/>
            <w:tcBorders>
              <w:top w:val="nil"/>
              <w:left w:val="nil"/>
              <w:bottom w:val="single" w:sz="4" w:space="0" w:color="auto"/>
              <w:right w:val="single" w:sz="4" w:space="0" w:color="auto"/>
            </w:tcBorders>
            <w:shd w:val="clear" w:color="auto" w:fill="auto"/>
            <w:vAlign w:val="center"/>
            <w:hideMark/>
          </w:tcPr>
          <w:p w14:paraId="5870D82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4,008,528</w:t>
            </w:r>
          </w:p>
        </w:tc>
        <w:tc>
          <w:tcPr>
            <w:tcW w:w="155" w:type="pct"/>
            <w:tcBorders>
              <w:top w:val="nil"/>
              <w:left w:val="nil"/>
              <w:bottom w:val="single" w:sz="4" w:space="0" w:color="auto"/>
              <w:right w:val="single" w:sz="4" w:space="0" w:color="auto"/>
            </w:tcBorders>
            <w:shd w:val="clear" w:color="auto" w:fill="auto"/>
            <w:vAlign w:val="center"/>
            <w:hideMark/>
          </w:tcPr>
          <w:p w14:paraId="7C20309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79F42EE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4,008,528</w:t>
            </w:r>
          </w:p>
        </w:tc>
        <w:tc>
          <w:tcPr>
            <w:tcW w:w="162" w:type="pct"/>
            <w:tcBorders>
              <w:top w:val="nil"/>
              <w:left w:val="nil"/>
              <w:bottom w:val="single" w:sz="4" w:space="0" w:color="auto"/>
              <w:right w:val="single" w:sz="4" w:space="0" w:color="auto"/>
            </w:tcBorders>
            <w:shd w:val="clear" w:color="auto" w:fill="auto"/>
            <w:vAlign w:val="center"/>
            <w:hideMark/>
          </w:tcPr>
          <w:p w14:paraId="27B9048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7FEE8A9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7D470EB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2A0BFF6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295227E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4FD18AB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34C307A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3909CA4B" w14:textId="46C312E0"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4CB4814F"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3C882FA2"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1.4.1.4</w:t>
            </w:r>
          </w:p>
        </w:tc>
        <w:tc>
          <w:tcPr>
            <w:tcW w:w="281" w:type="pct"/>
            <w:tcBorders>
              <w:top w:val="nil"/>
              <w:left w:val="nil"/>
              <w:bottom w:val="single" w:sz="4" w:space="0" w:color="auto"/>
              <w:right w:val="single" w:sz="4" w:space="0" w:color="auto"/>
            </w:tcBorders>
            <w:shd w:val="clear" w:color="auto" w:fill="auto"/>
            <w:vAlign w:val="center"/>
            <w:hideMark/>
          </w:tcPr>
          <w:p w14:paraId="4F9835A3" w14:textId="77777777"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 xml:space="preserve">1.4.1.4 Organizimi i aktiviteteve ndërgjegjësuese me nxënësit, trajnimi dhe këshillimi i mësuesve të lëndës </w:t>
            </w:r>
            <w:r w:rsidRPr="00B457F5">
              <w:rPr>
                <w:rFonts w:ascii="Garamond" w:eastAsia="Times New Roman" w:hAnsi="Garamond" w:cs="Times New Roman"/>
                <w:i/>
                <w:iCs/>
                <w:sz w:val="4"/>
                <w:szCs w:val="10"/>
              </w:rPr>
              <w:t>qytetari</w:t>
            </w:r>
            <w:r w:rsidRPr="00B457F5">
              <w:rPr>
                <w:rFonts w:ascii="Garamond" w:eastAsia="Times New Roman" w:hAnsi="Garamond" w:cs="Times New Roman"/>
                <w:sz w:val="4"/>
                <w:szCs w:val="10"/>
              </w:rPr>
              <w:t xml:space="preserve"> të shkollave të mesme për trajtimin e fenomenit të migracionit </w:t>
            </w:r>
          </w:p>
        </w:tc>
        <w:tc>
          <w:tcPr>
            <w:tcW w:w="186" w:type="pct"/>
            <w:tcBorders>
              <w:top w:val="nil"/>
              <w:left w:val="nil"/>
              <w:bottom w:val="single" w:sz="4" w:space="0" w:color="auto"/>
              <w:right w:val="single" w:sz="4" w:space="0" w:color="auto"/>
            </w:tcBorders>
            <w:shd w:val="clear" w:color="auto" w:fill="auto"/>
            <w:vAlign w:val="center"/>
            <w:hideMark/>
          </w:tcPr>
          <w:p w14:paraId="1D4E9B9D" w14:textId="3BB7AD69"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09230 Arsimi i </w:t>
            </w:r>
            <w:r w:rsidR="006A63AF" w:rsidRPr="00B457F5">
              <w:rPr>
                <w:rFonts w:ascii="Garamond" w:eastAsia="Times New Roman" w:hAnsi="Garamond" w:cs="Times New Roman"/>
                <w:color w:val="FF0000"/>
                <w:sz w:val="4"/>
                <w:szCs w:val="10"/>
              </w:rPr>
              <w:t>Mesëm</w:t>
            </w:r>
            <w:r w:rsidRPr="00B457F5">
              <w:rPr>
                <w:rFonts w:ascii="Garamond" w:eastAsia="Times New Roman" w:hAnsi="Garamond" w:cs="Times New Roman"/>
                <w:color w:val="FF0000"/>
                <w:sz w:val="4"/>
                <w:szCs w:val="10"/>
              </w:rPr>
              <w:t xml:space="preserve"> (i </w:t>
            </w:r>
            <w:r w:rsidR="006A63AF" w:rsidRPr="00B457F5">
              <w:rPr>
                <w:rFonts w:ascii="Garamond" w:eastAsia="Times New Roman" w:hAnsi="Garamond" w:cs="Times New Roman"/>
                <w:color w:val="FF0000"/>
                <w:sz w:val="4"/>
                <w:szCs w:val="10"/>
              </w:rPr>
              <w:t>përgjithshëm</w:t>
            </w:r>
            <w:r w:rsidRPr="00B457F5">
              <w:rPr>
                <w:rFonts w:ascii="Garamond" w:eastAsia="Times New Roman" w:hAnsi="Garamond" w:cs="Times New Roman"/>
                <w:color w:val="FF0000"/>
                <w:sz w:val="4"/>
                <w:szCs w:val="10"/>
              </w:rPr>
              <w:t>)</w:t>
            </w:r>
          </w:p>
        </w:tc>
        <w:tc>
          <w:tcPr>
            <w:tcW w:w="169" w:type="pct"/>
            <w:tcBorders>
              <w:top w:val="nil"/>
              <w:left w:val="nil"/>
              <w:bottom w:val="single" w:sz="4" w:space="0" w:color="auto"/>
              <w:right w:val="single" w:sz="4" w:space="0" w:color="auto"/>
            </w:tcBorders>
            <w:shd w:val="clear" w:color="auto" w:fill="auto"/>
            <w:vAlign w:val="center"/>
            <w:hideMark/>
          </w:tcPr>
          <w:p w14:paraId="6BB4910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MAS </w:t>
            </w:r>
          </w:p>
        </w:tc>
        <w:tc>
          <w:tcPr>
            <w:tcW w:w="244" w:type="pct"/>
            <w:tcBorders>
              <w:top w:val="nil"/>
              <w:left w:val="nil"/>
              <w:bottom w:val="single" w:sz="4" w:space="0" w:color="auto"/>
              <w:right w:val="single" w:sz="4" w:space="0" w:color="auto"/>
            </w:tcBorders>
            <w:shd w:val="clear" w:color="auto" w:fill="auto"/>
            <w:vAlign w:val="center"/>
            <w:hideMark/>
          </w:tcPr>
          <w:p w14:paraId="092BAB55" w14:textId="7B71053B"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MB, MEKI, </w:t>
            </w:r>
            <w:r w:rsidR="006A63AF" w:rsidRPr="00B457F5">
              <w:rPr>
                <w:rFonts w:ascii="Garamond" w:eastAsia="Times New Roman" w:hAnsi="Garamond" w:cs="Times New Roman"/>
                <w:sz w:val="4"/>
                <w:szCs w:val="10"/>
              </w:rPr>
              <w:t>organizatat</w:t>
            </w:r>
          </w:p>
        </w:tc>
        <w:tc>
          <w:tcPr>
            <w:tcW w:w="135" w:type="pct"/>
            <w:tcBorders>
              <w:top w:val="nil"/>
              <w:left w:val="nil"/>
              <w:bottom w:val="single" w:sz="4" w:space="0" w:color="auto"/>
              <w:right w:val="single" w:sz="4" w:space="0" w:color="auto"/>
            </w:tcBorders>
            <w:shd w:val="clear" w:color="000000" w:fill="DDEBF7"/>
            <w:vAlign w:val="center"/>
            <w:hideMark/>
          </w:tcPr>
          <w:p w14:paraId="6B5898F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2024 </w:t>
            </w:r>
          </w:p>
        </w:tc>
        <w:tc>
          <w:tcPr>
            <w:tcW w:w="152" w:type="pct"/>
            <w:tcBorders>
              <w:top w:val="nil"/>
              <w:left w:val="nil"/>
              <w:bottom w:val="single" w:sz="4" w:space="0" w:color="auto"/>
              <w:right w:val="single" w:sz="4" w:space="0" w:color="auto"/>
            </w:tcBorders>
            <w:shd w:val="clear" w:color="000000" w:fill="DDEBF7"/>
            <w:vAlign w:val="center"/>
            <w:hideMark/>
          </w:tcPr>
          <w:p w14:paraId="40F0572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63" w:type="pct"/>
            <w:tcBorders>
              <w:top w:val="nil"/>
              <w:left w:val="nil"/>
              <w:bottom w:val="single" w:sz="4" w:space="0" w:color="auto"/>
              <w:right w:val="single" w:sz="4" w:space="0" w:color="auto"/>
            </w:tcBorders>
            <w:shd w:val="clear" w:color="auto" w:fill="auto"/>
            <w:vAlign w:val="center"/>
            <w:hideMark/>
          </w:tcPr>
          <w:p w14:paraId="5F4D3C7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1,848,000</w:t>
            </w:r>
          </w:p>
        </w:tc>
        <w:tc>
          <w:tcPr>
            <w:tcW w:w="155" w:type="pct"/>
            <w:tcBorders>
              <w:top w:val="nil"/>
              <w:left w:val="nil"/>
              <w:bottom w:val="single" w:sz="4" w:space="0" w:color="auto"/>
              <w:right w:val="single" w:sz="4" w:space="0" w:color="auto"/>
            </w:tcBorders>
            <w:shd w:val="clear" w:color="auto" w:fill="auto"/>
            <w:vAlign w:val="center"/>
            <w:hideMark/>
          </w:tcPr>
          <w:p w14:paraId="3115FA1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3327780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1,848,000</w:t>
            </w:r>
          </w:p>
        </w:tc>
        <w:tc>
          <w:tcPr>
            <w:tcW w:w="165" w:type="pct"/>
            <w:tcBorders>
              <w:top w:val="nil"/>
              <w:left w:val="nil"/>
              <w:bottom w:val="single" w:sz="4" w:space="0" w:color="auto"/>
              <w:right w:val="single" w:sz="4" w:space="0" w:color="auto"/>
            </w:tcBorders>
            <w:shd w:val="clear" w:color="auto" w:fill="auto"/>
            <w:vAlign w:val="center"/>
            <w:hideMark/>
          </w:tcPr>
          <w:p w14:paraId="0C3394A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1,848,000</w:t>
            </w:r>
          </w:p>
        </w:tc>
        <w:tc>
          <w:tcPr>
            <w:tcW w:w="163" w:type="pct"/>
            <w:tcBorders>
              <w:top w:val="nil"/>
              <w:left w:val="nil"/>
              <w:bottom w:val="single" w:sz="4" w:space="0" w:color="auto"/>
              <w:right w:val="single" w:sz="4" w:space="0" w:color="auto"/>
            </w:tcBorders>
            <w:shd w:val="clear" w:color="auto" w:fill="auto"/>
            <w:vAlign w:val="center"/>
            <w:hideMark/>
          </w:tcPr>
          <w:p w14:paraId="31DBBAA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559400D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1,848,000</w:t>
            </w:r>
          </w:p>
        </w:tc>
        <w:tc>
          <w:tcPr>
            <w:tcW w:w="163" w:type="pct"/>
            <w:tcBorders>
              <w:top w:val="nil"/>
              <w:left w:val="nil"/>
              <w:bottom w:val="single" w:sz="4" w:space="0" w:color="auto"/>
              <w:right w:val="single" w:sz="4" w:space="0" w:color="auto"/>
            </w:tcBorders>
            <w:shd w:val="clear" w:color="auto" w:fill="auto"/>
            <w:vAlign w:val="center"/>
            <w:hideMark/>
          </w:tcPr>
          <w:p w14:paraId="29F11B1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1,848,000</w:t>
            </w:r>
          </w:p>
        </w:tc>
        <w:tc>
          <w:tcPr>
            <w:tcW w:w="148" w:type="pct"/>
            <w:tcBorders>
              <w:top w:val="nil"/>
              <w:left w:val="nil"/>
              <w:bottom w:val="single" w:sz="4" w:space="0" w:color="auto"/>
              <w:right w:val="single" w:sz="4" w:space="0" w:color="auto"/>
            </w:tcBorders>
            <w:shd w:val="clear" w:color="auto" w:fill="auto"/>
            <w:vAlign w:val="center"/>
            <w:hideMark/>
          </w:tcPr>
          <w:p w14:paraId="21A8F2C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6977C48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1,848,000</w:t>
            </w:r>
          </w:p>
        </w:tc>
        <w:tc>
          <w:tcPr>
            <w:tcW w:w="165" w:type="pct"/>
            <w:tcBorders>
              <w:top w:val="nil"/>
              <w:left w:val="nil"/>
              <w:bottom w:val="single" w:sz="4" w:space="0" w:color="auto"/>
              <w:right w:val="single" w:sz="4" w:space="0" w:color="auto"/>
            </w:tcBorders>
            <w:shd w:val="clear" w:color="auto" w:fill="auto"/>
            <w:vAlign w:val="center"/>
            <w:hideMark/>
          </w:tcPr>
          <w:p w14:paraId="32BBDE1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5,544,000</w:t>
            </w:r>
          </w:p>
        </w:tc>
        <w:tc>
          <w:tcPr>
            <w:tcW w:w="163" w:type="pct"/>
            <w:tcBorders>
              <w:top w:val="nil"/>
              <w:left w:val="nil"/>
              <w:bottom w:val="single" w:sz="4" w:space="0" w:color="auto"/>
              <w:right w:val="single" w:sz="4" w:space="0" w:color="auto"/>
            </w:tcBorders>
            <w:shd w:val="clear" w:color="auto" w:fill="auto"/>
            <w:vAlign w:val="center"/>
            <w:hideMark/>
          </w:tcPr>
          <w:p w14:paraId="6C42F64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5FEF2CA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5,544,000</w:t>
            </w:r>
          </w:p>
        </w:tc>
        <w:tc>
          <w:tcPr>
            <w:tcW w:w="163" w:type="pct"/>
            <w:tcBorders>
              <w:top w:val="nil"/>
              <w:left w:val="nil"/>
              <w:bottom w:val="single" w:sz="4" w:space="0" w:color="auto"/>
              <w:right w:val="single" w:sz="4" w:space="0" w:color="auto"/>
            </w:tcBorders>
            <w:shd w:val="clear" w:color="auto" w:fill="auto"/>
            <w:vAlign w:val="center"/>
            <w:hideMark/>
          </w:tcPr>
          <w:p w14:paraId="758FFBB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2FB8BCE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5D32C11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7F26F99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5,544,000</w:t>
            </w:r>
          </w:p>
        </w:tc>
        <w:tc>
          <w:tcPr>
            <w:tcW w:w="155" w:type="pct"/>
            <w:tcBorders>
              <w:top w:val="nil"/>
              <w:left w:val="nil"/>
              <w:bottom w:val="single" w:sz="4" w:space="0" w:color="auto"/>
              <w:right w:val="single" w:sz="4" w:space="0" w:color="auto"/>
            </w:tcBorders>
            <w:shd w:val="clear" w:color="auto" w:fill="auto"/>
            <w:vAlign w:val="center"/>
            <w:hideMark/>
          </w:tcPr>
          <w:p w14:paraId="15419BA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10FC228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Ambasada e Mbretërisë së Bashkuar</w:t>
            </w:r>
          </w:p>
        </w:tc>
        <w:tc>
          <w:tcPr>
            <w:tcW w:w="163" w:type="pct"/>
            <w:tcBorders>
              <w:top w:val="nil"/>
              <w:left w:val="nil"/>
              <w:bottom w:val="single" w:sz="4" w:space="0" w:color="auto"/>
              <w:right w:val="single" w:sz="4" w:space="0" w:color="auto"/>
            </w:tcBorders>
            <w:shd w:val="clear" w:color="000000" w:fill="FFF2CC"/>
            <w:vAlign w:val="center"/>
            <w:hideMark/>
          </w:tcPr>
          <w:p w14:paraId="33C4F02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5,544,000</w:t>
            </w:r>
          </w:p>
        </w:tc>
        <w:tc>
          <w:tcPr>
            <w:tcW w:w="139" w:type="pct"/>
            <w:tcBorders>
              <w:top w:val="nil"/>
              <w:left w:val="nil"/>
              <w:bottom w:val="single" w:sz="4" w:space="0" w:color="auto"/>
              <w:right w:val="single" w:sz="4" w:space="0" w:color="auto"/>
            </w:tcBorders>
            <w:shd w:val="clear" w:color="auto" w:fill="auto"/>
            <w:vAlign w:val="center"/>
            <w:hideMark/>
          </w:tcPr>
          <w:p w14:paraId="253EE07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7836013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4AD92F2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08F22650" w14:textId="44B7FD62"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39BEAA7C"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43D1A105"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1.4.1.5</w:t>
            </w:r>
          </w:p>
        </w:tc>
        <w:tc>
          <w:tcPr>
            <w:tcW w:w="281" w:type="pct"/>
            <w:tcBorders>
              <w:top w:val="nil"/>
              <w:left w:val="nil"/>
              <w:bottom w:val="single" w:sz="4" w:space="0" w:color="auto"/>
              <w:right w:val="single" w:sz="4" w:space="0" w:color="auto"/>
            </w:tcBorders>
            <w:shd w:val="clear" w:color="auto" w:fill="auto"/>
            <w:vAlign w:val="center"/>
            <w:hideMark/>
          </w:tcPr>
          <w:p w14:paraId="5C1B172E" w14:textId="77777777"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1.4.1.5 Organizimi i aktiviteteve ndergjegjësuese me nxënësit, trajnimi dhe këshillimi i mësuesve të shkollave të mesme profesionale për trajtimin e fenomenit të migracionit</w:t>
            </w:r>
          </w:p>
        </w:tc>
        <w:tc>
          <w:tcPr>
            <w:tcW w:w="186" w:type="pct"/>
            <w:tcBorders>
              <w:top w:val="nil"/>
              <w:left w:val="nil"/>
              <w:bottom w:val="single" w:sz="4" w:space="0" w:color="auto"/>
              <w:right w:val="single" w:sz="4" w:space="0" w:color="auto"/>
            </w:tcBorders>
            <w:shd w:val="clear" w:color="auto" w:fill="auto"/>
            <w:vAlign w:val="center"/>
            <w:hideMark/>
          </w:tcPr>
          <w:p w14:paraId="16551BCD" w14:textId="40513C7A"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09240 Arsimi i</w:t>
            </w:r>
            <w:r w:rsidR="0006016F" w:rsidRPr="00B457F5">
              <w:rPr>
                <w:rFonts w:ascii="Garamond" w:eastAsia="Times New Roman" w:hAnsi="Garamond" w:cs="Times New Roman"/>
                <w:color w:val="FF0000"/>
                <w:sz w:val="4"/>
                <w:szCs w:val="10"/>
              </w:rPr>
              <w:t xml:space="preserve"> </w:t>
            </w:r>
            <w:r w:rsidR="006A63AF" w:rsidRPr="00B457F5">
              <w:rPr>
                <w:rFonts w:ascii="Garamond" w:eastAsia="Times New Roman" w:hAnsi="Garamond" w:cs="Times New Roman"/>
                <w:color w:val="FF0000"/>
                <w:sz w:val="4"/>
                <w:szCs w:val="10"/>
              </w:rPr>
              <w:t>Mesëm</w:t>
            </w:r>
            <w:r w:rsidRPr="00B457F5">
              <w:rPr>
                <w:rFonts w:ascii="Garamond" w:eastAsia="Times New Roman" w:hAnsi="Garamond" w:cs="Times New Roman"/>
                <w:color w:val="FF0000"/>
                <w:sz w:val="4"/>
                <w:szCs w:val="10"/>
              </w:rPr>
              <w:t xml:space="preserve"> (profesional)</w:t>
            </w:r>
          </w:p>
        </w:tc>
        <w:tc>
          <w:tcPr>
            <w:tcW w:w="169" w:type="pct"/>
            <w:tcBorders>
              <w:top w:val="nil"/>
              <w:left w:val="nil"/>
              <w:bottom w:val="single" w:sz="4" w:space="0" w:color="auto"/>
              <w:right w:val="single" w:sz="4" w:space="0" w:color="auto"/>
            </w:tcBorders>
            <w:shd w:val="clear" w:color="auto" w:fill="auto"/>
            <w:vAlign w:val="center"/>
            <w:hideMark/>
          </w:tcPr>
          <w:p w14:paraId="5A18440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MEKI </w:t>
            </w:r>
          </w:p>
        </w:tc>
        <w:tc>
          <w:tcPr>
            <w:tcW w:w="244" w:type="pct"/>
            <w:tcBorders>
              <w:top w:val="nil"/>
              <w:left w:val="nil"/>
              <w:bottom w:val="single" w:sz="4" w:space="0" w:color="auto"/>
              <w:right w:val="single" w:sz="4" w:space="0" w:color="auto"/>
            </w:tcBorders>
            <w:shd w:val="clear" w:color="auto" w:fill="auto"/>
            <w:vAlign w:val="center"/>
            <w:hideMark/>
          </w:tcPr>
          <w:p w14:paraId="6FF61E4C" w14:textId="411A16E3"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MB, </w:t>
            </w:r>
            <w:r w:rsidR="006A63AF" w:rsidRPr="00B457F5">
              <w:rPr>
                <w:rFonts w:ascii="Garamond" w:eastAsia="Times New Roman" w:hAnsi="Garamond" w:cs="Times New Roman"/>
                <w:sz w:val="4"/>
                <w:szCs w:val="10"/>
              </w:rPr>
              <w:t>organizatat</w:t>
            </w:r>
          </w:p>
        </w:tc>
        <w:tc>
          <w:tcPr>
            <w:tcW w:w="135" w:type="pct"/>
            <w:tcBorders>
              <w:top w:val="nil"/>
              <w:left w:val="nil"/>
              <w:bottom w:val="single" w:sz="4" w:space="0" w:color="auto"/>
              <w:right w:val="single" w:sz="4" w:space="0" w:color="auto"/>
            </w:tcBorders>
            <w:shd w:val="clear" w:color="000000" w:fill="DDEBF7"/>
            <w:vAlign w:val="center"/>
            <w:hideMark/>
          </w:tcPr>
          <w:p w14:paraId="4FF54970"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100F2309"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2FBFBF7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816,000</w:t>
            </w:r>
          </w:p>
        </w:tc>
        <w:tc>
          <w:tcPr>
            <w:tcW w:w="155" w:type="pct"/>
            <w:tcBorders>
              <w:top w:val="nil"/>
              <w:left w:val="nil"/>
              <w:bottom w:val="single" w:sz="4" w:space="0" w:color="auto"/>
              <w:right w:val="single" w:sz="4" w:space="0" w:color="auto"/>
            </w:tcBorders>
            <w:shd w:val="clear" w:color="auto" w:fill="auto"/>
            <w:vAlign w:val="center"/>
            <w:hideMark/>
          </w:tcPr>
          <w:p w14:paraId="6A216F6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1FBCAD1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816,000</w:t>
            </w:r>
          </w:p>
        </w:tc>
        <w:tc>
          <w:tcPr>
            <w:tcW w:w="165" w:type="pct"/>
            <w:tcBorders>
              <w:top w:val="nil"/>
              <w:left w:val="nil"/>
              <w:bottom w:val="single" w:sz="4" w:space="0" w:color="auto"/>
              <w:right w:val="single" w:sz="4" w:space="0" w:color="auto"/>
            </w:tcBorders>
            <w:shd w:val="clear" w:color="auto" w:fill="auto"/>
            <w:vAlign w:val="center"/>
            <w:hideMark/>
          </w:tcPr>
          <w:p w14:paraId="24486AC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816,000</w:t>
            </w:r>
          </w:p>
        </w:tc>
        <w:tc>
          <w:tcPr>
            <w:tcW w:w="163" w:type="pct"/>
            <w:tcBorders>
              <w:top w:val="nil"/>
              <w:left w:val="nil"/>
              <w:bottom w:val="single" w:sz="4" w:space="0" w:color="auto"/>
              <w:right w:val="single" w:sz="4" w:space="0" w:color="auto"/>
            </w:tcBorders>
            <w:shd w:val="clear" w:color="auto" w:fill="auto"/>
            <w:vAlign w:val="center"/>
            <w:hideMark/>
          </w:tcPr>
          <w:p w14:paraId="0935029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51B18B2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816,000</w:t>
            </w:r>
          </w:p>
        </w:tc>
        <w:tc>
          <w:tcPr>
            <w:tcW w:w="163" w:type="pct"/>
            <w:tcBorders>
              <w:top w:val="nil"/>
              <w:left w:val="nil"/>
              <w:bottom w:val="single" w:sz="4" w:space="0" w:color="auto"/>
              <w:right w:val="single" w:sz="4" w:space="0" w:color="auto"/>
            </w:tcBorders>
            <w:shd w:val="clear" w:color="auto" w:fill="auto"/>
            <w:vAlign w:val="center"/>
            <w:hideMark/>
          </w:tcPr>
          <w:p w14:paraId="23348D1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816,000</w:t>
            </w:r>
          </w:p>
        </w:tc>
        <w:tc>
          <w:tcPr>
            <w:tcW w:w="148" w:type="pct"/>
            <w:tcBorders>
              <w:top w:val="nil"/>
              <w:left w:val="nil"/>
              <w:bottom w:val="single" w:sz="4" w:space="0" w:color="auto"/>
              <w:right w:val="single" w:sz="4" w:space="0" w:color="auto"/>
            </w:tcBorders>
            <w:shd w:val="clear" w:color="auto" w:fill="auto"/>
            <w:vAlign w:val="center"/>
            <w:hideMark/>
          </w:tcPr>
          <w:p w14:paraId="3215AC7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0485DD1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816,000</w:t>
            </w:r>
          </w:p>
        </w:tc>
        <w:tc>
          <w:tcPr>
            <w:tcW w:w="165" w:type="pct"/>
            <w:tcBorders>
              <w:top w:val="nil"/>
              <w:left w:val="nil"/>
              <w:bottom w:val="single" w:sz="4" w:space="0" w:color="auto"/>
              <w:right w:val="single" w:sz="4" w:space="0" w:color="auto"/>
            </w:tcBorders>
            <w:shd w:val="clear" w:color="auto" w:fill="auto"/>
            <w:vAlign w:val="center"/>
            <w:hideMark/>
          </w:tcPr>
          <w:p w14:paraId="1E7EC9D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2,448,000</w:t>
            </w:r>
          </w:p>
        </w:tc>
        <w:tc>
          <w:tcPr>
            <w:tcW w:w="163" w:type="pct"/>
            <w:tcBorders>
              <w:top w:val="nil"/>
              <w:left w:val="nil"/>
              <w:bottom w:val="single" w:sz="4" w:space="0" w:color="auto"/>
              <w:right w:val="single" w:sz="4" w:space="0" w:color="auto"/>
            </w:tcBorders>
            <w:shd w:val="clear" w:color="auto" w:fill="auto"/>
            <w:vAlign w:val="center"/>
            <w:hideMark/>
          </w:tcPr>
          <w:p w14:paraId="01120FD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2CF5FFE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2,448,000</w:t>
            </w:r>
          </w:p>
        </w:tc>
        <w:tc>
          <w:tcPr>
            <w:tcW w:w="163" w:type="pct"/>
            <w:tcBorders>
              <w:top w:val="nil"/>
              <w:left w:val="nil"/>
              <w:bottom w:val="single" w:sz="4" w:space="0" w:color="auto"/>
              <w:right w:val="single" w:sz="4" w:space="0" w:color="auto"/>
            </w:tcBorders>
            <w:shd w:val="clear" w:color="auto" w:fill="auto"/>
            <w:vAlign w:val="center"/>
            <w:hideMark/>
          </w:tcPr>
          <w:p w14:paraId="7465EF4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0599069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5A9DB87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6FBAE4F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6FEE4D2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24132D1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0EB55CF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5EBC3D8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76906C8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1DA0821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31AC4ACF" w14:textId="4A047998"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(2,448,000)</w:t>
            </w:r>
          </w:p>
        </w:tc>
      </w:tr>
      <w:tr w:rsidR="00C260C3" w:rsidRPr="00B457F5" w14:paraId="372A487B"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629F353B"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1.4.1.6</w:t>
            </w:r>
          </w:p>
        </w:tc>
        <w:tc>
          <w:tcPr>
            <w:tcW w:w="281" w:type="pct"/>
            <w:tcBorders>
              <w:top w:val="nil"/>
              <w:left w:val="nil"/>
              <w:bottom w:val="single" w:sz="4" w:space="0" w:color="auto"/>
              <w:right w:val="single" w:sz="4" w:space="0" w:color="auto"/>
            </w:tcBorders>
            <w:shd w:val="clear" w:color="auto" w:fill="auto"/>
            <w:vAlign w:val="center"/>
            <w:hideMark/>
          </w:tcPr>
          <w:p w14:paraId="10C9FEA4" w14:textId="77777777"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1.4.1.6 Zbatimi i programeve për nxitjen e punësimit nëpërmjet programeve të punësimit, vetëpunësimit dhe formimit në punë, programeve në komunitet, me prioritet zonat më të prekura nga emigracioni</w:t>
            </w:r>
          </w:p>
        </w:tc>
        <w:tc>
          <w:tcPr>
            <w:tcW w:w="186" w:type="pct"/>
            <w:tcBorders>
              <w:top w:val="nil"/>
              <w:left w:val="nil"/>
              <w:bottom w:val="single" w:sz="4" w:space="0" w:color="auto"/>
              <w:right w:val="single" w:sz="4" w:space="0" w:color="auto"/>
            </w:tcBorders>
            <w:shd w:val="clear" w:color="auto" w:fill="auto"/>
            <w:vAlign w:val="center"/>
            <w:hideMark/>
          </w:tcPr>
          <w:p w14:paraId="303A83C4" w14:textId="0319C8E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6A63AF" w:rsidRPr="00B457F5">
              <w:rPr>
                <w:rFonts w:ascii="Garamond" w:eastAsia="Times New Roman" w:hAnsi="Garamond" w:cs="Times New Roman"/>
                <w:color w:val="FF0000"/>
                <w:sz w:val="4"/>
                <w:szCs w:val="10"/>
              </w:rPr>
              <w:t>Punës</w:t>
            </w:r>
          </w:p>
        </w:tc>
        <w:tc>
          <w:tcPr>
            <w:tcW w:w="169" w:type="pct"/>
            <w:tcBorders>
              <w:top w:val="nil"/>
              <w:left w:val="nil"/>
              <w:bottom w:val="single" w:sz="4" w:space="0" w:color="auto"/>
              <w:right w:val="single" w:sz="4" w:space="0" w:color="auto"/>
            </w:tcBorders>
            <w:shd w:val="clear" w:color="auto" w:fill="auto"/>
            <w:vAlign w:val="center"/>
            <w:hideMark/>
          </w:tcPr>
          <w:p w14:paraId="4FDDB3C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AKPA</w:t>
            </w:r>
          </w:p>
        </w:tc>
        <w:tc>
          <w:tcPr>
            <w:tcW w:w="244" w:type="pct"/>
            <w:tcBorders>
              <w:top w:val="nil"/>
              <w:left w:val="nil"/>
              <w:bottom w:val="single" w:sz="4" w:space="0" w:color="auto"/>
              <w:right w:val="single" w:sz="4" w:space="0" w:color="auto"/>
            </w:tcBorders>
            <w:shd w:val="clear" w:color="auto" w:fill="auto"/>
            <w:vAlign w:val="center"/>
            <w:hideMark/>
          </w:tcPr>
          <w:p w14:paraId="0747586D" w14:textId="37CFA4E6"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MEKI, </w:t>
            </w:r>
            <w:r w:rsidR="006A63AF" w:rsidRPr="00B457F5">
              <w:rPr>
                <w:rFonts w:ascii="Garamond" w:eastAsia="Times New Roman" w:hAnsi="Garamond" w:cs="Times New Roman"/>
                <w:sz w:val="4"/>
                <w:szCs w:val="10"/>
              </w:rPr>
              <w:t>organizatat</w:t>
            </w:r>
          </w:p>
        </w:tc>
        <w:tc>
          <w:tcPr>
            <w:tcW w:w="135" w:type="pct"/>
            <w:tcBorders>
              <w:top w:val="nil"/>
              <w:left w:val="nil"/>
              <w:bottom w:val="single" w:sz="4" w:space="0" w:color="auto"/>
              <w:right w:val="single" w:sz="4" w:space="0" w:color="auto"/>
            </w:tcBorders>
            <w:shd w:val="clear" w:color="000000" w:fill="DDEBF7"/>
            <w:vAlign w:val="center"/>
            <w:hideMark/>
          </w:tcPr>
          <w:p w14:paraId="571813BB"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2024 </w:t>
            </w:r>
          </w:p>
        </w:tc>
        <w:tc>
          <w:tcPr>
            <w:tcW w:w="152" w:type="pct"/>
            <w:tcBorders>
              <w:top w:val="nil"/>
              <w:left w:val="nil"/>
              <w:bottom w:val="single" w:sz="4" w:space="0" w:color="auto"/>
              <w:right w:val="single" w:sz="4" w:space="0" w:color="auto"/>
            </w:tcBorders>
            <w:shd w:val="clear" w:color="000000" w:fill="DDEBF7"/>
            <w:vAlign w:val="center"/>
            <w:hideMark/>
          </w:tcPr>
          <w:p w14:paraId="51B9C75F"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63" w:type="pct"/>
            <w:tcBorders>
              <w:top w:val="nil"/>
              <w:left w:val="nil"/>
              <w:bottom w:val="single" w:sz="4" w:space="0" w:color="auto"/>
              <w:right w:val="single" w:sz="4" w:space="0" w:color="auto"/>
            </w:tcBorders>
            <w:shd w:val="clear" w:color="auto" w:fill="auto"/>
            <w:vAlign w:val="center"/>
            <w:hideMark/>
          </w:tcPr>
          <w:p w14:paraId="5F226A9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12,000,000</w:t>
            </w:r>
          </w:p>
        </w:tc>
        <w:tc>
          <w:tcPr>
            <w:tcW w:w="155" w:type="pct"/>
            <w:tcBorders>
              <w:top w:val="nil"/>
              <w:left w:val="nil"/>
              <w:bottom w:val="single" w:sz="4" w:space="0" w:color="auto"/>
              <w:right w:val="single" w:sz="4" w:space="0" w:color="auto"/>
            </w:tcBorders>
            <w:shd w:val="clear" w:color="auto" w:fill="auto"/>
            <w:vAlign w:val="center"/>
            <w:hideMark/>
          </w:tcPr>
          <w:p w14:paraId="465F1B7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49AD4F1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12,000,000</w:t>
            </w:r>
          </w:p>
        </w:tc>
        <w:tc>
          <w:tcPr>
            <w:tcW w:w="165" w:type="pct"/>
            <w:tcBorders>
              <w:top w:val="nil"/>
              <w:left w:val="nil"/>
              <w:bottom w:val="single" w:sz="4" w:space="0" w:color="auto"/>
              <w:right w:val="single" w:sz="4" w:space="0" w:color="auto"/>
            </w:tcBorders>
            <w:shd w:val="clear" w:color="auto" w:fill="auto"/>
            <w:vAlign w:val="center"/>
            <w:hideMark/>
          </w:tcPr>
          <w:p w14:paraId="18BFFB4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12,000,000</w:t>
            </w:r>
          </w:p>
        </w:tc>
        <w:tc>
          <w:tcPr>
            <w:tcW w:w="163" w:type="pct"/>
            <w:tcBorders>
              <w:top w:val="nil"/>
              <w:left w:val="nil"/>
              <w:bottom w:val="single" w:sz="4" w:space="0" w:color="auto"/>
              <w:right w:val="single" w:sz="4" w:space="0" w:color="auto"/>
            </w:tcBorders>
            <w:shd w:val="clear" w:color="auto" w:fill="auto"/>
            <w:vAlign w:val="center"/>
            <w:hideMark/>
          </w:tcPr>
          <w:p w14:paraId="1818799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7DFC52D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12,000,000</w:t>
            </w:r>
          </w:p>
        </w:tc>
        <w:tc>
          <w:tcPr>
            <w:tcW w:w="163" w:type="pct"/>
            <w:tcBorders>
              <w:top w:val="nil"/>
              <w:left w:val="nil"/>
              <w:bottom w:val="single" w:sz="4" w:space="0" w:color="auto"/>
              <w:right w:val="single" w:sz="4" w:space="0" w:color="auto"/>
            </w:tcBorders>
            <w:shd w:val="clear" w:color="auto" w:fill="auto"/>
            <w:vAlign w:val="center"/>
            <w:hideMark/>
          </w:tcPr>
          <w:p w14:paraId="5401FD0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12,000,000</w:t>
            </w:r>
          </w:p>
        </w:tc>
        <w:tc>
          <w:tcPr>
            <w:tcW w:w="148" w:type="pct"/>
            <w:tcBorders>
              <w:top w:val="nil"/>
              <w:left w:val="nil"/>
              <w:bottom w:val="single" w:sz="4" w:space="0" w:color="auto"/>
              <w:right w:val="single" w:sz="4" w:space="0" w:color="auto"/>
            </w:tcBorders>
            <w:shd w:val="clear" w:color="auto" w:fill="auto"/>
            <w:vAlign w:val="center"/>
            <w:hideMark/>
          </w:tcPr>
          <w:p w14:paraId="6B55055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37BA572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12,000,000</w:t>
            </w:r>
          </w:p>
        </w:tc>
        <w:tc>
          <w:tcPr>
            <w:tcW w:w="165" w:type="pct"/>
            <w:tcBorders>
              <w:top w:val="nil"/>
              <w:left w:val="nil"/>
              <w:bottom w:val="single" w:sz="4" w:space="0" w:color="auto"/>
              <w:right w:val="single" w:sz="4" w:space="0" w:color="auto"/>
            </w:tcBorders>
            <w:shd w:val="clear" w:color="auto" w:fill="auto"/>
            <w:vAlign w:val="center"/>
            <w:hideMark/>
          </w:tcPr>
          <w:p w14:paraId="02AE8C4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36,000,000</w:t>
            </w:r>
          </w:p>
        </w:tc>
        <w:tc>
          <w:tcPr>
            <w:tcW w:w="163" w:type="pct"/>
            <w:tcBorders>
              <w:top w:val="nil"/>
              <w:left w:val="nil"/>
              <w:bottom w:val="single" w:sz="4" w:space="0" w:color="auto"/>
              <w:right w:val="single" w:sz="4" w:space="0" w:color="auto"/>
            </w:tcBorders>
            <w:shd w:val="clear" w:color="auto" w:fill="auto"/>
            <w:vAlign w:val="center"/>
            <w:hideMark/>
          </w:tcPr>
          <w:p w14:paraId="7D472A3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2E2C992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36,000,000</w:t>
            </w:r>
          </w:p>
        </w:tc>
        <w:tc>
          <w:tcPr>
            <w:tcW w:w="163" w:type="pct"/>
            <w:tcBorders>
              <w:top w:val="nil"/>
              <w:left w:val="nil"/>
              <w:bottom w:val="single" w:sz="4" w:space="0" w:color="auto"/>
              <w:right w:val="single" w:sz="4" w:space="0" w:color="auto"/>
            </w:tcBorders>
            <w:shd w:val="clear" w:color="auto" w:fill="auto"/>
            <w:vAlign w:val="center"/>
            <w:hideMark/>
          </w:tcPr>
          <w:p w14:paraId="7FFCCEC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20957F1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238497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64679DC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36,000,000</w:t>
            </w:r>
          </w:p>
        </w:tc>
        <w:tc>
          <w:tcPr>
            <w:tcW w:w="155" w:type="pct"/>
            <w:tcBorders>
              <w:top w:val="nil"/>
              <w:left w:val="nil"/>
              <w:bottom w:val="single" w:sz="4" w:space="0" w:color="auto"/>
              <w:right w:val="single" w:sz="4" w:space="0" w:color="auto"/>
            </w:tcBorders>
            <w:shd w:val="clear" w:color="auto" w:fill="auto"/>
            <w:vAlign w:val="center"/>
            <w:hideMark/>
          </w:tcPr>
          <w:p w14:paraId="761D51B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5DD55CB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Ambasada e Mbretërisë së Bashkuar</w:t>
            </w:r>
          </w:p>
        </w:tc>
        <w:tc>
          <w:tcPr>
            <w:tcW w:w="163" w:type="pct"/>
            <w:tcBorders>
              <w:top w:val="nil"/>
              <w:left w:val="nil"/>
              <w:bottom w:val="single" w:sz="4" w:space="0" w:color="auto"/>
              <w:right w:val="single" w:sz="4" w:space="0" w:color="auto"/>
            </w:tcBorders>
            <w:shd w:val="clear" w:color="000000" w:fill="FFF2CC"/>
            <w:vAlign w:val="center"/>
            <w:hideMark/>
          </w:tcPr>
          <w:p w14:paraId="5D535E0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36,000,000</w:t>
            </w:r>
          </w:p>
        </w:tc>
        <w:tc>
          <w:tcPr>
            <w:tcW w:w="139" w:type="pct"/>
            <w:tcBorders>
              <w:top w:val="nil"/>
              <w:left w:val="nil"/>
              <w:bottom w:val="single" w:sz="4" w:space="0" w:color="auto"/>
              <w:right w:val="single" w:sz="4" w:space="0" w:color="auto"/>
            </w:tcBorders>
            <w:shd w:val="clear" w:color="auto" w:fill="auto"/>
            <w:vAlign w:val="center"/>
            <w:hideMark/>
          </w:tcPr>
          <w:p w14:paraId="624C1D0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1D0326A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1CEED7F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11DF1B62" w14:textId="6180628E"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7197E01E"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6C2B7444"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1.4.1.7</w:t>
            </w:r>
          </w:p>
        </w:tc>
        <w:tc>
          <w:tcPr>
            <w:tcW w:w="281" w:type="pct"/>
            <w:tcBorders>
              <w:top w:val="nil"/>
              <w:left w:val="nil"/>
              <w:bottom w:val="single" w:sz="4" w:space="0" w:color="auto"/>
              <w:right w:val="single" w:sz="4" w:space="0" w:color="auto"/>
            </w:tcBorders>
            <w:shd w:val="clear" w:color="auto" w:fill="auto"/>
            <w:vAlign w:val="center"/>
            <w:hideMark/>
          </w:tcPr>
          <w:p w14:paraId="5A184FE2" w14:textId="77777777"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 xml:space="preserve">1.4.1.7 Vendosja e materialeve informuese për pasojat e migracionit të parregullt dhe rrugët e migracionit të rregullt, në NJVV </w:t>
            </w:r>
          </w:p>
        </w:tc>
        <w:tc>
          <w:tcPr>
            <w:tcW w:w="186" w:type="pct"/>
            <w:tcBorders>
              <w:top w:val="nil"/>
              <w:left w:val="nil"/>
              <w:bottom w:val="single" w:sz="4" w:space="0" w:color="auto"/>
              <w:right w:val="single" w:sz="4" w:space="0" w:color="auto"/>
            </w:tcBorders>
            <w:shd w:val="clear" w:color="auto" w:fill="auto"/>
            <w:vAlign w:val="center"/>
            <w:hideMark/>
          </w:tcPr>
          <w:p w14:paraId="71BD829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9" w:type="pct"/>
            <w:tcBorders>
              <w:top w:val="nil"/>
              <w:left w:val="nil"/>
              <w:bottom w:val="single" w:sz="4" w:space="0" w:color="auto"/>
              <w:right w:val="single" w:sz="4" w:space="0" w:color="auto"/>
            </w:tcBorders>
            <w:shd w:val="clear" w:color="auto" w:fill="auto"/>
            <w:vAlign w:val="center"/>
            <w:hideMark/>
          </w:tcPr>
          <w:p w14:paraId="0E48C85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Bashkitë</w:t>
            </w:r>
          </w:p>
        </w:tc>
        <w:tc>
          <w:tcPr>
            <w:tcW w:w="244" w:type="pct"/>
            <w:tcBorders>
              <w:top w:val="nil"/>
              <w:left w:val="nil"/>
              <w:bottom w:val="single" w:sz="4" w:space="0" w:color="auto"/>
              <w:right w:val="single" w:sz="4" w:space="0" w:color="auto"/>
            </w:tcBorders>
            <w:shd w:val="clear" w:color="auto" w:fill="auto"/>
            <w:vAlign w:val="center"/>
            <w:hideMark/>
          </w:tcPr>
          <w:p w14:paraId="193B26B3" w14:textId="6CAEE652"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MB, </w:t>
            </w:r>
            <w:r w:rsidR="006A63AF" w:rsidRPr="00B457F5">
              <w:rPr>
                <w:rFonts w:ascii="Garamond" w:eastAsia="Times New Roman" w:hAnsi="Garamond" w:cs="Times New Roman"/>
                <w:sz w:val="4"/>
                <w:szCs w:val="10"/>
              </w:rPr>
              <w:t>organizatat</w:t>
            </w:r>
          </w:p>
        </w:tc>
        <w:tc>
          <w:tcPr>
            <w:tcW w:w="135" w:type="pct"/>
            <w:tcBorders>
              <w:top w:val="nil"/>
              <w:left w:val="nil"/>
              <w:bottom w:val="single" w:sz="4" w:space="0" w:color="auto"/>
              <w:right w:val="single" w:sz="4" w:space="0" w:color="auto"/>
            </w:tcBorders>
            <w:shd w:val="clear" w:color="000000" w:fill="DDEBF7"/>
            <w:vAlign w:val="center"/>
            <w:hideMark/>
          </w:tcPr>
          <w:p w14:paraId="0D485A20"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2BB640D6"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2025</w:t>
            </w:r>
          </w:p>
        </w:tc>
        <w:tc>
          <w:tcPr>
            <w:tcW w:w="163" w:type="pct"/>
            <w:tcBorders>
              <w:top w:val="nil"/>
              <w:left w:val="nil"/>
              <w:bottom w:val="single" w:sz="4" w:space="0" w:color="auto"/>
              <w:right w:val="single" w:sz="4" w:space="0" w:color="auto"/>
            </w:tcBorders>
            <w:shd w:val="clear" w:color="auto" w:fill="auto"/>
            <w:vAlign w:val="center"/>
            <w:hideMark/>
          </w:tcPr>
          <w:p w14:paraId="09E228F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18,300,000</w:t>
            </w:r>
          </w:p>
        </w:tc>
        <w:tc>
          <w:tcPr>
            <w:tcW w:w="155" w:type="pct"/>
            <w:tcBorders>
              <w:top w:val="nil"/>
              <w:left w:val="nil"/>
              <w:bottom w:val="single" w:sz="4" w:space="0" w:color="auto"/>
              <w:right w:val="single" w:sz="4" w:space="0" w:color="auto"/>
            </w:tcBorders>
            <w:shd w:val="clear" w:color="auto" w:fill="auto"/>
            <w:vAlign w:val="center"/>
            <w:hideMark/>
          </w:tcPr>
          <w:p w14:paraId="444A295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6C204BB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18,300,000</w:t>
            </w:r>
          </w:p>
        </w:tc>
        <w:tc>
          <w:tcPr>
            <w:tcW w:w="165" w:type="pct"/>
            <w:tcBorders>
              <w:top w:val="nil"/>
              <w:left w:val="nil"/>
              <w:bottom w:val="single" w:sz="4" w:space="0" w:color="auto"/>
              <w:right w:val="single" w:sz="4" w:space="0" w:color="auto"/>
            </w:tcBorders>
            <w:shd w:val="clear" w:color="auto" w:fill="auto"/>
            <w:vAlign w:val="center"/>
            <w:hideMark/>
          </w:tcPr>
          <w:p w14:paraId="2E04866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18,300,000</w:t>
            </w:r>
          </w:p>
        </w:tc>
        <w:tc>
          <w:tcPr>
            <w:tcW w:w="163" w:type="pct"/>
            <w:tcBorders>
              <w:top w:val="nil"/>
              <w:left w:val="nil"/>
              <w:bottom w:val="single" w:sz="4" w:space="0" w:color="auto"/>
              <w:right w:val="single" w:sz="4" w:space="0" w:color="auto"/>
            </w:tcBorders>
            <w:shd w:val="clear" w:color="auto" w:fill="auto"/>
            <w:vAlign w:val="center"/>
            <w:hideMark/>
          </w:tcPr>
          <w:p w14:paraId="7EA5648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A0D741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18,300,000</w:t>
            </w:r>
          </w:p>
        </w:tc>
        <w:tc>
          <w:tcPr>
            <w:tcW w:w="163" w:type="pct"/>
            <w:tcBorders>
              <w:top w:val="nil"/>
              <w:left w:val="nil"/>
              <w:bottom w:val="single" w:sz="4" w:space="0" w:color="auto"/>
              <w:right w:val="single" w:sz="4" w:space="0" w:color="auto"/>
            </w:tcBorders>
            <w:shd w:val="clear" w:color="auto" w:fill="auto"/>
            <w:vAlign w:val="center"/>
            <w:hideMark/>
          </w:tcPr>
          <w:p w14:paraId="612B7E4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8" w:type="pct"/>
            <w:tcBorders>
              <w:top w:val="nil"/>
              <w:left w:val="nil"/>
              <w:bottom w:val="single" w:sz="4" w:space="0" w:color="auto"/>
              <w:right w:val="single" w:sz="4" w:space="0" w:color="auto"/>
            </w:tcBorders>
            <w:shd w:val="clear" w:color="auto" w:fill="auto"/>
            <w:vAlign w:val="center"/>
            <w:hideMark/>
          </w:tcPr>
          <w:p w14:paraId="5C98678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5DC8519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auto" w:fill="auto"/>
            <w:vAlign w:val="center"/>
            <w:hideMark/>
          </w:tcPr>
          <w:p w14:paraId="68EE62B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36,600,000</w:t>
            </w:r>
          </w:p>
        </w:tc>
        <w:tc>
          <w:tcPr>
            <w:tcW w:w="163" w:type="pct"/>
            <w:tcBorders>
              <w:top w:val="nil"/>
              <w:left w:val="nil"/>
              <w:bottom w:val="single" w:sz="4" w:space="0" w:color="auto"/>
              <w:right w:val="single" w:sz="4" w:space="0" w:color="auto"/>
            </w:tcBorders>
            <w:shd w:val="clear" w:color="auto" w:fill="auto"/>
            <w:vAlign w:val="center"/>
            <w:hideMark/>
          </w:tcPr>
          <w:p w14:paraId="1C4D2EE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580CADB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36,600,000</w:t>
            </w:r>
          </w:p>
        </w:tc>
        <w:tc>
          <w:tcPr>
            <w:tcW w:w="163" w:type="pct"/>
            <w:tcBorders>
              <w:top w:val="nil"/>
              <w:left w:val="nil"/>
              <w:bottom w:val="single" w:sz="4" w:space="0" w:color="auto"/>
              <w:right w:val="single" w:sz="4" w:space="0" w:color="auto"/>
            </w:tcBorders>
            <w:shd w:val="clear" w:color="auto" w:fill="auto"/>
            <w:vAlign w:val="center"/>
            <w:hideMark/>
          </w:tcPr>
          <w:p w14:paraId="7970BA2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36,600,000</w:t>
            </w:r>
          </w:p>
        </w:tc>
        <w:tc>
          <w:tcPr>
            <w:tcW w:w="155" w:type="pct"/>
            <w:tcBorders>
              <w:top w:val="nil"/>
              <w:left w:val="nil"/>
              <w:bottom w:val="single" w:sz="4" w:space="0" w:color="auto"/>
              <w:right w:val="single" w:sz="4" w:space="0" w:color="auto"/>
            </w:tcBorders>
            <w:shd w:val="clear" w:color="auto" w:fill="auto"/>
            <w:vAlign w:val="center"/>
            <w:hideMark/>
          </w:tcPr>
          <w:p w14:paraId="74A2CD0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4A145D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36,600,000</w:t>
            </w:r>
          </w:p>
        </w:tc>
        <w:tc>
          <w:tcPr>
            <w:tcW w:w="162" w:type="pct"/>
            <w:tcBorders>
              <w:top w:val="nil"/>
              <w:left w:val="nil"/>
              <w:bottom w:val="single" w:sz="4" w:space="0" w:color="auto"/>
              <w:right w:val="single" w:sz="4" w:space="0" w:color="auto"/>
            </w:tcBorders>
            <w:shd w:val="clear" w:color="auto" w:fill="auto"/>
            <w:vAlign w:val="center"/>
            <w:hideMark/>
          </w:tcPr>
          <w:p w14:paraId="5A01F68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185C025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1CD3C21E"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02CAB6F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35D8FE5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60A116D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1EF5DD1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592EC066" w14:textId="1551C625"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67FEC408" w14:textId="77777777" w:rsidTr="00C260C3">
        <w:trPr>
          <w:trHeight w:val="20"/>
        </w:trPr>
        <w:tc>
          <w:tcPr>
            <w:tcW w:w="131" w:type="pct"/>
            <w:tcBorders>
              <w:top w:val="nil"/>
              <w:left w:val="single" w:sz="4" w:space="0" w:color="auto"/>
              <w:bottom w:val="single" w:sz="4" w:space="0" w:color="auto"/>
              <w:right w:val="single" w:sz="4" w:space="0" w:color="auto"/>
            </w:tcBorders>
            <w:shd w:val="clear" w:color="000000" w:fill="D9D9D9"/>
            <w:vAlign w:val="center"/>
            <w:hideMark/>
          </w:tcPr>
          <w:p w14:paraId="6A7DE1A5"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1.4.2</w:t>
            </w:r>
          </w:p>
        </w:tc>
        <w:tc>
          <w:tcPr>
            <w:tcW w:w="281" w:type="pct"/>
            <w:tcBorders>
              <w:top w:val="nil"/>
              <w:left w:val="nil"/>
              <w:bottom w:val="single" w:sz="4" w:space="0" w:color="auto"/>
              <w:right w:val="single" w:sz="4" w:space="0" w:color="auto"/>
            </w:tcBorders>
            <w:shd w:val="clear" w:color="000000" w:fill="D9D9D9"/>
            <w:vAlign w:val="center"/>
            <w:hideMark/>
          </w:tcPr>
          <w:p w14:paraId="7A4675CB" w14:textId="07B77639"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1.4.2 Forcimi i kontrollit n</w:t>
            </w:r>
            <w:r w:rsidR="002803F2" w:rsidRPr="00B457F5">
              <w:rPr>
                <w:rFonts w:ascii="Garamond" w:eastAsia="Times New Roman" w:hAnsi="Garamond" w:cs="Times New Roman"/>
                <w:b/>
                <w:color w:val="000000"/>
                <w:sz w:val="4"/>
                <w:szCs w:val="10"/>
              </w:rPr>
              <w:t>ë</w:t>
            </w:r>
            <w:r w:rsidRPr="00B457F5">
              <w:rPr>
                <w:rFonts w:ascii="Garamond" w:eastAsia="Times New Roman" w:hAnsi="Garamond" w:cs="Times New Roman"/>
                <w:b/>
                <w:bCs/>
                <w:color w:val="000000"/>
                <w:sz w:val="4"/>
                <w:szCs w:val="10"/>
              </w:rPr>
              <w:t xml:space="preserve"> kufi dhe në territor</w:t>
            </w:r>
          </w:p>
        </w:tc>
        <w:tc>
          <w:tcPr>
            <w:tcW w:w="186" w:type="pct"/>
            <w:tcBorders>
              <w:top w:val="nil"/>
              <w:left w:val="nil"/>
              <w:bottom w:val="single" w:sz="4" w:space="0" w:color="auto"/>
              <w:right w:val="single" w:sz="4" w:space="0" w:color="auto"/>
            </w:tcBorders>
            <w:shd w:val="clear" w:color="000000" w:fill="D9D9D9"/>
            <w:vAlign w:val="center"/>
            <w:hideMark/>
          </w:tcPr>
          <w:p w14:paraId="7C21DA70"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03140 Policia e Shtetit</w:t>
            </w:r>
          </w:p>
        </w:tc>
        <w:tc>
          <w:tcPr>
            <w:tcW w:w="169" w:type="pct"/>
            <w:tcBorders>
              <w:top w:val="nil"/>
              <w:left w:val="nil"/>
              <w:bottom w:val="single" w:sz="4" w:space="0" w:color="auto"/>
              <w:right w:val="single" w:sz="4" w:space="0" w:color="auto"/>
            </w:tcBorders>
            <w:shd w:val="clear" w:color="000000" w:fill="D9D9D9"/>
            <w:vAlign w:val="center"/>
            <w:hideMark/>
          </w:tcPr>
          <w:p w14:paraId="39C5F7E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DKM</w:t>
            </w:r>
          </w:p>
        </w:tc>
        <w:tc>
          <w:tcPr>
            <w:tcW w:w="244" w:type="pct"/>
            <w:tcBorders>
              <w:top w:val="nil"/>
              <w:left w:val="nil"/>
              <w:bottom w:val="single" w:sz="4" w:space="0" w:color="auto"/>
              <w:right w:val="single" w:sz="4" w:space="0" w:color="auto"/>
            </w:tcBorders>
            <w:shd w:val="clear" w:color="000000" w:fill="D9D9D9"/>
            <w:vAlign w:val="center"/>
            <w:hideMark/>
          </w:tcPr>
          <w:p w14:paraId="7AC3D3B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DVKM/DVP, MB, MEPJ, IOM</w:t>
            </w:r>
          </w:p>
        </w:tc>
        <w:tc>
          <w:tcPr>
            <w:tcW w:w="135" w:type="pct"/>
            <w:tcBorders>
              <w:top w:val="nil"/>
              <w:left w:val="nil"/>
              <w:bottom w:val="single" w:sz="4" w:space="0" w:color="auto"/>
              <w:right w:val="single" w:sz="4" w:space="0" w:color="auto"/>
            </w:tcBorders>
            <w:shd w:val="clear" w:color="000000" w:fill="D9D9D9"/>
            <w:vAlign w:val="center"/>
            <w:hideMark/>
          </w:tcPr>
          <w:p w14:paraId="459F3222"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9D9D9"/>
            <w:vAlign w:val="center"/>
            <w:hideMark/>
          </w:tcPr>
          <w:p w14:paraId="075323F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000000" w:fill="D9D9D9"/>
            <w:vAlign w:val="center"/>
            <w:hideMark/>
          </w:tcPr>
          <w:p w14:paraId="1B98480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3,955,713</w:t>
            </w:r>
          </w:p>
        </w:tc>
        <w:tc>
          <w:tcPr>
            <w:tcW w:w="155" w:type="pct"/>
            <w:tcBorders>
              <w:top w:val="nil"/>
              <w:left w:val="nil"/>
              <w:bottom w:val="single" w:sz="4" w:space="0" w:color="auto"/>
              <w:right w:val="single" w:sz="4" w:space="0" w:color="auto"/>
            </w:tcBorders>
            <w:shd w:val="clear" w:color="000000" w:fill="D9D9D9"/>
            <w:vAlign w:val="center"/>
            <w:hideMark/>
          </w:tcPr>
          <w:p w14:paraId="3C0FE0F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4836A5A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3,955,713</w:t>
            </w:r>
          </w:p>
        </w:tc>
        <w:tc>
          <w:tcPr>
            <w:tcW w:w="165" w:type="pct"/>
            <w:tcBorders>
              <w:top w:val="nil"/>
              <w:left w:val="nil"/>
              <w:bottom w:val="single" w:sz="4" w:space="0" w:color="auto"/>
              <w:right w:val="single" w:sz="4" w:space="0" w:color="auto"/>
            </w:tcBorders>
            <w:shd w:val="clear" w:color="000000" w:fill="D9D9D9"/>
            <w:vAlign w:val="center"/>
            <w:hideMark/>
          </w:tcPr>
          <w:p w14:paraId="737D881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3,955,713</w:t>
            </w:r>
          </w:p>
        </w:tc>
        <w:tc>
          <w:tcPr>
            <w:tcW w:w="163" w:type="pct"/>
            <w:tcBorders>
              <w:top w:val="nil"/>
              <w:left w:val="nil"/>
              <w:bottom w:val="single" w:sz="4" w:space="0" w:color="auto"/>
              <w:right w:val="single" w:sz="4" w:space="0" w:color="auto"/>
            </w:tcBorders>
            <w:shd w:val="clear" w:color="000000" w:fill="D9D9D9"/>
            <w:vAlign w:val="center"/>
            <w:hideMark/>
          </w:tcPr>
          <w:p w14:paraId="31DA38A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1BBBA93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3,955,713</w:t>
            </w:r>
          </w:p>
        </w:tc>
        <w:tc>
          <w:tcPr>
            <w:tcW w:w="163" w:type="pct"/>
            <w:tcBorders>
              <w:top w:val="nil"/>
              <w:left w:val="nil"/>
              <w:bottom w:val="single" w:sz="4" w:space="0" w:color="auto"/>
              <w:right w:val="single" w:sz="4" w:space="0" w:color="auto"/>
            </w:tcBorders>
            <w:shd w:val="clear" w:color="000000" w:fill="D9D9D9"/>
            <w:vAlign w:val="center"/>
            <w:hideMark/>
          </w:tcPr>
          <w:p w14:paraId="09589C2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3,955,713</w:t>
            </w:r>
          </w:p>
        </w:tc>
        <w:tc>
          <w:tcPr>
            <w:tcW w:w="148" w:type="pct"/>
            <w:tcBorders>
              <w:top w:val="nil"/>
              <w:left w:val="nil"/>
              <w:bottom w:val="single" w:sz="4" w:space="0" w:color="auto"/>
              <w:right w:val="single" w:sz="4" w:space="0" w:color="auto"/>
            </w:tcBorders>
            <w:shd w:val="clear" w:color="000000" w:fill="D9D9D9"/>
            <w:vAlign w:val="center"/>
            <w:hideMark/>
          </w:tcPr>
          <w:p w14:paraId="276C05F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762EE27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3,955,713</w:t>
            </w:r>
          </w:p>
        </w:tc>
        <w:tc>
          <w:tcPr>
            <w:tcW w:w="165" w:type="pct"/>
            <w:tcBorders>
              <w:top w:val="nil"/>
              <w:left w:val="nil"/>
              <w:bottom w:val="single" w:sz="4" w:space="0" w:color="auto"/>
              <w:right w:val="single" w:sz="4" w:space="0" w:color="auto"/>
            </w:tcBorders>
            <w:shd w:val="clear" w:color="000000" w:fill="D9D9D9"/>
            <w:vAlign w:val="center"/>
            <w:hideMark/>
          </w:tcPr>
          <w:p w14:paraId="7FB2354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11,867,139</w:t>
            </w:r>
          </w:p>
        </w:tc>
        <w:tc>
          <w:tcPr>
            <w:tcW w:w="163" w:type="pct"/>
            <w:tcBorders>
              <w:top w:val="nil"/>
              <w:left w:val="nil"/>
              <w:bottom w:val="single" w:sz="4" w:space="0" w:color="auto"/>
              <w:right w:val="single" w:sz="4" w:space="0" w:color="auto"/>
            </w:tcBorders>
            <w:shd w:val="clear" w:color="000000" w:fill="D9D9D9"/>
            <w:vAlign w:val="center"/>
            <w:hideMark/>
          </w:tcPr>
          <w:p w14:paraId="72B4085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D9D9D9"/>
            <w:vAlign w:val="center"/>
            <w:hideMark/>
          </w:tcPr>
          <w:p w14:paraId="7FAFE59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11,867,139</w:t>
            </w:r>
          </w:p>
        </w:tc>
        <w:tc>
          <w:tcPr>
            <w:tcW w:w="163" w:type="pct"/>
            <w:tcBorders>
              <w:top w:val="nil"/>
              <w:left w:val="nil"/>
              <w:bottom w:val="single" w:sz="4" w:space="0" w:color="auto"/>
              <w:right w:val="single" w:sz="4" w:space="0" w:color="auto"/>
            </w:tcBorders>
            <w:shd w:val="clear" w:color="000000" w:fill="D9D9D9"/>
            <w:vAlign w:val="center"/>
            <w:hideMark/>
          </w:tcPr>
          <w:p w14:paraId="1A06B2E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8,158,746</w:t>
            </w:r>
          </w:p>
        </w:tc>
        <w:tc>
          <w:tcPr>
            <w:tcW w:w="155" w:type="pct"/>
            <w:tcBorders>
              <w:top w:val="nil"/>
              <w:left w:val="nil"/>
              <w:bottom w:val="single" w:sz="4" w:space="0" w:color="auto"/>
              <w:right w:val="single" w:sz="4" w:space="0" w:color="auto"/>
            </w:tcBorders>
            <w:shd w:val="clear" w:color="000000" w:fill="D9D9D9"/>
            <w:vAlign w:val="center"/>
            <w:hideMark/>
          </w:tcPr>
          <w:p w14:paraId="0E0B4AC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6240608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8,158,746</w:t>
            </w:r>
          </w:p>
        </w:tc>
        <w:tc>
          <w:tcPr>
            <w:tcW w:w="162" w:type="pct"/>
            <w:tcBorders>
              <w:top w:val="nil"/>
              <w:left w:val="nil"/>
              <w:bottom w:val="single" w:sz="4" w:space="0" w:color="auto"/>
              <w:right w:val="single" w:sz="4" w:space="0" w:color="auto"/>
            </w:tcBorders>
            <w:shd w:val="clear" w:color="000000" w:fill="D9D9D9"/>
            <w:vAlign w:val="center"/>
            <w:hideMark/>
          </w:tcPr>
          <w:p w14:paraId="5AC2EEC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3,708,393</w:t>
            </w:r>
          </w:p>
        </w:tc>
        <w:tc>
          <w:tcPr>
            <w:tcW w:w="155" w:type="pct"/>
            <w:tcBorders>
              <w:top w:val="nil"/>
              <w:left w:val="nil"/>
              <w:bottom w:val="single" w:sz="4" w:space="0" w:color="auto"/>
              <w:right w:val="single" w:sz="4" w:space="0" w:color="auto"/>
            </w:tcBorders>
            <w:shd w:val="clear" w:color="000000" w:fill="D9D9D9"/>
            <w:vAlign w:val="center"/>
            <w:hideMark/>
          </w:tcPr>
          <w:p w14:paraId="034F582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000000" w:fill="D9D9D9"/>
            <w:vAlign w:val="center"/>
            <w:hideMark/>
          </w:tcPr>
          <w:p w14:paraId="15F5C6C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10D7AEB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3,708,393</w:t>
            </w:r>
          </w:p>
        </w:tc>
        <w:tc>
          <w:tcPr>
            <w:tcW w:w="139" w:type="pct"/>
            <w:tcBorders>
              <w:top w:val="nil"/>
              <w:left w:val="nil"/>
              <w:bottom w:val="single" w:sz="4" w:space="0" w:color="auto"/>
              <w:right w:val="single" w:sz="4" w:space="0" w:color="auto"/>
            </w:tcBorders>
            <w:shd w:val="clear" w:color="000000" w:fill="D9D9D9"/>
            <w:vAlign w:val="center"/>
            <w:hideMark/>
          </w:tcPr>
          <w:p w14:paraId="3D576F7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000000" w:fill="D9D9D9"/>
            <w:vAlign w:val="center"/>
            <w:hideMark/>
          </w:tcPr>
          <w:p w14:paraId="5E5BE3C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D9D9D9"/>
            <w:vAlign w:val="center"/>
            <w:hideMark/>
          </w:tcPr>
          <w:p w14:paraId="063EF27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4" w:space="0" w:color="auto"/>
            </w:tcBorders>
            <w:shd w:val="clear" w:color="000000" w:fill="D9D9D9"/>
            <w:vAlign w:val="center"/>
            <w:hideMark/>
          </w:tcPr>
          <w:p w14:paraId="37E85B2E" w14:textId="7D2B23C6"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13B2026F"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33B35C52"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1.4.2.1</w:t>
            </w:r>
          </w:p>
        </w:tc>
        <w:tc>
          <w:tcPr>
            <w:tcW w:w="281" w:type="pct"/>
            <w:tcBorders>
              <w:top w:val="nil"/>
              <w:left w:val="nil"/>
              <w:bottom w:val="single" w:sz="4" w:space="0" w:color="auto"/>
              <w:right w:val="single" w:sz="4" w:space="0" w:color="auto"/>
            </w:tcBorders>
            <w:shd w:val="clear" w:color="auto" w:fill="auto"/>
            <w:vAlign w:val="center"/>
            <w:hideMark/>
          </w:tcPr>
          <w:p w14:paraId="02E98178" w14:textId="585A5FDA"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1.4.2.1 Të intensifikohen kontrollet për ligjshmërinë e hyrjes dhe qëndrimit në vend, referuar analizave të riskut</w:t>
            </w:r>
            <w:r w:rsidR="00501091"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të përditësuara rregullisht</w:t>
            </w:r>
          </w:p>
        </w:tc>
        <w:tc>
          <w:tcPr>
            <w:tcW w:w="186" w:type="pct"/>
            <w:tcBorders>
              <w:top w:val="nil"/>
              <w:left w:val="nil"/>
              <w:bottom w:val="single" w:sz="4" w:space="0" w:color="auto"/>
              <w:right w:val="single" w:sz="4" w:space="0" w:color="auto"/>
            </w:tcBorders>
            <w:shd w:val="clear" w:color="auto" w:fill="auto"/>
            <w:vAlign w:val="center"/>
            <w:hideMark/>
          </w:tcPr>
          <w:p w14:paraId="53189D9A"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03140 Policia e Shtetit</w:t>
            </w:r>
          </w:p>
        </w:tc>
        <w:tc>
          <w:tcPr>
            <w:tcW w:w="169" w:type="pct"/>
            <w:tcBorders>
              <w:top w:val="nil"/>
              <w:left w:val="nil"/>
              <w:bottom w:val="single" w:sz="4" w:space="0" w:color="auto"/>
              <w:right w:val="single" w:sz="4" w:space="0" w:color="auto"/>
            </w:tcBorders>
            <w:shd w:val="clear" w:color="auto" w:fill="auto"/>
            <w:vAlign w:val="center"/>
            <w:hideMark/>
          </w:tcPr>
          <w:p w14:paraId="726301F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DKM</w:t>
            </w:r>
          </w:p>
        </w:tc>
        <w:tc>
          <w:tcPr>
            <w:tcW w:w="244" w:type="pct"/>
            <w:tcBorders>
              <w:top w:val="nil"/>
              <w:left w:val="nil"/>
              <w:bottom w:val="single" w:sz="4" w:space="0" w:color="auto"/>
              <w:right w:val="single" w:sz="4" w:space="0" w:color="auto"/>
            </w:tcBorders>
            <w:shd w:val="clear" w:color="auto" w:fill="auto"/>
            <w:vAlign w:val="center"/>
            <w:hideMark/>
          </w:tcPr>
          <w:p w14:paraId="5B4EB26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DVKM/DVP</w:t>
            </w:r>
          </w:p>
        </w:tc>
        <w:tc>
          <w:tcPr>
            <w:tcW w:w="135" w:type="pct"/>
            <w:tcBorders>
              <w:top w:val="nil"/>
              <w:left w:val="nil"/>
              <w:bottom w:val="single" w:sz="4" w:space="0" w:color="auto"/>
              <w:right w:val="single" w:sz="4" w:space="0" w:color="auto"/>
            </w:tcBorders>
            <w:shd w:val="clear" w:color="000000" w:fill="DDEBF7"/>
            <w:vAlign w:val="center"/>
            <w:hideMark/>
          </w:tcPr>
          <w:p w14:paraId="751FCFD8"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60757FE9"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16B903F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1,160,231</w:t>
            </w:r>
          </w:p>
        </w:tc>
        <w:tc>
          <w:tcPr>
            <w:tcW w:w="155" w:type="pct"/>
            <w:tcBorders>
              <w:top w:val="nil"/>
              <w:left w:val="nil"/>
              <w:bottom w:val="single" w:sz="4" w:space="0" w:color="auto"/>
              <w:right w:val="single" w:sz="4" w:space="0" w:color="auto"/>
            </w:tcBorders>
            <w:shd w:val="clear" w:color="auto" w:fill="auto"/>
            <w:vAlign w:val="center"/>
            <w:hideMark/>
          </w:tcPr>
          <w:p w14:paraId="52D9A09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01F207B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1,160,231</w:t>
            </w:r>
          </w:p>
        </w:tc>
        <w:tc>
          <w:tcPr>
            <w:tcW w:w="165" w:type="pct"/>
            <w:tcBorders>
              <w:top w:val="nil"/>
              <w:left w:val="nil"/>
              <w:bottom w:val="single" w:sz="4" w:space="0" w:color="auto"/>
              <w:right w:val="single" w:sz="4" w:space="0" w:color="auto"/>
            </w:tcBorders>
            <w:shd w:val="clear" w:color="auto" w:fill="auto"/>
            <w:vAlign w:val="center"/>
            <w:hideMark/>
          </w:tcPr>
          <w:p w14:paraId="3D1DAE1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1,160,231</w:t>
            </w:r>
          </w:p>
        </w:tc>
        <w:tc>
          <w:tcPr>
            <w:tcW w:w="163" w:type="pct"/>
            <w:tcBorders>
              <w:top w:val="nil"/>
              <w:left w:val="nil"/>
              <w:bottom w:val="single" w:sz="4" w:space="0" w:color="auto"/>
              <w:right w:val="single" w:sz="4" w:space="0" w:color="auto"/>
            </w:tcBorders>
            <w:shd w:val="clear" w:color="auto" w:fill="auto"/>
            <w:vAlign w:val="center"/>
            <w:hideMark/>
          </w:tcPr>
          <w:p w14:paraId="36ABDF2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7A9CBA4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1,160,231</w:t>
            </w:r>
          </w:p>
        </w:tc>
        <w:tc>
          <w:tcPr>
            <w:tcW w:w="163" w:type="pct"/>
            <w:tcBorders>
              <w:top w:val="nil"/>
              <w:left w:val="nil"/>
              <w:bottom w:val="single" w:sz="4" w:space="0" w:color="auto"/>
              <w:right w:val="single" w:sz="4" w:space="0" w:color="auto"/>
            </w:tcBorders>
            <w:shd w:val="clear" w:color="auto" w:fill="auto"/>
            <w:vAlign w:val="center"/>
            <w:hideMark/>
          </w:tcPr>
          <w:p w14:paraId="69A2165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1,160,231</w:t>
            </w:r>
          </w:p>
        </w:tc>
        <w:tc>
          <w:tcPr>
            <w:tcW w:w="148" w:type="pct"/>
            <w:tcBorders>
              <w:top w:val="nil"/>
              <w:left w:val="nil"/>
              <w:bottom w:val="single" w:sz="4" w:space="0" w:color="auto"/>
              <w:right w:val="single" w:sz="4" w:space="0" w:color="auto"/>
            </w:tcBorders>
            <w:shd w:val="clear" w:color="auto" w:fill="auto"/>
            <w:vAlign w:val="center"/>
            <w:hideMark/>
          </w:tcPr>
          <w:p w14:paraId="0A4019C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582A42D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1,160,231</w:t>
            </w:r>
          </w:p>
        </w:tc>
        <w:tc>
          <w:tcPr>
            <w:tcW w:w="165" w:type="pct"/>
            <w:tcBorders>
              <w:top w:val="nil"/>
              <w:left w:val="nil"/>
              <w:bottom w:val="single" w:sz="4" w:space="0" w:color="auto"/>
              <w:right w:val="single" w:sz="4" w:space="0" w:color="auto"/>
            </w:tcBorders>
            <w:shd w:val="clear" w:color="auto" w:fill="auto"/>
            <w:vAlign w:val="center"/>
            <w:hideMark/>
          </w:tcPr>
          <w:p w14:paraId="6852C72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3,480,693</w:t>
            </w:r>
          </w:p>
        </w:tc>
        <w:tc>
          <w:tcPr>
            <w:tcW w:w="163" w:type="pct"/>
            <w:tcBorders>
              <w:top w:val="nil"/>
              <w:left w:val="nil"/>
              <w:bottom w:val="single" w:sz="4" w:space="0" w:color="auto"/>
              <w:right w:val="single" w:sz="4" w:space="0" w:color="auto"/>
            </w:tcBorders>
            <w:shd w:val="clear" w:color="auto" w:fill="auto"/>
            <w:vAlign w:val="center"/>
            <w:hideMark/>
          </w:tcPr>
          <w:p w14:paraId="4AAF4B4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41E8E04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3,480,693</w:t>
            </w:r>
          </w:p>
        </w:tc>
        <w:tc>
          <w:tcPr>
            <w:tcW w:w="163" w:type="pct"/>
            <w:tcBorders>
              <w:top w:val="nil"/>
              <w:left w:val="nil"/>
              <w:bottom w:val="single" w:sz="4" w:space="0" w:color="auto"/>
              <w:right w:val="single" w:sz="4" w:space="0" w:color="auto"/>
            </w:tcBorders>
            <w:shd w:val="clear" w:color="auto" w:fill="auto"/>
            <w:vAlign w:val="center"/>
            <w:hideMark/>
          </w:tcPr>
          <w:p w14:paraId="1DEFED3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3,480,693</w:t>
            </w:r>
          </w:p>
        </w:tc>
        <w:tc>
          <w:tcPr>
            <w:tcW w:w="155" w:type="pct"/>
            <w:tcBorders>
              <w:top w:val="nil"/>
              <w:left w:val="nil"/>
              <w:bottom w:val="single" w:sz="4" w:space="0" w:color="auto"/>
              <w:right w:val="single" w:sz="4" w:space="0" w:color="auto"/>
            </w:tcBorders>
            <w:shd w:val="clear" w:color="auto" w:fill="auto"/>
            <w:vAlign w:val="center"/>
            <w:hideMark/>
          </w:tcPr>
          <w:p w14:paraId="186B208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60CBCFE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3,480,693</w:t>
            </w:r>
          </w:p>
        </w:tc>
        <w:tc>
          <w:tcPr>
            <w:tcW w:w="162" w:type="pct"/>
            <w:tcBorders>
              <w:top w:val="nil"/>
              <w:left w:val="nil"/>
              <w:bottom w:val="single" w:sz="4" w:space="0" w:color="auto"/>
              <w:right w:val="single" w:sz="4" w:space="0" w:color="auto"/>
            </w:tcBorders>
            <w:shd w:val="clear" w:color="auto" w:fill="auto"/>
            <w:vAlign w:val="center"/>
            <w:hideMark/>
          </w:tcPr>
          <w:p w14:paraId="05F4C51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1A39BED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345B6D3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32799D6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7E98BB7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445C4A1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23929B5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4A5E0350" w14:textId="7B0854D1"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5198395D"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2F142528"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1.4.2.2</w:t>
            </w:r>
          </w:p>
        </w:tc>
        <w:tc>
          <w:tcPr>
            <w:tcW w:w="281" w:type="pct"/>
            <w:tcBorders>
              <w:top w:val="nil"/>
              <w:left w:val="nil"/>
              <w:bottom w:val="single" w:sz="4" w:space="0" w:color="auto"/>
              <w:right w:val="single" w:sz="4" w:space="0" w:color="auto"/>
            </w:tcBorders>
            <w:shd w:val="clear" w:color="auto" w:fill="auto"/>
            <w:vAlign w:val="center"/>
            <w:hideMark/>
          </w:tcPr>
          <w:p w14:paraId="32E2384A" w14:textId="0D442BB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1.4.2.2 Rishikimi/përmirësimi i procesit të intervistimit/pyetjes në kufi për shtetasit shqiptarë që largohen nga territori, fëmijët e pashoqëruar dhe hartimi i teknikave të ndjeshme gjinore të intervistimit</w:t>
            </w:r>
          </w:p>
        </w:tc>
        <w:tc>
          <w:tcPr>
            <w:tcW w:w="186" w:type="pct"/>
            <w:tcBorders>
              <w:top w:val="nil"/>
              <w:left w:val="nil"/>
              <w:bottom w:val="single" w:sz="4" w:space="0" w:color="auto"/>
              <w:right w:val="single" w:sz="4" w:space="0" w:color="auto"/>
            </w:tcBorders>
            <w:shd w:val="clear" w:color="auto" w:fill="auto"/>
            <w:vAlign w:val="center"/>
            <w:hideMark/>
          </w:tcPr>
          <w:p w14:paraId="2B9630AC"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03140 Policia e Shtetit</w:t>
            </w:r>
          </w:p>
        </w:tc>
        <w:tc>
          <w:tcPr>
            <w:tcW w:w="169" w:type="pct"/>
            <w:tcBorders>
              <w:top w:val="nil"/>
              <w:left w:val="nil"/>
              <w:bottom w:val="single" w:sz="4" w:space="0" w:color="auto"/>
              <w:right w:val="single" w:sz="4" w:space="0" w:color="auto"/>
            </w:tcBorders>
            <w:shd w:val="clear" w:color="auto" w:fill="auto"/>
            <w:vAlign w:val="center"/>
            <w:hideMark/>
          </w:tcPr>
          <w:p w14:paraId="3BD5FC6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DKM</w:t>
            </w:r>
          </w:p>
        </w:tc>
        <w:tc>
          <w:tcPr>
            <w:tcW w:w="244" w:type="pct"/>
            <w:tcBorders>
              <w:top w:val="nil"/>
              <w:left w:val="nil"/>
              <w:bottom w:val="single" w:sz="4" w:space="0" w:color="auto"/>
              <w:right w:val="single" w:sz="4" w:space="0" w:color="auto"/>
            </w:tcBorders>
            <w:shd w:val="clear" w:color="auto" w:fill="auto"/>
            <w:vAlign w:val="center"/>
            <w:hideMark/>
          </w:tcPr>
          <w:p w14:paraId="1B40743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w:t>
            </w:r>
          </w:p>
        </w:tc>
        <w:tc>
          <w:tcPr>
            <w:tcW w:w="135" w:type="pct"/>
            <w:tcBorders>
              <w:top w:val="nil"/>
              <w:left w:val="nil"/>
              <w:bottom w:val="single" w:sz="4" w:space="0" w:color="auto"/>
              <w:right w:val="single" w:sz="4" w:space="0" w:color="auto"/>
            </w:tcBorders>
            <w:shd w:val="clear" w:color="000000" w:fill="DDEBF7"/>
            <w:vAlign w:val="center"/>
            <w:hideMark/>
          </w:tcPr>
          <w:p w14:paraId="12B79E2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293A0F49"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33693F4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404,085</w:t>
            </w:r>
          </w:p>
        </w:tc>
        <w:tc>
          <w:tcPr>
            <w:tcW w:w="155" w:type="pct"/>
            <w:tcBorders>
              <w:top w:val="nil"/>
              <w:left w:val="nil"/>
              <w:bottom w:val="single" w:sz="4" w:space="0" w:color="auto"/>
              <w:right w:val="single" w:sz="4" w:space="0" w:color="auto"/>
            </w:tcBorders>
            <w:shd w:val="clear" w:color="auto" w:fill="auto"/>
            <w:vAlign w:val="center"/>
            <w:hideMark/>
          </w:tcPr>
          <w:p w14:paraId="67AE80B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2C8D674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404,085</w:t>
            </w:r>
          </w:p>
        </w:tc>
        <w:tc>
          <w:tcPr>
            <w:tcW w:w="165" w:type="pct"/>
            <w:tcBorders>
              <w:top w:val="nil"/>
              <w:left w:val="nil"/>
              <w:bottom w:val="single" w:sz="4" w:space="0" w:color="auto"/>
              <w:right w:val="single" w:sz="4" w:space="0" w:color="auto"/>
            </w:tcBorders>
            <w:shd w:val="clear" w:color="auto" w:fill="auto"/>
            <w:vAlign w:val="center"/>
            <w:hideMark/>
          </w:tcPr>
          <w:p w14:paraId="47BF73A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404,085</w:t>
            </w:r>
          </w:p>
        </w:tc>
        <w:tc>
          <w:tcPr>
            <w:tcW w:w="163" w:type="pct"/>
            <w:tcBorders>
              <w:top w:val="nil"/>
              <w:left w:val="nil"/>
              <w:bottom w:val="single" w:sz="4" w:space="0" w:color="auto"/>
              <w:right w:val="single" w:sz="4" w:space="0" w:color="auto"/>
            </w:tcBorders>
            <w:shd w:val="clear" w:color="auto" w:fill="auto"/>
            <w:vAlign w:val="center"/>
            <w:hideMark/>
          </w:tcPr>
          <w:p w14:paraId="16C54A6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9C41EB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404,085</w:t>
            </w:r>
          </w:p>
        </w:tc>
        <w:tc>
          <w:tcPr>
            <w:tcW w:w="163" w:type="pct"/>
            <w:tcBorders>
              <w:top w:val="nil"/>
              <w:left w:val="nil"/>
              <w:bottom w:val="single" w:sz="4" w:space="0" w:color="auto"/>
              <w:right w:val="single" w:sz="4" w:space="0" w:color="auto"/>
            </w:tcBorders>
            <w:shd w:val="clear" w:color="auto" w:fill="auto"/>
            <w:vAlign w:val="center"/>
            <w:hideMark/>
          </w:tcPr>
          <w:p w14:paraId="63DC4A3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404,085</w:t>
            </w:r>
          </w:p>
        </w:tc>
        <w:tc>
          <w:tcPr>
            <w:tcW w:w="148" w:type="pct"/>
            <w:tcBorders>
              <w:top w:val="nil"/>
              <w:left w:val="nil"/>
              <w:bottom w:val="single" w:sz="4" w:space="0" w:color="auto"/>
              <w:right w:val="single" w:sz="4" w:space="0" w:color="auto"/>
            </w:tcBorders>
            <w:shd w:val="clear" w:color="auto" w:fill="auto"/>
            <w:vAlign w:val="center"/>
            <w:hideMark/>
          </w:tcPr>
          <w:p w14:paraId="151929F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016B520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404,085</w:t>
            </w:r>
          </w:p>
        </w:tc>
        <w:tc>
          <w:tcPr>
            <w:tcW w:w="165" w:type="pct"/>
            <w:tcBorders>
              <w:top w:val="nil"/>
              <w:left w:val="nil"/>
              <w:bottom w:val="single" w:sz="4" w:space="0" w:color="auto"/>
              <w:right w:val="single" w:sz="4" w:space="0" w:color="auto"/>
            </w:tcBorders>
            <w:shd w:val="clear" w:color="auto" w:fill="auto"/>
            <w:vAlign w:val="center"/>
            <w:hideMark/>
          </w:tcPr>
          <w:p w14:paraId="0D36AEF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1,212,255</w:t>
            </w:r>
          </w:p>
        </w:tc>
        <w:tc>
          <w:tcPr>
            <w:tcW w:w="163" w:type="pct"/>
            <w:tcBorders>
              <w:top w:val="nil"/>
              <w:left w:val="nil"/>
              <w:bottom w:val="single" w:sz="4" w:space="0" w:color="auto"/>
              <w:right w:val="single" w:sz="4" w:space="0" w:color="auto"/>
            </w:tcBorders>
            <w:shd w:val="clear" w:color="auto" w:fill="auto"/>
            <w:vAlign w:val="center"/>
            <w:hideMark/>
          </w:tcPr>
          <w:p w14:paraId="05E2D3B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69E1936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1,212,255</w:t>
            </w:r>
          </w:p>
        </w:tc>
        <w:tc>
          <w:tcPr>
            <w:tcW w:w="163" w:type="pct"/>
            <w:tcBorders>
              <w:top w:val="nil"/>
              <w:left w:val="nil"/>
              <w:bottom w:val="single" w:sz="4" w:space="0" w:color="auto"/>
              <w:right w:val="single" w:sz="4" w:space="0" w:color="auto"/>
            </w:tcBorders>
            <w:shd w:val="clear" w:color="auto" w:fill="auto"/>
            <w:vAlign w:val="center"/>
            <w:hideMark/>
          </w:tcPr>
          <w:p w14:paraId="0DE085D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797A3EF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61CDC79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2E6DF70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1,212,255</w:t>
            </w:r>
          </w:p>
        </w:tc>
        <w:tc>
          <w:tcPr>
            <w:tcW w:w="155" w:type="pct"/>
            <w:tcBorders>
              <w:top w:val="nil"/>
              <w:left w:val="nil"/>
              <w:bottom w:val="single" w:sz="4" w:space="0" w:color="auto"/>
              <w:right w:val="single" w:sz="4" w:space="0" w:color="auto"/>
            </w:tcBorders>
            <w:shd w:val="clear" w:color="auto" w:fill="auto"/>
            <w:vAlign w:val="center"/>
            <w:hideMark/>
          </w:tcPr>
          <w:p w14:paraId="4BAB340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01F7613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Ambasada e Mbretërisë së Bashkuar</w:t>
            </w:r>
          </w:p>
        </w:tc>
        <w:tc>
          <w:tcPr>
            <w:tcW w:w="163" w:type="pct"/>
            <w:tcBorders>
              <w:top w:val="nil"/>
              <w:left w:val="nil"/>
              <w:bottom w:val="single" w:sz="4" w:space="0" w:color="auto"/>
              <w:right w:val="single" w:sz="4" w:space="0" w:color="auto"/>
            </w:tcBorders>
            <w:shd w:val="clear" w:color="000000" w:fill="FFF2CC"/>
            <w:vAlign w:val="center"/>
            <w:hideMark/>
          </w:tcPr>
          <w:p w14:paraId="0A5818D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1,212,255</w:t>
            </w:r>
          </w:p>
        </w:tc>
        <w:tc>
          <w:tcPr>
            <w:tcW w:w="139" w:type="pct"/>
            <w:tcBorders>
              <w:top w:val="nil"/>
              <w:left w:val="nil"/>
              <w:bottom w:val="single" w:sz="4" w:space="0" w:color="auto"/>
              <w:right w:val="single" w:sz="4" w:space="0" w:color="auto"/>
            </w:tcBorders>
            <w:shd w:val="clear" w:color="auto" w:fill="auto"/>
            <w:vAlign w:val="center"/>
            <w:hideMark/>
          </w:tcPr>
          <w:p w14:paraId="70BE0F5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465EF9D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44A2E8F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38D15435" w14:textId="09AAD9BA"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38AC95BE"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57DD82E5"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1.4.2.3</w:t>
            </w:r>
          </w:p>
        </w:tc>
        <w:tc>
          <w:tcPr>
            <w:tcW w:w="281" w:type="pct"/>
            <w:tcBorders>
              <w:top w:val="nil"/>
              <w:left w:val="nil"/>
              <w:bottom w:val="single" w:sz="4" w:space="0" w:color="auto"/>
              <w:right w:val="single" w:sz="4" w:space="0" w:color="auto"/>
            </w:tcBorders>
            <w:shd w:val="clear" w:color="auto" w:fill="auto"/>
            <w:vAlign w:val="center"/>
            <w:hideMark/>
          </w:tcPr>
          <w:p w14:paraId="67F36A6C" w14:textId="1E1C20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1.4.2.3 Vlerësimi periodik i subjekteve/</w:t>
            </w:r>
            <w:r w:rsidR="00501091" w:rsidRPr="00B457F5">
              <w:rPr>
                <w:rFonts w:ascii="Garamond" w:eastAsia="Times New Roman" w:hAnsi="Garamond" w:cs="Times New Roman"/>
                <w:color w:val="000000"/>
                <w:sz w:val="4"/>
                <w:szCs w:val="10"/>
              </w:rPr>
              <w:t xml:space="preserve"> </w:t>
            </w:r>
            <w:r w:rsidRPr="00B457F5">
              <w:rPr>
                <w:rFonts w:ascii="Garamond" w:eastAsia="Times New Roman" w:hAnsi="Garamond" w:cs="Times New Roman"/>
                <w:color w:val="000000"/>
                <w:sz w:val="4"/>
                <w:szCs w:val="10"/>
              </w:rPr>
              <w:t>personave fizik, si dhe shtetasve të huaj nga vendet me risk të lartë, gjatë procesit të pajisjes me vizë dhe leje qëndrimi/unike</w:t>
            </w:r>
          </w:p>
        </w:tc>
        <w:tc>
          <w:tcPr>
            <w:tcW w:w="186" w:type="pct"/>
            <w:tcBorders>
              <w:top w:val="nil"/>
              <w:left w:val="nil"/>
              <w:bottom w:val="single" w:sz="4" w:space="0" w:color="auto"/>
              <w:right w:val="single" w:sz="4" w:space="0" w:color="auto"/>
            </w:tcBorders>
            <w:shd w:val="clear" w:color="auto" w:fill="auto"/>
            <w:vAlign w:val="center"/>
            <w:hideMark/>
          </w:tcPr>
          <w:p w14:paraId="0046AC45"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03140 Policia e Shtetit</w:t>
            </w:r>
          </w:p>
        </w:tc>
        <w:tc>
          <w:tcPr>
            <w:tcW w:w="169" w:type="pct"/>
            <w:tcBorders>
              <w:top w:val="nil"/>
              <w:left w:val="nil"/>
              <w:bottom w:val="single" w:sz="4" w:space="0" w:color="auto"/>
              <w:right w:val="single" w:sz="4" w:space="0" w:color="auto"/>
            </w:tcBorders>
            <w:shd w:val="clear" w:color="auto" w:fill="auto"/>
            <w:vAlign w:val="center"/>
            <w:hideMark/>
          </w:tcPr>
          <w:p w14:paraId="324B904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DKM</w:t>
            </w:r>
          </w:p>
        </w:tc>
        <w:tc>
          <w:tcPr>
            <w:tcW w:w="244" w:type="pct"/>
            <w:tcBorders>
              <w:top w:val="nil"/>
              <w:left w:val="nil"/>
              <w:bottom w:val="single" w:sz="4" w:space="0" w:color="auto"/>
              <w:right w:val="single" w:sz="4" w:space="0" w:color="auto"/>
            </w:tcBorders>
            <w:shd w:val="clear" w:color="auto" w:fill="auto"/>
            <w:vAlign w:val="center"/>
            <w:hideMark/>
          </w:tcPr>
          <w:p w14:paraId="17EB035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DVKM/MEPJ</w:t>
            </w:r>
          </w:p>
        </w:tc>
        <w:tc>
          <w:tcPr>
            <w:tcW w:w="135" w:type="pct"/>
            <w:tcBorders>
              <w:top w:val="nil"/>
              <w:left w:val="nil"/>
              <w:bottom w:val="single" w:sz="4" w:space="0" w:color="auto"/>
              <w:right w:val="single" w:sz="4" w:space="0" w:color="auto"/>
            </w:tcBorders>
            <w:shd w:val="clear" w:color="000000" w:fill="DDEBF7"/>
            <w:vAlign w:val="center"/>
            <w:hideMark/>
          </w:tcPr>
          <w:p w14:paraId="2DECA32F"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6A3D15D8"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447BDC2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1,559,351</w:t>
            </w:r>
          </w:p>
        </w:tc>
        <w:tc>
          <w:tcPr>
            <w:tcW w:w="155" w:type="pct"/>
            <w:tcBorders>
              <w:top w:val="nil"/>
              <w:left w:val="nil"/>
              <w:bottom w:val="single" w:sz="4" w:space="0" w:color="auto"/>
              <w:right w:val="single" w:sz="4" w:space="0" w:color="auto"/>
            </w:tcBorders>
            <w:shd w:val="clear" w:color="auto" w:fill="auto"/>
            <w:vAlign w:val="center"/>
            <w:hideMark/>
          </w:tcPr>
          <w:p w14:paraId="5EB9B87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15E636C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1,559,351</w:t>
            </w:r>
          </w:p>
        </w:tc>
        <w:tc>
          <w:tcPr>
            <w:tcW w:w="165" w:type="pct"/>
            <w:tcBorders>
              <w:top w:val="nil"/>
              <w:left w:val="nil"/>
              <w:bottom w:val="single" w:sz="4" w:space="0" w:color="auto"/>
              <w:right w:val="single" w:sz="4" w:space="0" w:color="auto"/>
            </w:tcBorders>
            <w:shd w:val="clear" w:color="auto" w:fill="auto"/>
            <w:vAlign w:val="center"/>
            <w:hideMark/>
          </w:tcPr>
          <w:p w14:paraId="3BCF19D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1,559,351</w:t>
            </w:r>
          </w:p>
        </w:tc>
        <w:tc>
          <w:tcPr>
            <w:tcW w:w="163" w:type="pct"/>
            <w:tcBorders>
              <w:top w:val="nil"/>
              <w:left w:val="nil"/>
              <w:bottom w:val="single" w:sz="4" w:space="0" w:color="auto"/>
              <w:right w:val="single" w:sz="4" w:space="0" w:color="auto"/>
            </w:tcBorders>
            <w:shd w:val="clear" w:color="auto" w:fill="auto"/>
            <w:vAlign w:val="center"/>
            <w:hideMark/>
          </w:tcPr>
          <w:p w14:paraId="131F793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397A159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1,559,351</w:t>
            </w:r>
          </w:p>
        </w:tc>
        <w:tc>
          <w:tcPr>
            <w:tcW w:w="163" w:type="pct"/>
            <w:tcBorders>
              <w:top w:val="nil"/>
              <w:left w:val="nil"/>
              <w:bottom w:val="single" w:sz="4" w:space="0" w:color="auto"/>
              <w:right w:val="single" w:sz="4" w:space="0" w:color="auto"/>
            </w:tcBorders>
            <w:shd w:val="clear" w:color="auto" w:fill="auto"/>
            <w:vAlign w:val="center"/>
            <w:hideMark/>
          </w:tcPr>
          <w:p w14:paraId="1B9AF6D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1,559,351</w:t>
            </w:r>
          </w:p>
        </w:tc>
        <w:tc>
          <w:tcPr>
            <w:tcW w:w="148" w:type="pct"/>
            <w:tcBorders>
              <w:top w:val="nil"/>
              <w:left w:val="nil"/>
              <w:bottom w:val="single" w:sz="4" w:space="0" w:color="auto"/>
              <w:right w:val="single" w:sz="4" w:space="0" w:color="auto"/>
            </w:tcBorders>
            <w:shd w:val="clear" w:color="auto" w:fill="auto"/>
            <w:vAlign w:val="center"/>
            <w:hideMark/>
          </w:tcPr>
          <w:p w14:paraId="22FC0CF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3A8A336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1,559,351</w:t>
            </w:r>
          </w:p>
        </w:tc>
        <w:tc>
          <w:tcPr>
            <w:tcW w:w="165" w:type="pct"/>
            <w:tcBorders>
              <w:top w:val="nil"/>
              <w:left w:val="nil"/>
              <w:bottom w:val="single" w:sz="4" w:space="0" w:color="auto"/>
              <w:right w:val="single" w:sz="4" w:space="0" w:color="auto"/>
            </w:tcBorders>
            <w:shd w:val="clear" w:color="auto" w:fill="auto"/>
            <w:vAlign w:val="center"/>
            <w:hideMark/>
          </w:tcPr>
          <w:p w14:paraId="62E3B25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4,678,053</w:t>
            </w:r>
          </w:p>
        </w:tc>
        <w:tc>
          <w:tcPr>
            <w:tcW w:w="163" w:type="pct"/>
            <w:tcBorders>
              <w:top w:val="nil"/>
              <w:left w:val="nil"/>
              <w:bottom w:val="single" w:sz="4" w:space="0" w:color="auto"/>
              <w:right w:val="single" w:sz="4" w:space="0" w:color="auto"/>
            </w:tcBorders>
            <w:shd w:val="clear" w:color="auto" w:fill="auto"/>
            <w:vAlign w:val="center"/>
            <w:hideMark/>
          </w:tcPr>
          <w:p w14:paraId="543C9F7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34BEBAD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4,678,053</w:t>
            </w:r>
          </w:p>
        </w:tc>
        <w:tc>
          <w:tcPr>
            <w:tcW w:w="163" w:type="pct"/>
            <w:tcBorders>
              <w:top w:val="nil"/>
              <w:left w:val="nil"/>
              <w:bottom w:val="single" w:sz="4" w:space="0" w:color="auto"/>
              <w:right w:val="single" w:sz="4" w:space="0" w:color="auto"/>
            </w:tcBorders>
            <w:shd w:val="clear" w:color="auto" w:fill="auto"/>
            <w:vAlign w:val="center"/>
            <w:hideMark/>
          </w:tcPr>
          <w:p w14:paraId="141210A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4,678,053</w:t>
            </w:r>
          </w:p>
        </w:tc>
        <w:tc>
          <w:tcPr>
            <w:tcW w:w="155" w:type="pct"/>
            <w:tcBorders>
              <w:top w:val="nil"/>
              <w:left w:val="nil"/>
              <w:bottom w:val="single" w:sz="4" w:space="0" w:color="auto"/>
              <w:right w:val="single" w:sz="4" w:space="0" w:color="auto"/>
            </w:tcBorders>
            <w:shd w:val="clear" w:color="auto" w:fill="auto"/>
            <w:vAlign w:val="center"/>
            <w:hideMark/>
          </w:tcPr>
          <w:p w14:paraId="14150AD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064DBAD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4,678,053</w:t>
            </w:r>
          </w:p>
        </w:tc>
        <w:tc>
          <w:tcPr>
            <w:tcW w:w="162" w:type="pct"/>
            <w:tcBorders>
              <w:top w:val="nil"/>
              <w:left w:val="nil"/>
              <w:bottom w:val="single" w:sz="4" w:space="0" w:color="auto"/>
              <w:right w:val="single" w:sz="4" w:space="0" w:color="auto"/>
            </w:tcBorders>
            <w:shd w:val="clear" w:color="auto" w:fill="auto"/>
            <w:vAlign w:val="center"/>
            <w:hideMark/>
          </w:tcPr>
          <w:p w14:paraId="6F0590A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438C8DD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0229A20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123ADB1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76F3B95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7F19B04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178D12E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1A1BD44F" w14:textId="7A6F7B86"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60094BD2"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4FF978F5"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1.4.2.4 </w:t>
            </w:r>
          </w:p>
        </w:tc>
        <w:tc>
          <w:tcPr>
            <w:tcW w:w="281" w:type="pct"/>
            <w:tcBorders>
              <w:top w:val="nil"/>
              <w:left w:val="nil"/>
              <w:bottom w:val="single" w:sz="8" w:space="0" w:color="auto"/>
              <w:right w:val="single" w:sz="4" w:space="0" w:color="auto"/>
            </w:tcBorders>
            <w:shd w:val="clear" w:color="auto" w:fill="auto"/>
            <w:vAlign w:val="center"/>
            <w:hideMark/>
          </w:tcPr>
          <w:p w14:paraId="30A22E2A" w14:textId="7830D379"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1.4.2.4 Të vihet në dispozicion informacioni/fletëpalosje</w:t>
            </w:r>
            <w:r w:rsidR="00501091" w:rsidRPr="00B457F5">
              <w:rPr>
                <w:rFonts w:ascii="Garamond" w:eastAsia="Times New Roman" w:hAnsi="Garamond" w:cs="Times New Roman"/>
                <w:sz w:val="4"/>
                <w:szCs w:val="10"/>
              </w:rPr>
              <w:t>t</w:t>
            </w:r>
            <w:r w:rsidRPr="00B457F5">
              <w:rPr>
                <w:rFonts w:ascii="Garamond" w:eastAsia="Times New Roman" w:hAnsi="Garamond" w:cs="Times New Roman"/>
                <w:sz w:val="4"/>
                <w:szCs w:val="10"/>
              </w:rPr>
              <w:t xml:space="preserve"> në pikat e kalimit të kufirit në gjuhët kryesore të migrantëve, për rregullat e hy</w:t>
            </w:r>
            <w:r w:rsidR="00501091" w:rsidRPr="00B457F5">
              <w:rPr>
                <w:rFonts w:ascii="Garamond" w:eastAsia="Times New Roman" w:hAnsi="Garamond" w:cs="Times New Roman"/>
                <w:sz w:val="4"/>
                <w:szCs w:val="10"/>
              </w:rPr>
              <w:t>r</w:t>
            </w:r>
            <w:r w:rsidRPr="00B457F5">
              <w:rPr>
                <w:rFonts w:ascii="Garamond" w:eastAsia="Times New Roman" w:hAnsi="Garamond" w:cs="Times New Roman"/>
                <w:sz w:val="4"/>
                <w:szCs w:val="10"/>
              </w:rPr>
              <w:t>jes, qëndrimit, daljes nga territori i Republikës së Shqipërisë, kthimit vullnetar</w:t>
            </w:r>
          </w:p>
        </w:tc>
        <w:tc>
          <w:tcPr>
            <w:tcW w:w="186" w:type="pct"/>
            <w:tcBorders>
              <w:top w:val="nil"/>
              <w:left w:val="nil"/>
              <w:bottom w:val="single" w:sz="8" w:space="0" w:color="auto"/>
              <w:right w:val="single" w:sz="4" w:space="0" w:color="auto"/>
            </w:tcBorders>
            <w:shd w:val="clear" w:color="auto" w:fill="auto"/>
            <w:vAlign w:val="center"/>
            <w:hideMark/>
          </w:tcPr>
          <w:p w14:paraId="58D1CEF5"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03140 Policia e Shtetit</w:t>
            </w:r>
          </w:p>
        </w:tc>
        <w:tc>
          <w:tcPr>
            <w:tcW w:w="169" w:type="pct"/>
            <w:tcBorders>
              <w:top w:val="nil"/>
              <w:left w:val="nil"/>
              <w:bottom w:val="single" w:sz="8" w:space="0" w:color="auto"/>
              <w:right w:val="single" w:sz="4" w:space="0" w:color="auto"/>
            </w:tcBorders>
            <w:shd w:val="clear" w:color="auto" w:fill="auto"/>
            <w:vAlign w:val="center"/>
            <w:hideMark/>
          </w:tcPr>
          <w:p w14:paraId="03FD74B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DKM</w:t>
            </w:r>
          </w:p>
        </w:tc>
        <w:tc>
          <w:tcPr>
            <w:tcW w:w="244" w:type="pct"/>
            <w:tcBorders>
              <w:top w:val="nil"/>
              <w:left w:val="nil"/>
              <w:bottom w:val="single" w:sz="8" w:space="0" w:color="auto"/>
              <w:right w:val="single" w:sz="4" w:space="0" w:color="auto"/>
            </w:tcBorders>
            <w:shd w:val="clear" w:color="auto" w:fill="auto"/>
            <w:vAlign w:val="center"/>
            <w:hideMark/>
          </w:tcPr>
          <w:p w14:paraId="2D73063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DVKM/DVP, IOM</w:t>
            </w:r>
          </w:p>
        </w:tc>
        <w:tc>
          <w:tcPr>
            <w:tcW w:w="135" w:type="pct"/>
            <w:tcBorders>
              <w:top w:val="nil"/>
              <w:left w:val="nil"/>
              <w:bottom w:val="single" w:sz="4" w:space="0" w:color="auto"/>
              <w:right w:val="single" w:sz="4" w:space="0" w:color="auto"/>
            </w:tcBorders>
            <w:shd w:val="clear" w:color="000000" w:fill="DDEBF7"/>
            <w:vAlign w:val="center"/>
            <w:hideMark/>
          </w:tcPr>
          <w:p w14:paraId="30C24A3E"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28A6F355"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8" w:space="0" w:color="auto"/>
              <w:right w:val="single" w:sz="4" w:space="0" w:color="auto"/>
            </w:tcBorders>
            <w:shd w:val="clear" w:color="auto" w:fill="auto"/>
            <w:vAlign w:val="center"/>
            <w:hideMark/>
          </w:tcPr>
          <w:p w14:paraId="27D1D04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832,046</w:t>
            </w:r>
          </w:p>
        </w:tc>
        <w:tc>
          <w:tcPr>
            <w:tcW w:w="155" w:type="pct"/>
            <w:tcBorders>
              <w:top w:val="nil"/>
              <w:left w:val="nil"/>
              <w:bottom w:val="single" w:sz="8" w:space="0" w:color="auto"/>
              <w:right w:val="single" w:sz="4" w:space="0" w:color="auto"/>
            </w:tcBorders>
            <w:shd w:val="clear" w:color="auto" w:fill="auto"/>
            <w:vAlign w:val="center"/>
            <w:hideMark/>
          </w:tcPr>
          <w:p w14:paraId="373124A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73586FE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832,046</w:t>
            </w:r>
          </w:p>
        </w:tc>
        <w:tc>
          <w:tcPr>
            <w:tcW w:w="165" w:type="pct"/>
            <w:tcBorders>
              <w:top w:val="nil"/>
              <w:left w:val="nil"/>
              <w:bottom w:val="single" w:sz="8" w:space="0" w:color="auto"/>
              <w:right w:val="single" w:sz="4" w:space="0" w:color="auto"/>
            </w:tcBorders>
            <w:shd w:val="clear" w:color="auto" w:fill="auto"/>
            <w:vAlign w:val="center"/>
            <w:hideMark/>
          </w:tcPr>
          <w:p w14:paraId="22CA3BE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832,046</w:t>
            </w:r>
          </w:p>
        </w:tc>
        <w:tc>
          <w:tcPr>
            <w:tcW w:w="163" w:type="pct"/>
            <w:tcBorders>
              <w:top w:val="nil"/>
              <w:left w:val="nil"/>
              <w:bottom w:val="single" w:sz="8" w:space="0" w:color="auto"/>
              <w:right w:val="single" w:sz="4" w:space="0" w:color="auto"/>
            </w:tcBorders>
            <w:shd w:val="clear" w:color="auto" w:fill="auto"/>
            <w:vAlign w:val="center"/>
            <w:hideMark/>
          </w:tcPr>
          <w:p w14:paraId="4368C2F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50B6FF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832,046</w:t>
            </w:r>
          </w:p>
        </w:tc>
        <w:tc>
          <w:tcPr>
            <w:tcW w:w="163" w:type="pct"/>
            <w:tcBorders>
              <w:top w:val="nil"/>
              <w:left w:val="nil"/>
              <w:bottom w:val="single" w:sz="8" w:space="0" w:color="auto"/>
              <w:right w:val="single" w:sz="4" w:space="0" w:color="auto"/>
            </w:tcBorders>
            <w:shd w:val="clear" w:color="auto" w:fill="auto"/>
            <w:vAlign w:val="center"/>
            <w:hideMark/>
          </w:tcPr>
          <w:p w14:paraId="42D33D7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832,046</w:t>
            </w:r>
          </w:p>
        </w:tc>
        <w:tc>
          <w:tcPr>
            <w:tcW w:w="148" w:type="pct"/>
            <w:tcBorders>
              <w:top w:val="nil"/>
              <w:left w:val="nil"/>
              <w:bottom w:val="single" w:sz="8" w:space="0" w:color="auto"/>
              <w:right w:val="single" w:sz="4" w:space="0" w:color="auto"/>
            </w:tcBorders>
            <w:shd w:val="clear" w:color="auto" w:fill="auto"/>
            <w:vAlign w:val="center"/>
            <w:hideMark/>
          </w:tcPr>
          <w:p w14:paraId="3CE98C7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66BE9EB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832,046</w:t>
            </w:r>
          </w:p>
        </w:tc>
        <w:tc>
          <w:tcPr>
            <w:tcW w:w="165" w:type="pct"/>
            <w:tcBorders>
              <w:top w:val="nil"/>
              <w:left w:val="nil"/>
              <w:bottom w:val="single" w:sz="4" w:space="0" w:color="auto"/>
              <w:right w:val="single" w:sz="4" w:space="0" w:color="auto"/>
            </w:tcBorders>
            <w:shd w:val="clear" w:color="auto" w:fill="auto"/>
            <w:vAlign w:val="center"/>
            <w:hideMark/>
          </w:tcPr>
          <w:p w14:paraId="39DB215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2,496,138</w:t>
            </w:r>
          </w:p>
        </w:tc>
        <w:tc>
          <w:tcPr>
            <w:tcW w:w="163" w:type="pct"/>
            <w:tcBorders>
              <w:top w:val="nil"/>
              <w:left w:val="nil"/>
              <w:bottom w:val="single" w:sz="4" w:space="0" w:color="auto"/>
              <w:right w:val="single" w:sz="4" w:space="0" w:color="auto"/>
            </w:tcBorders>
            <w:shd w:val="clear" w:color="auto" w:fill="auto"/>
            <w:vAlign w:val="center"/>
            <w:hideMark/>
          </w:tcPr>
          <w:p w14:paraId="269A675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0C7C181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2,496,138</w:t>
            </w:r>
          </w:p>
        </w:tc>
        <w:tc>
          <w:tcPr>
            <w:tcW w:w="163" w:type="pct"/>
            <w:tcBorders>
              <w:top w:val="nil"/>
              <w:left w:val="nil"/>
              <w:bottom w:val="single" w:sz="8" w:space="0" w:color="auto"/>
              <w:right w:val="single" w:sz="4" w:space="0" w:color="auto"/>
            </w:tcBorders>
            <w:shd w:val="clear" w:color="auto" w:fill="auto"/>
            <w:vAlign w:val="center"/>
            <w:hideMark/>
          </w:tcPr>
          <w:p w14:paraId="0FB4811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8" w:space="0" w:color="auto"/>
              <w:right w:val="single" w:sz="4" w:space="0" w:color="auto"/>
            </w:tcBorders>
            <w:shd w:val="clear" w:color="auto" w:fill="auto"/>
            <w:vAlign w:val="center"/>
            <w:hideMark/>
          </w:tcPr>
          <w:p w14:paraId="1AC8662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1503E57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8" w:space="0" w:color="auto"/>
              <w:right w:val="single" w:sz="4" w:space="0" w:color="auto"/>
            </w:tcBorders>
            <w:shd w:val="clear" w:color="auto" w:fill="auto"/>
            <w:vAlign w:val="center"/>
            <w:hideMark/>
          </w:tcPr>
          <w:p w14:paraId="51871DB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2,496,138</w:t>
            </w:r>
          </w:p>
        </w:tc>
        <w:tc>
          <w:tcPr>
            <w:tcW w:w="155" w:type="pct"/>
            <w:tcBorders>
              <w:top w:val="nil"/>
              <w:left w:val="nil"/>
              <w:bottom w:val="single" w:sz="8" w:space="0" w:color="auto"/>
              <w:right w:val="single" w:sz="4" w:space="0" w:color="auto"/>
            </w:tcBorders>
            <w:shd w:val="clear" w:color="auto" w:fill="auto"/>
            <w:vAlign w:val="center"/>
            <w:hideMark/>
          </w:tcPr>
          <w:p w14:paraId="478C99C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8" w:space="0" w:color="auto"/>
              <w:right w:val="single" w:sz="4" w:space="0" w:color="auto"/>
            </w:tcBorders>
            <w:shd w:val="clear" w:color="auto" w:fill="auto"/>
            <w:vAlign w:val="center"/>
            <w:hideMark/>
          </w:tcPr>
          <w:p w14:paraId="77F4310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UNHCR</w:t>
            </w:r>
          </w:p>
        </w:tc>
        <w:tc>
          <w:tcPr>
            <w:tcW w:w="163" w:type="pct"/>
            <w:tcBorders>
              <w:top w:val="nil"/>
              <w:left w:val="nil"/>
              <w:bottom w:val="single" w:sz="4" w:space="0" w:color="auto"/>
              <w:right w:val="single" w:sz="4" w:space="0" w:color="auto"/>
            </w:tcBorders>
            <w:shd w:val="clear" w:color="000000" w:fill="FFF2CC"/>
            <w:vAlign w:val="center"/>
            <w:hideMark/>
          </w:tcPr>
          <w:p w14:paraId="6E0982D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2,496,138</w:t>
            </w:r>
          </w:p>
        </w:tc>
        <w:tc>
          <w:tcPr>
            <w:tcW w:w="139" w:type="pct"/>
            <w:tcBorders>
              <w:top w:val="nil"/>
              <w:left w:val="nil"/>
              <w:bottom w:val="single" w:sz="8" w:space="0" w:color="auto"/>
              <w:right w:val="single" w:sz="4" w:space="0" w:color="auto"/>
            </w:tcBorders>
            <w:shd w:val="clear" w:color="auto" w:fill="auto"/>
            <w:vAlign w:val="center"/>
            <w:hideMark/>
          </w:tcPr>
          <w:p w14:paraId="7DECDC2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8" w:space="0" w:color="auto"/>
              <w:right w:val="single" w:sz="4" w:space="0" w:color="auto"/>
            </w:tcBorders>
            <w:shd w:val="clear" w:color="auto" w:fill="auto"/>
            <w:vAlign w:val="center"/>
            <w:hideMark/>
          </w:tcPr>
          <w:p w14:paraId="02C6959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176692F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5520A290" w14:textId="21E2C469"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74B26E47" w14:textId="77777777" w:rsidTr="00C260C3">
        <w:trPr>
          <w:trHeight w:val="20"/>
        </w:trPr>
        <w:tc>
          <w:tcPr>
            <w:tcW w:w="131" w:type="pct"/>
            <w:tcBorders>
              <w:top w:val="nil"/>
              <w:left w:val="single" w:sz="4" w:space="0" w:color="auto"/>
              <w:bottom w:val="single" w:sz="4" w:space="0" w:color="auto"/>
              <w:right w:val="single" w:sz="4" w:space="0" w:color="auto"/>
            </w:tcBorders>
            <w:shd w:val="clear" w:color="000000" w:fill="D9D9D9"/>
            <w:vAlign w:val="center"/>
            <w:hideMark/>
          </w:tcPr>
          <w:p w14:paraId="5FAEAB80"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81" w:type="pct"/>
            <w:tcBorders>
              <w:top w:val="single" w:sz="4" w:space="0" w:color="auto"/>
              <w:left w:val="nil"/>
              <w:bottom w:val="single" w:sz="4" w:space="0" w:color="auto"/>
              <w:right w:val="single" w:sz="4" w:space="0" w:color="auto"/>
            </w:tcBorders>
            <w:shd w:val="clear" w:color="000000" w:fill="D9D9D9"/>
            <w:vAlign w:val="center"/>
            <w:hideMark/>
          </w:tcPr>
          <w:p w14:paraId="4AF64323" w14:textId="60B1F00A" w:rsidR="00C260C3" w:rsidRPr="00B457F5" w:rsidRDefault="00C260C3" w:rsidP="00C260C3">
            <w:pPr>
              <w:spacing w:before="0" w:after="0"/>
              <w:jc w:val="lef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Kosto</w:t>
            </w:r>
            <w:r w:rsidR="006A63AF" w:rsidRPr="00B457F5">
              <w:rPr>
                <w:rFonts w:ascii="Garamond" w:eastAsia="Times New Roman" w:hAnsi="Garamond" w:cs="Times New Roman"/>
                <w:b/>
                <w:bCs/>
                <w:color w:val="FF0000"/>
                <w:sz w:val="4"/>
                <w:szCs w:val="10"/>
              </w:rPr>
              <w:t>ja</w:t>
            </w:r>
            <w:r w:rsidRPr="00B457F5">
              <w:rPr>
                <w:rFonts w:ascii="Garamond" w:eastAsia="Times New Roman" w:hAnsi="Garamond" w:cs="Times New Roman"/>
                <w:b/>
                <w:bCs/>
                <w:color w:val="FF0000"/>
                <w:sz w:val="4"/>
                <w:szCs w:val="10"/>
              </w:rPr>
              <w:t xml:space="preserve"> treguese </w:t>
            </w:r>
            <w:r w:rsidR="006A63AF" w:rsidRPr="00B457F5">
              <w:rPr>
                <w:rFonts w:ascii="Garamond" w:eastAsia="Times New Roman" w:hAnsi="Garamond" w:cs="Times New Roman"/>
                <w:b/>
                <w:bCs/>
                <w:color w:val="FF0000"/>
                <w:sz w:val="4"/>
                <w:szCs w:val="10"/>
              </w:rPr>
              <w:t>e o</w:t>
            </w:r>
            <w:r w:rsidRPr="00B457F5">
              <w:rPr>
                <w:rFonts w:ascii="Garamond" w:eastAsia="Times New Roman" w:hAnsi="Garamond" w:cs="Times New Roman"/>
                <w:b/>
                <w:bCs/>
                <w:color w:val="FF0000"/>
                <w:sz w:val="4"/>
                <w:szCs w:val="10"/>
              </w:rPr>
              <w:t>bjektivi</w:t>
            </w:r>
            <w:r w:rsidR="006A63AF" w:rsidRPr="00B457F5">
              <w:rPr>
                <w:rFonts w:ascii="Garamond" w:eastAsia="Times New Roman" w:hAnsi="Garamond" w:cs="Times New Roman"/>
                <w:b/>
                <w:bCs/>
                <w:color w:val="FF0000"/>
                <w:sz w:val="4"/>
                <w:szCs w:val="10"/>
              </w:rPr>
              <w:t>t</w:t>
            </w:r>
            <w:r w:rsidRPr="00B457F5">
              <w:rPr>
                <w:rFonts w:ascii="Garamond" w:eastAsia="Times New Roman" w:hAnsi="Garamond" w:cs="Times New Roman"/>
                <w:b/>
                <w:bCs/>
                <w:color w:val="FF0000"/>
                <w:sz w:val="4"/>
                <w:szCs w:val="10"/>
              </w:rPr>
              <w:t xml:space="preserve"> specifik 1.4</w:t>
            </w:r>
          </w:p>
        </w:tc>
        <w:tc>
          <w:tcPr>
            <w:tcW w:w="186" w:type="pct"/>
            <w:tcBorders>
              <w:top w:val="single" w:sz="4" w:space="0" w:color="auto"/>
              <w:left w:val="nil"/>
              <w:bottom w:val="single" w:sz="4" w:space="0" w:color="auto"/>
              <w:right w:val="single" w:sz="4" w:space="0" w:color="auto"/>
            </w:tcBorders>
            <w:shd w:val="clear" w:color="000000" w:fill="D9D9D9"/>
            <w:vAlign w:val="center"/>
            <w:hideMark/>
          </w:tcPr>
          <w:p w14:paraId="647A764C"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9" w:type="pct"/>
            <w:tcBorders>
              <w:top w:val="single" w:sz="4" w:space="0" w:color="auto"/>
              <w:left w:val="nil"/>
              <w:bottom w:val="single" w:sz="4" w:space="0" w:color="auto"/>
              <w:right w:val="single" w:sz="4" w:space="0" w:color="auto"/>
            </w:tcBorders>
            <w:shd w:val="clear" w:color="000000" w:fill="D9D9D9"/>
            <w:vAlign w:val="center"/>
            <w:hideMark/>
          </w:tcPr>
          <w:p w14:paraId="4919209E"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44" w:type="pct"/>
            <w:tcBorders>
              <w:top w:val="single" w:sz="4" w:space="0" w:color="auto"/>
              <w:left w:val="nil"/>
              <w:bottom w:val="single" w:sz="4" w:space="0" w:color="auto"/>
              <w:right w:val="single" w:sz="4" w:space="0" w:color="auto"/>
            </w:tcBorders>
            <w:shd w:val="clear" w:color="000000" w:fill="D9D9D9"/>
            <w:vAlign w:val="center"/>
            <w:hideMark/>
          </w:tcPr>
          <w:p w14:paraId="64053386"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35" w:type="pct"/>
            <w:tcBorders>
              <w:top w:val="nil"/>
              <w:left w:val="nil"/>
              <w:bottom w:val="single" w:sz="4" w:space="0" w:color="auto"/>
              <w:right w:val="single" w:sz="4" w:space="0" w:color="auto"/>
            </w:tcBorders>
            <w:shd w:val="clear" w:color="000000" w:fill="D9D9D9"/>
            <w:vAlign w:val="center"/>
            <w:hideMark/>
          </w:tcPr>
          <w:p w14:paraId="36968BA0"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2" w:type="pct"/>
            <w:tcBorders>
              <w:top w:val="nil"/>
              <w:left w:val="nil"/>
              <w:bottom w:val="single" w:sz="4" w:space="0" w:color="auto"/>
              <w:right w:val="single" w:sz="4" w:space="0" w:color="auto"/>
            </w:tcBorders>
            <w:shd w:val="clear" w:color="000000" w:fill="D9D9D9"/>
            <w:vAlign w:val="center"/>
            <w:hideMark/>
          </w:tcPr>
          <w:p w14:paraId="48773AD6"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single" w:sz="4" w:space="0" w:color="auto"/>
              <w:left w:val="nil"/>
              <w:bottom w:val="single" w:sz="4" w:space="0" w:color="auto"/>
              <w:right w:val="single" w:sz="4" w:space="0" w:color="auto"/>
            </w:tcBorders>
            <w:shd w:val="clear" w:color="000000" w:fill="D9D9D9"/>
            <w:vAlign w:val="center"/>
            <w:hideMark/>
          </w:tcPr>
          <w:p w14:paraId="2119090C"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41,495,279</w:t>
            </w:r>
          </w:p>
        </w:tc>
        <w:tc>
          <w:tcPr>
            <w:tcW w:w="155" w:type="pct"/>
            <w:tcBorders>
              <w:top w:val="single" w:sz="4" w:space="0" w:color="auto"/>
              <w:left w:val="nil"/>
              <w:bottom w:val="single" w:sz="4" w:space="0" w:color="auto"/>
              <w:right w:val="single" w:sz="4" w:space="0" w:color="auto"/>
            </w:tcBorders>
            <w:shd w:val="clear" w:color="000000" w:fill="D9D9D9"/>
            <w:vAlign w:val="center"/>
            <w:hideMark/>
          </w:tcPr>
          <w:p w14:paraId="587CDB03"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48EAF12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41,495,279</w:t>
            </w:r>
          </w:p>
        </w:tc>
        <w:tc>
          <w:tcPr>
            <w:tcW w:w="165" w:type="pct"/>
            <w:tcBorders>
              <w:top w:val="single" w:sz="4" w:space="0" w:color="auto"/>
              <w:left w:val="nil"/>
              <w:bottom w:val="single" w:sz="4" w:space="0" w:color="auto"/>
              <w:right w:val="single" w:sz="4" w:space="0" w:color="auto"/>
            </w:tcBorders>
            <w:shd w:val="clear" w:color="000000" w:fill="D9D9D9"/>
            <w:vAlign w:val="center"/>
            <w:hideMark/>
          </w:tcPr>
          <w:p w14:paraId="78318688"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40,955,279</w:t>
            </w:r>
          </w:p>
        </w:tc>
        <w:tc>
          <w:tcPr>
            <w:tcW w:w="163" w:type="pct"/>
            <w:tcBorders>
              <w:top w:val="single" w:sz="4" w:space="0" w:color="auto"/>
              <w:left w:val="nil"/>
              <w:bottom w:val="single" w:sz="4" w:space="0" w:color="auto"/>
              <w:right w:val="single" w:sz="4" w:space="0" w:color="auto"/>
            </w:tcBorders>
            <w:shd w:val="clear" w:color="000000" w:fill="D9D9D9"/>
            <w:vAlign w:val="center"/>
            <w:hideMark/>
          </w:tcPr>
          <w:p w14:paraId="1F02FFC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511C20A1"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40,955,279</w:t>
            </w:r>
          </w:p>
        </w:tc>
        <w:tc>
          <w:tcPr>
            <w:tcW w:w="163" w:type="pct"/>
            <w:tcBorders>
              <w:top w:val="single" w:sz="4" w:space="0" w:color="auto"/>
              <w:left w:val="nil"/>
              <w:bottom w:val="single" w:sz="4" w:space="0" w:color="auto"/>
              <w:right w:val="single" w:sz="4" w:space="0" w:color="auto"/>
            </w:tcBorders>
            <w:shd w:val="clear" w:color="000000" w:fill="D9D9D9"/>
            <w:vAlign w:val="center"/>
            <w:hideMark/>
          </w:tcPr>
          <w:p w14:paraId="3F1CB36E"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21,395,889</w:t>
            </w:r>
          </w:p>
        </w:tc>
        <w:tc>
          <w:tcPr>
            <w:tcW w:w="148" w:type="pct"/>
            <w:tcBorders>
              <w:top w:val="single" w:sz="4" w:space="0" w:color="auto"/>
              <w:left w:val="nil"/>
              <w:bottom w:val="single" w:sz="4" w:space="0" w:color="auto"/>
              <w:right w:val="single" w:sz="4" w:space="0" w:color="auto"/>
            </w:tcBorders>
            <w:shd w:val="clear" w:color="000000" w:fill="D9D9D9"/>
            <w:vAlign w:val="center"/>
            <w:hideMark/>
          </w:tcPr>
          <w:p w14:paraId="4B1C4ED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180A4E3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21,395,889</w:t>
            </w:r>
          </w:p>
        </w:tc>
        <w:tc>
          <w:tcPr>
            <w:tcW w:w="165" w:type="pct"/>
            <w:tcBorders>
              <w:top w:val="nil"/>
              <w:left w:val="nil"/>
              <w:bottom w:val="single" w:sz="4" w:space="0" w:color="auto"/>
              <w:right w:val="single" w:sz="4" w:space="0" w:color="auto"/>
            </w:tcBorders>
            <w:shd w:val="clear" w:color="000000" w:fill="D9D9D9"/>
            <w:vAlign w:val="center"/>
            <w:hideMark/>
          </w:tcPr>
          <w:p w14:paraId="5E66D32A"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103,846,447</w:t>
            </w:r>
          </w:p>
        </w:tc>
        <w:tc>
          <w:tcPr>
            <w:tcW w:w="163" w:type="pct"/>
            <w:tcBorders>
              <w:top w:val="nil"/>
              <w:left w:val="nil"/>
              <w:bottom w:val="single" w:sz="4" w:space="0" w:color="auto"/>
              <w:right w:val="single" w:sz="4" w:space="0" w:color="auto"/>
            </w:tcBorders>
            <w:shd w:val="clear" w:color="000000" w:fill="D9D9D9"/>
            <w:vAlign w:val="center"/>
            <w:hideMark/>
          </w:tcPr>
          <w:p w14:paraId="29BFEDE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5" w:type="pct"/>
            <w:tcBorders>
              <w:top w:val="nil"/>
              <w:left w:val="nil"/>
              <w:bottom w:val="single" w:sz="4" w:space="0" w:color="auto"/>
              <w:right w:val="single" w:sz="4" w:space="0" w:color="auto"/>
            </w:tcBorders>
            <w:shd w:val="clear" w:color="000000" w:fill="D9D9D9"/>
            <w:vAlign w:val="center"/>
            <w:hideMark/>
          </w:tcPr>
          <w:p w14:paraId="4316126E"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103,846,447</w:t>
            </w:r>
          </w:p>
        </w:tc>
        <w:tc>
          <w:tcPr>
            <w:tcW w:w="163" w:type="pct"/>
            <w:tcBorders>
              <w:top w:val="single" w:sz="4" w:space="0" w:color="auto"/>
              <w:left w:val="nil"/>
              <w:bottom w:val="single" w:sz="4" w:space="0" w:color="auto"/>
              <w:right w:val="single" w:sz="4" w:space="0" w:color="auto"/>
            </w:tcBorders>
            <w:shd w:val="clear" w:color="000000" w:fill="D9D9D9"/>
            <w:vAlign w:val="center"/>
            <w:hideMark/>
          </w:tcPr>
          <w:p w14:paraId="40CDCE31"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49,306,054</w:t>
            </w:r>
          </w:p>
        </w:tc>
        <w:tc>
          <w:tcPr>
            <w:tcW w:w="155" w:type="pct"/>
            <w:tcBorders>
              <w:top w:val="single" w:sz="4" w:space="0" w:color="auto"/>
              <w:left w:val="nil"/>
              <w:bottom w:val="single" w:sz="4" w:space="0" w:color="auto"/>
              <w:right w:val="single" w:sz="4" w:space="0" w:color="auto"/>
            </w:tcBorders>
            <w:shd w:val="clear" w:color="000000" w:fill="D9D9D9"/>
            <w:vAlign w:val="center"/>
            <w:hideMark/>
          </w:tcPr>
          <w:p w14:paraId="326C0B8A"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7603698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49,306,054</w:t>
            </w:r>
          </w:p>
        </w:tc>
        <w:tc>
          <w:tcPr>
            <w:tcW w:w="162" w:type="pct"/>
            <w:tcBorders>
              <w:top w:val="single" w:sz="4" w:space="0" w:color="auto"/>
              <w:left w:val="nil"/>
              <w:bottom w:val="single" w:sz="4" w:space="0" w:color="auto"/>
              <w:right w:val="single" w:sz="4" w:space="0" w:color="auto"/>
            </w:tcBorders>
            <w:shd w:val="clear" w:color="000000" w:fill="D9D9D9"/>
            <w:vAlign w:val="center"/>
            <w:hideMark/>
          </w:tcPr>
          <w:p w14:paraId="7BF422F3"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47,772,393</w:t>
            </w:r>
          </w:p>
        </w:tc>
        <w:tc>
          <w:tcPr>
            <w:tcW w:w="155" w:type="pct"/>
            <w:tcBorders>
              <w:top w:val="single" w:sz="4" w:space="0" w:color="auto"/>
              <w:left w:val="nil"/>
              <w:bottom w:val="single" w:sz="4" w:space="0" w:color="auto"/>
              <w:right w:val="single" w:sz="4" w:space="0" w:color="auto"/>
            </w:tcBorders>
            <w:shd w:val="clear" w:color="000000" w:fill="D9D9D9"/>
            <w:vAlign w:val="center"/>
            <w:hideMark/>
          </w:tcPr>
          <w:p w14:paraId="5FEDCC6C"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218" w:type="pct"/>
            <w:tcBorders>
              <w:top w:val="single" w:sz="4" w:space="0" w:color="auto"/>
              <w:left w:val="nil"/>
              <w:bottom w:val="single" w:sz="4" w:space="0" w:color="auto"/>
              <w:right w:val="single" w:sz="4" w:space="0" w:color="auto"/>
            </w:tcBorders>
            <w:shd w:val="clear" w:color="000000" w:fill="D9D9D9"/>
            <w:vAlign w:val="center"/>
            <w:hideMark/>
          </w:tcPr>
          <w:p w14:paraId="40C826B9"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598258BA"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47,772,393</w:t>
            </w:r>
          </w:p>
        </w:tc>
        <w:tc>
          <w:tcPr>
            <w:tcW w:w="139" w:type="pct"/>
            <w:tcBorders>
              <w:top w:val="single" w:sz="4" w:space="0" w:color="auto"/>
              <w:left w:val="nil"/>
              <w:bottom w:val="single" w:sz="4" w:space="0" w:color="auto"/>
              <w:right w:val="single" w:sz="4" w:space="0" w:color="auto"/>
            </w:tcBorders>
            <w:shd w:val="clear" w:color="000000" w:fill="D9D9D9"/>
            <w:vAlign w:val="center"/>
            <w:hideMark/>
          </w:tcPr>
          <w:p w14:paraId="7892C96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42" w:type="pct"/>
            <w:tcBorders>
              <w:top w:val="single" w:sz="4" w:space="0" w:color="auto"/>
              <w:left w:val="nil"/>
              <w:bottom w:val="single" w:sz="4" w:space="0" w:color="auto"/>
              <w:right w:val="single" w:sz="4" w:space="0" w:color="auto"/>
            </w:tcBorders>
            <w:shd w:val="clear" w:color="000000" w:fill="D9D9D9"/>
            <w:vAlign w:val="center"/>
            <w:hideMark/>
          </w:tcPr>
          <w:p w14:paraId="3244B16F"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28" w:type="pct"/>
            <w:tcBorders>
              <w:top w:val="nil"/>
              <w:left w:val="nil"/>
              <w:bottom w:val="single" w:sz="4" w:space="0" w:color="auto"/>
              <w:right w:val="single" w:sz="4" w:space="0" w:color="auto"/>
            </w:tcBorders>
            <w:shd w:val="clear" w:color="000000" w:fill="D9D9D9"/>
            <w:vAlign w:val="center"/>
            <w:hideMark/>
          </w:tcPr>
          <w:p w14:paraId="1057BA7B"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77" w:type="pct"/>
            <w:tcBorders>
              <w:top w:val="nil"/>
              <w:left w:val="nil"/>
              <w:bottom w:val="single" w:sz="4" w:space="0" w:color="auto"/>
              <w:right w:val="single" w:sz="4" w:space="0" w:color="auto"/>
            </w:tcBorders>
            <w:shd w:val="clear" w:color="000000" w:fill="D9D9D9"/>
            <w:vAlign w:val="center"/>
            <w:hideMark/>
          </w:tcPr>
          <w:p w14:paraId="1099BB48" w14:textId="28B995C3"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(6,768,000)</w:t>
            </w:r>
          </w:p>
        </w:tc>
      </w:tr>
      <w:tr w:rsidR="00C260C3" w:rsidRPr="00B457F5" w14:paraId="03C77FCB" w14:textId="77777777" w:rsidTr="00C260C3">
        <w:trPr>
          <w:trHeight w:val="20"/>
        </w:trPr>
        <w:tc>
          <w:tcPr>
            <w:tcW w:w="131" w:type="pct"/>
            <w:tcBorders>
              <w:top w:val="nil"/>
              <w:left w:val="single" w:sz="4" w:space="0" w:color="auto"/>
              <w:bottom w:val="single" w:sz="4" w:space="0" w:color="auto"/>
              <w:right w:val="single" w:sz="4" w:space="0" w:color="auto"/>
            </w:tcBorders>
            <w:shd w:val="clear" w:color="000000" w:fill="D9D9D9"/>
            <w:vAlign w:val="center"/>
            <w:hideMark/>
          </w:tcPr>
          <w:p w14:paraId="7C3D91AD"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81" w:type="pct"/>
            <w:tcBorders>
              <w:top w:val="nil"/>
              <w:left w:val="nil"/>
              <w:bottom w:val="single" w:sz="4" w:space="0" w:color="auto"/>
              <w:right w:val="single" w:sz="4" w:space="0" w:color="auto"/>
            </w:tcBorders>
            <w:shd w:val="clear" w:color="000000" w:fill="D9D9D9"/>
            <w:vAlign w:val="center"/>
            <w:hideMark/>
          </w:tcPr>
          <w:p w14:paraId="610A8BA9" w14:textId="2563EADF" w:rsidR="00C260C3" w:rsidRPr="00B457F5" w:rsidRDefault="00C260C3" w:rsidP="00C260C3">
            <w:pPr>
              <w:spacing w:before="0" w:after="0"/>
              <w:jc w:val="lef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Kosto</w:t>
            </w:r>
            <w:r w:rsidR="006A63AF" w:rsidRPr="00B457F5">
              <w:rPr>
                <w:rFonts w:ascii="Garamond" w:eastAsia="Times New Roman" w:hAnsi="Garamond" w:cs="Times New Roman"/>
                <w:b/>
                <w:bCs/>
                <w:color w:val="FF0000"/>
                <w:sz w:val="4"/>
                <w:szCs w:val="10"/>
              </w:rPr>
              <w:t>ja</w:t>
            </w:r>
            <w:r w:rsidRPr="00B457F5">
              <w:rPr>
                <w:rFonts w:ascii="Garamond" w:eastAsia="Times New Roman" w:hAnsi="Garamond" w:cs="Times New Roman"/>
                <w:b/>
                <w:bCs/>
                <w:color w:val="FF0000"/>
                <w:sz w:val="4"/>
                <w:szCs w:val="10"/>
              </w:rPr>
              <w:t xml:space="preserve"> totale </w:t>
            </w:r>
            <w:r w:rsidR="006A63AF" w:rsidRPr="00B457F5">
              <w:rPr>
                <w:rFonts w:ascii="Garamond" w:eastAsia="Times New Roman" w:hAnsi="Garamond" w:cs="Times New Roman"/>
                <w:b/>
                <w:bCs/>
                <w:color w:val="FF0000"/>
                <w:sz w:val="4"/>
                <w:szCs w:val="10"/>
              </w:rPr>
              <w:t>e q</w:t>
            </w:r>
            <w:r w:rsidRPr="00B457F5">
              <w:rPr>
                <w:rFonts w:ascii="Garamond" w:eastAsia="Times New Roman" w:hAnsi="Garamond" w:cs="Times New Roman"/>
                <w:b/>
                <w:bCs/>
                <w:color w:val="FF0000"/>
                <w:sz w:val="4"/>
                <w:szCs w:val="10"/>
              </w:rPr>
              <w:t>ëllimi</w:t>
            </w:r>
            <w:r w:rsidR="006A63AF" w:rsidRPr="00B457F5">
              <w:rPr>
                <w:rFonts w:ascii="Garamond" w:eastAsia="Times New Roman" w:hAnsi="Garamond" w:cs="Times New Roman"/>
                <w:b/>
                <w:bCs/>
                <w:color w:val="FF0000"/>
                <w:sz w:val="4"/>
                <w:szCs w:val="10"/>
              </w:rPr>
              <w:t>t</w:t>
            </w:r>
            <w:r w:rsidRPr="00B457F5">
              <w:rPr>
                <w:rFonts w:ascii="Garamond" w:eastAsia="Times New Roman" w:hAnsi="Garamond" w:cs="Times New Roman"/>
                <w:b/>
                <w:bCs/>
                <w:color w:val="FF0000"/>
                <w:sz w:val="4"/>
                <w:szCs w:val="10"/>
              </w:rPr>
              <w:t xml:space="preserve"> </w:t>
            </w:r>
            <w:r w:rsidR="006A63AF" w:rsidRPr="00B457F5">
              <w:rPr>
                <w:rFonts w:ascii="Garamond" w:eastAsia="Times New Roman" w:hAnsi="Garamond" w:cs="Times New Roman"/>
                <w:b/>
                <w:bCs/>
                <w:color w:val="FF0000"/>
                <w:sz w:val="4"/>
                <w:szCs w:val="10"/>
              </w:rPr>
              <w:t>të</w:t>
            </w:r>
            <w:r w:rsidRPr="00B457F5">
              <w:rPr>
                <w:rFonts w:ascii="Garamond" w:eastAsia="Times New Roman" w:hAnsi="Garamond" w:cs="Times New Roman"/>
                <w:b/>
                <w:bCs/>
                <w:color w:val="FF0000"/>
                <w:sz w:val="4"/>
                <w:szCs w:val="10"/>
              </w:rPr>
              <w:t xml:space="preserve"> </w:t>
            </w:r>
            <w:r w:rsidR="006A63AF" w:rsidRPr="00B457F5">
              <w:rPr>
                <w:rFonts w:ascii="Garamond" w:eastAsia="Times New Roman" w:hAnsi="Garamond" w:cs="Times New Roman"/>
                <w:b/>
                <w:bCs/>
                <w:color w:val="FF0000"/>
                <w:sz w:val="4"/>
                <w:szCs w:val="10"/>
              </w:rPr>
              <w:t>p</w:t>
            </w:r>
            <w:r w:rsidRPr="00B457F5">
              <w:rPr>
                <w:rFonts w:ascii="Garamond" w:eastAsia="Times New Roman" w:hAnsi="Garamond" w:cs="Times New Roman"/>
                <w:b/>
                <w:bCs/>
                <w:color w:val="FF0000"/>
                <w:sz w:val="4"/>
                <w:szCs w:val="10"/>
              </w:rPr>
              <w:t>olitikës I (objektiva</w:t>
            </w:r>
            <w:r w:rsidR="00AF4731" w:rsidRPr="00B457F5">
              <w:rPr>
                <w:rFonts w:ascii="Garamond" w:eastAsia="Times New Roman" w:hAnsi="Garamond" w:cs="Times New Roman"/>
                <w:b/>
                <w:bCs/>
                <w:color w:val="FF0000"/>
                <w:sz w:val="4"/>
                <w:szCs w:val="10"/>
              </w:rPr>
              <w:t>t</w:t>
            </w:r>
            <w:r w:rsidRPr="00B457F5">
              <w:rPr>
                <w:rFonts w:ascii="Garamond" w:eastAsia="Times New Roman" w:hAnsi="Garamond" w:cs="Times New Roman"/>
                <w:b/>
                <w:bCs/>
                <w:color w:val="FF0000"/>
                <w:sz w:val="4"/>
                <w:szCs w:val="10"/>
              </w:rPr>
              <w:t xml:space="preserve"> specifik</w:t>
            </w:r>
            <w:r w:rsidR="00AF4731" w:rsidRPr="00B457F5">
              <w:rPr>
                <w:rFonts w:ascii="Garamond" w:eastAsia="Times New Roman" w:hAnsi="Garamond" w:cs="Times New Roman"/>
                <w:b/>
                <w:bCs/>
                <w:color w:val="FF0000"/>
                <w:sz w:val="4"/>
                <w:szCs w:val="10"/>
              </w:rPr>
              <w:t>ë</w:t>
            </w:r>
            <w:r w:rsidRPr="00B457F5">
              <w:rPr>
                <w:rFonts w:ascii="Garamond" w:eastAsia="Times New Roman" w:hAnsi="Garamond" w:cs="Times New Roman"/>
                <w:b/>
                <w:bCs/>
                <w:color w:val="FF0000"/>
                <w:sz w:val="4"/>
                <w:szCs w:val="10"/>
              </w:rPr>
              <w:t xml:space="preserve"> 1.1+1.2)</w:t>
            </w:r>
          </w:p>
        </w:tc>
        <w:tc>
          <w:tcPr>
            <w:tcW w:w="186" w:type="pct"/>
            <w:tcBorders>
              <w:top w:val="nil"/>
              <w:left w:val="nil"/>
              <w:bottom w:val="single" w:sz="4" w:space="0" w:color="auto"/>
              <w:right w:val="single" w:sz="4" w:space="0" w:color="auto"/>
            </w:tcBorders>
            <w:shd w:val="clear" w:color="000000" w:fill="D9D9D9"/>
            <w:vAlign w:val="center"/>
            <w:hideMark/>
          </w:tcPr>
          <w:p w14:paraId="6C9CCF4C"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9" w:type="pct"/>
            <w:tcBorders>
              <w:top w:val="nil"/>
              <w:left w:val="nil"/>
              <w:bottom w:val="single" w:sz="4" w:space="0" w:color="auto"/>
              <w:right w:val="single" w:sz="4" w:space="0" w:color="auto"/>
            </w:tcBorders>
            <w:shd w:val="clear" w:color="000000" w:fill="D9D9D9"/>
            <w:vAlign w:val="center"/>
            <w:hideMark/>
          </w:tcPr>
          <w:p w14:paraId="56C98EF1"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44" w:type="pct"/>
            <w:tcBorders>
              <w:top w:val="nil"/>
              <w:left w:val="nil"/>
              <w:bottom w:val="single" w:sz="4" w:space="0" w:color="auto"/>
              <w:right w:val="single" w:sz="4" w:space="0" w:color="auto"/>
            </w:tcBorders>
            <w:shd w:val="clear" w:color="000000" w:fill="D9D9D9"/>
            <w:vAlign w:val="center"/>
            <w:hideMark/>
          </w:tcPr>
          <w:p w14:paraId="0D7DA8F8"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35" w:type="pct"/>
            <w:tcBorders>
              <w:top w:val="nil"/>
              <w:left w:val="nil"/>
              <w:bottom w:val="single" w:sz="4" w:space="0" w:color="auto"/>
              <w:right w:val="single" w:sz="4" w:space="0" w:color="auto"/>
            </w:tcBorders>
            <w:shd w:val="clear" w:color="000000" w:fill="D9D9D9"/>
            <w:vAlign w:val="center"/>
            <w:hideMark/>
          </w:tcPr>
          <w:p w14:paraId="28C7D769"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2" w:type="pct"/>
            <w:tcBorders>
              <w:top w:val="nil"/>
              <w:left w:val="nil"/>
              <w:bottom w:val="single" w:sz="4" w:space="0" w:color="auto"/>
              <w:right w:val="single" w:sz="4" w:space="0" w:color="auto"/>
            </w:tcBorders>
            <w:shd w:val="clear" w:color="000000" w:fill="D9D9D9"/>
            <w:vAlign w:val="center"/>
            <w:hideMark/>
          </w:tcPr>
          <w:p w14:paraId="159F9C28"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2736692C"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122,010,199</w:t>
            </w:r>
          </w:p>
        </w:tc>
        <w:tc>
          <w:tcPr>
            <w:tcW w:w="155" w:type="pct"/>
            <w:tcBorders>
              <w:top w:val="nil"/>
              <w:left w:val="nil"/>
              <w:bottom w:val="single" w:sz="4" w:space="0" w:color="auto"/>
              <w:right w:val="single" w:sz="4" w:space="0" w:color="auto"/>
            </w:tcBorders>
            <w:shd w:val="clear" w:color="000000" w:fill="D9D9D9"/>
            <w:vAlign w:val="center"/>
            <w:hideMark/>
          </w:tcPr>
          <w:p w14:paraId="6D6D9120"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11,500,000</w:t>
            </w:r>
          </w:p>
        </w:tc>
        <w:tc>
          <w:tcPr>
            <w:tcW w:w="162" w:type="pct"/>
            <w:tcBorders>
              <w:top w:val="nil"/>
              <w:left w:val="nil"/>
              <w:bottom w:val="single" w:sz="4" w:space="0" w:color="auto"/>
              <w:right w:val="single" w:sz="4" w:space="0" w:color="auto"/>
            </w:tcBorders>
            <w:shd w:val="clear" w:color="000000" w:fill="D9D9D9"/>
            <w:vAlign w:val="center"/>
            <w:hideMark/>
          </w:tcPr>
          <w:p w14:paraId="1F657828"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133,510,199</w:t>
            </w:r>
          </w:p>
        </w:tc>
        <w:tc>
          <w:tcPr>
            <w:tcW w:w="165" w:type="pct"/>
            <w:tcBorders>
              <w:top w:val="nil"/>
              <w:left w:val="nil"/>
              <w:bottom w:val="single" w:sz="4" w:space="0" w:color="auto"/>
              <w:right w:val="single" w:sz="4" w:space="0" w:color="auto"/>
            </w:tcBorders>
            <w:shd w:val="clear" w:color="000000" w:fill="D9D9D9"/>
            <w:vAlign w:val="center"/>
            <w:hideMark/>
          </w:tcPr>
          <w:p w14:paraId="12BF5001"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112,661,934</w:t>
            </w:r>
          </w:p>
        </w:tc>
        <w:tc>
          <w:tcPr>
            <w:tcW w:w="163" w:type="pct"/>
            <w:tcBorders>
              <w:top w:val="nil"/>
              <w:left w:val="nil"/>
              <w:bottom w:val="single" w:sz="4" w:space="0" w:color="auto"/>
              <w:right w:val="single" w:sz="4" w:space="0" w:color="auto"/>
            </w:tcBorders>
            <w:shd w:val="clear" w:color="000000" w:fill="D9D9D9"/>
            <w:vAlign w:val="center"/>
            <w:hideMark/>
          </w:tcPr>
          <w:p w14:paraId="506CF60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126,500,000</w:t>
            </w:r>
          </w:p>
        </w:tc>
        <w:tc>
          <w:tcPr>
            <w:tcW w:w="163" w:type="pct"/>
            <w:tcBorders>
              <w:top w:val="nil"/>
              <w:left w:val="nil"/>
              <w:bottom w:val="single" w:sz="4" w:space="0" w:color="auto"/>
              <w:right w:val="single" w:sz="4" w:space="0" w:color="auto"/>
            </w:tcBorders>
            <w:shd w:val="clear" w:color="000000" w:fill="D9D9D9"/>
            <w:vAlign w:val="center"/>
            <w:hideMark/>
          </w:tcPr>
          <w:p w14:paraId="7F2839B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239,161,934</w:t>
            </w:r>
          </w:p>
        </w:tc>
        <w:tc>
          <w:tcPr>
            <w:tcW w:w="163" w:type="pct"/>
            <w:tcBorders>
              <w:top w:val="nil"/>
              <w:left w:val="nil"/>
              <w:bottom w:val="single" w:sz="4" w:space="0" w:color="auto"/>
              <w:right w:val="single" w:sz="4" w:space="0" w:color="auto"/>
            </w:tcBorders>
            <w:shd w:val="clear" w:color="000000" w:fill="D9D9D9"/>
            <w:vAlign w:val="center"/>
            <w:hideMark/>
          </w:tcPr>
          <w:p w14:paraId="453A4DDC"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92,885,095</w:t>
            </w:r>
          </w:p>
        </w:tc>
        <w:tc>
          <w:tcPr>
            <w:tcW w:w="148" w:type="pct"/>
            <w:tcBorders>
              <w:top w:val="nil"/>
              <w:left w:val="nil"/>
              <w:bottom w:val="single" w:sz="4" w:space="0" w:color="auto"/>
              <w:right w:val="single" w:sz="4" w:space="0" w:color="auto"/>
            </w:tcBorders>
            <w:shd w:val="clear" w:color="000000" w:fill="D9D9D9"/>
            <w:vAlign w:val="center"/>
            <w:hideMark/>
          </w:tcPr>
          <w:p w14:paraId="68C9D5D9"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221DD960"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92,885,095</w:t>
            </w:r>
          </w:p>
        </w:tc>
        <w:tc>
          <w:tcPr>
            <w:tcW w:w="165" w:type="pct"/>
            <w:tcBorders>
              <w:top w:val="nil"/>
              <w:left w:val="nil"/>
              <w:bottom w:val="single" w:sz="4" w:space="0" w:color="auto"/>
              <w:right w:val="single" w:sz="4" w:space="0" w:color="auto"/>
            </w:tcBorders>
            <w:shd w:val="clear" w:color="000000" w:fill="D9D9D9"/>
            <w:vAlign w:val="center"/>
            <w:hideMark/>
          </w:tcPr>
          <w:p w14:paraId="6E28EECC"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327,557,228</w:t>
            </w:r>
          </w:p>
        </w:tc>
        <w:tc>
          <w:tcPr>
            <w:tcW w:w="163" w:type="pct"/>
            <w:tcBorders>
              <w:top w:val="nil"/>
              <w:left w:val="nil"/>
              <w:bottom w:val="single" w:sz="4" w:space="0" w:color="auto"/>
              <w:right w:val="single" w:sz="4" w:space="0" w:color="auto"/>
            </w:tcBorders>
            <w:shd w:val="clear" w:color="000000" w:fill="D9D9D9"/>
            <w:vAlign w:val="center"/>
            <w:hideMark/>
          </w:tcPr>
          <w:p w14:paraId="335DE76B"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138,000,000</w:t>
            </w:r>
          </w:p>
        </w:tc>
        <w:tc>
          <w:tcPr>
            <w:tcW w:w="165" w:type="pct"/>
            <w:tcBorders>
              <w:top w:val="nil"/>
              <w:left w:val="nil"/>
              <w:bottom w:val="single" w:sz="4" w:space="0" w:color="auto"/>
              <w:right w:val="single" w:sz="4" w:space="0" w:color="auto"/>
            </w:tcBorders>
            <w:shd w:val="clear" w:color="000000" w:fill="D9D9D9"/>
            <w:vAlign w:val="center"/>
            <w:hideMark/>
          </w:tcPr>
          <w:p w14:paraId="3483CF8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465,557,228</w:t>
            </w:r>
          </w:p>
        </w:tc>
        <w:tc>
          <w:tcPr>
            <w:tcW w:w="163" w:type="pct"/>
            <w:tcBorders>
              <w:top w:val="nil"/>
              <w:left w:val="nil"/>
              <w:bottom w:val="single" w:sz="4" w:space="0" w:color="auto"/>
              <w:right w:val="single" w:sz="4" w:space="0" w:color="auto"/>
            </w:tcBorders>
            <w:shd w:val="clear" w:color="000000" w:fill="D9D9D9"/>
            <w:vAlign w:val="center"/>
            <w:hideMark/>
          </w:tcPr>
          <w:p w14:paraId="3FBC8DB0"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181,481,816</w:t>
            </w:r>
          </w:p>
        </w:tc>
        <w:tc>
          <w:tcPr>
            <w:tcW w:w="155" w:type="pct"/>
            <w:tcBorders>
              <w:top w:val="nil"/>
              <w:left w:val="nil"/>
              <w:bottom w:val="single" w:sz="4" w:space="0" w:color="auto"/>
              <w:right w:val="single" w:sz="4" w:space="0" w:color="auto"/>
            </w:tcBorders>
            <w:shd w:val="clear" w:color="000000" w:fill="D9D9D9"/>
            <w:vAlign w:val="center"/>
            <w:hideMark/>
          </w:tcPr>
          <w:p w14:paraId="3F945C2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11,500,000</w:t>
            </w:r>
          </w:p>
        </w:tc>
        <w:tc>
          <w:tcPr>
            <w:tcW w:w="163" w:type="pct"/>
            <w:tcBorders>
              <w:top w:val="nil"/>
              <w:left w:val="nil"/>
              <w:bottom w:val="single" w:sz="4" w:space="0" w:color="auto"/>
              <w:right w:val="single" w:sz="4" w:space="0" w:color="auto"/>
            </w:tcBorders>
            <w:shd w:val="clear" w:color="000000" w:fill="D9D9D9"/>
            <w:vAlign w:val="center"/>
            <w:hideMark/>
          </w:tcPr>
          <w:p w14:paraId="399FF50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192,981,816</w:t>
            </w:r>
          </w:p>
        </w:tc>
        <w:tc>
          <w:tcPr>
            <w:tcW w:w="162" w:type="pct"/>
            <w:tcBorders>
              <w:top w:val="nil"/>
              <w:left w:val="nil"/>
              <w:bottom w:val="single" w:sz="4" w:space="0" w:color="auto"/>
              <w:right w:val="single" w:sz="4" w:space="0" w:color="auto"/>
            </w:tcBorders>
            <w:shd w:val="clear" w:color="000000" w:fill="D9D9D9"/>
            <w:vAlign w:val="center"/>
            <w:hideMark/>
          </w:tcPr>
          <w:p w14:paraId="4887AB2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106,225,812</w:t>
            </w:r>
          </w:p>
        </w:tc>
        <w:tc>
          <w:tcPr>
            <w:tcW w:w="155" w:type="pct"/>
            <w:tcBorders>
              <w:top w:val="nil"/>
              <w:left w:val="nil"/>
              <w:bottom w:val="single" w:sz="4" w:space="0" w:color="auto"/>
              <w:right w:val="single" w:sz="4" w:space="0" w:color="auto"/>
            </w:tcBorders>
            <w:shd w:val="clear" w:color="000000" w:fill="D9D9D9"/>
            <w:vAlign w:val="center"/>
            <w:hideMark/>
          </w:tcPr>
          <w:p w14:paraId="17BD5441"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218" w:type="pct"/>
            <w:tcBorders>
              <w:top w:val="nil"/>
              <w:left w:val="nil"/>
              <w:bottom w:val="single" w:sz="4" w:space="0" w:color="auto"/>
              <w:right w:val="single" w:sz="4" w:space="0" w:color="auto"/>
            </w:tcBorders>
            <w:shd w:val="clear" w:color="000000" w:fill="D9D9D9"/>
            <w:vAlign w:val="center"/>
            <w:hideMark/>
          </w:tcPr>
          <w:p w14:paraId="555602BA"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5FB36D7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106,225,812</w:t>
            </w:r>
          </w:p>
        </w:tc>
        <w:tc>
          <w:tcPr>
            <w:tcW w:w="139" w:type="pct"/>
            <w:tcBorders>
              <w:top w:val="nil"/>
              <w:left w:val="nil"/>
              <w:bottom w:val="single" w:sz="4" w:space="0" w:color="auto"/>
              <w:right w:val="single" w:sz="4" w:space="0" w:color="auto"/>
            </w:tcBorders>
            <w:shd w:val="clear" w:color="000000" w:fill="D9D9D9"/>
            <w:vAlign w:val="center"/>
            <w:hideMark/>
          </w:tcPr>
          <w:p w14:paraId="017C3F0A"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42" w:type="pct"/>
            <w:tcBorders>
              <w:top w:val="nil"/>
              <w:left w:val="nil"/>
              <w:bottom w:val="single" w:sz="4" w:space="0" w:color="auto"/>
              <w:right w:val="single" w:sz="4" w:space="0" w:color="auto"/>
            </w:tcBorders>
            <w:shd w:val="clear" w:color="000000" w:fill="D9D9D9"/>
            <w:vAlign w:val="center"/>
            <w:hideMark/>
          </w:tcPr>
          <w:p w14:paraId="168B01F5"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28" w:type="pct"/>
            <w:tcBorders>
              <w:top w:val="nil"/>
              <w:left w:val="nil"/>
              <w:bottom w:val="single" w:sz="4" w:space="0" w:color="auto"/>
              <w:right w:val="single" w:sz="4" w:space="0" w:color="auto"/>
            </w:tcBorders>
            <w:shd w:val="clear" w:color="000000" w:fill="D9D9D9"/>
            <w:vAlign w:val="center"/>
            <w:hideMark/>
          </w:tcPr>
          <w:p w14:paraId="6DD6C4A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77" w:type="pct"/>
            <w:tcBorders>
              <w:top w:val="nil"/>
              <w:left w:val="nil"/>
              <w:bottom w:val="single" w:sz="4" w:space="0" w:color="auto"/>
              <w:right w:val="single" w:sz="4" w:space="0" w:color="auto"/>
            </w:tcBorders>
            <w:shd w:val="clear" w:color="000000" w:fill="D9D9D9"/>
            <w:vAlign w:val="center"/>
            <w:hideMark/>
          </w:tcPr>
          <w:p w14:paraId="63425BC5" w14:textId="72B30FA3"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(166,349,600)</w:t>
            </w:r>
          </w:p>
        </w:tc>
      </w:tr>
      <w:tr w:rsidR="00C260C3" w:rsidRPr="00B457F5" w14:paraId="6154FB2A" w14:textId="77777777" w:rsidTr="00C260C3">
        <w:trPr>
          <w:trHeight w:val="20"/>
        </w:trPr>
        <w:tc>
          <w:tcPr>
            <w:tcW w:w="5000" w:type="pct"/>
            <w:gridSpan w:val="30"/>
            <w:tcBorders>
              <w:top w:val="nil"/>
              <w:left w:val="single" w:sz="8" w:space="0" w:color="auto"/>
              <w:bottom w:val="single" w:sz="8" w:space="0" w:color="auto"/>
              <w:right w:val="single" w:sz="4" w:space="0" w:color="auto"/>
            </w:tcBorders>
            <w:shd w:val="clear" w:color="000000" w:fill="F2F2F2"/>
            <w:vAlign w:val="center"/>
            <w:hideMark/>
          </w:tcPr>
          <w:p w14:paraId="177E3F74" w14:textId="10EC90D0"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Qëllimi i </w:t>
            </w:r>
            <w:r w:rsidR="007761FF" w:rsidRPr="00B457F5">
              <w:rPr>
                <w:rFonts w:ascii="Garamond" w:eastAsia="Times New Roman" w:hAnsi="Garamond" w:cs="Times New Roman"/>
                <w:b/>
                <w:bCs/>
                <w:color w:val="FF0000"/>
                <w:sz w:val="4"/>
                <w:szCs w:val="10"/>
              </w:rPr>
              <w:t xml:space="preserve">politikës </w:t>
            </w:r>
            <w:r w:rsidRPr="00B457F5">
              <w:rPr>
                <w:rFonts w:ascii="Garamond" w:eastAsia="Times New Roman" w:hAnsi="Garamond" w:cs="Times New Roman"/>
                <w:b/>
                <w:bCs/>
                <w:color w:val="FF0000"/>
                <w:sz w:val="4"/>
                <w:szCs w:val="10"/>
              </w:rPr>
              <w:t>2: Zhvillimi i politikave të efektshme për migracionin për motive punësimi duke rritur ndikimin pozitiv të migracionit tek zhvillimi socio-ekonomik kombëtar/lokal</w:t>
            </w:r>
          </w:p>
        </w:tc>
      </w:tr>
      <w:tr w:rsidR="00C260C3" w:rsidRPr="00B457F5" w14:paraId="36547736" w14:textId="77777777" w:rsidTr="00C260C3">
        <w:trPr>
          <w:trHeight w:val="20"/>
        </w:trPr>
        <w:tc>
          <w:tcPr>
            <w:tcW w:w="5000" w:type="pct"/>
            <w:gridSpan w:val="30"/>
            <w:tcBorders>
              <w:top w:val="single" w:sz="8" w:space="0" w:color="auto"/>
              <w:left w:val="single" w:sz="8" w:space="0" w:color="auto"/>
              <w:bottom w:val="single" w:sz="8" w:space="0" w:color="auto"/>
              <w:right w:val="single" w:sz="4" w:space="0" w:color="auto"/>
            </w:tcBorders>
            <w:shd w:val="clear" w:color="000000" w:fill="F2F2F2"/>
            <w:vAlign w:val="center"/>
            <w:hideMark/>
          </w:tcPr>
          <w:p w14:paraId="143452AD" w14:textId="396F5BCD"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II. Programi buxhetor që kontribuon për qëllimin e politikës: 10550 Tregu i </w:t>
            </w:r>
            <w:r w:rsidR="007761FF" w:rsidRPr="00B457F5">
              <w:rPr>
                <w:rFonts w:ascii="Garamond" w:eastAsia="Times New Roman" w:hAnsi="Garamond" w:cs="Times New Roman"/>
                <w:b/>
                <w:bCs/>
                <w:color w:val="FF0000"/>
                <w:sz w:val="4"/>
                <w:szCs w:val="10"/>
              </w:rPr>
              <w:t>Punës</w:t>
            </w:r>
            <w:r w:rsidRPr="00B457F5">
              <w:rPr>
                <w:rFonts w:ascii="Garamond" w:eastAsia="Times New Roman" w:hAnsi="Garamond" w:cs="Times New Roman"/>
                <w:b/>
                <w:bCs/>
                <w:color w:val="FF0000"/>
                <w:sz w:val="4"/>
                <w:szCs w:val="10"/>
              </w:rPr>
              <w:t>, 04170 Inspektimi n</w:t>
            </w:r>
            <w:r w:rsidR="002803F2" w:rsidRPr="00B457F5">
              <w:rPr>
                <w:rFonts w:ascii="Garamond" w:eastAsia="Times New Roman" w:hAnsi="Garamond" w:cs="Times New Roman"/>
                <w:b/>
                <w:bCs/>
                <w:color w:val="FF0000"/>
                <w:sz w:val="4"/>
                <w:szCs w:val="10"/>
              </w:rPr>
              <w:t>ë</w:t>
            </w:r>
            <w:r w:rsidRPr="00B457F5">
              <w:rPr>
                <w:rFonts w:ascii="Garamond" w:eastAsia="Times New Roman" w:hAnsi="Garamond" w:cs="Times New Roman"/>
                <w:b/>
                <w:bCs/>
                <w:color w:val="FF0000"/>
                <w:sz w:val="4"/>
                <w:szCs w:val="10"/>
              </w:rPr>
              <w:t xml:space="preserve"> Pun</w:t>
            </w:r>
            <w:r w:rsidR="002803F2" w:rsidRPr="00B457F5">
              <w:rPr>
                <w:rFonts w:ascii="Garamond" w:eastAsia="Times New Roman" w:hAnsi="Garamond" w:cs="Times New Roman"/>
                <w:b/>
                <w:bCs/>
                <w:color w:val="FF0000"/>
                <w:sz w:val="4"/>
                <w:szCs w:val="10"/>
              </w:rPr>
              <w:t>ë</w:t>
            </w:r>
            <w:r w:rsidRPr="00B457F5">
              <w:rPr>
                <w:rFonts w:ascii="Garamond" w:eastAsia="Times New Roman" w:hAnsi="Garamond" w:cs="Times New Roman"/>
                <w:b/>
                <w:bCs/>
                <w:color w:val="FF0000"/>
                <w:sz w:val="4"/>
                <w:szCs w:val="10"/>
              </w:rPr>
              <w:t xml:space="preserve">, 01110 Planifikimi, Menaxhimi dhe Administrimi (15), 01140 </w:t>
            </w:r>
            <w:r w:rsidRPr="00B457F5">
              <w:rPr>
                <w:rFonts w:ascii="Garamond" w:eastAsia="Times New Roman" w:hAnsi="Garamond" w:cs="Times New Roman"/>
                <w:b/>
                <w:bCs/>
                <w:i/>
                <w:color w:val="FF0000"/>
                <w:sz w:val="4"/>
                <w:szCs w:val="10"/>
              </w:rPr>
              <w:t>e-Qeverisja</w:t>
            </w:r>
            <w:r w:rsidRPr="00B457F5">
              <w:rPr>
                <w:rFonts w:ascii="Garamond" w:eastAsia="Times New Roman" w:hAnsi="Garamond" w:cs="Times New Roman"/>
                <w:b/>
                <w:bCs/>
                <w:color w:val="FF0000"/>
                <w:sz w:val="4"/>
                <w:szCs w:val="10"/>
              </w:rPr>
              <w:t xml:space="preserve">, 10220 Sigurimi </w:t>
            </w:r>
            <w:r w:rsidR="002803F2" w:rsidRPr="00B457F5">
              <w:rPr>
                <w:rFonts w:ascii="Garamond" w:eastAsia="Times New Roman" w:hAnsi="Garamond" w:cs="Times New Roman"/>
                <w:b/>
                <w:bCs/>
                <w:color w:val="FF0000"/>
                <w:sz w:val="4"/>
                <w:szCs w:val="10"/>
              </w:rPr>
              <w:t>Shoqëror</w:t>
            </w:r>
            <w:r w:rsidRPr="00B457F5">
              <w:rPr>
                <w:rFonts w:ascii="Garamond" w:eastAsia="Times New Roman" w:hAnsi="Garamond" w:cs="Times New Roman"/>
                <w:b/>
                <w:bCs/>
                <w:color w:val="FF0000"/>
                <w:sz w:val="4"/>
                <w:szCs w:val="10"/>
              </w:rPr>
              <w:t>, 03140 Policia e Shtetit, 01110 Planifikimi, Menaxhimi dhe Administrimi (16), 04170 Inspektimi n</w:t>
            </w:r>
            <w:r w:rsidR="002803F2" w:rsidRPr="00B457F5">
              <w:rPr>
                <w:rFonts w:ascii="Garamond" w:eastAsia="Times New Roman" w:hAnsi="Garamond" w:cs="Times New Roman"/>
                <w:b/>
                <w:bCs/>
                <w:color w:val="FF0000"/>
                <w:sz w:val="4"/>
                <w:szCs w:val="10"/>
              </w:rPr>
              <w:t>ë</w:t>
            </w:r>
            <w:r w:rsidRPr="00B457F5">
              <w:rPr>
                <w:rFonts w:ascii="Garamond" w:eastAsia="Times New Roman" w:hAnsi="Garamond" w:cs="Times New Roman"/>
                <w:b/>
                <w:bCs/>
                <w:color w:val="FF0000"/>
                <w:sz w:val="4"/>
                <w:szCs w:val="10"/>
              </w:rPr>
              <w:t xml:space="preserve"> Pun</w:t>
            </w:r>
            <w:r w:rsidR="002803F2" w:rsidRPr="00B457F5">
              <w:rPr>
                <w:rFonts w:ascii="Garamond" w:eastAsia="Times New Roman" w:hAnsi="Garamond" w:cs="Times New Roman"/>
                <w:b/>
                <w:bCs/>
                <w:color w:val="FF0000"/>
                <w:sz w:val="4"/>
                <w:szCs w:val="10"/>
              </w:rPr>
              <w:t>ë</w:t>
            </w:r>
            <w:r w:rsidRPr="00B457F5">
              <w:rPr>
                <w:rFonts w:ascii="Garamond" w:eastAsia="Times New Roman" w:hAnsi="Garamond" w:cs="Times New Roman"/>
                <w:b/>
                <w:bCs/>
                <w:color w:val="FF0000"/>
                <w:sz w:val="4"/>
                <w:szCs w:val="10"/>
              </w:rPr>
              <w:t xml:space="preserve">, 04130 </w:t>
            </w:r>
            <w:r w:rsidR="002803F2" w:rsidRPr="00B457F5">
              <w:rPr>
                <w:rFonts w:ascii="Garamond" w:eastAsia="Times New Roman" w:hAnsi="Garamond" w:cs="Times New Roman"/>
                <w:b/>
                <w:bCs/>
                <w:color w:val="FF0000"/>
                <w:sz w:val="4"/>
                <w:szCs w:val="10"/>
              </w:rPr>
              <w:t>Mbështetje</w:t>
            </w:r>
            <w:r w:rsidRPr="00B457F5">
              <w:rPr>
                <w:rFonts w:ascii="Garamond" w:eastAsia="Times New Roman" w:hAnsi="Garamond" w:cs="Times New Roman"/>
                <w:b/>
                <w:bCs/>
                <w:color w:val="FF0000"/>
                <w:sz w:val="4"/>
                <w:szCs w:val="10"/>
              </w:rPr>
              <w:t xml:space="preserve"> </w:t>
            </w:r>
            <w:r w:rsidR="002803F2" w:rsidRPr="00B457F5">
              <w:rPr>
                <w:rFonts w:ascii="Garamond" w:eastAsia="Times New Roman" w:hAnsi="Garamond" w:cs="Times New Roman"/>
                <w:b/>
                <w:bCs/>
                <w:color w:val="FF0000"/>
                <w:sz w:val="4"/>
                <w:szCs w:val="10"/>
              </w:rPr>
              <w:t>për</w:t>
            </w:r>
            <w:r w:rsidRPr="00B457F5">
              <w:rPr>
                <w:rFonts w:ascii="Garamond" w:eastAsia="Times New Roman" w:hAnsi="Garamond" w:cs="Times New Roman"/>
                <w:b/>
                <w:bCs/>
                <w:color w:val="FF0000"/>
                <w:sz w:val="4"/>
                <w:szCs w:val="10"/>
              </w:rPr>
              <w:t xml:space="preserve"> Zhvillim Ekonomik</w:t>
            </w:r>
          </w:p>
        </w:tc>
      </w:tr>
      <w:tr w:rsidR="00C260C3" w:rsidRPr="00B457F5" w14:paraId="1F4653E1" w14:textId="77777777" w:rsidTr="00C260C3">
        <w:trPr>
          <w:trHeight w:val="20"/>
        </w:trPr>
        <w:tc>
          <w:tcPr>
            <w:tcW w:w="131" w:type="pct"/>
            <w:vMerge w:val="restart"/>
            <w:tcBorders>
              <w:top w:val="nil"/>
              <w:left w:val="single" w:sz="4" w:space="0" w:color="auto"/>
              <w:bottom w:val="single" w:sz="4" w:space="0" w:color="auto"/>
              <w:right w:val="single" w:sz="4" w:space="0" w:color="auto"/>
            </w:tcBorders>
            <w:shd w:val="clear" w:color="auto" w:fill="auto"/>
            <w:vAlign w:val="center"/>
            <w:hideMark/>
          </w:tcPr>
          <w:p w14:paraId="616E2D94"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Nr.</w:t>
            </w:r>
          </w:p>
        </w:tc>
        <w:tc>
          <w:tcPr>
            <w:tcW w:w="281" w:type="pct"/>
            <w:vMerge w:val="restart"/>
            <w:tcBorders>
              <w:top w:val="nil"/>
              <w:left w:val="single" w:sz="4" w:space="0" w:color="auto"/>
              <w:bottom w:val="single" w:sz="4" w:space="0" w:color="auto"/>
              <w:right w:val="single" w:sz="4" w:space="0" w:color="auto"/>
            </w:tcBorders>
            <w:shd w:val="clear" w:color="auto" w:fill="auto"/>
            <w:vAlign w:val="center"/>
            <w:hideMark/>
          </w:tcPr>
          <w:p w14:paraId="5AD7743C"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Titulli</w:t>
            </w:r>
          </w:p>
        </w:tc>
        <w:tc>
          <w:tcPr>
            <w:tcW w:w="186" w:type="pct"/>
            <w:tcBorders>
              <w:top w:val="nil"/>
              <w:left w:val="nil"/>
              <w:bottom w:val="single" w:sz="4" w:space="0" w:color="auto"/>
              <w:right w:val="single" w:sz="4" w:space="0" w:color="auto"/>
            </w:tcBorders>
            <w:shd w:val="clear" w:color="auto" w:fill="auto"/>
            <w:vAlign w:val="center"/>
            <w:hideMark/>
          </w:tcPr>
          <w:p w14:paraId="16930A1A"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Programi buxhetor</w:t>
            </w:r>
          </w:p>
        </w:tc>
        <w:tc>
          <w:tcPr>
            <w:tcW w:w="412" w:type="pct"/>
            <w:gridSpan w:val="2"/>
            <w:tcBorders>
              <w:top w:val="nil"/>
              <w:left w:val="nil"/>
              <w:bottom w:val="single" w:sz="4" w:space="0" w:color="auto"/>
              <w:right w:val="single" w:sz="4" w:space="0" w:color="auto"/>
            </w:tcBorders>
            <w:shd w:val="clear" w:color="auto" w:fill="auto"/>
            <w:vAlign w:val="center"/>
            <w:hideMark/>
          </w:tcPr>
          <w:p w14:paraId="21F734EE"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Institucionet përgjegjëse</w:t>
            </w:r>
          </w:p>
        </w:tc>
        <w:tc>
          <w:tcPr>
            <w:tcW w:w="287" w:type="pct"/>
            <w:gridSpan w:val="2"/>
            <w:tcBorders>
              <w:top w:val="nil"/>
              <w:left w:val="nil"/>
              <w:bottom w:val="single" w:sz="4" w:space="0" w:color="auto"/>
              <w:right w:val="single" w:sz="4" w:space="0" w:color="auto"/>
            </w:tcBorders>
            <w:shd w:val="clear" w:color="auto" w:fill="auto"/>
            <w:vAlign w:val="center"/>
            <w:hideMark/>
          </w:tcPr>
          <w:p w14:paraId="23B64BC1" w14:textId="6A7386B5"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Afati i </w:t>
            </w:r>
            <w:r w:rsidR="006A63AF" w:rsidRPr="00B457F5">
              <w:rPr>
                <w:rFonts w:ascii="Garamond" w:eastAsia="Times New Roman" w:hAnsi="Garamond" w:cs="Times New Roman"/>
                <w:b/>
                <w:bCs/>
                <w:color w:val="000000"/>
                <w:sz w:val="4"/>
                <w:szCs w:val="10"/>
              </w:rPr>
              <w:t>z</w:t>
            </w:r>
            <w:r w:rsidRPr="00B457F5">
              <w:rPr>
                <w:rFonts w:ascii="Garamond" w:eastAsia="Times New Roman" w:hAnsi="Garamond" w:cs="Times New Roman"/>
                <w:b/>
                <w:bCs/>
                <w:color w:val="000000"/>
                <w:sz w:val="4"/>
                <w:szCs w:val="10"/>
              </w:rPr>
              <w:t xml:space="preserve">batimit </w:t>
            </w:r>
          </w:p>
        </w:tc>
        <w:tc>
          <w:tcPr>
            <w:tcW w:w="480"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2384F4EB"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Kostot treguese/2024</w:t>
            </w:r>
          </w:p>
        </w:tc>
        <w:tc>
          <w:tcPr>
            <w:tcW w:w="491"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3EB4B1FD"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Kostot treguese/2025</w:t>
            </w:r>
          </w:p>
        </w:tc>
        <w:tc>
          <w:tcPr>
            <w:tcW w:w="473"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351D0FDA"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Kostot treguese/2026</w:t>
            </w:r>
          </w:p>
        </w:tc>
        <w:tc>
          <w:tcPr>
            <w:tcW w:w="493"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36F5E8FA"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Kostot treguese totale</w:t>
            </w:r>
          </w:p>
        </w:tc>
        <w:tc>
          <w:tcPr>
            <w:tcW w:w="1180" w:type="pct"/>
            <w:gridSpan w:val="7"/>
            <w:tcBorders>
              <w:top w:val="nil"/>
              <w:left w:val="nil"/>
              <w:bottom w:val="single" w:sz="4" w:space="0" w:color="auto"/>
              <w:right w:val="single" w:sz="4" w:space="0" w:color="auto"/>
            </w:tcBorders>
            <w:shd w:val="clear" w:color="auto" w:fill="auto"/>
            <w:vAlign w:val="center"/>
            <w:hideMark/>
          </w:tcPr>
          <w:p w14:paraId="12F77CF0" w14:textId="32CE1283"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Burimi </w:t>
            </w:r>
            <w:r w:rsidR="007761FF" w:rsidRPr="00B457F5">
              <w:rPr>
                <w:rFonts w:ascii="Garamond" w:eastAsia="Times New Roman" w:hAnsi="Garamond" w:cs="Times New Roman"/>
                <w:b/>
                <w:bCs/>
                <w:color w:val="000000"/>
                <w:sz w:val="4"/>
                <w:szCs w:val="10"/>
              </w:rPr>
              <w:t>i</w:t>
            </w:r>
            <w:r w:rsidRPr="00B457F5">
              <w:rPr>
                <w:rFonts w:ascii="Garamond" w:eastAsia="Times New Roman" w:hAnsi="Garamond" w:cs="Times New Roman"/>
                <w:b/>
                <w:bCs/>
                <w:color w:val="000000"/>
                <w:sz w:val="4"/>
                <w:szCs w:val="10"/>
              </w:rPr>
              <w:t xml:space="preserve"> financimit</w:t>
            </w:r>
          </w:p>
        </w:tc>
        <w:tc>
          <w:tcPr>
            <w:tcW w:w="409" w:type="pct"/>
            <w:gridSpan w:val="3"/>
            <w:tcBorders>
              <w:top w:val="nil"/>
              <w:left w:val="nil"/>
              <w:bottom w:val="single" w:sz="4" w:space="0" w:color="auto"/>
              <w:right w:val="single" w:sz="4" w:space="0" w:color="auto"/>
            </w:tcBorders>
            <w:shd w:val="clear" w:color="auto" w:fill="auto"/>
            <w:vAlign w:val="center"/>
            <w:hideMark/>
          </w:tcPr>
          <w:p w14:paraId="3B80CCEB" w14:textId="12021EAE"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Burimi i </w:t>
            </w:r>
            <w:r w:rsidR="007761FF" w:rsidRPr="00B457F5">
              <w:rPr>
                <w:rFonts w:ascii="Garamond" w:eastAsia="Times New Roman" w:hAnsi="Garamond" w:cs="Times New Roman"/>
                <w:b/>
                <w:bCs/>
                <w:color w:val="000000"/>
                <w:sz w:val="4"/>
                <w:szCs w:val="10"/>
              </w:rPr>
              <w:t>f</w:t>
            </w:r>
            <w:r w:rsidRPr="00B457F5">
              <w:rPr>
                <w:rFonts w:ascii="Garamond" w:eastAsia="Times New Roman" w:hAnsi="Garamond" w:cs="Times New Roman"/>
                <w:b/>
                <w:bCs/>
                <w:color w:val="000000"/>
                <w:sz w:val="4"/>
                <w:szCs w:val="10"/>
              </w:rPr>
              <w:t>inancimit</w:t>
            </w:r>
          </w:p>
        </w:tc>
        <w:tc>
          <w:tcPr>
            <w:tcW w:w="177" w:type="pct"/>
            <w:vMerge w:val="restart"/>
            <w:tcBorders>
              <w:top w:val="nil"/>
              <w:left w:val="single" w:sz="4" w:space="0" w:color="auto"/>
              <w:bottom w:val="single" w:sz="4" w:space="0" w:color="auto"/>
              <w:right w:val="single" w:sz="4" w:space="0" w:color="auto"/>
            </w:tcBorders>
            <w:shd w:val="clear" w:color="auto" w:fill="auto"/>
            <w:vAlign w:val="center"/>
            <w:hideMark/>
          </w:tcPr>
          <w:p w14:paraId="57422305"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Hendeku financiar </w:t>
            </w:r>
          </w:p>
        </w:tc>
      </w:tr>
      <w:tr w:rsidR="00C260C3" w:rsidRPr="00B457F5" w14:paraId="0BE0E442" w14:textId="77777777" w:rsidTr="00C260C3">
        <w:trPr>
          <w:trHeight w:val="20"/>
        </w:trPr>
        <w:tc>
          <w:tcPr>
            <w:tcW w:w="131" w:type="pct"/>
            <w:vMerge/>
            <w:tcBorders>
              <w:top w:val="nil"/>
              <w:left w:val="single" w:sz="4" w:space="0" w:color="auto"/>
              <w:bottom w:val="single" w:sz="4" w:space="0" w:color="auto"/>
              <w:right w:val="single" w:sz="4" w:space="0" w:color="auto"/>
            </w:tcBorders>
            <w:vAlign w:val="center"/>
            <w:hideMark/>
          </w:tcPr>
          <w:p w14:paraId="680CA924"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281" w:type="pct"/>
            <w:vMerge/>
            <w:tcBorders>
              <w:top w:val="nil"/>
              <w:left w:val="single" w:sz="4" w:space="0" w:color="auto"/>
              <w:bottom w:val="single" w:sz="4" w:space="0" w:color="auto"/>
              <w:right w:val="single" w:sz="4" w:space="0" w:color="auto"/>
            </w:tcBorders>
            <w:vAlign w:val="center"/>
            <w:hideMark/>
          </w:tcPr>
          <w:p w14:paraId="48C1B214"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186" w:type="pct"/>
            <w:vMerge w:val="restart"/>
            <w:tcBorders>
              <w:top w:val="nil"/>
              <w:left w:val="single" w:sz="4" w:space="0" w:color="auto"/>
              <w:bottom w:val="single" w:sz="4" w:space="0" w:color="auto"/>
              <w:right w:val="single" w:sz="4" w:space="0" w:color="auto"/>
            </w:tcBorders>
            <w:shd w:val="clear" w:color="auto" w:fill="auto"/>
            <w:vAlign w:val="center"/>
            <w:hideMark/>
          </w:tcPr>
          <w:p w14:paraId="49D9879A" w14:textId="5237846B"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Emri i BP/dhe kodi</w:t>
            </w:r>
            <w:r w:rsidR="0006016F" w:rsidRPr="00B457F5">
              <w:rPr>
                <w:rFonts w:ascii="Garamond" w:eastAsia="Times New Roman" w:hAnsi="Garamond" w:cs="Times New Roman"/>
                <w:b/>
                <w:bCs/>
                <w:color w:val="000000"/>
                <w:sz w:val="4"/>
                <w:szCs w:val="10"/>
              </w:rPr>
              <w:t xml:space="preserve"> </w:t>
            </w:r>
          </w:p>
        </w:tc>
        <w:tc>
          <w:tcPr>
            <w:tcW w:w="169" w:type="pct"/>
            <w:vMerge w:val="restart"/>
            <w:tcBorders>
              <w:top w:val="nil"/>
              <w:left w:val="single" w:sz="4" w:space="0" w:color="auto"/>
              <w:bottom w:val="single" w:sz="4" w:space="0" w:color="auto"/>
              <w:right w:val="single" w:sz="4" w:space="0" w:color="auto"/>
            </w:tcBorders>
            <w:shd w:val="clear" w:color="auto" w:fill="auto"/>
            <w:vAlign w:val="center"/>
            <w:hideMark/>
          </w:tcPr>
          <w:p w14:paraId="3933ECB9"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Institucioni përgjegjës</w:t>
            </w:r>
          </w:p>
        </w:tc>
        <w:tc>
          <w:tcPr>
            <w:tcW w:w="244" w:type="pct"/>
            <w:vMerge w:val="restart"/>
            <w:tcBorders>
              <w:top w:val="nil"/>
              <w:left w:val="single" w:sz="4" w:space="0" w:color="auto"/>
              <w:bottom w:val="single" w:sz="4" w:space="0" w:color="auto"/>
              <w:right w:val="single" w:sz="4" w:space="0" w:color="auto"/>
            </w:tcBorders>
            <w:shd w:val="clear" w:color="auto" w:fill="auto"/>
            <w:vAlign w:val="center"/>
            <w:hideMark/>
          </w:tcPr>
          <w:p w14:paraId="180D3D84" w14:textId="042DD214"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Institucionet kontribu</w:t>
            </w:r>
            <w:r w:rsidR="00501091" w:rsidRPr="00B457F5">
              <w:rPr>
                <w:rFonts w:ascii="Garamond" w:eastAsia="Times New Roman" w:hAnsi="Garamond" w:cs="Times New Roman"/>
                <w:b/>
                <w:bCs/>
                <w:color w:val="000000"/>
                <w:sz w:val="4"/>
                <w:szCs w:val="10"/>
              </w:rPr>
              <w:t>u</w:t>
            </w:r>
            <w:r w:rsidRPr="00B457F5">
              <w:rPr>
                <w:rFonts w:ascii="Garamond" w:eastAsia="Times New Roman" w:hAnsi="Garamond" w:cs="Times New Roman"/>
                <w:b/>
                <w:bCs/>
                <w:color w:val="000000"/>
                <w:sz w:val="4"/>
                <w:szCs w:val="10"/>
              </w:rPr>
              <w:t>ese</w:t>
            </w:r>
          </w:p>
        </w:tc>
        <w:tc>
          <w:tcPr>
            <w:tcW w:w="135" w:type="pct"/>
            <w:vMerge w:val="restart"/>
            <w:tcBorders>
              <w:top w:val="nil"/>
              <w:left w:val="single" w:sz="4" w:space="0" w:color="auto"/>
              <w:bottom w:val="single" w:sz="4" w:space="0" w:color="auto"/>
              <w:right w:val="single" w:sz="4" w:space="0" w:color="auto"/>
            </w:tcBorders>
            <w:shd w:val="clear" w:color="000000" w:fill="FFFFFF"/>
            <w:vAlign w:val="center"/>
            <w:hideMark/>
          </w:tcPr>
          <w:p w14:paraId="4EFDAF4B" w14:textId="26782DCC"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Afati </w:t>
            </w:r>
            <w:r w:rsidR="006A63AF" w:rsidRPr="00B457F5">
              <w:rPr>
                <w:rFonts w:ascii="Garamond" w:eastAsia="Times New Roman" w:hAnsi="Garamond" w:cs="Times New Roman"/>
                <w:b/>
                <w:bCs/>
                <w:color w:val="000000"/>
                <w:sz w:val="4"/>
                <w:szCs w:val="10"/>
              </w:rPr>
              <w:t>i f</w:t>
            </w:r>
            <w:r w:rsidRPr="00B457F5">
              <w:rPr>
                <w:rFonts w:ascii="Garamond" w:eastAsia="Times New Roman" w:hAnsi="Garamond" w:cs="Times New Roman"/>
                <w:b/>
                <w:bCs/>
                <w:color w:val="000000"/>
                <w:sz w:val="4"/>
                <w:szCs w:val="10"/>
              </w:rPr>
              <w:t>illimit</w:t>
            </w:r>
          </w:p>
        </w:tc>
        <w:tc>
          <w:tcPr>
            <w:tcW w:w="152" w:type="pct"/>
            <w:vMerge w:val="restart"/>
            <w:tcBorders>
              <w:top w:val="nil"/>
              <w:left w:val="single" w:sz="4" w:space="0" w:color="auto"/>
              <w:bottom w:val="single" w:sz="4" w:space="0" w:color="auto"/>
              <w:right w:val="single" w:sz="4" w:space="0" w:color="auto"/>
            </w:tcBorders>
            <w:shd w:val="clear" w:color="000000" w:fill="FFFFFF"/>
            <w:vAlign w:val="center"/>
            <w:hideMark/>
          </w:tcPr>
          <w:p w14:paraId="753AAEE1" w14:textId="019C1E96" w:rsidR="00C260C3" w:rsidRPr="007469D2" w:rsidRDefault="00C260C3" w:rsidP="00C260C3">
            <w:pPr>
              <w:spacing w:before="0" w:after="0"/>
              <w:jc w:val="center"/>
              <w:rPr>
                <w:rFonts w:ascii="Garamond" w:eastAsia="Times New Roman" w:hAnsi="Garamond" w:cs="Times New Roman"/>
                <w:b/>
                <w:bCs/>
                <w:color w:val="000000"/>
                <w:sz w:val="4"/>
                <w:szCs w:val="10"/>
              </w:rPr>
            </w:pPr>
            <w:r w:rsidRPr="007469D2">
              <w:rPr>
                <w:rFonts w:ascii="Garamond" w:eastAsia="Times New Roman" w:hAnsi="Garamond" w:cs="Times New Roman"/>
                <w:b/>
                <w:bCs/>
                <w:color w:val="000000"/>
                <w:sz w:val="4"/>
                <w:szCs w:val="10"/>
              </w:rPr>
              <w:t xml:space="preserve">Afati </w:t>
            </w:r>
            <w:r w:rsidR="006A63AF" w:rsidRPr="007469D2">
              <w:rPr>
                <w:rFonts w:ascii="Garamond" w:eastAsia="Times New Roman" w:hAnsi="Garamond" w:cs="Times New Roman"/>
                <w:b/>
                <w:bCs/>
                <w:color w:val="000000"/>
                <w:sz w:val="4"/>
                <w:szCs w:val="10"/>
              </w:rPr>
              <w:t>i f</w:t>
            </w:r>
            <w:r w:rsidRPr="007469D2">
              <w:rPr>
                <w:rFonts w:ascii="Garamond" w:eastAsia="Times New Roman" w:hAnsi="Garamond" w:cs="Times New Roman"/>
                <w:b/>
                <w:bCs/>
                <w:color w:val="000000"/>
                <w:sz w:val="4"/>
                <w:szCs w:val="10"/>
              </w:rPr>
              <w:t>illimit</w:t>
            </w:r>
          </w:p>
        </w:tc>
        <w:tc>
          <w:tcPr>
            <w:tcW w:w="480" w:type="pct"/>
            <w:gridSpan w:val="3"/>
            <w:vMerge/>
            <w:tcBorders>
              <w:top w:val="nil"/>
              <w:left w:val="single" w:sz="4" w:space="0" w:color="auto"/>
              <w:bottom w:val="single" w:sz="4" w:space="0" w:color="auto"/>
              <w:right w:val="single" w:sz="4" w:space="0" w:color="auto"/>
            </w:tcBorders>
            <w:vAlign w:val="center"/>
            <w:hideMark/>
          </w:tcPr>
          <w:p w14:paraId="6753D763" w14:textId="77777777" w:rsidR="00C260C3" w:rsidRPr="007469D2" w:rsidRDefault="00C260C3" w:rsidP="00C260C3">
            <w:pPr>
              <w:spacing w:before="0" w:after="0"/>
              <w:jc w:val="left"/>
              <w:rPr>
                <w:rFonts w:ascii="Garamond" w:eastAsia="Times New Roman" w:hAnsi="Garamond" w:cs="Times New Roman"/>
                <w:b/>
                <w:bCs/>
                <w:color w:val="000000"/>
                <w:sz w:val="4"/>
                <w:szCs w:val="10"/>
              </w:rPr>
            </w:pPr>
          </w:p>
        </w:tc>
        <w:tc>
          <w:tcPr>
            <w:tcW w:w="491" w:type="pct"/>
            <w:gridSpan w:val="3"/>
            <w:vMerge/>
            <w:tcBorders>
              <w:top w:val="nil"/>
              <w:left w:val="single" w:sz="4" w:space="0" w:color="auto"/>
              <w:bottom w:val="single" w:sz="4" w:space="0" w:color="auto"/>
              <w:right w:val="single" w:sz="4" w:space="0" w:color="auto"/>
            </w:tcBorders>
            <w:vAlign w:val="center"/>
            <w:hideMark/>
          </w:tcPr>
          <w:p w14:paraId="167ACF4D"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473" w:type="pct"/>
            <w:gridSpan w:val="3"/>
            <w:vMerge/>
            <w:tcBorders>
              <w:top w:val="nil"/>
              <w:left w:val="single" w:sz="4" w:space="0" w:color="auto"/>
              <w:bottom w:val="single" w:sz="4" w:space="0" w:color="auto"/>
              <w:right w:val="single" w:sz="4" w:space="0" w:color="auto"/>
            </w:tcBorders>
            <w:vAlign w:val="center"/>
            <w:hideMark/>
          </w:tcPr>
          <w:p w14:paraId="006F8AC1"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493" w:type="pct"/>
            <w:gridSpan w:val="3"/>
            <w:vMerge/>
            <w:tcBorders>
              <w:top w:val="nil"/>
              <w:left w:val="single" w:sz="4" w:space="0" w:color="auto"/>
              <w:bottom w:val="single" w:sz="4" w:space="0" w:color="auto"/>
              <w:right w:val="single" w:sz="4" w:space="0" w:color="auto"/>
            </w:tcBorders>
            <w:vAlign w:val="center"/>
            <w:hideMark/>
          </w:tcPr>
          <w:p w14:paraId="522AB00E"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481" w:type="pct"/>
            <w:gridSpan w:val="3"/>
            <w:tcBorders>
              <w:top w:val="single" w:sz="4" w:space="0" w:color="auto"/>
              <w:left w:val="nil"/>
              <w:bottom w:val="single" w:sz="4" w:space="0" w:color="auto"/>
              <w:right w:val="single" w:sz="4" w:space="0" w:color="auto"/>
            </w:tcBorders>
            <w:shd w:val="clear" w:color="auto" w:fill="auto"/>
            <w:vAlign w:val="center"/>
            <w:hideMark/>
          </w:tcPr>
          <w:p w14:paraId="4AB0EDCA" w14:textId="194991FF"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PBA 2024</w:t>
            </w:r>
            <w:r w:rsidR="007761FF" w:rsidRPr="00B457F5">
              <w:rPr>
                <w:rFonts w:ascii="Garamond" w:eastAsia="Times New Roman" w:hAnsi="Garamond" w:cs="Times New Roman"/>
                <w:b/>
                <w:bCs/>
                <w:color w:val="000000"/>
                <w:sz w:val="4"/>
                <w:szCs w:val="10"/>
              </w:rPr>
              <w:t>–</w:t>
            </w:r>
            <w:r w:rsidRPr="00B457F5">
              <w:rPr>
                <w:rFonts w:ascii="Garamond" w:eastAsia="Times New Roman" w:hAnsi="Garamond" w:cs="Times New Roman"/>
                <w:b/>
                <w:bCs/>
                <w:color w:val="000000"/>
                <w:sz w:val="4"/>
                <w:szCs w:val="10"/>
              </w:rPr>
              <w:t>2026 (në lekë)</w:t>
            </w:r>
          </w:p>
        </w:tc>
        <w:tc>
          <w:tcPr>
            <w:tcW w:w="698" w:type="pct"/>
            <w:gridSpan w:val="4"/>
            <w:tcBorders>
              <w:top w:val="single" w:sz="4" w:space="0" w:color="auto"/>
              <w:left w:val="nil"/>
              <w:bottom w:val="single" w:sz="4" w:space="0" w:color="auto"/>
              <w:right w:val="single" w:sz="4" w:space="0" w:color="auto"/>
            </w:tcBorders>
            <w:shd w:val="clear" w:color="auto" w:fill="auto"/>
            <w:vAlign w:val="center"/>
            <w:hideMark/>
          </w:tcPr>
          <w:p w14:paraId="009F487C" w14:textId="3CFC0411"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Financim i </w:t>
            </w:r>
            <w:r w:rsidR="007761FF" w:rsidRPr="00B457F5">
              <w:rPr>
                <w:rFonts w:ascii="Garamond" w:eastAsia="Times New Roman" w:hAnsi="Garamond" w:cs="Times New Roman"/>
                <w:b/>
                <w:bCs/>
                <w:color w:val="000000"/>
                <w:sz w:val="4"/>
                <w:szCs w:val="10"/>
              </w:rPr>
              <w:t>h</w:t>
            </w:r>
            <w:r w:rsidRPr="00B457F5">
              <w:rPr>
                <w:rFonts w:ascii="Garamond" w:eastAsia="Times New Roman" w:hAnsi="Garamond" w:cs="Times New Roman"/>
                <w:b/>
                <w:bCs/>
                <w:color w:val="000000"/>
                <w:sz w:val="4"/>
                <w:szCs w:val="10"/>
              </w:rPr>
              <w:t>uaj</w:t>
            </w:r>
            <w:r w:rsidR="0006016F" w:rsidRPr="00B457F5">
              <w:rPr>
                <w:rFonts w:ascii="Garamond" w:eastAsia="Times New Roman" w:hAnsi="Garamond" w:cs="Times New Roman"/>
                <w:b/>
                <w:bCs/>
                <w:color w:val="000000"/>
                <w:sz w:val="4"/>
                <w:szCs w:val="10"/>
              </w:rPr>
              <w:t xml:space="preserve"> </w:t>
            </w:r>
            <w:r w:rsidRPr="00B457F5">
              <w:rPr>
                <w:rFonts w:ascii="Garamond" w:eastAsia="Times New Roman" w:hAnsi="Garamond" w:cs="Times New Roman"/>
                <w:b/>
                <w:bCs/>
                <w:color w:val="000000"/>
                <w:sz w:val="4"/>
                <w:szCs w:val="10"/>
              </w:rPr>
              <w:t>(në</w:t>
            </w:r>
            <w:r w:rsidR="0006016F" w:rsidRPr="00B457F5">
              <w:rPr>
                <w:rFonts w:ascii="Garamond" w:eastAsia="Times New Roman" w:hAnsi="Garamond" w:cs="Times New Roman"/>
                <w:b/>
                <w:bCs/>
                <w:color w:val="000000"/>
                <w:sz w:val="4"/>
                <w:szCs w:val="10"/>
              </w:rPr>
              <w:t xml:space="preserve"> </w:t>
            </w:r>
            <w:r w:rsidRPr="00B457F5">
              <w:rPr>
                <w:rFonts w:ascii="Garamond" w:eastAsia="Times New Roman" w:hAnsi="Garamond" w:cs="Times New Roman"/>
                <w:b/>
                <w:bCs/>
                <w:color w:val="000000"/>
                <w:sz w:val="4"/>
                <w:szCs w:val="10"/>
              </w:rPr>
              <w:t>lekë)</w:t>
            </w:r>
          </w:p>
        </w:tc>
        <w:tc>
          <w:tcPr>
            <w:tcW w:w="409" w:type="pct"/>
            <w:gridSpan w:val="3"/>
            <w:tcBorders>
              <w:top w:val="single" w:sz="4" w:space="0" w:color="auto"/>
              <w:left w:val="nil"/>
              <w:bottom w:val="single" w:sz="4" w:space="0" w:color="auto"/>
              <w:right w:val="single" w:sz="4" w:space="0" w:color="auto"/>
            </w:tcBorders>
            <w:shd w:val="clear" w:color="auto" w:fill="auto"/>
            <w:noWrap/>
            <w:vAlign w:val="center"/>
            <w:hideMark/>
          </w:tcPr>
          <w:p w14:paraId="79AC7850" w14:textId="48D2F986"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Buxheti 2027</w:t>
            </w:r>
            <w:r w:rsidR="007761FF" w:rsidRPr="00B457F5">
              <w:rPr>
                <w:rFonts w:ascii="Garamond" w:eastAsia="Times New Roman" w:hAnsi="Garamond" w:cs="Times New Roman"/>
                <w:b/>
                <w:bCs/>
                <w:color w:val="000000"/>
                <w:sz w:val="4"/>
                <w:szCs w:val="10"/>
              </w:rPr>
              <w:t>–</w:t>
            </w:r>
            <w:r w:rsidRPr="00B457F5">
              <w:rPr>
                <w:rFonts w:ascii="Garamond" w:eastAsia="Times New Roman" w:hAnsi="Garamond" w:cs="Times New Roman"/>
                <w:b/>
                <w:bCs/>
                <w:color w:val="000000"/>
                <w:sz w:val="4"/>
                <w:szCs w:val="10"/>
              </w:rPr>
              <w:t>2030 (në lekë)</w:t>
            </w:r>
          </w:p>
        </w:tc>
        <w:tc>
          <w:tcPr>
            <w:tcW w:w="177" w:type="pct"/>
            <w:vMerge/>
            <w:tcBorders>
              <w:top w:val="nil"/>
              <w:left w:val="single" w:sz="4" w:space="0" w:color="auto"/>
              <w:bottom w:val="single" w:sz="4" w:space="0" w:color="auto"/>
              <w:right w:val="single" w:sz="4" w:space="0" w:color="auto"/>
            </w:tcBorders>
            <w:vAlign w:val="center"/>
            <w:hideMark/>
          </w:tcPr>
          <w:p w14:paraId="689088E7"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r>
      <w:tr w:rsidR="00C260C3" w:rsidRPr="00B457F5" w14:paraId="524C5624" w14:textId="77777777" w:rsidTr="00C260C3">
        <w:trPr>
          <w:trHeight w:val="20"/>
        </w:trPr>
        <w:tc>
          <w:tcPr>
            <w:tcW w:w="131" w:type="pct"/>
            <w:vMerge/>
            <w:tcBorders>
              <w:top w:val="nil"/>
              <w:left w:val="single" w:sz="4" w:space="0" w:color="auto"/>
              <w:bottom w:val="single" w:sz="4" w:space="0" w:color="auto"/>
              <w:right w:val="single" w:sz="4" w:space="0" w:color="auto"/>
            </w:tcBorders>
            <w:vAlign w:val="center"/>
            <w:hideMark/>
          </w:tcPr>
          <w:p w14:paraId="4DA15F63"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281" w:type="pct"/>
            <w:vMerge/>
            <w:tcBorders>
              <w:top w:val="nil"/>
              <w:left w:val="single" w:sz="4" w:space="0" w:color="auto"/>
              <w:bottom w:val="single" w:sz="4" w:space="0" w:color="auto"/>
              <w:right w:val="single" w:sz="4" w:space="0" w:color="auto"/>
            </w:tcBorders>
            <w:vAlign w:val="center"/>
            <w:hideMark/>
          </w:tcPr>
          <w:p w14:paraId="42D547A2"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186" w:type="pct"/>
            <w:vMerge/>
            <w:tcBorders>
              <w:top w:val="nil"/>
              <w:left w:val="single" w:sz="4" w:space="0" w:color="auto"/>
              <w:bottom w:val="single" w:sz="4" w:space="0" w:color="auto"/>
              <w:right w:val="single" w:sz="4" w:space="0" w:color="auto"/>
            </w:tcBorders>
            <w:vAlign w:val="center"/>
            <w:hideMark/>
          </w:tcPr>
          <w:p w14:paraId="0B29F68F"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169" w:type="pct"/>
            <w:vMerge/>
            <w:tcBorders>
              <w:top w:val="nil"/>
              <w:left w:val="single" w:sz="4" w:space="0" w:color="auto"/>
              <w:bottom w:val="single" w:sz="4" w:space="0" w:color="auto"/>
              <w:right w:val="single" w:sz="4" w:space="0" w:color="auto"/>
            </w:tcBorders>
            <w:vAlign w:val="center"/>
            <w:hideMark/>
          </w:tcPr>
          <w:p w14:paraId="63E48438"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244" w:type="pct"/>
            <w:vMerge/>
            <w:tcBorders>
              <w:top w:val="nil"/>
              <w:left w:val="single" w:sz="4" w:space="0" w:color="auto"/>
              <w:bottom w:val="single" w:sz="4" w:space="0" w:color="auto"/>
              <w:right w:val="single" w:sz="4" w:space="0" w:color="auto"/>
            </w:tcBorders>
            <w:vAlign w:val="center"/>
            <w:hideMark/>
          </w:tcPr>
          <w:p w14:paraId="50B141FE"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135" w:type="pct"/>
            <w:vMerge/>
            <w:tcBorders>
              <w:top w:val="nil"/>
              <w:left w:val="single" w:sz="4" w:space="0" w:color="auto"/>
              <w:bottom w:val="single" w:sz="4" w:space="0" w:color="auto"/>
              <w:right w:val="single" w:sz="4" w:space="0" w:color="auto"/>
            </w:tcBorders>
            <w:vAlign w:val="center"/>
            <w:hideMark/>
          </w:tcPr>
          <w:p w14:paraId="3B3D8B75"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152" w:type="pct"/>
            <w:vMerge/>
            <w:tcBorders>
              <w:top w:val="nil"/>
              <w:left w:val="single" w:sz="4" w:space="0" w:color="auto"/>
              <w:bottom w:val="single" w:sz="4" w:space="0" w:color="auto"/>
              <w:right w:val="single" w:sz="4" w:space="0" w:color="auto"/>
            </w:tcBorders>
            <w:vAlign w:val="center"/>
            <w:hideMark/>
          </w:tcPr>
          <w:p w14:paraId="431BEDB5" w14:textId="77777777" w:rsidR="00C260C3" w:rsidRPr="007469D2" w:rsidRDefault="00C260C3" w:rsidP="00C260C3">
            <w:pPr>
              <w:spacing w:before="0" w:after="0"/>
              <w:jc w:val="left"/>
              <w:rPr>
                <w:rFonts w:ascii="Garamond" w:eastAsia="Times New Roman" w:hAnsi="Garamond" w:cs="Times New Roman"/>
                <w:b/>
                <w:bCs/>
                <w:color w:val="000000"/>
                <w:sz w:val="4"/>
                <w:szCs w:val="10"/>
              </w:rPr>
            </w:pPr>
          </w:p>
        </w:tc>
        <w:tc>
          <w:tcPr>
            <w:tcW w:w="163" w:type="pct"/>
            <w:tcBorders>
              <w:top w:val="nil"/>
              <w:left w:val="nil"/>
              <w:bottom w:val="nil"/>
              <w:right w:val="single" w:sz="4" w:space="0" w:color="auto"/>
            </w:tcBorders>
            <w:shd w:val="clear" w:color="auto" w:fill="auto"/>
            <w:vAlign w:val="center"/>
            <w:hideMark/>
          </w:tcPr>
          <w:p w14:paraId="217B094E" w14:textId="40791D52" w:rsidR="00C260C3" w:rsidRPr="007469D2" w:rsidRDefault="00C260C3" w:rsidP="00C260C3">
            <w:pPr>
              <w:spacing w:before="0" w:after="0"/>
              <w:jc w:val="center"/>
              <w:rPr>
                <w:rFonts w:ascii="Garamond" w:eastAsia="Times New Roman" w:hAnsi="Garamond" w:cs="Times New Roman"/>
                <w:b/>
                <w:bCs/>
                <w:color w:val="000000"/>
                <w:sz w:val="4"/>
                <w:szCs w:val="10"/>
              </w:rPr>
            </w:pPr>
            <w:r w:rsidRPr="007469D2">
              <w:rPr>
                <w:rFonts w:ascii="Garamond" w:eastAsia="Times New Roman" w:hAnsi="Garamond" w:cs="Times New Roman"/>
                <w:b/>
                <w:bCs/>
                <w:color w:val="000000"/>
                <w:sz w:val="4"/>
                <w:szCs w:val="10"/>
              </w:rPr>
              <w:t>Kor</w:t>
            </w:r>
            <w:r w:rsidR="007761FF" w:rsidRPr="007469D2">
              <w:rPr>
                <w:rFonts w:ascii="Garamond" w:eastAsia="Times New Roman" w:hAnsi="Garamond" w:cs="Times New Roman"/>
                <w:b/>
                <w:bCs/>
                <w:color w:val="000000"/>
                <w:sz w:val="4"/>
                <w:szCs w:val="10"/>
              </w:rPr>
              <w:t>r</w:t>
            </w:r>
            <w:r w:rsidRPr="007469D2">
              <w:rPr>
                <w:rFonts w:ascii="Garamond" w:eastAsia="Times New Roman" w:hAnsi="Garamond" w:cs="Times New Roman"/>
                <w:b/>
                <w:bCs/>
                <w:color w:val="000000"/>
                <w:sz w:val="4"/>
                <w:szCs w:val="10"/>
              </w:rPr>
              <w:t>ente</w:t>
            </w:r>
          </w:p>
        </w:tc>
        <w:tc>
          <w:tcPr>
            <w:tcW w:w="155" w:type="pct"/>
            <w:tcBorders>
              <w:top w:val="nil"/>
              <w:left w:val="nil"/>
              <w:bottom w:val="nil"/>
              <w:right w:val="single" w:sz="4" w:space="0" w:color="auto"/>
            </w:tcBorders>
            <w:shd w:val="clear" w:color="auto" w:fill="auto"/>
            <w:vAlign w:val="center"/>
            <w:hideMark/>
          </w:tcPr>
          <w:p w14:paraId="0820B2EE"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Kapitale</w:t>
            </w:r>
          </w:p>
        </w:tc>
        <w:tc>
          <w:tcPr>
            <w:tcW w:w="162" w:type="pct"/>
            <w:tcBorders>
              <w:top w:val="nil"/>
              <w:left w:val="nil"/>
              <w:bottom w:val="nil"/>
              <w:right w:val="single" w:sz="4" w:space="0" w:color="auto"/>
            </w:tcBorders>
            <w:shd w:val="clear" w:color="auto" w:fill="auto"/>
            <w:vAlign w:val="center"/>
            <w:hideMark/>
          </w:tcPr>
          <w:p w14:paraId="697D13C6" w14:textId="07E84010"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 Kosto</w:t>
            </w:r>
            <w:r w:rsidR="007761FF" w:rsidRPr="00B457F5">
              <w:rPr>
                <w:rFonts w:ascii="Garamond" w:eastAsia="Times New Roman" w:hAnsi="Garamond" w:cs="Times New Roman"/>
                <w:b/>
                <w:bCs/>
                <w:color w:val="000000"/>
                <w:sz w:val="4"/>
                <w:szCs w:val="10"/>
              </w:rPr>
              <w:t>ja</w:t>
            </w:r>
            <w:r w:rsidRPr="00B457F5">
              <w:rPr>
                <w:rFonts w:ascii="Garamond" w:eastAsia="Times New Roman" w:hAnsi="Garamond" w:cs="Times New Roman"/>
                <w:b/>
                <w:bCs/>
                <w:color w:val="000000"/>
                <w:sz w:val="4"/>
                <w:szCs w:val="10"/>
              </w:rPr>
              <w:t xml:space="preserve"> </w:t>
            </w:r>
            <w:r w:rsidR="007761FF" w:rsidRPr="00B457F5">
              <w:rPr>
                <w:rFonts w:ascii="Garamond" w:eastAsia="Times New Roman" w:hAnsi="Garamond" w:cs="Times New Roman"/>
                <w:b/>
                <w:bCs/>
                <w:color w:val="000000"/>
                <w:sz w:val="4"/>
                <w:szCs w:val="10"/>
              </w:rPr>
              <w:t>t</w:t>
            </w:r>
            <w:r w:rsidRPr="00B457F5">
              <w:rPr>
                <w:rFonts w:ascii="Garamond" w:eastAsia="Times New Roman" w:hAnsi="Garamond" w:cs="Times New Roman"/>
                <w:b/>
                <w:bCs/>
                <w:color w:val="000000"/>
                <w:sz w:val="4"/>
                <w:szCs w:val="10"/>
              </w:rPr>
              <w:t>otale</w:t>
            </w:r>
          </w:p>
        </w:tc>
        <w:tc>
          <w:tcPr>
            <w:tcW w:w="165" w:type="pct"/>
            <w:tcBorders>
              <w:top w:val="nil"/>
              <w:left w:val="nil"/>
              <w:bottom w:val="nil"/>
              <w:right w:val="single" w:sz="4" w:space="0" w:color="auto"/>
            </w:tcBorders>
            <w:shd w:val="clear" w:color="auto" w:fill="auto"/>
            <w:vAlign w:val="center"/>
            <w:hideMark/>
          </w:tcPr>
          <w:p w14:paraId="7E6C7F6C" w14:textId="700C6EE6"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Kor</w:t>
            </w:r>
            <w:r w:rsidR="007761FF" w:rsidRPr="00B457F5">
              <w:rPr>
                <w:rFonts w:ascii="Garamond" w:eastAsia="Times New Roman" w:hAnsi="Garamond" w:cs="Times New Roman"/>
                <w:b/>
                <w:bCs/>
                <w:color w:val="000000"/>
                <w:sz w:val="4"/>
                <w:szCs w:val="10"/>
              </w:rPr>
              <w:t>r</w:t>
            </w:r>
            <w:r w:rsidRPr="00B457F5">
              <w:rPr>
                <w:rFonts w:ascii="Garamond" w:eastAsia="Times New Roman" w:hAnsi="Garamond" w:cs="Times New Roman"/>
                <w:b/>
                <w:bCs/>
                <w:color w:val="000000"/>
                <w:sz w:val="4"/>
                <w:szCs w:val="10"/>
              </w:rPr>
              <w:t>ente</w:t>
            </w:r>
          </w:p>
        </w:tc>
        <w:tc>
          <w:tcPr>
            <w:tcW w:w="163" w:type="pct"/>
            <w:tcBorders>
              <w:top w:val="nil"/>
              <w:left w:val="nil"/>
              <w:bottom w:val="nil"/>
              <w:right w:val="single" w:sz="4" w:space="0" w:color="auto"/>
            </w:tcBorders>
            <w:shd w:val="clear" w:color="auto" w:fill="auto"/>
            <w:vAlign w:val="center"/>
            <w:hideMark/>
          </w:tcPr>
          <w:p w14:paraId="2361530A"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Kapitale</w:t>
            </w:r>
          </w:p>
        </w:tc>
        <w:tc>
          <w:tcPr>
            <w:tcW w:w="163" w:type="pct"/>
            <w:tcBorders>
              <w:top w:val="nil"/>
              <w:left w:val="nil"/>
              <w:bottom w:val="nil"/>
              <w:right w:val="single" w:sz="4" w:space="0" w:color="auto"/>
            </w:tcBorders>
            <w:shd w:val="clear" w:color="auto" w:fill="auto"/>
            <w:vAlign w:val="center"/>
            <w:hideMark/>
          </w:tcPr>
          <w:p w14:paraId="67BB6366" w14:textId="7BDAD342"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 Kosto</w:t>
            </w:r>
            <w:r w:rsidR="007761FF" w:rsidRPr="00B457F5">
              <w:rPr>
                <w:rFonts w:ascii="Garamond" w:eastAsia="Times New Roman" w:hAnsi="Garamond" w:cs="Times New Roman"/>
                <w:b/>
                <w:bCs/>
                <w:color w:val="000000"/>
                <w:sz w:val="4"/>
                <w:szCs w:val="10"/>
              </w:rPr>
              <w:t>ja</w:t>
            </w:r>
            <w:r w:rsidRPr="00B457F5">
              <w:rPr>
                <w:rFonts w:ascii="Garamond" w:eastAsia="Times New Roman" w:hAnsi="Garamond" w:cs="Times New Roman"/>
                <w:b/>
                <w:bCs/>
                <w:color w:val="000000"/>
                <w:sz w:val="4"/>
                <w:szCs w:val="10"/>
              </w:rPr>
              <w:t xml:space="preserve"> </w:t>
            </w:r>
            <w:r w:rsidR="007761FF" w:rsidRPr="00B457F5">
              <w:rPr>
                <w:rFonts w:ascii="Garamond" w:eastAsia="Times New Roman" w:hAnsi="Garamond" w:cs="Times New Roman"/>
                <w:b/>
                <w:bCs/>
                <w:color w:val="000000"/>
                <w:sz w:val="4"/>
                <w:szCs w:val="10"/>
              </w:rPr>
              <w:t>t</w:t>
            </w:r>
            <w:r w:rsidRPr="00B457F5">
              <w:rPr>
                <w:rFonts w:ascii="Garamond" w:eastAsia="Times New Roman" w:hAnsi="Garamond" w:cs="Times New Roman"/>
                <w:b/>
                <w:bCs/>
                <w:color w:val="000000"/>
                <w:sz w:val="4"/>
                <w:szCs w:val="10"/>
              </w:rPr>
              <w:t>otale</w:t>
            </w:r>
          </w:p>
        </w:tc>
        <w:tc>
          <w:tcPr>
            <w:tcW w:w="163" w:type="pct"/>
            <w:tcBorders>
              <w:top w:val="nil"/>
              <w:left w:val="nil"/>
              <w:bottom w:val="nil"/>
              <w:right w:val="single" w:sz="4" w:space="0" w:color="auto"/>
            </w:tcBorders>
            <w:shd w:val="clear" w:color="auto" w:fill="auto"/>
            <w:vAlign w:val="center"/>
            <w:hideMark/>
          </w:tcPr>
          <w:p w14:paraId="1AE125CF" w14:textId="14E78D21"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w:t>
            </w:r>
            <w:r w:rsidR="007761FF" w:rsidRPr="00B457F5">
              <w:rPr>
                <w:rFonts w:ascii="Garamond" w:eastAsia="Times New Roman" w:hAnsi="Garamond" w:cs="Times New Roman"/>
                <w:b/>
                <w:bCs/>
                <w:color w:val="000000"/>
                <w:sz w:val="4"/>
                <w:szCs w:val="10"/>
              </w:rPr>
              <w:t>r</w:t>
            </w:r>
            <w:r w:rsidRPr="00B457F5">
              <w:rPr>
                <w:rFonts w:ascii="Garamond" w:eastAsia="Times New Roman" w:hAnsi="Garamond" w:cs="Times New Roman"/>
                <w:b/>
                <w:bCs/>
                <w:color w:val="000000"/>
                <w:sz w:val="4"/>
                <w:szCs w:val="10"/>
              </w:rPr>
              <w:t>rente</w:t>
            </w:r>
          </w:p>
        </w:tc>
        <w:tc>
          <w:tcPr>
            <w:tcW w:w="148" w:type="pct"/>
            <w:tcBorders>
              <w:top w:val="nil"/>
              <w:left w:val="nil"/>
              <w:bottom w:val="nil"/>
              <w:right w:val="single" w:sz="4" w:space="0" w:color="auto"/>
            </w:tcBorders>
            <w:shd w:val="clear" w:color="auto" w:fill="auto"/>
            <w:vAlign w:val="center"/>
            <w:hideMark/>
          </w:tcPr>
          <w:p w14:paraId="4A74434D"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Kapitale</w:t>
            </w:r>
          </w:p>
        </w:tc>
        <w:tc>
          <w:tcPr>
            <w:tcW w:w="162" w:type="pct"/>
            <w:tcBorders>
              <w:top w:val="nil"/>
              <w:left w:val="nil"/>
              <w:bottom w:val="nil"/>
              <w:right w:val="single" w:sz="4" w:space="0" w:color="auto"/>
            </w:tcBorders>
            <w:shd w:val="clear" w:color="auto" w:fill="auto"/>
            <w:vAlign w:val="center"/>
            <w:hideMark/>
          </w:tcPr>
          <w:p w14:paraId="6946B74A" w14:textId="56BEA10C"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 Kosto</w:t>
            </w:r>
            <w:r w:rsidR="007761FF" w:rsidRPr="00B457F5">
              <w:rPr>
                <w:rFonts w:ascii="Garamond" w:eastAsia="Times New Roman" w:hAnsi="Garamond" w:cs="Times New Roman"/>
                <w:b/>
                <w:bCs/>
                <w:color w:val="000000"/>
                <w:sz w:val="4"/>
                <w:szCs w:val="10"/>
              </w:rPr>
              <w:t>ja</w:t>
            </w:r>
            <w:r w:rsidRPr="00B457F5">
              <w:rPr>
                <w:rFonts w:ascii="Garamond" w:eastAsia="Times New Roman" w:hAnsi="Garamond" w:cs="Times New Roman"/>
                <w:b/>
                <w:bCs/>
                <w:color w:val="000000"/>
                <w:sz w:val="4"/>
                <w:szCs w:val="10"/>
              </w:rPr>
              <w:t xml:space="preserve"> </w:t>
            </w:r>
            <w:r w:rsidR="007761FF" w:rsidRPr="00B457F5">
              <w:rPr>
                <w:rFonts w:ascii="Garamond" w:eastAsia="Times New Roman" w:hAnsi="Garamond" w:cs="Times New Roman"/>
                <w:b/>
                <w:bCs/>
                <w:color w:val="000000"/>
                <w:sz w:val="4"/>
                <w:szCs w:val="10"/>
              </w:rPr>
              <w:t>t</w:t>
            </w:r>
            <w:r w:rsidRPr="00B457F5">
              <w:rPr>
                <w:rFonts w:ascii="Garamond" w:eastAsia="Times New Roman" w:hAnsi="Garamond" w:cs="Times New Roman"/>
                <w:b/>
                <w:bCs/>
                <w:color w:val="000000"/>
                <w:sz w:val="4"/>
                <w:szCs w:val="10"/>
              </w:rPr>
              <w:t>otale</w:t>
            </w:r>
          </w:p>
        </w:tc>
        <w:tc>
          <w:tcPr>
            <w:tcW w:w="165" w:type="pct"/>
            <w:tcBorders>
              <w:top w:val="nil"/>
              <w:left w:val="nil"/>
              <w:bottom w:val="nil"/>
              <w:right w:val="single" w:sz="4" w:space="0" w:color="auto"/>
            </w:tcBorders>
            <w:shd w:val="clear" w:color="auto" w:fill="auto"/>
            <w:vAlign w:val="center"/>
            <w:hideMark/>
          </w:tcPr>
          <w:p w14:paraId="58F27550" w14:textId="6A353986"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w:t>
            </w:r>
            <w:r w:rsidR="007761FF" w:rsidRPr="00B457F5">
              <w:rPr>
                <w:rFonts w:ascii="Garamond" w:eastAsia="Times New Roman" w:hAnsi="Garamond" w:cs="Times New Roman"/>
                <w:b/>
                <w:bCs/>
                <w:color w:val="000000"/>
                <w:sz w:val="4"/>
                <w:szCs w:val="10"/>
              </w:rPr>
              <w:t>r</w:t>
            </w:r>
            <w:r w:rsidRPr="00B457F5">
              <w:rPr>
                <w:rFonts w:ascii="Garamond" w:eastAsia="Times New Roman" w:hAnsi="Garamond" w:cs="Times New Roman"/>
                <w:b/>
                <w:bCs/>
                <w:color w:val="000000"/>
                <w:sz w:val="4"/>
                <w:szCs w:val="10"/>
              </w:rPr>
              <w:t>rente</w:t>
            </w:r>
          </w:p>
        </w:tc>
        <w:tc>
          <w:tcPr>
            <w:tcW w:w="163" w:type="pct"/>
            <w:tcBorders>
              <w:top w:val="nil"/>
              <w:left w:val="nil"/>
              <w:bottom w:val="nil"/>
              <w:right w:val="single" w:sz="4" w:space="0" w:color="auto"/>
            </w:tcBorders>
            <w:shd w:val="clear" w:color="auto" w:fill="auto"/>
            <w:vAlign w:val="center"/>
            <w:hideMark/>
          </w:tcPr>
          <w:p w14:paraId="688B5953"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Kapitale</w:t>
            </w:r>
          </w:p>
        </w:tc>
        <w:tc>
          <w:tcPr>
            <w:tcW w:w="165" w:type="pct"/>
            <w:tcBorders>
              <w:top w:val="nil"/>
              <w:left w:val="nil"/>
              <w:bottom w:val="nil"/>
              <w:right w:val="single" w:sz="4" w:space="0" w:color="auto"/>
            </w:tcBorders>
            <w:shd w:val="clear" w:color="auto" w:fill="auto"/>
            <w:vAlign w:val="center"/>
            <w:hideMark/>
          </w:tcPr>
          <w:p w14:paraId="44EEA822" w14:textId="35FA444C"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 Kosto</w:t>
            </w:r>
            <w:r w:rsidR="007761FF" w:rsidRPr="00B457F5">
              <w:rPr>
                <w:rFonts w:ascii="Garamond" w:eastAsia="Times New Roman" w:hAnsi="Garamond" w:cs="Times New Roman"/>
                <w:b/>
                <w:bCs/>
                <w:color w:val="000000"/>
                <w:sz w:val="4"/>
                <w:szCs w:val="10"/>
              </w:rPr>
              <w:t>ja</w:t>
            </w:r>
            <w:r w:rsidRPr="00B457F5">
              <w:rPr>
                <w:rFonts w:ascii="Garamond" w:eastAsia="Times New Roman" w:hAnsi="Garamond" w:cs="Times New Roman"/>
                <w:b/>
                <w:bCs/>
                <w:color w:val="000000"/>
                <w:sz w:val="4"/>
                <w:szCs w:val="10"/>
              </w:rPr>
              <w:t xml:space="preserve"> </w:t>
            </w:r>
            <w:r w:rsidR="007761FF" w:rsidRPr="00B457F5">
              <w:rPr>
                <w:rFonts w:ascii="Garamond" w:eastAsia="Times New Roman" w:hAnsi="Garamond" w:cs="Times New Roman"/>
                <w:b/>
                <w:bCs/>
                <w:color w:val="000000"/>
                <w:sz w:val="4"/>
                <w:szCs w:val="10"/>
              </w:rPr>
              <w:t>t</w:t>
            </w:r>
            <w:r w:rsidRPr="00B457F5">
              <w:rPr>
                <w:rFonts w:ascii="Garamond" w:eastAsia="Times New Roman" w:hAnsi="Garamond" w:cs="Times New Roman"/>
                <w:b/>
                <w:bCs/>
                <w:color w:val="000000"/>
                <w:sz w:val="4"/>
                <w:szCs w:val="10"/>
              </w:rPr>
              <w:t>otale</w:t>
            </w:r>
          </w:p>
        </w:tc>
        <w:tc>
          <w:tcPr>
            <w:tcW w:w="163" w:type="pct"/>
            <w:tcBorders>
              <w:top w:val="nil"/>
              <w:left w:val="nil"/>
              <w:bottom w:val="nil"/>
              <w:right w:val="single" w:sz="4" w:space="0" w:color="auto"/>
            </w:tcBorders>
            <w:shd w:val="clear" w:color="auto" w:fill="auto"/>
            <w:vAlign w:val="center"/>
            <w:hideMark/>
          </w:tcPr>
          <w:p w14:paraId="12B4F82C" w14:textId="1AE818AD"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Kor</w:t>
            </w:r>
            <w:r w:rsidR="007761FF" w:rsidRPr="00B457F5">
              <w:rPr>
                <w:rFonts w:ascii="Garamond" w:eastAsia="Times New Roman" w:hAnsi="Garamond" w:cs="Times New Roman"/>
                <w:b/>
                <w:bCs/>
                <w:color w:val="000000"/>
                <w:sz w:val="4"/>
                <w:szCs w:val="10"/>
              </w:rPr>
              <w:t>r</w:t>
            </w:r>
            <w:r w:rsidRPr="00B457F5">
              <w:rPr>
                <w:rFonts w:ascii="Garamond" w:eastAsia="Times New Roman" w:hAnsi="Garamond" w:cs="Times New Roman"/>
                <w:b/>
                <w:bCs/>
                <w:color w:val="000000"/>
                <w:sz w:val="4"/>
                <w:szCs w:val="10"/>
              </w:rPr>
              <w:t>ente</w:t>
            </w:r>
          </w:p>
        </w:tc>
        <w:tc>
          <w:tcPr>
            <w:tcW w:w="155" w:type="pct"/>
            <w:tcBorders>
              <w:top w:val="nil"/>
              <w:left w:val="nil"/>
              <w:bottom w:val="nil"/>
              <w:right w:val="single" w:sz="4" w:space="0" w:color="auto"/>
            </w:tcBorders>
            <w:shd w:val="clear" w:color="auto" w:fill="auto"/>
            <w:vAlign w:val="center"/>
            <w:hideMark/>
          </w:tcPr>
          <w:p w14:paraId="43A15EF7"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Kapitale</w:t>
            </w:r>
          </w:p>
        </w:tc>
        <w:tc>
          <w:tcPr>
            <w:tcW w:w="163" w:type="pct"/>
            <w:tcBorders>
              <w:top w:val="nil"/>
              <w:left w:val="nil"/>
              <w:bottom w:val="nil"/>
              <w:right w:val="single" w:sz="4" w:space="0" w:color="auto"/>
            </w:tcBorders>
            <w:shd w:val="clear" w:color="auto" w:fill="auto"/>
            <w:vAlign w:val="center"/>
            <w:hideMark/>
          </w:tcPr>
          <w:p w14:paraId="20C4FF4D"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Totali BSH</w:t>
            </w:r>
          </w:p>
        </w:tc>
        <w:tc>
          <w:tcPr>
            <w:tcW w:w="162" w:type="pct"/>
            <w:tcBorders>
              <w:top w:val="nil"/>
              <w:left w:val="nil"/>
              <w:bottom w:val="nil"/>
              <w:right w:val="single" w:sz="4" w:space="0" w:color="auto"/>
            </w:tcBorders>
            <w:shd w:val="clear" w:color="auto" w:fill="auto"/>
            <w:vAlign w:val="center"/>
            <w:hideMark/>
          </w:tcPr>
          <w:p w14:paraId="4082F115" w14:textId="3672935E"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w:t>
            </w:r>
            <w:r w:rsidR="007761FF" w:rsidRPr="00B457F5">
              <w:rPr>
                <w:rFonts w:ascii="Garamond" w:eastAsia="Times New Roman" w:hAnsi="Garamond" w:cs="Times New Roman"/>
                <w:b/>
                <w:bCs/>
                <w:color w:val="000000"/>
                <w:sz w:val="4"/>
                <w:szCs w:val="10"/>
              </w:rPr>
              <w:t>r</w:t>
            </w:r>
            <w:r w:rsidRPr="00B457F5">
              <w:rPr>
                <w:rFonts w:ascii="Garamond" w:eastAsia="Times New Roman" w:hAnsi="Garamond" w:cs="Times New Roman"/>
                <w:b/>
                <w:bCs/>
                <w:color w:val="000000"/>
                <w:sz w:val="4"/>
                <w:szCs w:val="10"/>
              </w:rPr>
              <w:t>rente</w:t>
            </w:r>
          </w:p>
        </w:tc>
        <w:tc>
          <w:tcPr>
            <w:tcW w:w="155" w:type="pct"/>
            <w:tcBorders>
              <w:top w:val="nil"/>
              <w:left w:val="nil"/>
              <w:bottom w:val="nil"/>
              <w:right w:val="single" w:sz="4" w:space="0" w:color="auto"/>
            </w:tcBorders>
            <w:shd w:val="clear" w:color="auto" w:fill="auto"/>
            <w:vAlign w:val="center"/>
            <w:hideMark/>
          </w:tcPr>
          <w:p w14:paraId="7A6790BC"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Kapitale</w:t>
            </w:r>
          </w:p>
        </w:tc>
        <w:tc>
          <w:tcPr>
            <w:tcW w:w="218" w:type="pct"/>
            <w:tcBorders>
              <w:top w:val="nil"/>
              <w:left w:val="nil"/>
              <w:bottom w:val="nil"/>
              <w:right w:val="single" w:sz="4" w:space="0" w:color="auto"/>
            </w:tcBorders>
            <w:shd w:val="clear" w:color="auto" w:fill="auto"/>
            <w:vAlign w:val="center"/>
            <w:hideMark/>
          </w:tcPr>
          <w:p w14:paraId="722881E4" w14:textId="5FF9E5AA"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Emri </w:t>
            </w:r>
            <w:r w:rsidR="00501091" w:rsidRPr="00B457F5">
              <w:rPr>
                <w:rFonts w:ascii="Garamond" w:eastAsia="Times New Roman" w:hAnsi="Garamond" w:cs="Times New Roman"/>
                <w:b/>
                <w:bCs/>
                <w:color w:val="000000"/>
                <w:sz w:val="4"/>
                <w:szCs w:val="10"/>
              </w:rPr>
              <w:t xml:space="preserve">i </w:t>
            </w:r>
            <w:r w:rsidRPr="00B457F5">
              <w:rPr>
                <w:rFonts w:ascii="Garamond" w:eastAsia="Times New Roman" w:hAnsi="Garamond" w:cs="Times New Roman"/>
                <w:b/>
                <w:bCs/>
                <w:color w:val="000000"/>
                <w:sz w:val="4"/>
                <w:szCs w:val="10"/>
              </w:rPr>
              <w:t>donatorit/</w:t>
            </w:r>
            <w:r w:rsidR="007761FF" w:rsidRPr="00B457F5">
              <w:rPr>
                <w:rFonts w:ascii="Garamond" w:eastAsia="Times New Roman" w:hAnsi="Garamond" w:cs="Times New Roman"/>
                <w:b/>
                <w:bCs/>
                <w:color w:val="000000"/>
                <w:sz w:val="4"/>
                <w:szCs w:val="10"/>
              </w:rPr>
              <w:t>t</w:t>
            </w:r>
            <w:r w:rsidRPr="00B457F5">
              <w:rPr>
                <w:rFonts w:ascii="Garamond" w:eastAsia="Times New Roman" w:hAnsi="Garamond" w:cs="Times New Roman"/>
                <w:b/>
                <w:bCs/>
                <w:color w:val="000000"/>
                <w:sz w:val="4"/>
                <w:szCs w:val="10"/>
              </w:rPr>
              <w:t xml:space="preserve">itulli </w:t>
            </w:r>
            <w:r w:rsidR="00501091" w:rsidRPr="00B457F5">
              <w:rPr>
                <w:rFonts w:ascii="Garamond" w:eastAsia="Times New Roman" w:hAnsi="Garamond" w:cs="Times New Roman"/>
                <w:b/>
                <w:bCs/>
                <w:color w:val="000000"/>
                <w:sz w:val="4"/>
                <w:szCs w:val="10"/>
              </w:rPr>
              <w:t>i</w:t>
            </w:r>
            <w:r w:rsidRPr="00B457F5">
              <w:rPr>
                <w:rFonts w:ascii="Garamond" w:eastAsia="Times New Roman" w:hAnsi="Garamond" w:cs="Times New Roman"/>
                <w:b/>
                <w:bCs/>
                <w:color w:val="000000"/>
                <w:sz w:val="4"/>
                <w:szCs w:val="10"/>
              </w:rPr>
              <w:t xml:space="preserve"> projektit </w:t>
            </w:r>
          </w:p>
        </w:tc>
        <w:tc>
          <w:tcPr>
            <w:tcW w:w="163" w:type="pct"/>
            <w:tcBorders>
              <w:top w:val="nil"/>
              <w:left w:val="nil"/>
              <w:bottom w:val="nil"/>
              <w:right w:val="single" w:sz="4" w:space="0" w:color="auto"/>
            </w:tcBorders>
            <w:shd w:val="clear" w:color="auto" w:fill="auto"/>
            <w:vAlign w:val="center"/>
            <w:hideMark/>
          </w:tcPr>
          <w:p w14:paraId="170C02F0" w14:textId="753FED1B"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Total </w:t>
            </w:r>
            <w:r w:rsidR="007761FF" w:rsidRPr="00B457F5">
              <w:rPr>
                <w:rFonts w:ascii="Garamond" w:eastAsia="Times New Roman" w:hAnsi="Garamond" w:cs="Times New Roman"/>
                <w:b/>
                <w:bCs/>
                <w:color w:val="000000"/>
                <w:sz w:val="4"/>
                <w:szCs w:val="10"/>
              </w:rPr>
              <w:t>financim i huaj</w:t>
            </w:r>
          </w:p>
        </w:tc>
        <w:tc>
          <w:tcPr>
            <w:tcW w:w="139" w:type="pct"/>
            <w:tcBorders>
              <w:top w:val="nil"/>
              <w:left w:val="nil"/>
              <w:bottom w:val="nil"/>
              <w:right w:val="single" w:sz="4" w:space="0" w:color="auto"/>
            </w:tcBorders>
            <w:shd w:val="clear" w:color="auto" w:fill="auto"/>
            <w:vAlign w:val="center"/>
            <w:hideMark/>
          </w:tcPr>
          <w:p w14:paraId="42D97573" w14:textId="26A8EBE1"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w:t>
            </w:r>
            <w:r w:rsidR="007761FF" w:rsidRPr="00B457F5">
              <w:rPr>
                <w:rFonts w:ascii="Garamond" w:eastAsia="Times New Roman" w:hAnsi="Garamond" w:cs="Times New Roman"/>
                <w:b/>
                <w:bCs/>
                <w:color w:val="000000"/>
                <w:sz w:val="4"/>
                <w:szCs w:val="10"/>
              </w:rPr>
              <w:t>r</w:t>
            </w:r>
            <w:r w:rsidRPr="00B457F5">
              <w:rPr>
                <w:rFonts w:ascii="Garamond" w:eastAsia="Times New Roman" w:hAnsi="Garamond" w:cs="Times New Roman"/>
                <w:b/>
                <w:bCs/>
                <w:color w:val="000000"/>
                <w:sz w:val="4"/>
                <w:szCs w:val="10"/>
              </w:rPr>
              <w:t>rente</w:t>
            </w:r>
          </w:p>
        </w:tc>
        <w:tc>
          <w:tcPr>
            <w:tcW w:w="142" w:type="pct"/>
            <w:tcBorders>
              <w:top w:val="nil"/>
              <w:left w:val="nil"/>
              <w:bottom w:val="nil"/>
              <w:right w:val="single" w:sz="4" w:space="0" w:color="auto"/>
            </w:tcBorders>
            <w:shd w:val="clear" w:color="auto" w:fill="auto"/>
            <w:vAlign w:val="center"/>
            <w:hideMark/>
          </w:tcPr>
          <w:p w14:paraId="2B7B8276"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Kapitale</w:t>
            </w:r>
          </w:p>
        </w:tc>
        <w:tc>
          <w:tcPr>
            <w:tcW w:w="128" w:type="pct"/>
            <w:tcBorders>
              <w:top w:val="nil"/>
              <w:left w:val="nil"/>
              <w:bottom w:val="nil"/>
              <w:right w:val="single" w:sz="4" w:space="0" w:color="auto"/>
            </w:tcBorders>
            <w:shd w:val="clear" w:color="auto" w:fill="auto"/>
            <w:vAlign w:val="center"/>
            <w:hideMark/>
          </w:tcPr>
          <w:p w14:paraId="3C48BFDC" w14:textId="1C6BE58C"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 Kosto</w:t>
            </w:r>
            <w:r w:rsidR="007761FF" w:rsidRPr="00B457F5">
              <w:rPr>
                <w:rFonts w:ascii="Garamond" w:eastAsia="Times New Roman" w:hAnsi="Garamond" w:cs="Times New Roman"/>
                <w:b/>
                <w:bCs/>
                <w:color w:val="000000"/>
                <w:sz w:val="4"/>
                <w:szCs w:val="10"/>
              </w:rPr>
              <w:t>ja</w:t>
            </w:r>
            <w:r w:rsidRPr="00B457F5">
              <w:rPr>
                <w:rFonts w:ascii="Garamond" w:eastAsia="Times New Roman" w:hAnsi="Garamond" w:cs="Times New Roman"/>
                <w:b/>
                <w:bCs/>
                <w:color w:val="000000"/>
                <w:sz w:val="4"/>
                <w:szCs w:val="10"/>
              </w:rPr>
              <w:t xml:space="preserve"> </w:t>
            </w:r>
            <w:r w:rsidR="007761FF" w:rsidRPr="00B457F5">
              <w:rPr>
                <w:rFonts w:ascii="Garamond" w:eastAsia="Times New Roman" w:hAnsi="Garamond" w:cs="Times New Roman"/>
                <w:b/>
                <w:bCs/>
                <w:color w:val="000000"/>
                <w:sz w:val="4"/>
                <w:szCs w:val="10"/>
              </w:rPr>
              <w:t>t</w:t>
            </w:r>
            <w:r w:rsidRPr="00B457F5">
              <w:rPr>
                <w:rFonts w:ascii="Garamond" w:eastAsia="Times New Roman" w:hAnsi="Garamond" w:cs="Times New Roman"/>
                <w:b/>
                <w:bCs/>
                <w:color w:val="000000"/>
                <w:sz w:val="4"/>
                <w:szCs w:val="10"/>
              </w:rPr>
              <w:t>otale</w:t>
            </w:r>
          </w:p>
        </w:tc>
        <w:tc>
          <w:tcPr>
            <w:tcW w:w="177" w:type="pct"/>
            <w:tcBorders>
              <w:top w:val="nil"/>
              <w:left w:val="nil"/>
              <w:bottom w:val="nil"/>
              <w:right w:val="single" w:sz="4" w:space="0" w:color="auto"/>
            </w:tcBorders>
            <w:shd w:val="clear" w:color="auto" w:fill="auto"/>
            <w:vAlign w:val="center"/>
            <w:hideMark/>
          </w:tcPr>
          <w:p w14:paraId="4DF53057"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r>
      <w:tr w:rsidR="00C260C3" w:rsidRPr="00B457F5" w14:paraId="25AC9E6E" w14:textId="77777777" w:rsidTr="00C260C3">
        <w:trPr>
          <w:trHeight w:val="20"/>
        </w:trPr>
        <w:tc>
          <w:tcPr>
            <w:tcW w:w="131" w:type="pct"/>
            <w:tcBorders>
              <w:top w:val="single" w:sz="8" w:space="0" w:color="auto"/>
              <w:left w:val="single" w:sz="8" w:space="0" w:color="auto"/>
              <w:bottom w:val="single" w:sz="4" w:space="0" w:color="auto"/>
              <w:right w:val="single" w:sz="4" w:space="0" w:color="auto"/>
            </w:tcBorders>
            <w:shd w:val="clear" w:color="auto" w:fill="auto"/>
            <w:vAlign w:val="center"/>
            <w:hideMark/>
          </w:tcPr>
          <w:p w14:paraId="5591896E"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2.1</w:t>
            </w:r>
          </w:p>
        </w:tc>
        <w:tc>
          <w:tcPr>
            <w:tcW w:w="281" w:type="pct"/>
            <w:tcBorders>
              <w:top w:val="single" w:sz="8" w:space="0" w:color="auto"/>
              <w:left w:val="nil"/>
              <w:bottom w:val="single" w:sz="4" w:space="0" w:color="auto"/>
              <w:right w:val="single" w:sz="4" w:space="0" w:color="auto"/>
            </w:tcBorders>
            <w:shd w:val="clear" w:color="auto" w:fill="auto"/>
            <w:vAlign w:val="center"/>
            <w:hideMark/>
          </w:tcPr>
          <w:p w14:paraId="4B521F72"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Objektivi specifik 2.1: Krijimi i mundësive ligjore dhe institucionale për migracionin e punës në dhe nga Shqipëria</w:t>
            </w:r>
          </w:p>
        </w:tc>
        <w:tc>
          <w:tcPr>
            <w:tcW w:w="186" w:type="pct"/>
            <w:tcBorders>
              <w:top w:val="single" w:sz="8" w:space="0" w:color="auto"/>
              <w:left w:val="nil"/>
              <w:bottom w:val="single" w:sz="4" w:space="0" w:color="auto"/>
              <w:right w:val="single" w:sz="4" w:space="0" w:color="auto"/>
            </w:tcBorders>
            <w:shd w:val="clear" w:color="auto" w:fill="auto"/>
            <w:vAlign w:val="center"/>
            <w:hideMark/>
          </w:tcPr>
          <w:p w14:paraId="288D3421"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9" w:type="pct"/>
            <w:tcBorders>
              <w:top w:val="single" w:sz="8" w:space="0" w:color="auto"/>
              <w:left w:val="nil"/>
              <w:bottom w:val="single" w:sz="4" w:space="0" w:color="auto"/>
              <w:right w:val="single" w:sz="4" w:space="0" w:color="auto"/>
            </w:tcBorders>
            <w:shd w:val="clear" w:color="auto" w:fill="auto"/>
            <w:noWrap/>
            <w:vAlign w:val="bottom"/>
            <w:hideMark/>
          </w:tcPr>
          <w:p w14:paraId="4C15960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244" w:type="pct"/>
            <w:tcBorders>
              <w:top w:val="single" w:sz="8" w:space="0" w:color="auto"/>
              <w:left w:val="nil"/>
              <w:bottom w:val="single" w:sz="4" w:space="0" w:color="auto"/>
              <w:right w:val="single" w:sz="4" w:space="0" w:color="auto"/>
            </w:tcBorders>
            <w:shd w:val="clear" w:color="auto" w:fill="auto"/>
            <w:noWrap/>
            <w:vAlign w:val="bottom"/>
            <w:hideMark/>
          </w:tcPr>
          <w:p w14:paraId="732A562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35" w:type="pct"/>
            <w:tcBorders>
              <w:top w:val="single" w:sz="8" w:space="0" w:color="auto"/>
              <w:left w:val="nil"/>
              <w:bottom w:val="single" w:sz="4" w:space="0" w:color="auto"/>
              <w:right w:val="single" w:sz="4" w:space="0" w:color="auto"/>
            </w:tcBorders>
            <w:shd w:val="clear" w:color="auto" w:fill="auto"/>
            <w:vAlign w:val="center"/>
            <w:hideMark/>
          </w:tcPr>
          <w:p w14:paraId="3A38D3F1"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2" w:type="pct"/>
            <w:tcBorders>
              <w:top w:val="single" w:sz="8" w:space="0" w:color="auto"/>
              <w:left w:val="nil"/>
              <w:bottom w:val="single" w:sz="4" w:space="0" w:color="auto"/>
              <w:right w:val="single" w:sz="4" w:space="0" w:color="auto"/>
            </w:tcBorders>
            <w:shd w:val="clear" w:color="auto" w:fill="auto"/>
            <w:vAlign w:val="center"/>
            <w:hideMark/>
          </w:tcPr>
          <w:p w14:paraId="31278511"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single" w:sz="8" w:space="0" w:color="auto"/>
              <w:left w:val="nil"/>
              <w:bottom w:val="single" w:sz="4" w:space="0" w:color="auto"/>
              <w:right w:val="single" w:sz="4" w:space="0" w:color="auto"/>
            </w:tcBorders>
            <w:shd w:val="clear" w:color="auto" w:fill="auto"/>
            <w:vAlign w:val="center"/>
            <w:hideMark/>
          </w:tcPr>
          <w:p w14:paraId="54289FB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single" w:sz="8" w:space="0" w:color="auto"/>
              <w:left w:val="nil"/>
              <w:bottom w:val="single" w:sz="4" w:space="0" w:color="auto"/>
              <w:right w:val="single" w:sz="4" w:space="0" w:color="auto"/>
            </w:tcBorders>
            <w:shd w:val="clear" w:color="auto" w:fill="auto"/>
            <w:vAlign w:val="center"/>
            <w:hideMark/>
          </w:tcPr>
          <w:p w14:paraId="3583EE5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single" w:sz="8" w:space="0" w:color="auto"/>
              <w:left w:val="nil"/>
              <w:bottom w:val="single" w:sz="4" w:space="0" w:color="auto"/>
              <w:right w:val="single" w:sz="4" w:space="0" w:color="auto"/>
            </w:tcBorders>
            <w:shd w:val="clear" w:color="auto" w:fill="auto"/>
            <w:vAlign w:val="center"/>
            <w:hideMark/>
          </w:tcPr>
          <w:p w14:paraId="215B8F0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single" w:sz="8" w:space="0" w:color="auto"/>
              <w:left w:val="nil"/>
              <w:bottom w:val="single" w:sz="4" w:space="0" w:color="auto"/>
              <w:right w:val="single" w:sz="4" w:space="0" w:color="auto"/>
            </w:tcBorders>
            <w:shd w:val="clear" w:color="auto" w:fill="auto"/>
            <w:vAlign w:val="center"/>
            <w:hideMark/>
          </w:tcPr>
          <w:p w14:paraId="508A7F9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single" w:sz="8" w:space="0" w:color="auto"/>
              <w:left w:val="nil"/>
              <w:bottom w:val="single" w:sz="4" w:space="0" w:color="auto"/>
              <w:right w:val="single" w:sz="4" w:space="0" w:color="auto"/>
            </w:tcBorders>
            <w:shd w:val="clear" w:color="auto" w:fill="auto"/>
            <w:vAlign w:val="center"/>
            <w:hideMark/>
          </w:tcPr>
          <w:p w14:paraId="6C4EB13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single" w:sz="8" w:space="0" w:color="auto"/>
              <w:left w:val="nil"/>
              <w:bottom w:val="single" w:sz="4" w:space="0" w:color="auto"/>
              <w:right w:val="single" w:sz="4" w:space="0" w:color="auto"/>
            </w:tcBorders>
            <w:shd w:val="clear" w:color="auto" w:fill="auto"/>
            <w:vAlign w:val="center"/>
            <w:hideMark/>
          </w:tcPr>
          <w:p w14:paraId="21F10BC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single" w:sz="8" w:space="0" w:color="auto"/>
              <w:left w:val="nil"/>
              <w:bottom w:val="single" w:sz="4" w:space="0" w:color="auto"/>
              <w:right w:val="single" w:sz="4" w:space="0" w:color="auto"/>
            </w:tcBorders>
            <w:shd w:val="clear" w:color="auto" w:fill="auto"/>
            <w:vAlign w:val="center"/>
            <w:hideMark/>
          </w:tcPr>
          <w:p w14:paraId="375EB7A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48" w:type="pct"/>
            <w:tcBorders>
              <w:top w:val="single" w:sz="8" w:space="0" w:color="auto"/>
              <w:left w:val="nil"/>
              <w:bottom w:val="single" w:sz="4" w:space="0" w:color="auto"/>
              <w:right w:val="single" w:sz="4" w:space="0" w:color="auto"/>
            </w:tcBorders>
            <w:shd w:val="clear" w:color="auto" w:fill="auto"/>
            <w:vAlign w:val="center"/>
            <w:hideMark/>
          </w:tcPr>
          <w:p w14:paraId="47B9398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single" w:sz="8" w:space="0" w:color="auto"/>
              <w:left w:val="nil"/>
              <w:bottom w:val="single" w:sz="4" w:space="0" w:color="auto"/>
              <w:right w:val="single" w:sz="4" w:space="0" w:color="auto"/>
            </w:tcBorders>
            <w:shd w:val="clear" w:color="auto" w:fill="auto"/>
            <w:vAlign w:val="center"/>
            <w:hideMark/>
          </w:tcPr>
          <w:p w14:paraId="27E07CB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single" w:sz="8" w:space="0" w:color="auto"/>
              <w:left w:val="nil"/>
              <w:bottom w:val="single" w:sz="4" w:space="0" w:color="auto"/>
              <w:right w:val="single" w:sz="4" w:space="0" w:color="auto"/>
            </w:tcBorders>
            <w:shd w:val="clear" w:color="auto" w:fill="auto"/>
            <w:vAlign w:val="center"/>
            <w:hideMark/>
          </w:tcPr>
          <w:p w14:paraId="6A1CF9F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single" w:sz="8" w:space="0" w:color="auto"/>
              <w:left w:val="nil"/>
              <w:bottom w:val="single" w:sz="4" w:space="0" w:color="auto"/>
              <w:right w:val="single" w:sz="4" w:space="0" w:color="auto"/>
            </w:tcBorders>
            <w:shd w:val="clear" w:color="auto" w:fill="auto"/>
            <w:vAlign w:val="center"/>
            <w:hideMark/>
          </w:tcPr>
          <w:p w14:paraId="74AEDDE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single" w:sz="8" w:space="0" w:color="auto"/>
              <w:left w:val="nil"/>
              <w:bottom w:val="single" w:sz="4" w:space="0" w:color="auto"/>
              <w:right w:val="single" w:sz="4" w:space="0" w:color="auto"/>
            </w:tcBorders>
            <w:shd w:val="clear" w:color="auto" w:fill="auto"/>
            <w:vAlign w:val="center"/>
            <w:hideMark/>
          </w:tcPr>
          <w:p w14:paraId="73850C2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single" w:sz="8" w:space="0" w:color="auto"/>
              <w:left w:val="nil"/>
              <w:bottom w:val="single" w:sz="4" w:space="0" w:color="auto"/>
              <w:right w:val="single" w:sz="4" w:space="0" w:color="auto"/>
            </w:tcBorders>
            <w:shd w:val="clear" w:color="auto" w:fill="auto"/>
            <w:vAlign w:val="center"/>
            <w:hideMark/>
          </w:tcPr>
          <w:p w14:paraId="5230884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single" w:sz="8" w:space="0" w:color="auto"/>
              <w:left w:val="nil"/>
              <w:bottom w:val="single" w:sz="4" w:space="0" w:color="auto"/>
              <w:right w:val="single" w:sz="4" w:space="0" w:color="auto"/>
            </w:tcBorders>
            <w:shd w:val="clear" w:color="auto" w:fill="auto"/>
            <w:vAlign w:val="center"/>
            <w:hideMark/>
          </w:tcPr>
          <w:p w14:paraId="2AE9616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single" w:sz="8" w:space="0" w:color="auto"/>
              <w:left w:val="nil"/>
              <w:bottom w:val="single" w:sz="4" w:space="0" w:color="auto"/>
              <w:right w:val="single" w:sz="4" w:space="0" w:color="auto"/>
            </w:tcBorders>
            <w:shd w:val="clear" w:color="auto" w:fill="auto"/>
            <w:vAlign w:val="center"/>
            <w:hideMark/>
          </w:tcPr>
          <w:p w14:paraId="564AF3E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single" w:sz="8" w:space="0" w:color="auto"/>
              <w:left w:val="nil"/>
              <w:bottom w:val="single" w:sz="4" w:space="0" w:color="auto"/>
              <w:right w:val="single" w:sz="4" w:space="0" w:color="auto"/>
            </w:tcBorders>
            <w:shd w:val="clear" w:color="auto" w:fill="auto"/>
            <w:vAlign w:val="center"/>
            <w:hideMark/>
          </w:tcPr>
          <w:p w14:paraId="147AC67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single" w:sz="8" w:space="0" w:color="auto"/>
              <w:left w:val="nil"/>
              <w:bottom w:val="single" w:sz="4" w:space="0" w:color="auto"/>
              <w:right w:val="single" w:sz="4" w:space="0" w:color="auto"/>
            </w:tcBorders>
            <w:shd w:val="clear" w:color="auto" w:fill="auto"/>
            <w:vAlign w:val="center"/>
            <w:hideMark/>
          </w:tcPr>
          <w:p w14:paraId="451BD6B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218" w:type="pct"/>
            <w:tcBorders>
              <w:top w:val="single" w:sz="8" w:space="0" w:color="auto"/>
              <w:left w:val="nil"/>
              <w:bottom w:val="single" w:sz="4" w:space="0" w:color="auto"/>
              <w:right w:val="single" w:sz="4" w:space="0" w:color="auto"/>
            </w:tcBorders>
            <w:shd w:val="clear" w:color="auto" w:fill="auto"/>
            <w:vAlign w:val="center"/>
            <w:hideMark/>
          </w:tcPr>
          <w:p w14:paraId="5809C38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single" w:sz="8" w:space="0" w:color="auto"/>
              <w:left w:val="nil"/>
              <w:bottom w:val="single" w:sz="4" w:space="0" w:color="auto"/>
              <w:right w:val="single" w:sz="4" w:space="0" w:color="auto"/>
            </w:tcBorders>
            <w:shd w:val="clear" w:color="auto" w:fill="auto"/>
            <w:vAlign w:val="center"/>
            <w:hideMark/>
          </w:tcPr>
          <w:p w14:paraId="099F456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39" w:type="pct"/>
            <w:tcBorders>
              <w:top w:val="single" w:sz="8" w:space="0" w:color="auto"/>
              <w:left w:val="nil"/>
              <w:bottom w:val="single" w:sz="4" w:space="0" w:color="auto"/>
              <w:right w:val="single" w:sz="4" w:space="0" w:color="auto"/>
            </w:tcBorders>
            <w:shd w:val="clear" w:color="auto" w:fill="auto"/>
            <w:vAlign w:val="center"/>
            <w:hideMark/>
          </w:tcPr>
          <w:p w14:paraId="3E37143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42" w:type="pct"/>
            <w:tcBorders>
              <w:top w:val="single" w:sz="8" w:space="0" w:color="auto"/>
              <w:left w:val="nil"/>
              <w:bottom w:val="single" w:sz="4" w:space="0" w:color="auto"/>
              <w:right w:val="single" w:sz="4" w:space="0" w:color="auto"/>
            </w:tcBorders>
            <w:shd w:val="clear" w:color="auto" w:fill="auto"/>
            <w:vAlign w:val="center"/>
            <w:hideMark/>
          </w:tcPr>
          <w:p w14:paraId="620FE6A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28" w:type="pct"/>
            <w:tcBorders>
              <w:top w:val="single" w:sz="8" w:space="0" w:color="auto"/>
              <w:left w:val="nil"/>
              <w:bottom w:val="single" w:sz="4" w:space="0" w:color="auto"/>
              <w:right w:val="single" w:sz="4" w:space="0" w:color="auto"/>
            </w:tcBorders>
            <w:shd w:val="clear" w:color="auto" w:fill="auto"/>
            <w:vAlign w:val="center"/>
            <w:hideMark/>
          </w:tcPr>
          <w:p w14:paraId="1710C95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77" w:type="pct"/>
            <w:tcBorders>
              <w:top w:val="single" w:sz="8" w:space="0" w:color="auto"/>
              <w:left w:val="nil"/>
              <w:bottom w:val="single" w:sz="4" w:space="0" w:color="auto"/>
              <w:right w:val="single" w:sz="8" w:space="0" w:color="auto"/>
            </w:tcBorders>
            <w:shd w:val="clear" w:color="auto" w:fill="auto"/>
            <w:vAlign w:val="center"/>
            <w:hideMark/>
          </w:tcPr>
          <w:p w14:paraId="7A08262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r>
      <w:tr w:rsidR="00C260C3" w:rsidRPr="00B457F5" w14:paraId="317E6701"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center"/>
            <w:hideMark/>
          </w:tcPr>
          <w:p w14:paraId="6A46A9F7"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81" w:type="pct"/>
            <w:tcBorders>
              <w:top w:val="nil"/>
              <w:left w:val="nil"/>
              <w:bottom w:val="single" w:sz="4" w:space="0" w:color="auto"/>
              <w:right w:val="single" w:sz="4" w:space="0" w:color="auto"/>
            </w:tcBorders>
            <w:shd w:val="clear" w:color="auto" w:fill="auto"/>
            <w:vAlign w:val="center"/>
            <w:hideMark/>
          </w:tcPr>
          <w:p w14:paraId="33F357ED" w14:textId="77777777" w:rsidR="00C260C3" w:rsidRPr="00B457F5" w:rsidRDefault="00C260C3" w:rsidP="00C260C3">
            <w:pPr>
              <w:spacing w:before="0" w:after="0"/>
              <w:jc w:val="left"/>
              <w:rPr>
                <w:rFonts w:ascii="Garamond" w:eastAsia="Times New Roman" w:hAnsi="Garamond" w:cs="Times New Roman"/>
                <w:b/>
                <w:bCs/>
                <w:i/>
                <w:iCs/>
                <w:color w:val="0066CC"/>
                <w:sz w:val="4"/>
                <w:szCs w:val="10"/>
              </w:rPr>
            </w:pPr>
            <w:r w:rsidRPr="00B457F5">
              <w:rPr>
                <w:rFonts w:ascii="Garamond" w:eastAsia="Times New Roman" w:hAnsi="Garamond" w:cs="Times New Roman"/>
                <w:b/>
                <w:bCs/>
                <w:i/>
                <w:iCs/>
                <w:color w:val="0066CC"/>
                <w:sz w:val="4"/>
                <w:szCs w:val="10"/>
              </w:rPr>
              <w:t>Masat</w:t>
            </w:r>
          </w:p>
        </w:tc>
        <w:tc>
          <w:tcPr>
            <w:tcW w:w="186" w:type="pct"/>
            <w:tcBorders>
              <w:top w:val="nil"/>
              <w:left w:val="nil"/>
              <w:bottom w:val="single" w:sz="4" w:space="0" w:color="auto"/>
              <w:right w:val="single" w:sz="4" w:space="0" w:color="auto"/>
            </w:tcBorders>
            <w:shd w:val="clear" w:color="auto" w:fill="auto"/>
            <w:vAlign w:val="center"/>
            <w:hideMark/>
          </w:tcPr>
          <w:p w14:paraId="1980E7DB"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9" w:type="pct"/>
            <w:tcBorders>
              <w:top w:val="nil"/>
              <w:left w:val="nil"/>
              <w:bottom w:val="single" w:sz="4" w:space="0" w:color="auto"/>
              <w:right w:val="single" w:sz="4" w:space="0" w:color="auto"/>
            </w:tcBorders>
            <w:shd w:val="clear" w:color="auto" w:fill="auto"/>
            <w:noWrap/>
            <w:vAlign w:val="bottom"/>
            <w:hideMark/>
          </w:tcPr>
          <w:p w14:paraId="014B7E5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244" w:type="pct"/>
            <w:tcBorders>
              <w:top w:val="nil"/>
              <w:left w:val="nil"/>
              <w:bottom w:val="single" w:sz="4" w:space="0" w:color="auto"/>
              <w:right w:val="single" w:sz="4" w:space="0" w:color="auto"/>
            </w:tcBorders>
            <w:shd w:val="clear" w:color="auto" w:fill="auto"/>
            <w:noWrap/>
            <w:vAlign w:val="bottom"/>
            <w:hideMark/>
          </w:tcPr>
          <w:p w14:paraId="483AE23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35" w:type="pct"/>
            <w:tcBorders>
              <w:top w:val="nil"/>
              <w:left w:val="nil"/>
              <w:bottom w:val="single" w:sz="4" w:space="0" w:color="auto"/>
              <w:right w:val="single" w:sz="4" w:space="0" w:color="auto"/>
            </w:tcBorders>
            <w:shd w:val="clear" w:color="auto" w:fill="auto"/>
            <w:vAlign w:val="center"/>
            <w:hideMark/>
          </w:tcPr>
          <w:p w14:paraId="16062A10"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2" w:type="pct"/>
            <w:tcBorders>
              <w:top w:val="nil"/>
              <w:left w:val="nil"/>
              <w:bottom w:val="single" w:sz="4" w:space="0" w:color="auto"/>
              <w:right w:val="single" w:sz="4" w:space="0" w:color="auto"/>
            </w:tcBorders>
            <w:shd w:val="clear" w:color="auto" w:fill="auto"/>
            <w:vAlign w:val="center"/>
            <w:hideMark/>
          </w:tcPr>
          <w:p w14:paraId="058855F9"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5A56E0B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nil"/>
              <w:left w:val="nil"/>
              <w:bottom w:val="single" w:sz="4" w:space="0" w:color="auto"/>
              <w:right w:val="single" w:sz="4" w:space="0" w:color="auto"/>
            </w:tcBorders>
            <w:shd w:val="clear" w:color="auto" w:fill="auto"/>
            <w:vAlign w:val="center"/>
            <w:hideMark/>
          </w:tcPr>
          <w:p w14:paraId="51F87DB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nil"/>
              <w:left w:val="nil"/>
              <w:bottom w:val="single" w:sz="4" w:space="0" w:color="auto"/>
              <w:right w:val="single" w:sz="4" w:space="0" w:color="auto"/>
            </w:tcBorders>
            <w:shd w:val="clear" w:color="auto" w:fill="auto"/>
            <w:vAlign w:val="center"/>
            <w:hideMark/>
          </w:tcPr>
          <w:p w14:paraId="44FC95A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nil"/>
              <w:left w:val="nil"/>
              <w:bottom w:val="single" w:sz="4" w:space="0" w:color="auto"/>
              <w:right w:val="single" w:sz="4" w:space="0" w:color="auto"/>
            </w:tcBorders>
            <w:shd w:val="clear" w:color="auto" w:fill="auto"/>
            <w:vAlign w:val="center"/>
            <w:hideMark/>
          </w:tcPr>
          <w:p w14:paraId="2905E0E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6192422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4300C78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0FF28AF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48" w:type="pct"/>
            <w:tcBorders>
              <w:top w:val="nil"/>
              <w:left w:val="nil"/>
              <w:bottom w:val="single" w:sz="4" w:space="0" w:color="auto"/>
              <w:right w:val="single" w:sz="4" w:space="0" w:color="auto"/>
            </w:tcBorders>
            <w:shd w:val="clear" w:color="auto" w:fill="auto"/>
            <w:vAlign w:val="center"/>
            <w:hideMark/>
          </w:tcPr>
          <w:p w14:paraId="66C8E25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nil"/>
              <w:left w:val="nil"/>
              <w:bottom w:val="single" w:sz="4" w:space="0" w:color="auto"/>
              <w:right w:val="single" w:sz="4" w:space="0" w:color="auto"/>
            </w:tcBorders>
            <w:shd w:val="clear" w:color="auto" w:fill="auto"/>
            <w:vAlign w:val="center"/>
            <w:hideMark/>
          </w:tcPr>
          <w:p w14:paraId="439F220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nil"/>
              <w:left w:val="nil"/>
              <w:bottom w:val="single" w:sz="4" w:space="0" w:color="auto"/>
              <w:right w:val="single" w:sz="4" w:space="0" w:color="auto"/>
            </w:tcBorders>
            <w:shd w:val="clear" w:color="auto" w:fill="auto"/>
            <w:vAlign w:val="center"/>
            <w:hideMark/>
          </w:tcPr>
          <w:p w14:paraId="4AEA4AC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1942958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nil"/>
              <w:left w:val="nil"/>
              <w:bottom w:val="single" w:sz="4" w:space="0" w:color="auto"/>
              <w:right w:val="single" w:sz="4" w:space="0" w:color="auto"/>
            </w:tcBorders>
            <w:shd w:val="clear" w:color="auto" w:fill="auto"/>
            <w:vAlign w:val="center"/>
            <w:hideMark/>
          </w:tcPr>
          <w:p w14:paraId="2A6EED2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7C8BCE5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nil"/>
              <w:left w:val="nil"/>
              <w:bottom w:val="single" w:sz="4" w:space="0" w:color="auto"/>
              <w:right w:val="single" w:sz="4" w:space="0" w:color="auto"/>
            </w:tcBorders>
            <w:shd w:val="clear" w:color="auto" w:fill="auto"/>
            <w:vAlign w:val="center"/>
            <w:hideMark/>
          </w:tcPr>
          <w:p w14:paraId="1A78117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0B43A44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nil"/>
              <w:left w:val="nil"/>
              <w:bottom w:val="single" w:sz="4" w:space="0" w:color="auto"/>
              <w:right w:val="single" w:sz="4" w:space="0" w:color="auto"/>
            </w:tcBorders>
            <w:shd w:val="clear" w:color="auto" w:fill="auto"/>
            <w:vAlign w:val="center"/>
            <w:hideMark/>
          </w:tcPr>
          <w:p w14:paraId="3D0216A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nil"/>
              <w:left w:val="nil"/>
              <w:bottom w:val="single" w:sz="4" w:space="0" w:color="auto"/>
              <w:right w:val="single" w:sz="4" w:space="0" w:color="auto"/>
            </w:tcBorders>
            <w:shd w:val="clear" w:color="auto" w:fill="auto"/>
            <w:vAlign w:val="center"/>
            <w:hideMark/>
          </w:tcPr>
          <w:p w14:paraId="142BDCD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218" w:type="pct"/>
            <w:tcBorders>
              <w:top w:val="nil"/>
              <w:left w:val="nil"/>
              <w:bottom w:val="single" w:sz="4" w:space="0" w:color="auto"/>
              <w:right w:val="single" w:sz="4" w:space="0" w:color="auto"/>
            </w:tcBorders>
            <w:shd w:val="clear" w:color="auto" w:fill="auto"/>
            <w:vAlign w:val="center"/>
            <w:hideMark/>
          </w:tcPr>
          <w:p w14:paraId="71C4B5B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227D215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39" w:type="pct"/>
            <w:tcBorders>
              <w:top w:val="nil"/>
              <w:left w:val="nil"/>
              <w:bottom w:val="single" w:sz="4" w:space="0" w:color="auto"/>
              <w:right w:val="single" w:sz="4" w:space="0" w:color="auto"/>
            </w:tcBorders>
            <w:shd w:val="clear" w:color="auto" w:fill="auto"/>
            <w:vAlign w:val="center"/>
            <w:hideMark/>
          </w:tcPr>
          <w:p w14:paraId="35753FC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42" w:type="pct"/>
            <w:tcBorders>
              <w:top w:val="nil"/>
              <w:left w:val="nil"/>
              <w:bottom w:val="single" w:sz="4" w:space="0" w:color="auto"/>
              <w:right w:val="single" w:sz="4" w:space="0" w:color="auto"/>
            </w:tcBorders>
            <w:shd w:val="clear" w:color="auto" w:fill="auto"/>
            <w:vAlign w:val="center"/>
            <w:hideMark/>
          </w:tcPr>
          <w:p w14:paraId="6E1BA29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28" w:type="pct"/>
            <w:tcBorders>
              <w:top w:val="nil"/>
              <w:left w:val="nil"/>
              <w:bottom w:val="single" w:sz="4" w:space="0" w:color="auto"/>
              <w:right w:val="single" w:sz="4" w:space="0" w:color="auto"/>
            </w:tcBorders>
            <w:shd w:val="clear" w:color="auto" w:fill="auto"/>
            <w:vAlign w:val="center"/>
            <w:hideMark/>
          </w:tcPr>
          <w:p w14:paraId="3539154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77" w:type="pct"/>
            <w:tcBorders>
              <w:top w:val="nil"/>
              <w:left w:val="nil"/>
              <w:bottom w:val="single" w:sz="4" w:space="0" w:color="auto"/>
              <w:right w:val="single" w:sz="8" w:space="0" w:color="auto"/>
            </w:tcBorders>
            <w:shd w:val="clear" w:color="auto" w:fill="auto"/>
            <w:vAlign w:val="center"/>
            <w:hideMark/>
          </w:tcPr>
          <w:p w14:paraId="69F32FD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r>
      <w:tr w:rsidR="00C260C3" w:rsidRPr="00B457F5" w14:paraId="3B51F944" w14:textId="77777777" w:rsidTr="00C260C3">
        <w:trPr>
          <w:trHeight w:val="20"/>
        </w:trPr>
        <w:tc>
          <w:tcPr>
            <w:tcW w:w="131" w:type="pct"/>
            <w:tcBorders>
              <w:top w:val="nil"/>
              <w:left w:val="single" w:sz="8" w:space="0" w:color="auto"/>
              <w:bottom w:val="single" w:sz="4" w:space="0" w:color="auto"/>
              <w:right w:val="single" w:sz="4" w:space="0" w:color="auto"/>
            </w:tcBorders>
            <w:shd w:val="clear" w:color="000000" w:fill="D9D9D9"/>
            <w:vAlign w:val="center"/>
            <w:hideMark/>
          </w:tcPr>
          <w:p w14:paraId="5942516D"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2.1.1</w:t>
            </w:r>
          </w:p>
        </w:tc>
        <w:tc>
          <w:tcPr>
            <w:tcW w:w="281" w:type="pct"/>
            <w:tcBorders>
              <w:top w:val="nil"/>
              <w:left w:val="nil"/>
              <w:bottom w:val="single" w:sz="4" w:space="0" w:color="auto"/>
              <w:right w:val="single" w:sz="4" w:space="0" w:color="auto"/>
            </w:tcBorders>
            <w:shd w:val="clear" w:color="000000" w:fill="D9D9D9"/>
            <w:vAlign w:val="center"/>
            <w:hideMark/>
          </w:tcPr>
          <w:p w14:paraId="603AA80D" w14:textId="1461C63E"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2.1.1</w:t>
            </w:r>
            <w:r w:rsidR="007761FF" w:rsidRPr="00B457F5">
              <w:rPr>
                <w:rFonts w:ascii="Garamond" w:eastAsia="Times New Roman" w:hAnsi="Garamond" w:cs="Times New Roman"/>
                <w:b/>
                <w:bCs/>
                <w:color w:val="000000"/>
                <w:sz w:val="4"/>
                <w:szCs w:val="10"/>
              </w:rPr>
              <w:t xml:space="preserve"> </w:t>
            </w:r>
            <w:r w:rsidRPr="00B457F5">
              <w:rPr>
                <w:rFonts w:ascii="Garamond" w:eastAsia="Times New Roman" w:hAnsi="Garamond" w:cs="Times New Roman"/>
                <w:b/>
                <w:bCs/>
                <w:color w:val="000000"/>
                <w:sz w:val="4"/>
                <w:szCs w:val="10"/>
              </w:rPr>
              <w:t>Përmirësimi i kuadrit ligjor për migracionin e punës</w:t>
            </w:r>
          </w:p>
        </w:tc>
        <w:tc>
          <w:tcPr>
            <w:tcW w:w="186" w:type="pct"/>
            <w:tcBorders>
              <w:top w:val="nil"/>
              <w:left w:val="nil"/>
              <w:bottom w:val="single" w:sz="4" w:space="0" w:color="auto"/>
              <w:right w:val="single" w:sz="4" w:space="0" w:color="auto"/>
            </w:tcBorders>
            <w:shd w:val="clear" w:color="000000" w:fill="D9D9D9"/>
            <w:vAlign w:val="center"/>
            <w:hideMark/>
          </w:tcPr>
          <w:p w14:paraId="454DD250" w14:textId="7A6487FB" w:rsidR="00C260C3" w:rsidRPr="00B457F5" w:rsidRDefault="00C260C3" w:rsidP="007761FF">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7761FF" w:rsidRPr="00B457F5">
              <w:rPr>
                <w:rFonts w:ascii="Garamond" w:eastAsia="Times New Roman" w:hAnsi="Garamond" w:cs="Times New Roman"/>
                <w:color w:val="FF0000"/>
                <w:sz w:val="4"/>
                <w:szCs w:val="10"/>
              </w:rPr>
              <w:t>Punës</w:t>
            </w:r>
          </w:p>
        </w:tc>
        <w:tc>
          <w:tcPr>
            <w:tcW w:w="169" w:type="pct"/>
            <w:tcBorders>
              <w:top w:val="nil"/>
              <w:left w:val="nil"/>
              <w:bottom w:val="single" w:sz="4" w:space="0" w:color="auto"/>
              <w:right w:val="single" w:sz="4" w:space="0" w:color="auto"/>
            </w:tcBorders>
            <w:shd w:val="clear" w:color="000000" w:fill="D9D9D9"/>
            <w:vAlign w:val="center"/>
            <w:hideMark/>
          </w:tcPr>
          <w:p w14:paraId="558A2DD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MEKI</w:t>
            </w:r>
          </w:p>
        </w:tc>
        <w:tc>
          <w:tcPr>
            <w:tcW w:w="244" w:type="pct"/>
            <w:tcBorders>
              <w:top w:val="nil"/>
              <w:left w:val="nil"/>
              <w:bottom w:val="single" w:sz="4" w:space="0" w:color="auto"/>
              <w:right w:val="single" w:sz="4" w:space="0" w:color="auto"/>
            </w:tcBorders>
            <w:shd w:val="clear" w:color="000000" w:fill="D9D9D9"/>
            <w:vAlign w:val="center"/>
            <w:hideMark/>
          </w:tcPr>
          <w:p w14:paraId="310E5938" w14:textId="271AEBED"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AKPA, AKSHI, MB, ISHPSHS, ISSH,</w:t>
            </w:r>
            <w:r w:rsidR="0006016F" w:rsidRPr="00B457F5">
              <w:rPr>
                <w:rFonts w:ascii="Garamond" w:eastAsia="Times New Roman" w:hAnsi="Garamond" w:cs="Times New Roman"/>
                <w:color w:val="000000"/>
                <w:sz w:val="4"/>
                <w:szCs w:val="10"/>
              </w:rPr>
              <w:t xml:space="preserve"> </w:t>
            </w:r>
            <w:r w:rsidR="007761FF" w:rsidRPr="00B457F5">
              <w:rPr>
                <w:rFonts w:ascii="Garamond" w:eastAsia="Times New Roman" w:hAnsi="Garamond" w:cs="Times New Roman"/>
                <w:color w:val="000000"/>
                <w:sz w:val="4"/>
                <w:szCs w:val="10"/>
              </w:rPr>
              <w:t>d</w:t>
            </w:r>
            <w:r w:rsidRPr="00B457F5">
              <w:rPr>
                <w:rFonts w:ascii="Garamond" w:eastAsia="Times New Roman" w:hAnsi="Garamond" w:cs="Times New Roman"/>
                <w:color w:val="000000"/>
                <w:sz w:val="4"/>
                <w:szCs w:val="10"/>
              </w:rPr>
              <w:t>onator</w:t>
            </w:r>
            <w:r w:rsidR="007761FF" w:rsidRPr="00B457F5">
              <w:rPr>
                <w:rFonts w:ascii="Garamond" w:eastAsia="Times New Roman" w:hAnsi="Garamond" w:cs="Times New Roman"/>
                <w:color w:val="000000"/>
                <w:sz w:val="4"/>
                <w:szCs w:val="10"/>
              </w:rPr>
              <w:t>ë</w:t>
            </w:r>
            <w:r w:rsidRPr="00B457F5">
              <w:rPr>
                <w:rFonts w:ascii="Garamond" w:eastAsia="Times New Roman" w:hAnsi="Garamond" w:cs="Times New Roman"/>
                <w:color w:val="000000"/>
                <w:sz w:val="4"/>
                <w:szCs w:val="10"/>
              </w:rPr>
              <w:t>, MSHMS, MEPJ, DKM, GIZ</w:t>
            </w:r>
          </w:p>
        </w:tc>
        <w:tc>
          <w:tcPr>
            <w:tcW w:w="135" w:type="pct"/>
            <w:tcBorders>
              <w:top w:val="nil"/>
              <w:left w:val="nil"/>
              <w:bottom w:val="single" w:sz="4" w:space="0" w:color="auto"/>
              <w:right w:val="nil"/>
            </w:tcBorders>
            <w:shd w:val="clear" w:color="000000" w:fill="D9D9D9"/>
            <w:vAlign w:val="center"/>
            <w:hideMark/>
          </w:tcPr>
          <w:p w14:paraId="0E817C55"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single" w:sz="4" w:space="0" w:color="auto"/>
              <w:bottom w:val="single" w:sz="4" w:space="0" w:color="auto"/>
              <w:right w:val="single" w:sz="4" w:space="0" w:color="auto"/>
            </w:tcBorders>
            <w:shd w:val="clear" w:color="000000" w:fill="D9D9D9"/>
            <w:vAlign w:val="center"/>
            <w:hideMark/>
          </w:tcPr>
          <w:p w14:paraId="188B8B3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000000" w:fill="D9D9D9"/>
            <w:vAlign w:val="center"/>
            <w:hideMark/>
          </w:tcPr>
          <w:p w14:paraId="3C67A72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5,268,049</w:t>
            </w:r>
          </w:p>
        </w:tc>
        <w:tc>
          <w:tcPr>
            <w:tcW w:w="155" w:type="pct"/>
            <w:tcBorders>
              <w:top w:val="nil"/>
              <w:left w:val="nil"/>
              <w:bottom w:val="single" w:sz="4" w:space="0" w:color="auto"/>
              <w:right w:val="single" w:sz="4" w:space="0" w:color="auto"/>
            </w:tcBorders>
            <w:shd w:val="clear" w:color="000000" w:fill="D9D9D9"/>
            <w:vAlign w:val="center"/>
            <w:hideMark/>
          </w:tcPr>
          <w:p w14:paraId="6F8345A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1A14C98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5,268,049</w:t>
            </w:r>
          </w:p>
        </w:tc>
        <w:tc>
          <w:tcPr>
            <w:tcW w:w="165" w:type="pct"/>
            <w:tcBorders>
              <w:top w:val="nil"/>
              <w:left w:val="nil"/>
              <w:bottom w:val="single" w:sz="4" w:space="0" w:color="auto"/>
              <w:right w:val="single" w:sz="4" w:space="0" w:color="auto"/>
            </w:tcBorders>
            <w:shd w:val="clear" w:color="000000" w:fill="D9D9D9"/>
            <w:vAlign w:val="center"/>
            <w:hideMark/>
          </w:tcPr>
          <w:p w14:paraId="2A84053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13,847,460</w:t>
            </w:r>
          </w:p>
        </w:tc>
        <w:tc>
          <w:tcPr>
            <w:tcW w:w="163" w:type="pct"/>
            <w:tcBorders>
              <w:top w:val="nil"/>
              <w:left w:val="nil"/>
              <w:bottom w:val="single" w:sz="4" w:space="0" w:color="auto"/>
              <w:right w:val="single" w:sz="4" w:space="0" w:color="auto"/>
            </w:tcBorders>
            <w:shd w:val="clear" w:color="000000" w:fill="D9D9D9"/>
            <w:vAlign w:val="center"/>
            <w:hideMark/>
          </w:tcPr>
          <w:p w14:paraId="25C8687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145C8F8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13,847,460</w:t>
            </w:r>
          </w:p>
        </w:tc>
        <w:tc>
          <w:tcPr>
            <w:tcW w:w="163" w:type="pct"/>
            <w:tcBorders>
              <w:top w:val="nil"/>
              <w:left w:val="nil"/>
              <w:bottom w:val="single" w:sz="4" w:space="0" w:color="auto"/>
              <w:right w:val="single" w:sz="4" w:space="0" w:color="auto"/>
            </w:tcBorders>
            <w:shd w:val="clear" w:color="000000" w:fill="D9D9D9"/>
            <w:vAlign w:val="center"/>
            <w:hideMark/>
          </w:tcPr>
          <w:p w14:paraId="3DF9D50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13,847,460</w:t>
            </w:r>
          </w:p>
        </w:tc>
        <w:tc>
          <w:tcPr>
            <w:tcW w:w="148" w:type="pct"/>
            <w:tcBorders>
              <w:top w:val="nil"/>
              <w:left w:val="nil"/>
              <w:bottom w:val="single" w:sz="4" w:space="0" w:color="auto"/>
              <w:right w:val="single" w:sz="4" w:space="0" w:color="auto"/>
            </w:tcBorders>
            <w:shd w:val="clear" w:color="000000" w:fill="D9D9D9"/>
            <w:vAlign w:val="center"/>
            <w:hideMark/>
          </w:tcPr>
          <w:p w14:paraId="346F2C5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2805C10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13,847,460</w:t>
            </w:r>
          </w:p>
        </w:tc>
        <w:tc>
          <w:tcPr>
            <w:tcW w:w="165" w:type="pct"/>
            <w:tcBorders>
              <w:top w:val="nil"/>
              <w:left w:val="nil"/>
              <w:bottom w:val="single" w:sz="4" w:space="0" w:color="auto"/>
              <w:right w:val="single" w:sz="4" w:space="0" w:color="auto"/>
            </w:tcBorders>
            <w:shd w:val="clear" w:color="000000" w:fill="D9D9D9"/>
            <w:vAlign w:val="center"/>
            <w:hideMark/>
          </w:tcPr>
          <w:p w14:paraId="7FCC04A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32,962,969</w:t>
            </w:r>
          </w:p>
        </w:tc>
        <w:tc>
          <w:tcPr>
            <w:tcW w:w="163" w:type="pct"/>
            <w:tcBorders>
              <w:top w:val="nil"/>
              <w:left w:val="nil"/>
              <w:bottom w:val="single" w:sz="4" w:space="0" w:color="auto"/>
              <w:right w:val="single" w:sz="4" w:space="0" w:color="auto"/>
            </w:tcBorders>
            <w:shd w:val="clear" w:color="000000" w:fill="D9D9D9"/>
            <w:vAlign w:val="center"/>
            <w:hideMark/>
          </w:tcPr>
          <w:p w14:paraId="50DC9C2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D9D9D9"/>
            <w:vAlign w:val="center"/>
            <w:hideMark/>
          </w:tcPr>
          <w:p w14:paraId="3A5FFB5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32,962,969</w:t>
            </w:r>
          </w:p>
        </w:tc>
        <w:tc>
          <w:tcPr>
            <w:tcW w:w="163" w:type="pct"/>
            <w:tcBorders>
              <w:top w:val="nil"/>
              <w:left w:val="nil"/>
              <w:bottom w:val="single" w:sz="4" w:space="0" w:color="auto"/>
              <w:right w:val="single" w:sz="4" w:space="0" w:color="auto"/>
            </w:tcBorders>
            <w:shd w:val="clear" w:color="000000" w:fill="D9D9D9"/>
            <w:vAlign w:val="center"/>
            <w:hideMark/>
          </w:tcPr>
          <w:p w14:paraId="0F3AB4D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31,126,969</w:t>
            </w:r>
          </w:p>
        </w:tc>
        <w:tc>
          <w:tcPr>
            <w:tcW w:w="155" w:type="pct"/>
            <w:tcBorders>
              <w:top w:val="nil"/>
              <w:left w:val="nil"/>
              <w:bottom w:val="single" w:sz="4" w:space="0" w:color="auto"/>
              <w:right w:val="single" w:sz="4" w:space="0" w:color="auto"/>
            </w:tcBorders>
            <w:shd w:val="clear" w:color="000000" w:fill="D9D9D9"/>
            <w:vAlign w:val="center"/>
            <w:hideMark/>
          </w:tcPr>
          <w:p w14:paraId="5A3778D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1D238B7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31,126,969</w:t>
            </w:r>
          </w:p>
        </w:tc>
        <w:tc>
          <w:tcPr>
            <w:tcW w:w="162" w:type="pct"/>
            <w:tcBorders>
              <w:top w:val="nil"/>
              <w:left w:val="nil"/>
              <w:bottom w:val="single" w:sz="4" w:space="0" w:color="auto"/>
              <w:right w:val="single" w:sz="4" w:space="0" w:color="auto"/>
            </w:tcBorders>
            <w:shd w:val="clear" w:color="000000" w:fill="D9D9D9"/>
            <w:vAlign w:val="center"/>
            <w:hideMark/>
          </w:tcPr>
          <w:p w14:paraId="77A98F3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1,836,000</w:t>
            </w:r>
          </w:p>
        </w:tc>
        <w:tc>
          <w:tcPr>
            <w:tcW w:w="155" w:type="pct"/>
            <w:tcBorders>
              <w:top w:val="nil"/>
              <w:left w:val="nil"/>
              <w:bottom w:val="single" w:sz="4" w:space="0" w:color="auto"/>
              <w:right w:val="single" w:sz="4" w:space="0" w:color="auto"/>
            </w:tcBorders>
            <w:shd w:val="clear" w:color="000000" w:fill="D9D9D9"/>
            <w:vAlign w:val="center"/>
            <w:hideMark/>
          </w:tcPr>
          <w:p w14:paraId="3EE84C6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000000" w:fill="D9D9D9"/>
            <w:noWrap/>
            <w:vAlign w:val="center"/>
            <w:hideMark/>
          </w:tcPr>
          <w:p w14:paraId="70C71AF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D9D9D9"/>
            <w:noWrap/>
            <w:vAlign w:val="center"/>
            <w:hideMark/>
          </w:tcPr>
          <w:p w14:paraId="2161C3D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1,836,000</w:t>
            </w:r>
          </w:p>
        </w:tc>
        <w:tc>
          <w:tcPr>
            <w:tcW w:w="139" w:type="pct"/>
            <w:tcBorders>
              <w:top w:val="nil"/>
              <w:left w:val="nil"/>
              <w:bottom w:val="single" w:sz="4" w:space="0" w:color="auto"/>
              <w:right w:val="single" w:sz="4" w:space="0" w:color="auto"/>
            </w:tcBorders>
            <w:shd w:val="clear" w:color="000000" w:fill="D9D9D9"/>
            <w:vAlign w:val="center"/>
            <w:hideMark/>
          </w:tcPr>
          <w:p w14:paraId="3EA2770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000000" w:fill="D9D9D9"/>
            <w:vAlign w:val="center"/>
            <w:hideMark/>
          </w:tcPr>
          <w:p w14:paraId="79BE222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D9D9D9"/>
            <w:noWrap/>
            <w:vAlign w:val="center"/>
            <w:hideMark/>
          </w:tcPr>
          <w:p w14:paraId="0E31631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000000" w:fill="D9D9D9"/>
            <w:vAlign w:val="center"/>
            <w:hideMark/>
          </w:tcPr>
          <w:p w14:paraId="17B2A433" w14:textId="6F0ED84B"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5F2079FD"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center"/>
            <w:hideMark/>
          </w:tcPr>
          <w:p w14:paraId="52D47D25"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2.1.1.1</w:t>
            </w:r>
          </w:p>
        </w:tc>
        <w:tc>
          <w:tcPr>
            <w:tcW w:w="281" w:type="pct"/>
            <w:tcBorders>
              <w:top w:val="nil"/>
              <w:left w:val="nil"/>
              <w:bottom w:val="single" w:sz="4" w:space="0" w:color="auto"/>
              <w:right w:val="single" w:sz="4" w:space="0" w:color="auto"/>
            </w:tcBorders>
            <w:shd w:val="clear" w:color="auto" w:fill="auto"/>
            <w:vAlign w:val="center"/>
            <w:hideMark/>
          </w:tcPr>
          <w:p w14:paraId="3CD1CD4F" w14:textId="2238AE6D"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2.1.1.1 Miratimi i ndryshimeve ligjore për migracionin e punës dhe përafrimi i mëtejshëm me </w:t>
            </w:r>
            <w:r w:rsidRPr="00B457F5">
              <w:rPr>
                <w:rFonts w:ascii="Garamond" w:eastAsia="Times New Roman" w:hAnsi="Garamond" w:cs="Times New Roman"/>
                <w:i/>
                <w:color w:val="000000"/>
                <w:sz w:val="4"/>
                <w:szCs w:val="10"/>
              </w:rPr>
              <w:t>acquis</w:t>
            </w:r>
            <w:r w:rsidRPr="00B457F5">
              <w:rPr>
                <w:rFonts w:ascii="Garamond" w:eastAsia="Times New Roman" w:hAnsi="Garamond" w:cs="Times New Roman"/>
                <w:color w:val="000000"/>
                <w:sz w:val="4"/>
                <w:szCs w:val="10"/>
              </w:rPr>
              <w:t xml:space="preserve"> të BE</w:t>
            </w:r>
            <w:r w:rsidR="00FC441E" w:rsidRPr="00B457F5">
              <w:rPr>
                <w:rFonts w:ascii="Garamond" w:eastAsia="Times New Roman" w:hAnsi="Garamond" w:cs="Times New Roman"/>
                <w:color w:val="000000"/>
                <w:sz w:val="4"/>
                <w:szCs w:val="10"/>
              </w:rPr>
              <w:t>-së,</w:t>
            </w:r>
            <w:r w:rsidRPr="00B457F5">
              <w:rPr>
                <w:rFonts w:ascii="Garamond" w:eastAsia="Times New Roman" w:hAnsi="Garamond" w:cs="Times New Roman"/>
                <w:color w:val="000000"/>
                <w:sz w:val="4"/>
                <w:szCs w:val="10"/>
              </w:rPr>
              <w:t xml:space="preserve"> për </w:t>
            </w:r>
            <w:r w:rsidR="00FC441E" w:rsidRPr="00B457F5">
              <w:rPr>
                <w:rFonts w:ascii="Garamond" w:eastAsia="Times New Roman" w:hAnsi="Garamond" w:cs="Times New Roman"/>
                <w:color w:val="000000"/>
                <w:sz w:val="4"/>
                <w:szCs w:val="10"/>
              </w:rPr>
              <w:t>k</w:t>
            </w:r>
            <w:r w:rsidRPr="00B457F5">
              <w:rPr>
                <w:rFonts w:ascii="Garamond" w:eastAsia="Times New Roman" w:hAnsi="Garamond" w:cs="Times New Roman"/>
                <w:color w:val="000000"/>
                <w:sz w:val="4"/>
                <w:szCs w:val="10"/>
              </w:rPr>
              <w:t xml:space="preserve">apitullin 2 </w:t>
            </w:r>
            <w:r w:rsidR="00A313A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Lëvizja e lirë e punonjësve</w:t>
            </w:r>
            <w:r w:rsidR="00A313A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w:t>
            </w:r>
            <w:r w:rsidR="00FC441E" w:rsidRPr="00B457F5">
              <w:rPr>
                <w:rFonts w:ascii="Garamond" w:eastAsia="Times New Roman" w:hAnsi="Garamond" w:cs="Times New Roman"/>
                <w:color w:val="000000"/>
                <w:sz w:val="4"/>
                <w:szCs w:val="10"/>
              </w:rPr>
              <w:t>k</w:t>
            </w:r>
            <w:r w:rsidRPr="00B457F5">
              <w:rPr>
                <w:rFonts w:ascii="Garamond" w:eastAsia="Times New Roman" w:hAnsi="Garamond" w:cs="Times New Roman"/>
                <w:color w:val="000000"/>
                <w:sz w:val="4"/>
                <w:szCs w:val="10"/>
              </w:rPr>
              <w:t xml:space="preserve">apitullin 3 </w:t>
            </w:r>
            <w:r w:rsidR="00A313A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E drejta e vendosjes dhe për të ofruar shërbimeve</w:t>
            </w:r>
            <w:r w:rsidR="00A313A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w:t>
            </w:r>
            <w:r w:rsidR="00FC441E" w:rsidRPr="00B457F5">
              <w:rPr>
                <w:rFonts w:ascii="Garamond" w:eastAsia="Times New Roman" w:hAnsi="Garamond" w:cs="Times New Roman"/>
                <w:color w:val="000000"/>
                <w:sz w:val="4"/>
                <w:szCs w:val="10"/>
              </w:rPr>
              <w:t>k</w:t>
            </w:r>
            <w:r w:rsidRPr="00B457F5">
              <w:rPr>
                <w:rFonts w:ascii="Garamond" w:eastAsia="Times New Roman" w:hAnsi="Garamond" w:cs="Times New Roman"/>
                <w:color w:val="000000"/>
                <w:sz w:val="4"/>
                <w:szCs w:val="10"/>
              </w:rPr>
              <w:t xml:space="preserve">apitullin 19 </w:t>
            </w:r>
            <w:r w:rsidR="00A313A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Politikat Sociale dhe Punësimi</w:t>
            </w:r>
            <w:r w:rsidR="00A313A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dhe kapitullin 24 </w:t>
            </w:r>
            <w:r w:rsidR="00A313A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Drejtësi, Liri dhe Siguri</w:t>
            </w:r>
            <w:r w:rsidR="00A313AE" w:rsidRPr="00B457F5">
              <w:rPr>
                <w:rFonts w:ascii="Garamond" w:eastAsia="Times New Roman" w:hAnsi="Garamond" w:cs="Times New Roman"/>
                <w:color w:val="000000"/>
                <w:sz w:val="4"/>
                <w:szCs w:val="10"/>
              </w:rPr>
              <w:t>”</w:t>
            </w:r>
          </w:p>
        </w:tc>
        <w:tc>
          <w:tcPr>
            <w:tcW w:w="186" w:type="pct"/>
            <w:tcBorders>
              <w:top w:val="nil"/>
              <w:left w:val="nil"/>
              <w:bottom w:val="single" w:sz="4" w:space="0" w:color="auto"/>
              <w:right w:val="single" w:sz="4" w:space="0" w:color="auto"/>
            </w:tcBorders>
            <w:shd w:val="clear" w:color="000000" w:fill="F2F2F2"/>
            <w:vAlign w:val="center"/>
            <w:hideMark/>
          </w:tcPr>
          <w:p w14:paraId="57BE1382" w14:textId="061B75AF" w:rsidR="00C260C3" w:rsidRPr="00B457F5" w:rsidRDefault="00C260C3" w:rsidP="007761FF">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7761FF" w:rsidRPr="00B457F5">
              <w:rPr>
                <w:rFonts w:ascii="Garamond" w:eastAsia="Times New Roman" w:hAnsi="Garamond" w:cs="Times New Roman"/>
                <w:color w:val="FF0000"/>
                <w:sz w:val="4"/>
                <w:szCs w:val="10"/>
              </w:rPr>
              <w:t>Punës</w:t>
            </w:r>
          </w:p>
        </w:tc>
        <w:tc>
          <w:tcPr>
            <w:tcW w:w="169" w:type="pct"/>
            <w:tcBorders>
              <w:top w:val="nil"/>
              <w:left w:val="nil"/>
              <w:bottom w:val="single" w:sz="4" w:space="0" w:color="auto"/>
              <w:right w:val="single" w:sz="4" w:space="0" w:color="auto"/>
            </w:tcBorders>
            <w:shd w:val="clear" w:color="auto" w:fill="auto"/>
            <w:vAlign w:val="center"/>
            <w:hideMark/>
          </w:tcPr>
          <w:p w14:paraId="31FF4AD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MEKI</w:t>
            </w:r>
          </w:p>
        </w:tc>
        <w:tc>
          <w:tcPr>
            <w:tcW w:w="244" w:type="pct"/>
            <w:tcBorders>
              <w:top w:val="nil"/>
              <w:left w:val="nil"/>
              <w:bottom w:val="single" w:sz="4" w:space="0" w:color="auto"/>
              <w:right w:val="single" w:sz="4" w:space="0" w:color="auto"/>
            </w:tcBorders>
            <w:shd w:val="clear" w:color="auto" w:fill="auto"/>
            <w:vAlign w:val="center"/>
            <w:hideMark/>
          </w:tcPr>
          <w:p w14:paraId="29E6705F" w14:textId="0763C72E"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 MSHMS, MEPJ, DKM, ISSH, ISHPSHSH, AKPA, AKSHI</w:t>
            </w:r>
          </w:p>
        </w:tc>
        <w:tc>
          <w:tcPr>
            <w:tcW w:w="135" w:type="pct"/>
            <w:tcBorders>
              <w:top w:val="nil"/>
              <w:left w:val="nil"/>
              <w:bottom w:val="single" w:sz="4" w:space="0" w:color="auto"/>
              <w:right w:val="single" w:sz="4" w:space="0" w:color="auto"/>
            </w:tcBorders>
            <w:shd w:val="clear" w:color="000000" w:fill="DDEBF7"/>
            <w:vAlign w:val="center"/>
            <w:hideMark/>
          </w:tcPr>
          <w:p w14:paraId="0871BFB0"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2025</w:t>
            </w:r>
          </w:p>
        </w:tc>
        <w:tc>
          <w:tcPr>
            <w:tcW w:w="152" w:type="pct"/>
            <w:tcBorders>
              <w:top w:val="nil"/>
              <w:left w:val="nil"/>
              <w:bottom w:val="single" w:sz="4" w:space="0" w:color="auto"/>
              <w:right w:val="single" w:sz="4" w:space="0" w:color="auto"/>
            </w:tcBorders>
            <w:shd w:val="clear" w:color="000000" w:fill="DDEBF7"/>
            <w:vAlign w:val="center"/>
            <w:hideMark/>
          </w:tcPr>
          <w:p w14:paraId="0ED367E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5F44EB4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7202894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665A945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auto" w:fill="auto"/>
            <w:vAlign w:val="center"/>
            <w:hideMark/>
          </w:tcPr>
          <w:p w14:paraId="3BF96BC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8,579,411</w:t>
            </w:r>
          </w:p>
        </w:tc>
        <w:tc>
          <w:tcPr>
            <w:tcW w:w="163" w:type="pct"/>
            <w:tcBorders>
              <w:top w:val="nil"/>
              <w:left w:val="nil"/>
              <w:bottom w:val="single" w:sz="4" w:space="0" w:color="auto"/>
              <w:right w:val="single" w:sz="4" w:space="0" w:color="auto"/>
            </w:tcBorders>
            <w:shd w:val="clear" w:color="auto" w:fill="auto"/>
            <w:vAlign w:val="center"/>
            <w:hideMark/>
          </w:tcPr>
          <w:p w14:paraId="6AA9790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0294EE6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8,579,411</w:t>
            </w:r>
          </w:p>
        </w:tc>
        <w:tc>
          <w:tcPr>
            <w:tcW w:w="163" w:type="pct"/>
            <w:tcBorders>
              <w:top w:val="nil"/>
              <w:left w:val="nil"/>
              <w:bottom w:val="single" w:sz="4" w:space="0" w:color="auto"/>
              <w:right w:val="single" w:sz="4" w:space="0" w:color="auto"/>
            </w:tcBorders>
            <w:shd w:val="clear" w:color="auto" w:fill="auto"/>
            <w:vAlign w:val="center"/>
            <w:hideMark/>
          </w:tcPr>
          <w:p w14:paraId="268B2F6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8,579,411</w:t>
            </w:r>
          </w:p>
        </w:tc>
        <w:tc>
          <w:tcPr>
            <w:tcW w:w="148" w:type="pct"/>
            <w:tcBorders>
              <w:top w:val="nil"/>
              <w:left w:val="nil"/>
              <w:bottom w:val="single" w:sz="4" w:space="0" w:color="auto"/>
              <w:right w:val="single" w:sz="4" w:space="0" w:color="auto"/>
            </w:tcBorders>
            <w:shd w:val="clear" w:color="auto" w:fill="auto"/>
            <w:vAlign w:val="center"/>
            <w:hideMark/>
          </w:tcPr>
          <w:p w14:paraId="44A7370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5DF7BF0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8,579,411</w:t>
            </w:r>
          </w:p>
        </w:tc>
        <w:tc>
          <w:tcPr>
            <w:tcW w:w="165" w:type="pct"/>
            <w:tcBorders>
              <w:top w:val="nil"/>
              <w:left w:val="nil"/>
              <w:bottom w:val="single" w:sz="4" w:space="0" w:color="auto"/>
              <w:right w:val="single" w:sz="4" w:space="0" w:color="auto"/>
            </w:tcBorders>
            <w:shd w:val="clear" w:color="auto" w:fill="auto"/>
            <w:vAlign w:val="center"/>
            <w:hideMark/>
          </w:tcPr>
          <w:p w14:paraId="0467FFB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17,158,822</w:t>
            </w:r>
          </w:p>
        </w:tc>
        <w:tc>
          <w:tcPr>
            <w:tcW w:w="163" w:type="pct"/>
            <w:tcBorders>
              <w:top w:val="nil"/>
              <w:left w:val="nil"/>
              <w:bottom w:val="single" w:sz="4" w:space="0" w:color="auto"/>
              <w:right w:val="single" w:sz="4" w:space="0" w:color="auto"/>
            </w:tcBorders>
            <w:shd w:val="clear" w:color="auto" w:fill="auto"/>
            <w:vAlign w:val="center"/>
            <w:hideMark/>
          </w:tcPr>
          <w:p w14:paraId="24CA656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03A0EA4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17,158,822</w:t>
            </w:r>
          </w:p>
        </w:tc>
        <w:tc>
          <w:tcPr>
            <w:tcW w:w="163" w:type="pct"/>
            <w:tcBorders>
              <w:top w:val="nil"/>
              <w:left w:val="nil"/>
              <w:bottom w:val="single" w:sz="4" w:space="0" w:color="auto"/>
              <w:right w:val="single" w:sz="4" w:space="0" w:color="auto"/>
            </w:tcBorders>
            <w:shd w:val="clear" w:color="auto" w:fill="auto"/>
            <w:vAlign w:val="center"/>
            <w:hideMark/>
          </w:tcPr>
          <w:p w14:paraId="4F49433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17,158,822</w:t>
            </w:r>
          </w:p>
        </w:tc>
        <w:tc>
          <w:tcPr>
            <w:tcW w:w="155" w:type="pct"/>
            <w:tcBorders>
              <w:top w:val="nil"/>
              <w:left w:val="nil"/>
              <w:bottom w:val="single" w:sz="4" w:space="0" w:color="auto"/>
              <w:right w:val="single" w:sz="4" w:space="0" w:color="auto"/>
            </w:tcBorders>
            <w:shd w:val="clear" w:color="auto" w:fill="auto"/>
            <w:vAlign w:val="center"/>
            <w:hideMark/>
          </w:tcPr>
          <w:p w14:paraId="48A3A9F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49BCF3B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17,158,822</w:t>
            </w:r>
          </w:p>
        </w:tc>
        <w:tc>
          <w:tcPr>
            <w:tcW w:w="162" w:type="pct"/>
            <w:tcBorders>
              <w:top w:val="nil"/>
              <w:left w:val="nil"/>
              <w:bottom w:val="single" w:sz="4" w:space="0" w:color="auto"/>
              <w:right w:val="single" w:sz="4" w:space="0" w:color="auto"/>
            </w:tcBorders>
            <w:shd w:val="clear" w:color="auto" w:fill="auto"/>
            <w:vAlign w:val="center"/>
            <w:hideMark/>
          </w:tcPr>
          <w:p w14:paraId="70DDFAF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0EF2710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noWrap/>
            <w:vAlign w:val="center"/>
            <w:hideMark/>
          </w:tcPr>
          <w:p w14:paraId="05E737D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noWrap/>
            <w:vAlign w:val="center"/>
            <w:hideMark/>
          </w:tcPr>
          <w:p w14:paraId="1257121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noWrap/>
            <w:vAlign w:val="center"/>
            <w:hideMark/>
          </w:tcPr>
          <w:p w14:paraId="315D0EE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noWrap/>
            <w:vAlign w:val="center"/>
            <w:hideMark/>
          </w:tcPr>
          <w:p w14:paraId="5A10E5D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noWrap/>
            <w:vAlign w:val="center"/>
            <w:hideMark/>
          </w:tcPr>
          <w:p w14:paraId="554E5EF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3A9E1F38" w14:textId="278CA43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4BA25624"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center"/>
            <w:hideMark/>
          </w:tcPr>
          <w:p w14:paraId="7BF4C628"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2.1.1.2</w:t>
            </w:r>
          </w:p>
        </w:tc>
        <w:tc>
          <w:tcPr>
            <w:tcW w:w="281" w:type="pct"/>
            <w:tcBorders>
              <w:top w:val="nil"/>
              <w:left w:val="nil"/>
              <w:bottom w:val="single" w:sz="4" w:space="0" w:color="auto"/>
              <w:right w:val="single" w:sz="4" w:space="0" w:color="auto"/>
            </w:tcBorders>
            <w:shd w:val="clear" w:color="auto" w:fill="auto"/>
            <w:vAlign w:val="center"/>
            <w:hideMark/>
          </w:tcPr>
          <w:p w14:paraId="7862F845" w14:textId="73885AF2"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2.1.1.2 Rishikimi i ligjit </w:t>
            </w:r>
            <w:r w:rsidR="00A313A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Për inspektimin në punë</w:t>
            </w:r>
            <w:r w:rsidR="00A313A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me qëllim përforcimin e mekanizmit kundër punësimit informal përfshirë dhe për shtetasit e huaj</w:t>
            </w:r>
          </w:p>
        </w:tc>
        <w:tc>
          <w:tcPr>
            <w:tcW w:w="186" w:type="pct"/>
            <w:tcBorders>
              <w:top w:val="nil"/>
              <w:left w:val="nil"/>
              <w:bottom w:val="single" w:sz="4" w:space="0" w:color="auto"/>
              <w:right w:val="single" w:sz="4" w:space="0" w:color="auto"/>
            </w:tcBorders>
            <w:shd w:val="clear" w:color="000000" w:fill="F2F2F2"/>
            <w:vAlign w:val="center"/>
            <w:hideMark/>
          </w:tcPr>
          <w:p w14:paraId="07DB6622" w14:textId="1A53C5C7" w:rsidR="00C260C3" w:rsidRPr="00B457F5" w:rsidRDefault="00C260C3" w:rsidP="007761FF">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7761FF" w:rsidRPr="00B457F5">
              <w:rPr>
                <w:rFonts w:ascii="Garamond" w:eastAsia="Times New Roman" w:hAnsi="Garamond" w:cs="Times New Roman"/>
                <w:color w:val="FF0000"/>
                <w:sz w:val="4"/>
                <w:szCs w:val="10"/>
              </w:rPr>
              <w:t>Punës</w:t>
            </w:r>
          </w:p>
        </w:tc>
        <w:tc>
          <w:tcPr>
            <w:tcW w:w="169" w:type="pct"/>
            <w:tcBorders>
              <w:top w:val="nil"/>
              <w:left w:val="nil"/>
              <w:bottom w:val="single" w:sz="4" w:space="0" w:color="auto"/>
              <w:right w:val="single" w:sz="4" w:space="0" w:color="auto"/>
            </w:tcBorders>
            <w:shd w:val="clear" w:color="auto" w:fill="auto"/>
            <w:vAlign w:val="center"/>
            <w:hideMark/>
          </w:tcPr>
          <w:p w14:paraId="06E9CB9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MEKI</w:t>
            </w:r>
          </w:p>
        </w:tc>
        <w:tc>
          <w:tcPr>
            <w:tcW w:w="244" w:type="pct"/>
            <w:tcBorders>
              <w:top w:val="nil"/>
              <w:left w:val="nil"/>
              <w:bottom w:val="single" w:sz="4" w:space="0" w:color="auto"/>
              <w:right w:val="single" w:sz="4" w:space="0" w:color="auto"/>
            </w:tcBorders>
            <w:shd w:val="clear" w:color="auto" w:fill="auto"/>
            <w:vAlign w:val="center"/>
            <w:hideMark/>
          </w:tcPr>
          <w:p w14:paraId="5234444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MB, ISHPSHS, AKPA, </w:t>
            </w:r>
            <w:r w:rsidRPr="00B457F5">
              <w:rPr>
                <w:rFonts w:ascii="Garamond" w:eastAsia="Times New Roman" w:hAnsi="Garamond" w:cs="Times New Roman"/>
                <w:sz w:val="4"/>
                <w:szCs w:val="10"/>
              </w:rPr>
              <w:t>ISSH</w:t>
            </w:r>
          </w:p>
        </w:tc>
        <w:tc>
          <w:tcPr>
            <w:tcW w:w="135" w:type="pct"/>
            <w:tcBorders>
              <w:top w:val="nil"/>
              <w:left w:val="nil"/>
              <w:bottom w:val="single" w:sz="4" w:space="0" w:color="auto"/>
              <w:right w:val="single" w:sz="4" w:space="0" w:color="auto"/>
            </w:tcBorders>
            <w:shd w:val="clear" w:color="000000" w:fill="DDEBF7"/>
            <w:vAlign w:val="center"/>
            <w:hideMark/>
          </w:tcPr>
          <w:p w14:paraId="3A2B811A"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32049637"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750398A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1,608,639</w:t>
            </w:r>
          </w:p>
        </w:tc>
        <w:tc>
          <w:tcPr>
            <w:tcW w:w="155" w:type="pct"/>
            <w:tcBorders>
              <w:top w:val="nil"/>
              <w:left w:val="nil"/>
              <w:bottom w:val="single" w:sz="4" w:space="0" w:color="auto"/>
              <w:right w:val="single" w:sz="4" w:space="0" w:color="auto"/>
            </w:tcBorders>
            <w:shd w:val="clear" w:color="auto" w:fill="auto"/>
            <w:vAlign w:val="center"/>
            <w:hideMark/>
          </w:tcPr>
          <w:p w14:paraId="2604A60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1B62F09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1,608,639</w:t>
            </w:r>
          </w:p>
        </w:tc>
        <w:tc>
          <w:tcPr>
            <w:tcW w:w="165" w:type="pct"/>
            <w:tcBorders>
              <w:top w:val="nil"/>
              <w:left w:val="nil"/>
              <w:bottom w:val="single" w:sz="4" w:space="0" w:color="auto"/>
              <w:right w:val="single" w:sz="4" w:space="0" w:color="auto"/>
            </w:tcBorders>
            <w:shd w:val="clear" w:color="auto" w:fill="auto"/>
            <w:vAlign w:val="center"/>
            <w:hideMark/>
          </w:tcPr>
          <w:p w14:paraId="3DB5206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1,608,639</w:t>
            </w:r>
          </w:p>
        </w:tc>
        <w:tc>
          <w:tcPr>
            <w:tcW w:w="163" w:type="pct"/>
            <w:tcBorders>
              <w:top w:val="nil"/>
              <w:left w:val="nil"/>
              <w:bottom w:val="single" w:sz="4" w:space="0" w:color="auto"/>
              <w:right w:val="single" w:sz="4" w:space="0" w:color="auto"/>
            </w:tcBorders>
            <w:shd w:val="clear" w:color="auto" w:fill="auto"/>
            <w:vAlign w:val="center"/>
            <w:hideMark/>
          </w:tcPr>
          <w:p w14:paraId="68A9152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399DCED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1,608,639</w:t>
            </w:r>
          </w:p>
        </w:tc>
        <w:tc>
          <w:tcPr>
            <w:tcW w:w="163" w:type="pct"/>
            <w:tcBorders>
              <w:top w:val="nil"/>
              <w:left w:val="nil"/>
              <w:bottom w:val="single" w:sz="4" w:space="0" w:color="auto"/>
              <w:right w:val="single" w:sz="4" w:space="0" w:color="auto"/>
            </w:tcBorders>
            <w:shd w:val="clear" w:color="auto" w:fill="auto"/>
            <w:vAlign w:val="center"/>
            <w:hideMark/>
          </w:tcPr>
          <w:p w14:paraId="7615CF9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1,608,639</w:t>
            </w:r>
          </w:p>
        </w:tc>
        <w:tc>
          <w:tcPr>
            <w:tcW w:w="148" w:type="pct"/>
            <w:tcBorders>
              <w:top w:val="nil"/>
              <w:left w:val="nil"/>
              <w:bottom w:val="single" w:sz="4" w:space="0" w:color="auto"/>
              <w:right w:val="single" w:sz="4" w:space="0" w:color="auto"/>
            </w:tcBorders>
            <w:shd w:val="clear" w:color="auto" w:fill="auto"/>
            <w:vAlign w:val="center"/>
            <w:hideMark/>
          </w:tcPr>
          <w:p w14:paraId="3DCAF0B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2D8149F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1,608,639</w:t>
            </w:r>
          </w:p>
        </w:tc>
        <w:tc>
          <w:tcPr>
            <w:tcW w:w="165" w:type="pct"/>
            <w:tcBorders>
              <w:top w:val="nil"/>
              <w:left w:val="nil"/>
              <w:bottom w:val="single" w:sz="4" w:space="0" w:color="auto"/>
              <w:right w:val="single" w:sz="4" w:space="0" w:color="auto"/>
            </w:tcBorders>
            <w:shd w:val="clear" w:color="auto" w:fill="auto"/>
            <w:vAlign w:val="center"/>
            <w:hideMark/>
          </w:tcPr>
          <w:p w14:paraId="53FF460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4,825,917</w:t>
            </w:r>
          </w:p>
        </w:tc>
        <w:tc>
          <w:tcPr>
            <w:tcW w:w="163" w:type="pct"/>
            <w:tcBorders>
              <w:top w:val="nil"/>
              <w:left w:val="nil"/>
              <w:bottom w:val="single" w:sz="4" w:space="0" w:color="auto"/>
              <w:right w:val="single" w:sz="4" w:space="0" w:color="auto"/>
            </w:tcBorders>
            <w:shd w:val="clear" w:color="auto" w:fill="auto"/>
            <w:vAlign w:val="center"/>
            <w:hideMark/>
          </w:tcPr>
          <w:p w14:paraId="032E1DF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1B41232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4,825,917</w:t>
            </w:r>
          </w:p>
        </w:tc>
        <w:tc>
          <w:tcPr>
            <w:tcW w:w="163" w:type="pct"/>
            <w:tcBorders>
              <w:top w:val="nil"/>
              <w:left w:val="nil"/>
              <w:bottom w:val="single" w:sz="4" w:space="0" w:color="auto"/>
              <w:right w:val="single" w:sz="4" w:space="0" w:color="auto"/>
            </w:tcBorders>
            <w:shd w:val="clear" w:color="auto" w:fill="auto"/>
            <w:vAlign w:val="center"/>
            <w:hideMark/>
          </w:tcPr>
          <w:p w14:paraId="2CEEDB3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4,825,917</w:t>
            </w:r>
          </w:p>
        </w:tc>
        <w:tc>
          <w:tcPr>
            <w:tcW w:w="155" w:type="pct"/>
            <w:tcBorders>
              <w:top w:val="nil"/>
              <w:left w:val="nil"/>
              <w:bottom w:val="single" w:sz="4" w:space="0" w:color="auto"/>
              <w:right w:val="single" w:sz="4" w:space="0" w:color="auto"/>
            </w:tcBorders>
            <w:shd w:val="clear" w:color="auto" w:fill="auto"/>
            <w:vAlign w:val="center"/>
            <w:hideMark/>
          </w:tcPr>
          <w:p w14:paraId="625C154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01AA531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4,825,917</w:t>
            </w:r>
          </w:p>
        </w:tc>
        <w:tc>
          <w:tcPr>
            <w:tcW w:w="162" w:type="pct"/>
            <w:tcBorders>
              <w:top w:val="nil"/>
              <w:left w:val="nil"/>
              <w:bottom w:val="single" w:sz="4" w:space="0" w:color="auto"/>
              <w:right w:val="single" w:sz="4" w:space="0" w:color="auto"/>
            </w:tcBorders>
            <w:shd w:val="clear" w:color="auto" w:fill="auto"/>
            <w:vAlign w:val="center"/>
            <w:hideMark/>
          </w:tcPr>
          <w:p w14:paraId="7E434A1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767E23E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noWrap/>
            <w:vAlign w:val="center"/>
            <w:hideMark/>
          </w:tcPr>
          <w:p w14:paraId="6035431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noWrap/>
            <w:vAlign w:val="center"/>
            <w:hideMark/>
          </w:tcPr>
          <w:p w14:paraId="765BBD4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noWrap/>
            <w:vAlign w:val="center"/>
            <w:hideMark/>
          </w:tcPr>
          <w:p w14:paraId="3878D9D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noWrap/>
            <w:vAlign w:val="center"/>
            <w:hideMark/>
          </w:tcPr>
          <w:p w14:paraId="0F498B3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noWrap/>
            <w:vAlign w:val="center"/>
            <w:hideMark/>
          </w:tcPr>
          <w:p w14:paraId="136F41E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2E3F40B6" w14:textId="5984AC45"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75DCBA7F"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center"/>
            <w:hideMark/>
          </w:tcPr>
          <w:p w14:paraId="2DCF7C9E"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2.1.1.3</w:t>
            </w:r>
          </w:p>
        </w:tc>
        <w:tc>
          <w:tcPr>
            <w:tcW w:w="281" w:type="pct"/>
            <w:tcBorders>
              <w:top w:val="nil"/>
              <w:left w:val="nil"/>
              <w:bottom w:val="single" w:sz="4" w:space="0" w:color="auto"/>
              <w:right w:val="single" w:sz="4" w:space="0" w:color="auto"/>
            </w:tcBorders>
            <w:shd w:val="clear" w:color="auto" w:fill="auto"/>
            <w:vAlign w:val="center"/>
            <w:hideMark/>
          </w:tcPr>
          <w:p w14:paraId="0BEC9590"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2.1.1.3 Finalizimi i marrëveshjes dypalëshe për njohjen e periudhave kontributive për sigurimet shoqërore me Greqinë dhe ndjekja e zbatimit të marrëveshjes për njohjen e periudhave kontributive për sigurimet shoqërore, me Italinë</w:t>
            </w:r>
          </w:p>
        </w:tc>
        <w:tc>
          <w:tcPr>
            <w:tcW w:w="186" w:type="pct"/>
            <w:tcBorders>
              <w:top w:val="nil"/>
              <w:left w:val="nil"/>
              <w:bottom w:val="single" w:sz="4" w:space="0" w:color="auto"/>
              <w:right w:val="single" w:sz="4" w:space="0" w:color="auto"/>
            </w:tcBorders>
            <w:shd w:val="clear" w:color="000000" w:fill="F2F2F2"/>
            <w:vAlign w:val="center"/>
            <w:hideMark/>
          </w:tcPr>
          <w:p w14:paraId="0E3278D4" w14:textId="7F8F4D8F" w:rsidR="00C260C3" w:rsidRPr="00B457F5" w:rsidRDefault="00C260C3" w:rsidP="007761FF">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7761FF" w:rsidRPr="00B457F5">
              <w:rPr>
                <w:rFonts w:ascii="Garamond" w:eastAsia="Times New Roman" w:hAnsi="Garamond" w:cs="Times New Roman"/>
                <w:color w:val="FF0000"/>
                <w:sz w:val="4"/>
                <w:szCs w:val="10"/>
              </w:rPr>
              <w:t>Punës</w:t>
            </w:r>
          </w:p>
        </w:tc>
        <w:tc>
          <w:tcPr>
            <w:tcW w:w="169" w:type="pct"/>
            <w:tcBorders>
              <w:top w:val="nil"/>
              <w:left w:val="nil"/>
              <w:bottom w:val="single" w:sz="4" w:space="0" w:color="auto"/>
              <w:right w:val="single" w:sz="4" w:space="0" w:color="auto"/>
            </w:tcBorders>
            <w:shd w:val="clear" w:color="auto" w:fill="auto"/>
            <w:vAlign w:val="center"/>
            <w:hideMark/>
          </w:tcPr>
          <w:p w14:paraId="4152036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MEKI</w:t>
            </w:r>
          </w:p>
        </w:tc>
        <w:tc>
          <w:tcPr>
            <w:tcW w:w="244" w:type="pct"/>
            <w:tcBorders>
              <w:top w:val="nil"/>
              <w:left w:val="nil"/>
              <w:bottom w:val="single" w:sz="4" w:space="0" w:color="auto"/>
              <w:right w:val="single" w:sz="4" w:space="0" w:color="auto"/>
            </w:tcBorders>
            <w:shd w:val="clear" w:color="auto" w:fill="auto"/>
            <w:vAlign w:val="center"/>
            <w:hideMark/>
          </w:tcPr>
          <w:p w14:paraId="02587A1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ISSH</w:t>
            </w:r>
          </w:p>
        </w:tc>
        <w:tc>
          <w:tcPr>
            <w:tcW w:w="135" w:type="pct"/>
            <w:tcBorders>
              <w:top w:val="nil"/>
              <w:left w:val="nil"/>
              <w:bottom w:val="single" w:sz="4" w:space="0" w:color="auto"/>
              <w:right w:val="single" w:sz="4" w:space="0" w:color="auto"/>
            </w:tcBorders>
            <w:shd w:val="clear" w:color="000000" w:fill="DDEBF7"/>
            <w:vAlign w:val="center"/>
            <w:hideMark/>
          </w:tcPr>
          <w:p w14:paraId="175022F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78592A94"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0FC354F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2,815,364</w:t>
            </w:r>
          </w:p>
        </w:tc>
        <w:tc>
          <w:tcPr>
            <w:tcW w:w="155" w:type="pct"/>
            <w:tcBorders>
              <w:top w:val="nil"/>
              <w:left w:val="nil"/>
              <w:bottom w:val="single" w:sz="4" w:space="0" w:color="auto"/>
              <w:right w:val="single" w:sz="4" w:space="0" w:color="auto"/>
            </w:tcBorders>
            <w:shd w:val="clear" w:color="auto" w:fill="auto"/>
            <w:vAlign w:val="center"/>
            <w:hideMark/>
          </w:tcPr>
          <w:p w14:paraId="53A07D6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4EF785D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2,815,364</w:t>
            </w:r>
          </w:p>
        </w:tc>
        <w:tc>
          <w:tcPr>
            <w:tcW w:w="165" w:type="pct"/>
            <w:tcBorders>
              <w:top w:val="nil"/>
              <w:left w:val="nil"/>
              <w:bottom w:val="single" w:sz="4" w:space="0" w:color="auto"/>
              <w:right w:val="single" w:sz="4" w:space="0" w:color="auto"/>
            </w:tcBorders>
            <w:shd w:val="clear" w:color="auto" w:fill="auto"/>
            <w:vAlign w:val="center"/>
            <w:hideMark/>
          </w:tcPr>
          <w:p w14:paraId="08D5CC5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2,815,364</w:t>
            </w:r>
          </w:p>
        </w:tc>
        <w:tc>
          <w:tcPr>
            <w:tcW w:w="163" w:type="pct"/>
            <w:tcBorders>
              <w:top w:val="nil"/>
              <w:left w:val="nil"/>
              <w:bottom w:val="single" w:sz="4" w:space="0" w:color="auto"/>
              <w:right w:val="single" w:sz="4" w:space="0" w:color="auto"/>
            </w:tcBorders>
            <w:shd w:val="clear" w:color="auto" w:fill="auto"/>
            <w:vAlign w:val="center"/>
            <w:hideMark/>
          </w:tcPr>
          <w:p w14:paraId="0D0CF38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44E77EA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2,815,364</w:t>
            </w:r>
          </w:p>
        </w:tc>
        <w:tc>
          <w:tcPr>
            <w:tcW w:w="163" w:type="pct"/>
            <w:tcBorders>
              <w:top w:val="nil"/>
              <w:left w:val="nil"/>
              <w:bottom w:val="single" w:sz="4" w:space="0" w:color="auto"/>
              <w:right w:val="single" w:sz="4" w:space="0" w:color="auto"/>
            </w:tcBorders>
            <w:shd w:val="clear" w:color="auto" w:fill="auto"/>
            <w:vAlign w:val="center"/>
            <w:hideMark/>
          </w:tcPr>
          <w:p w14:paraId="7FF282C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2,815,364</w:t>
            </w:r>
          </w:p>
        </w:tc>
        <w:tc>
          <w:tcPr>
            <w:tcW w:w="148" w:type="pct"/>
            <w:tcBorders>
              <w:top w:val="nil"/>
              <w:left w:val="nil"/>
              <w:bottom w:val="single" w:sz="4" w:space="0" w:color="auto"/>
              <w:right w:val="single" w:sz="4" w:space="0" w:color="auto"/>
            </w:tcBorders>
            <w:shd w:val="clear" w:color="auto" w:fill="auto"/>
            <w:vAlign w:val="center"/>
            <w:hideMark/>
          </w:tcPr>
          <w:p w14:paraId="158F789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3C11F52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2,815,364</w:t>
            </w:r>
          </w:p>
        </w:tc>
        <w:tc>
          <w:tcPr>
            <w:tcW w:w="165" w:type="pct"/>
            <w:tcBorders>
              <w:top w:val="nil"/>
              <w:left w:val="nil"/>
              <w:bottom w:val="single" w:sz="4" w:space="0" w:color="auto"/>
              <w:right w:val="single" w:sz="4" w:space="0" w:color="auto"/>
            </w:tcBorders>
            <w:shd w:val="clear" w:color="auto" w:fill="auto"/>
            <w:vAlign w:val="center"/>
            <w:hideMark/>
          </w:tcPr>
          <w:p w14:paraId="17F77B4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8,446,092</w:t>
            </w:r>
          </w:p>
        </w:tc>
        <w:tc>
          <w:tcPr>
            <w:tcW w:w="163" w:type="pct"/>
            <w:tcBorders>
              <w:top w:val="nil"/>
              <w:left w:val="nil"/>
              <w:bottom w:val="single" w:sz="4" w:space="0" w:color="auto"/>
              <w:right w:val="single" w:sz="4" w:space="0" w:color="auto"/>
            </w:tcBorders>
            <w:shd w:val="clear" w:color="auto" w:fill="auto"/>
            <w:vAlign w:val="center"/>
            <w:hideMark/>
          </w:tcPr>
          <w:p w14:paraId="0C41ABB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4E65393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8,446,092</w:t>
            </w:r>
          </w:p>
        </w:tc>
        <w:tc>
          <w:tcPr>
            <w:tcW w:w="163" w:type="pct"/>
            <w:tcBorders>
              <w:top w:val="nil"/>
              <w:left w:val="nil"/>
              <w:bottom w:val="single" w:sz="4" w:space="0" w:color="auto"/>
              <w:right w:val="single" w:sz="4" w:space="0" w:color="auto"/>
            </w:tcBorders>
            <w:shd w:val="clear" w:color="auto" w:fill="auto"/>
            <w:vAlign w:val="center"/>
            <w:hideMark/>
          </w:tcPr>
          <w:p w14:paraId="1C4FB8A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8,446,092</w:t>
            </w:r>
          </w:p>
        </w:tc>
        <w:tc>
          <w:tcPr>
            <w:tcW w:w="155" w:type="pct"/>
            <w:tcBorders>
              <w:top w:val="nil"/>
              <w:left w:val="nil"/>
              <w:bottom w:val="single" w:sz="4" w:space="0" w:color="auto"/>
              <w:right w:val="single" w:sz="4" w:space="0" w:color="auto"/>
            </w:tcBorders>
            <w:shd w:val="clear" w:color="auto" w:fill="auto"/>
            <w:vAlign w:val="center"/>
            <w:hideMark/>
          </w:tcPr>
          <w:p w14:paraId="396B02A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5951BEC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8,446,092</w:t>
            </w:r>
          </w:p>
        </w:tc>
        <w:tc>
          <w:tcPr>
            <w:tcW w:w="162" w:type="pct"/>
            <w:tcBorders>
              <w:top w:val="nil"/>
              <w:left w:val="nil"/>
              <w:bottom w:val="single" w:sz="4" w:space="0" w:color="auto"/>
              <w:right w:val="single" w:sz="4" w:space="0" w:color="auto"/>
            </w:tcBorders>
            <w:shd w:val="clear" w:color="auto" w:fill="auto"/>
            <w:vAlign w:val="center"/>
            <w:hideMark/>
          </w:tcPr>
          <w:p w14:paraId="3010804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04170A0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noWrap/>
            <w:vAlign w:val="center"/>
            <w:hideMark/>
          </w:tcPr>
          <w:p w14:paraId="02E8724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noWrap/>
            <w:vAlign w:val="center"/>
            <w:hideMark/>
          </w:tcPr>
          <w:p w14:paraId="2A74EF6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noWrap/>
            <w:vAlign w:val="center"/>
            <w:hideMark/>
          </w:tcPr>
          <w:p w14:paraId="6311F61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noWrap/>
            <w:vAlign w:val="center"/>
            <w:hideMark/>
          </w:tcPr>
          <w:p w14:paraId="431A20B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noWrap/>
            <w:vAlign w:val="center"/>
            <w:hideMark/>
          </w:tcPr>
          <w:p w14:paraId="5C655F2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380012C4" w14:textId="51D1A82F"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7786E3DB"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center"/>
            <w:hideMark/>
          </w:tcPr>
          <w:p w14:paraId="2FEB9D6A"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2.1.1.4</w:t>
            </w:r>
          </w:p>
        </w:tc>
        <w:tc>
          <w:tcPr>
            <w:tcW w:w="281" w:type="pct"/>
            <w:tcBorders>
              <w:top w:val="nil"/>
              <w:left w:val="nil"/>
              <w:bottom w:val="single" w:sz="4" w:space="0" w:color="auto"/>
              <w:right w:val="single" w:sz="4" w:space="0" w:color="auto"/>
            </w:tcBorders>
            <w:shd w:val="clear" w:color="auto" w:fill="auto"/>
            <w:vAlign w:val="center"/>
            <w:hideMark/>
          </w:tcPr>
          <w:p w14:paraId="7D02A7F9" w14:textId="4EDDF945"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2.1.1.4 Konsultime publike periodike për imigracionin e rregullt</w:t>
            </w:r>
            <w:r w:rsidR="00FC441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për motive pune</w:t>
            </w:r>
            <w:r w:rsidR="00FC441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me qëllim evidentimin e nevojave por dhe ndjeshmërisë dhe vlerësimin ndaj politikave të imigracionit për motive pune në vend</w:t>
            </w:r>
          </w:p>
        </w:tc>
        <w:tc>
          <w:tcPr>
            <w:tcW w:w="186" w:type="pct"/>
            <w:tcBorders>
              <w:top w:val="nil"/>
              <w:left w:val="nil"/>
              <w:bottom w:val="single" w:sz="4" w:space="0" w:color="auto"/>
              <w:right w:val="nil"/>
            </w:tcBorders>
            <w:shd w:val="clear" w:color="000000" w:fill="F2F2F2"/>
            <w:vAlign w:val="center"/>
            <w:hideMark/>
          </w:tcPr>
          <w:p w14:paraId="69F2EBB3" w14:textId="0FF13BF7" w:rsidR="00C260C3" w:rsidRPr="00B457F5" w:rsidRDefault="00C260C3" w:rsidP="007761FF">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7761FF" w:rsidRPr="00B457F5">
              <w:rPr>
                <w:rFonts w:ascii="Garamond" w:eastAsia="Times New Roman" w:hAnsi="Garamond" w:cs="Times New Roman"/>
                <w:color w:val="FF0000"/>
                <w:sz w:val="4"/>
                <w:szCs w:val="10"/>
              </w:rPr>
              <w:t>Punës</w:t>
            </w:r>
          </w:p>
        </w:tc>
        <w:tc>
          <w:tcPr>
            <w:tcW w:w="169" w:type="pct"/>
            <w:tcBorders>
              <w:top w:val="nil"/>
              <w:left w:val="single" w:sz="4" w:space="0" w:color="auto"/>
              <w:bottom w:val="single" w:sz="4" w:space="0" w:color="auto"/>
              <w:right w:val="single" w:sz="4" w:space="0" w:color="auto"/>
            </w:tcBorders>
            <w:shd w:val="clear" w:color="auto" w:fill="auto"/>
            <w:noWrap/>
            <w:vAlign w:val="center"/>
            <w:hideMark/>
          </w:tcPr>
          <w:p w14:paraId="27490FC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MEKI</w:t>
            </w:r>
          </w:p>
        </w:tc>
        <w:tc>
          <w:tcPr>
            <w:tcW w:w="244" w:type="pct"/>
            <w:tcBorders>
              <w:top w:val="nil"/>
              <w:left w:val="nil"/>
              <w:bottom w:val="single" w:sz="4" w:space="0" w:color="auto"/>
              <w:right w:val="single" w:sz="4" w:space="0" w:color="auto"/>
            </w:tcBorders>
            <w:shd w:val="clear" w:color="auto" w:fill="auto"/>
            <w:vAlign w:val="center"/>
            <w:hideMark/>
          </w:tcPr>
          <w:p w14:paraId="38EE8E9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AKPA, ISHPSHSH, GIZ</w:t>
            </w:r>
          </w:p>
        </w:tc>
        <w:tc>
          <w:tcPr>
            <w:tcW w:w="135" w:type="pct"/>
            <w:tcBorders>
              <w:top w:val="nil"/>
              <w:left w:val="nil"/>
              <w:bottom w:val="single" w:sz="4" w:space="0" w:color="auto"/>
              <w:right w:val="nil"/>
            </w:tcBorders>
            <w:shd w:val="clear" w:color="000000" w:fill="DDEBF7"/>
            <w:vAlign w:val="center"/>
            <w:hideMark/>
          </w:tcPr>
          <w:p w14:paraId="32E1467E"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single" w:sz="4" w:space="0" w:color="auto"/>
              <w:bottom w:val="single" w:sz="4" w:space="0" w:color="auto"/>
              <w:right w:val="single" w:sz="4" w:space="0" w:color="auto"/>
            </w:tcBorders>
            <w:shd w:val="clear" w:color="000000" w:fill="DDEBF7"/>
            <w:vAlign w:val="center"/>
            <w:hideMark/>
          </w:tcPr>
          <w:p w14:paraId="075A317C"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2A29102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844,046</w:t>
            </w:r>
          </w:p>
        </w:tc>
        <w:tc>
          <w:tcPr>
            <w:tcW w:w="155" w:type="pct"/>
            <w:tcBorders>
              <w:top w:val="nil"/>
              <w:left w:val="nil"/>
              <w:bottom w:val="single" w:sz="4" w:space="0" w:color="auto"/>
              <w:right w:val="single" w:sz="4" w:space="0" w:color="auto"/>
            </w:tcBorders>
            <w:shd w:val="clear" w:color="auto" w:fill="auto"/>
            <w:vAlign w:val="center"/>
            <w:hideMark/>
          </w:tcPr>
          <w:p w14:paraId="045C90A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6E2698F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844,046</w:t>
            </w:r>
          </w:p>
        </w:tc>
        <w:tc>
          <w:tcPr>
            <w:tcW w:w="165" w:type="pct"/>
            <w:tcBorders>
              <w:top w:val="nil"/>
              <w:left w:val="nil"/>
              <w:bottom w:val="single" w:sz="4" w:space="0" w:color="auto"/>
              <w:right w:val="single" w:sz="4" w:space="0" w:color="auto"/>
            </w:tcBorders>
            <w:shd w:val="clear" w:color="auto" w:fill="auto"/>
            <w:vAlign w:val="center"/>
            <w:hideMark/>
          </w:tcPr>
          <w:p w14:paraId="59C6C89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844,046</w:t>
            </w:r>
          </w:p>
        </w:tc>
        <w:tc>
          <w:tcPr>
            <w:tcW w:w="163" w:type="pct"/>
            <w:tcBorders>
              <w:top w:val="nil"/>
              <w:left w:val="nil"/>
              <w:bottom w:val="single" w:sz="4" w:space="0" w:color="auto"/>
              <w:right w:val="single" w:sz="4" w:space="0" w:color="auto"/>
            </w:tcBorders>
            <w:shd w:val="clear" w:color="auto" w:fill="auto"/>
            <w:vAlign w:val="center"/>
            <w:hideMark/>
          </w:tcPr>
          <w:p w14:paraId="3A0B388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5B8478C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844,046</w:t>
            </w:r>
          </w:p>
        </w:tc>
        <w:tc>
          <w:tcPr>
            <w:tcW w:w="163" w:type="pct"/>
            <w:tcBorders>
              <w:top w:val="nil"/>
              <w:left w:val="nil"/>
              <w:bottom w:val="single" w:sz="4" w:space="0" w:color="auto"/>
              <w:right w:val="single" w:sz="4" w:space="0" w:color="auto"/>
            </w:tcBorders>
            <w:shd w:val="clear" w:color="auto" w:fill="auto"/>
            <w:vAlign w:val="center"/>
            <w:hideMark/>
          </w:tcPr>
          <w:p w14:paraId="041AF73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844,046</w:t>
            </w:r>
          </w:p>
        </w:tc>
        <w:tc>
          <w:tcPr>
            <w:tcW w:w="148" w:type="pct"/>
            <w:tcBorders>
              <w:top w:val="nil"/>
              <w:left w:val="nil"/>
              <w:bottom w:val="single" w:sz="4" w:space="0" w:color="auto"/>
              <w:right w:val="single" w:sz="4" w:space="0" w:color="auto"/>
            </w:tcBorders>
            <w:shd w:val="clear" w:color="auto" w:fill="auto"/>
            <w:vAlign w:val="center"/>
            <w:hideMark/>
          </w:tcPr>
          <w:p w14:paraId="198AA8F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777FBC4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844,046</w:t>
            </w:r>
          </w:p>
        </w:tc>
        <w:tc>
          <w:tcPr>
            <w:tcW w:w="165" w:type="pct"/>
            <w:tcBorders>
              <w:top w:val="nil"/>
              <w:left w:val="nil"/>
              <w:bottom w:val="single" w:sz="4" w:space="0" w:color="auto"/>
              <w:right w:val="single" w:sz="4" w:space="0" w:color="auto"/>
            </w:tcBorders>
            <w:shd w:val="clear" w:color="auto" w:fill="auto"/>
            <w:vAlign w:val="center"/>
            <w:hideMark/>
          </w:tcPr>
          <w:p w14:paraId="7A65E4D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2,532,138</w:t>
            </w:r>
          </w:p>
        </w:tc>
        <w:tc>
          <w:tcPr>
            <w:tcW w:w="163" w:type="pct"/>
            <w:tcBorders>
              <w:top w:val="nil"/>
              <w:left w:val="nil"/>
              <w:bottom w:val="single" w:sz="4" w:space="0" w:color="auto"/>
              <w:right w:val="single" w:sz="4" w:space="0" w:color="auto"/>
            </w:tcBorders>
            <w:shd w:val="clear" w:color="auto" w:fill="auto"/>
            <w:vAlign w:val="center"/>
            <w:hideMark/>
          </w:tcPr>
          <w:p w14:paraId="320A488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4F8C62B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2,532,138</w:t>
            </w:r>
          </w:p>
        </w:tc>
        <w:tc>
          <w:tcPr>
            <w:tcW w:w="163" w:type="pct"/>
            <w:tcBorders>
              <w:top w:val="nil"/>
              <w:left w:val="nil"/>
              <w:bottom w:val="single" w:sz="4" w:space="0" w:color="auto"/>
              <w:right w:val="single" w:sz="4" w:space="0" w:color="auto"/>
            </w:tcBorders>
            <w:shd w:val="clear" w:color="auto" w:fill="auto"/>
            <w:vAlign w:val="center"/>
            <w:hideMark/>
          </w:tcPr>
          <w:p w14:paraId="57B2F45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696,138</w:t>
            </w:r>
          </w:p>
        </w:tc>
        <w:tc>
          <w:tcPr>
            <w:tcW w:w="155" w:type="pct"/>
            <w:tcBorders>
              <w:top w:val="nil"/>
              <w:left w:val="nil"/>
              <w:bottom w:val="single" w:sz="4" w:space="0" w:color="auto"/>
              <w:right w:val="single" w:sz="4" w:space="0" w:color="auto"/>
            </w:tcBorders>
            <w:shd w:val="clear" w:color="auto" w:fill="auto"/>
            <w:vAlign w:val="center"/>
            <w:hideMark/>
          </w:tcPr>
          <w:p w14:paraId="0755B2B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7DB5AD8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696,138</w:t>
            </w:r>
          </w:p>
        </w:tc>
        <w:tc>
          <w:tcPr>
            <w:tcW w:w="162" w:type="pct"/>
            <w:tcBorders>
              <w:top w:val="nil"/>
              <w:left w:val="nil"/>
              <w:bottom w:val="single" w:sz="4" w:space="0" w:color="auto"/>
              <w:right w:val="single" w:sz="4" w:space="0" w:color="auto"/>
            </w:tcBorders>
            <w:shd w:val="clear" w:color="auto" w:fill="auto"/>
            <w:vAlign w:val="center"/>
            <w:hideMark/>
          </w:tcPr>
          <w:p w14:paraId="3DD01EB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1,836,000</w:t>
            </w:r>
          </w:p>
        </w:tc>
        <w:tc>
          <w:tcPr>
            <w:tcW w:w="155" w:type="pct"/>
            <w:tcBorders>
              <w:top w:val="nil"/>
              <w:left w:val="nil"/>
              <w:bottom w:val="single" w:sz="4" w:space="0" w:color="auto"/>
              <w:right w:val="single" w:sz="4" w:space="0" w:color="auto"/>
            </w:tcBorders>
            <w:shd w:val="clear" w:color="auto" w:fill="auto"/>
            <w:vAlign w:val="center"/>
            <w:hideMark/>
          </w:tcPr>
          <w:p w14:paraId="74363AB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noWrap/>
            <w:vAlign w:val="center"/>
            <w:hideMark/>
          </w:tcPr>
          <w:p w14:paraId="5F78B86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GIZ</w:t>
            </w:r>
          </w:p>
        </w:tc>
        <w:tc>
          <w:tcPr>
            <w:tcW w:w="163" w:type="pct"/>
            <w:tcBorders>
              <w:top w:val="nil"/>
              <w:left w:val="nil"/>
              <w:bottom w:val="single" w:sz="4" w:space="0" w:color="auto"/>
              <w:right w:val="single" w:sz="4" w:space="0" w:color="auto"/>
            </w:tcBorders>
            <w:shd w:val="clear" w:color="000000" w:fill="FFF2CC"/>
            <w:noWrap/>
            <w:vAlign w:val="center"/>
            <w:hideMark/>
          </w:tcPr>
          <w:p w14:paraId="354753E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1,836,000</w:t>
            </w:r>
          </w:p>
        </w:tc>
        <w:tc>
          <w:tcPr>
            <w:tcW w:w="139" w:type="pct"/>
            <w:tcBorders>
              <w:top w:val="nil"/>
              <w:left w:val="nil"/>
              <w:bottom w:val="single" w:sz="4" w:space="0" w:color="auto"/>
              <w:right w:val="single" w:sz="4" w:space="0" w:color="auto"/>
            </w:tcBorders>
            <w:shd w:val="clear" w:color="auto" w:fill="auto"/>
            <w:noWrap/>
            <w:vAlign w:val="center"/>
            <w:hideMark/>
          </w:tcPr>
          <w:p w14:paraId="0C6ADB3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noWrap/>
            <w:vAlign w:val="center"/>
            <w:hideMark/>
          </w:tcPr>
          <w:p w14:paraId="7A6901C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noWrap/>
            <w:vAlign w:val="center"/>
            <w:hideMark/>
          </w:tcPr>
          <w:p w14:paraId="29763AF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37C0B906" w14:textId="732DFA19"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0C2A1F31" w14:textId="77777777" w:rsidTr="00C260C3">
        <w:trPr>
          <w:trHeight w:val="20"/>
        </w:trPr>
        <w:tc>
          <w:tcPr>
            <w:tcW w:w="131" w:type="pct"/>
            <w:tcBorders>
              <w:top w:val="nil"/>
              <w:left w:val="single" w:sz="8" w:space="0" w:color="auto"/>
              <w:bottom w:val="single" w:sz="4" w:space="0" w:color="auto"/>
              <w:right w:val="single" w:sz="4" w:space="0" w:color="auto"/>
            </w:tcBorders>
            <w:shd w:val="clear" w:color="000000" w:fill="D9D9D9"/>
            <w:vAlign w:val="center"/>
            <w:hideMark/>
          </w:tcPr>
          <w:p w14:paraId="0CE0501B"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2.1.2</w:t>
            </w:r>
          </w:p>
        </w:tc>
        <w:tc>
          <w:tcPr>
            <w:tcW w:w="281" w:type="pct"/>
            <w:tcBorders>
              <w:top w:val="nil"/>
              <w:left w:val="nil"/>
              <w:bottom w:val="single" w:sz="4" w:space="0" w:color="auto"/>
              <w:right w:val="single" w:sz="4" w:space="0" w:color="auto"/>
            </w:tcBorders>
            <w:shd w:val="clear" w:color="000000" w:fill="D9D9D9"/>
            <w:vAlign w:val="center"/>
            <w:hideMark/>
          </w:tcPr>
          <w:p w14:paraId="146DE5EA" w14:textId="3D512B3E"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2.1.2 Informimi mbi format, mundësitë dhe procedurat</w:t>
            </w:r>
            <w:r w:rsidR="0006016F" w:rsidRPr="00B457F5">
              <w:rPr>
                <w:rFonts w:ascii="Garamond" w:eastAsia="Times New Roman" w:hAnsi="Garamond" w:cs="Times New Roman"/>
                <w:color w:val="000000"/>
                <w:sz w:val="4"/>
                <w:szCs w:val="10"/>
              </w:rPr>
              <w:t xml:space="preserve"> </w:t>
            </w:r>
            <w:r w:rsidRPr="00B457F5">
              <w:rPr>
                <w:rFonts w:ascii="Garamond" w:eastAsia="Times New Roman" w:hAnsi="Garamond" w:cs="Times New Roman"/>
                <w:color w:val="000000"/>
                <w:sz w:val="4"/>
                <w:szCs w:val="10"/>
              </w:rPr>
              <w:t xml:space="preserve">e migrimit për arsye pune në/nga RSH </w:t>
            </w:r>
          </w:p>
        </w:tc>
        <w:tc>
          <w:tcPr>
            <w:tcW w:w="186" w:type="pct"/>
            <w:tcBorders>
              <w:top w:val="nil"/>
              <w:left w:val="nil"/>
              <w:bottom w:val="single" w:sz="4" w:space="0" w:color="auto"/>
              <w:right w:val="nil"/>
            </w:tcBorders>
            <w:shd w:val="clear" w:color="000000" w:fill="D9D9D9"/>
            <w:vAlign w:val="center"/>
            <w:hideMark/>
          </w:tcPr>
          <w:p w14:paraId="571A0E22" w14:textId="09960DFF" w:rsidR="00C260C3" w:rsidRPr="00B457F5" w:rsidRDefault="00C260C3" w:rsidP="007761FF">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7761FF" w:rsidRPr="00B457F5">
              <w:rPr>
                <w:rFonts w:ascii="Garamond" w:eastAsia="Times New Roman" w:hAnsi="Garamond" w:cs="Times New Roman"/>
                <w:color w:val="FF0000"/>
                <w:sz w:val="4"/>
                <w:szCs w:val="10"/>
              </w:rPr>
              <w:t>Punës</w:t>
            </w:r>
          </w:p>
        </w:tc>
        <w:tc>
          <w:tcPr>
            <w:tcW w:w="169" w:type="pct"/>
            <w:tcBorders>
              <w:top w:val="nil"/>
              <w:left w:val="single" w:sz="4" w:space="0" w:color="auto"/>
              <w:bottom w:val="single" w:sz="4" w:space="0" w:color="auto"/>
              <w:right w:val="single" w:sz="4" w:space="0" w:color="auto"/>
            </w:tcBorders>
            <w:shd w:val="clear" w:color="000000" w:fill="D9D9D9"/>
            <w:vAlign w:val="center"/>
            <w:hideMark/>
          </w:tcPr>
          <w:p w14:paraId="1D9D1D2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MEKI, AKPA</w:t>
            </w:r>
          </w:p>
        </w:tc>
        <w:tc>
          <w:tcPr>
            <w:tcW w:w="244" w:type="pct"/>
            <w:tcBorders>
              <w:top w:val="nil"/>
              <w:left w:val="nil"/>
              <w:bottom w:val="single" w:sz="4" w:space="0" w:color="auto"/>
              <w:right w:val="single" w:sz="4" w:space="0" w:color="auto"/>
            </w:tcBorders>
            <w:shd w:val="clear" w:color="000000" w:fill="D9D9D9"/>
            <w:vAlign w:val="center"/>
            <w:hideMark/>
          </w:tcPr>
          <w:p w14:paraId="2F74ED4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AKPA, AKSHI, MEKI, MB, DKM, ISHPSHSH, GIZ, IOM</w:t>
            </w:r>
          </w:p>
        </w:tc>
        <w:tc>
          <w:tcPr>
            <w:tcW w:w="135" w:type="pct"/>
            <w:tcBorders>
              <w:top w:val="nil"/>
              <w:left w:val="nil"/>
              <w:bottom w:val="single" w:sz="4" w:space="0" w:color="auto"/>
              <w:right w:val="nil"/>
            </w:tcBorders>
            <w:shd w:val="clear" w:color="000000" w:fill="D9D9D9"/>
            <w:vAlign w:val="center"/>
            <w:hideMark/>
          </w:tcPr>
          <w:p w14:paraId="33BEF9BC"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single" w:sz="4" w:space="0" w:color="auto"/>
              <w:bottom w:val="single" w:sz="4" w:space="0" w:color="auto"/>
              <w:right w:val="single" w:sz="4" w:space="0" w:color="auto"/>
            </w:tcBorders>
            <w:shd w:val="clear" w:color="000000" w:fill="D9D9D9"/>
            <w:vAlign w:val="center"/>
            <w:hideMark/>
          </w:tcPr>
          <w:p w14:paraId="407F6555"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000000" w:fill="D9D9D9"/>
            <w:vAlign w:val="center"/>
            <w:hideMark/>
          </w:tcPr>
          <w:p w14:paraId="725F450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15,553,183</w:t>
            </w:r>
          </w:p>
        </w:tc>
        <w:tc>
          <w:tcPr>
            <w:tcW w:w="155" w:type="pct"/>
            <w:tcBorders>
              <w:top w:val="nil"/>
              <w:left w:val="nil"/>
              <w:bottom w:val="single" w:sz="4" w:space="0" w:color="auto"/>
              <w:right w:val="single" w:sz="4" w:space="0" w:color="auto"/>
            </w:tcBorders>
            <w:shd w:val="clear" w:color="000000" w:fill="D9D9D9"/>
            <w:vAlign w:val="center"/>
            <w:hideMark/>
          </w:tcPr>
          <w:p w14:paraId="4BE7B42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12F7D06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15,553,183</w:t>
            </w:r>
          </w:p>
        </w:tc>
        <w:tc>
          <w:tcPr>
            <w:tcW w:w="165" w:type="pct"/>
            <w:tcBorders>
              <w:top w:val="nil"/>
              <w:left w:val="nil"/>
              <w:bottom w:val="single" w:sz="4" w:space="0" w:color="auto"/>
              <w:right w:val="single" w:sz="4" w:space="0" w:color="auto"/>
            </w:tcBorders>
            <w:shd w:val="clear" w:color="000000" w:fill="D9D9D9"/>
            <w:vAlign w:val="center"/>
            <w:hideMark/>
          </w:tcPr>
          <w:p w14:paraId="4803DAA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15,553,183</w:t>
            </w:r>
          </w:p>
        </w:tc>
        <w:tc>
          <w:tcPr>
            <w:tcW w:w="163" w:type="pct"/>
            <w:tcBorders>
              <w:top w:val="nil"/>
              <w:left w:val="nil"/>
              <w:bottom w:val="single" w:sz="4" w:space="0" w:color="auto"/>
              <w:right w:val="single" w:sz="4" w:space="0" w:color="auto"/>
            </w:tcBorders>
            <w:shd w:val="clear" w:color="000000" w:fill="D9D9D9"/>
            <w:vAlign w:val="center"/>
            <w:hideMark/>
          </w:tcPr>
          <w:p w14:paraId="56E76E6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0783B22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15,553,183</w:t>
            </w:r>
          </w:p>
        </w:tc>
        <w:tc>
          <w:tcPr>
            <w:tcW w:w="163" w:type="pct"/>
            <w:tcBorders>
              <w:top w:val="nil"/>
              <w:left w:val="nil"/>
              <w:bottom w:val="single" w:sz="4" w:space="0" w:color="auto"/>
              <w:right w:val="single" w:sz="4" w:space="0" w:color="auto"/>
            </w:tcBorders>
            <w:shd w:val="clear" w:color="000000" w:fill="D9D9D9"/>
            <w:vAlign w:val="center"/>
            <w:hideMark/>
          </w:tcPr>
          <w:p w14:paraId="6255326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15,553,183</w:t>
            </w:r>
          </w:p>
        </w:tc>
        <w:tc>
          <w:tcPr>
            <w:tcW w:w="148" w:type="pct"/>
            <w:tcBorders>
              <w:top w:val="nil"/>
              <w:left w:val="nil"/>
              <w:bottom w:val="single" w:sz="4" w:space="0" w:color="auto"/>
              <w:right w:val="single" w:sz="4" w:space="0" w:color="auto"/>
            </w:tcBorders>
            <w:shd w:val="clear" w:color="000000" w:fill="D9D9D9"/>
            <w:vAlign w:val="center"/>
            <w:hideMark/>
          </w:tcPr>
          <w:p w14:paraId="797B0C1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2,875,000</w:t>
            </w:r>
          </w:p>
        </w:tc>
        <w:tc>
          <w:tcPr>
            <w:tcW w:w="162" w:type="pct"/>
            <w:tcBorders>
              <w:top w:val="nil"/>
              <w:left w:val="nil"/>
              <w:bottom w:val="single" w:sz="4" w:space="0" w:color="auto"/>
              <w:right w:val="single" w:sz="4" w:space="0" w:color="auto"/>
            </w:tcBorders>
            <w:shd w:val="clear" w:color="000000" w:fill="D9D9D9"/>
            <w:vAlign w:val="center"/>
            <w:hideMark/>
          </w:tcPr>
          <w:p w14:paraId="008B4EB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18,428,183</w:t>
            </w:r>
          </w:p>
        </w:tc>
        <w:tc>
          <w:tcPr>
            <w:tcW w:w="165" w:type="pct"/>
            <w:tcBorders>
              <w:top w:val="nil"/>
              <w:left w:val="nil"/>
              <w:bottom w:val="single" w:sz="4" w:space="0" w:color="auto"/>
              <w:right w:val="single" w:sz="4" w:space="0" w:color="auto"/>
            </w:tcBorders>
            <w:shd w:val="clear" w:color="000000" w:fill="D9D9D9"/>
            <w:vAlign w:val="center"/>
            <w:hideMark/>
          </w:tcPr>
          <w:p w14:paraId="7B58325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46,659,549</w:t>
            </w:r>
          </w:p>
        </w:tc>
        <w:tc>
          <w:tcPr>
            <w:tcW w:w="163" w:type="pct"/>
            <w:tcBorders>
              <w:top w:val="nil"/>
              <w:left w:val="nil"/>
              <w:bottom w:val="single" w:sz="4" w:space="0" w:color="auto"/>
              <w:right w:val="single" w:sz="4" w:space="0" w:color="auto"/>
            </w:tcBorders>
            <w:shd w:val="clear" w:color="000000" w:fill="D9D9D9"/>
            <w:vAlign w:val="center"/>
            <w:hideMark/>
          </w:tcPr>
          <w:p w14:paraId="018F848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2,875,000</w:t>
            </w:r>
          </w:p>
        </w:tc>
        <w:tc>
          <w:tcPr>
            <w:tcW w:w="165" w:type="pct"/>
            <w:tcBorders>
              <w:top w:val="nil"/>
              <w:left w:val="nil"/>
              <w:bottom w:val="single" w:sz="4" w:space="0" w:color="auto"/>
              <w:right w:val="single" w:sz="4" w:space="0" w:color="auto"/>
            </w:tcBorders>
            <w:shd w:val="clear" w:color="000000" w:fill="D9D9D9"/>
            <w:vAlign w:val="center"/>
            <w:hideMark/>
          </w:tcPr>
          <w:p w14:paraId="79DCF7E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49,534,549</w:t>
            </w:r>
          </w:p>
        </w:tc>
        <w:tc>
          <w:tcPr>
            <w:tcW w:w="163" w:type="pct"/>
            <w:tcBorders>
              <w:top w:val="nil"/>
              <w:left w:val="nil"/>
              <w:bottom w:val="single" w:sz="4" w:space="0" w:color="auto"/>
              <w:right w:val="single" w:sz="4" w:space="0" w:color="auto"/>
            </w:tcBorders>
            <w:shd w:val="clear" w:color="000000" w:fill="D9D9D9"/>
            <w:vAlign w:val="center"/>
            <w:hideMark/>
          </w:tcPr>
          <w:p w14:paraId="2D1F3B3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42,482,715</w:t>
            </w:r>
          </w:p>
        </w:tc>
        <w:tc>
          <w:tcPr>
            <w:tcW w:w="155" w:type="pct"/>
            <w:tcBorders>
              <w:top w:val="nil"/>
              <w:left w:val="nil"/>
              <w:bottom w:val="single" w:sz="4" w:space="0" w:color="auto"/>
              <w:right w:val="single" w:sz="4" w:space="0" w:color="auto"/>
            </w:tcBorders>
            <w:shd w:val="clear" w:color="000000" w:fill="D9D9D9"/>
            <w:vAlign w:val="center"/>
            <w:hideMark/>
          </w:tcPr>
          <w:p w14:paraId="222FEB1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235A0AE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42,482,715</w:t>
            </w:r>
          </w:p>
        </w:tc>
        <w:tc>
          <w:tcPr>
            <w:tcW w:w="162" w:type="pct"/>
            <w:tcBorders>
              <w:top w:val="nil"/>
              <w:left w:val="nil"/>
              <w:bottom w:val="single" w:sz="4" w:space="0" w:color="auto"/>
              <w:right w:val="single" w:sz="4" w:space="0" w:color="auto"/>
            </w:tcBorders>
            <w:shd w:val="clear" w:color="000000" w:fill="D9D9D9"/>
            <w:vAlign w:val="center"/>
            <w:hideMark/>
          </w:tcPr>
          <w:p w14:paraId="5061E37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4,176,834</w:t>
            </w:r>
          </w:p>
        </w:tc>
        <w:tc>
          <w:tcPr>
            <w:tcW w:w="155" w:type="pct"/>
            <w:tcBorders>
              <w:top w:val="nil"/>
              <w:left w:val="nil"/>
              <w:bottom w:val="single" w:sz="4" w:space="0" w:color="auto"/>
              <w:right w:val="single" w:sz="4" w:space="0" w:color="auto"/>
            </w:tcBorders>
            <w:shd w:val="clear" w:color="000000" w:fill="D9D9D9"/>
            <w:vAlign w:val="center"/>
            <w:hideMark/>
          </w:tcPr>
          <w:p w14:paraId="56601D0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000000" w:fill="D9D9D9"/>
            <w:noWrap/>
            <w:vAlign w:val="center"/>
            <w:hideMark/>
          </w:tcPr>
          <w:p w14:paraId="404581D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D9D9D9"/>
            <w:noWrap/>
            <w:vAlign w:val="center"/>
            <w:hideMark/>
          </w:tcPr>
          <w:p w14:paraId="4593AE3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4,176,834</w:t>
            </w:r>
          </w:p>
        </w:tc>
        <w:tc>
          <w:tcPr>
            <w:tcW w:w="139" w:type="pct"/>
            <w:tcBorders>
              <w:top w:val="nil"/>
              <w:left w:val="nil"/>
              <w:bottom w:val="single" w:sz="4" w:space="0" w:color="auto"/>
              <w:right w:val="single" w:sz="4" w:space="0" w:color="auto"/>
            </w:tcBorders>
            <w:shd w:val="clear" w:color="000000" w:fill="D9D9D9"/>
            <w:vAlign w:val="center"/>
            <w:hideMark/>
          </w:tcPr>
          <w:p w14:paraId="4D90216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000000" w:fill="D9D9D9"/>
            <w:vAlign w:val="center"/>
            <w:hideMark/>
          </w:tcPr>
          <w:p w14:paraId="2D5ED5B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D9D9D9"/>
            <w:noWrap/>
            <w:vAlign w:val="center"/>
            <w:hideMark/>
          </w:tcPr>
          <w:p w14:paraId="2A3ACBF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000000" w:fill="D9D9D9"/>
            <w:vAlign w:val="center"/>
            <w:hideMark/>
          </w:tcPr>
          <w:p w14:paraId="2CB08D51" w14:textId="5A6BCA16"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(2,875,000)</w:t>
            </w:r>
          </w:p>
        </w:tc>
      </w:tr>
      <w:tr w:rsidR="00C260C3" w:rsidRPr="00B457F5" w14:paraId="2DFDB21C"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center"/>
            <w:hideMark/>
          </w:tcPr>
          <w:p w14:paraId="46FB4835"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2.1.2.1</w:t>
            </w:r>
          </w:p>
        </w:tc>
        <w:tc>
          <w:tcPr>
            <w:tcW w:w="281" w:type="pct"/>
            <w:tcBorders>
              <w:top w:val="nil"/>
              <w:left w:val="nil"/>
              <w:bottom w:val="single" w:sz="4" w:space="0" w:color="auto"/>
              <w:right w:val="single" w:sz="4" w:space="0" w:color="auto"/>
            </w:tcBorders>
            <w:shd w:val="clear" w:color="auto" w:fill="auto"/>
            <w:vAlign w:val="center"/>
            <w:hideMark/>
          </w:tcPr>
          <w:p w14:paraId="310DF5F1" w14:textId="34B09A25"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2.1.2.1 Lehtësimi i aksesit</w:t>
            </w:r>
            <w:r w:rsidR="0006016F" w:rsidRPr="00B457F5">
              <w:rPr>
                <w:rFonts w:ascii="Garamond" w:eastAsia="Times New Roman" w:hAnsi="Garamond" w:cs="Times New Roman"/>
                <w:color w:val="000000"/>
                <w:sz w:val="4"/>
                <w:szCs w:val="10"/>
              </w:rPr>
              <w:t xml:space="preserve"> </w:t>
            </w:r>
            <w:r w:rsidRPr="00B457F5">
              <w:rPr>
                <w:rFonts w:ascii="Garamond" w:eastAsia="Times New Roman" w:hAnsi="Garamond" w:cs="Times New Roman"/>
                <w:color w:val="000000"/>
                <w:sz w:val="4"/>
                <w:szCs w:val="10"/>
              </w:rPr>
              <w:t>ndaj informacionit për shtetasit shqiptarë dhe të huaj</w:t>
            </w:r>
            <w:r w:rsidR="00FC441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në lidhje me mundësitë, kushtet e punësimit dhe strukturat përgjegjëse nëpërmjet maksimizimit të përdorimit të teknologjisë si një mjet për të arritur një gamë më të gjerë migrantësh potencialë dhe aktualë dhe me fokus të rinjtë, gratë dhe kategoritë e tjera vulnerabël</w:t>
            </w:r>
          </w:p>
        </w:tc>
        <w:tc>
          <w:tcPr>
            <w:tcW w:w="186" w:type="pct"/>
            <w:tcBorders>
              <w:top w:val="nil"/>
              <w:left w:val="nil"/>
              <w:bottom w:val="single" w:sz="4" w:space="0" w:color="auto"/>
              <w:right w:val="nil"/>
            </w:tcBorders>
            <w:shd w:val="clear" w:color="000000" w:fill="F2F2F2"/>
            <w:vAlign w:val="center"/>
            <w:hideMark/>
          </w:tcPr>
          <w:p w14:paraId="7FA0EC79" w14:textId="51D39638" w:rsidR="00C260C3" w:rsidRPr="00B457F5" w:rsidRDefault="00C260C3" w:rsidP="008E5BAD">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8E5BAD" w:rsidRPr="00B457F5">
              <w:rPr>
                <w:rFonts w:ascii="Garamond" w:eastAsia="Times New Roman" w:hAnsi="Garamond" w:cs="Times New Roman"/>
                <w:color w:val="FF0000"/>
                <w:sz w:val="4"/>
                <w:szCs w:val="10"/>
              </w:rPr>
              <w:t>Punës</w:t>
            </w:r>
          </w:p>
        </w:tc>
        <w:tc>
          <w:tcPr>
            <w:tcW w:w="169" w:type="pct"/>
            <w:tcBorders>
              <w:top w:val="nil"/>
              <w:left w:val="single" w:sz="4" w:space="0" w:color="auto"/>
              <w:bottom w:val="single" w:sz="4" w:space="0" w:color="auto"/>
              <w:right w:val="single" w:sz="4" w:space="0" w:color="auto"/>
            </w:tcBorders>
            <w:shd w:val="clear" w:color="auto" w:fill="auto"/>
            <w:vAlign w:val="center"/>
            <w:hideMark/>
          </w:tcPr>
          <w:p w14:paraId="5B9CDA9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MEKI</w:t>
            </w:r>
          </w:p>
        </w:tc>
        <w:tc>
          <w:tcPr>
            <w:tcW w:w="244" w:type="pct"/>
            <w:tcBorders>
              <w:top w:val="nil"/>
              <w:left w:val="nil"/>
              <w:bottom w:val="single" w:sz="4" w:space="0" w:color="auto"/>
              <w:right w:val="single" w:sz="4" w:space="0" w:color="auto"/>
            </w:tcBorders>
            <w:shd w:val="clear" w:color="auto" w:fill="auto"/>
            <w:vAlign w:val="center"/>
            <w:hideMark/>
          </w:tcPr>
          <w:p w14:paraId="2B79A2D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AKPA, AKSHI, IOM</w:t>
            </w:r>
          </w:p>
        </w:tc>
        <w:tc>
          <w:tcPr>
            <w:tcW w:w="135" w:type="pct"/>
            <w:tcBorders>
              <w:top w:val="nil"/>
              <w:left w:val="nil"/>
              <w:bottom w:val="single" w:sz="4" w:space="0" w:color="auto"/>
              <w:right w:val="single" w:sz="4" w:space="0" w:color="auto"/>
            </w:tcBorders>
            <w:shd w:val="clear" w:color="000000" w:fill="DDEBF7"/>
            <w:vAlign w:val="center"/>
            <w:hideMark/>
          </w:tcPr>
          <w:p w14:paraId="7469452E"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2024</w:t>
            </w:r>
          </w:p>
        </w:tc>
        <w:tc>
          <w:tcPr>
            <w:tcW w:w="152" w:type="pct"/>
            <w:tcBorders>
              <w:top w:val="nil"/>
              <w:left w:val="nil"/>
              <w:bottom w:val="single" w:sz="4" w:space="0" w:color="auto"/>
              <w:right w:val="single" w:sz="4" w:space="0" w:color="auto"/>
            </w:tcBorders>
            <w:shd w:val="clear" w:color="000000" w:fill="DDEBF7"/>
            <w:vAlign w:val="center"/>
            <w:hideMark/>
          </w:tcPr>
          <w:p w14:paraId="058FFA90"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63" w:type="pct"/>
            <w:tcBorders>
              <w:top w:val="nil"/>
              <w:left w:val="nil"/>
              <w:bottom w:val="single" w:sz="4" w:space="0" w:color="auto"/>
              <w:right w:val="single" w:sz="4" w:space="0" w:color="auto"/>
            </w:tcBorders>
            <w:shd w:val="clear" w:color="auto" w:fill="auto"/>
            <w:vAlign w:val="center"/>
            <w:hideMark/>
          </w:tcPr>
          <w:p w14:paraId="7F8C1BB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12,000,000</w:t>
            </w:r>
          </w:p>
        </w:tc>
        <w:tc>
          <w:tcPr>
            <w:tcW w:w="155" w:type="pct"/>
            <w:tcBorders>
              <w:top w:val="nil"/>
              <w:left w:val="nil"/>
              <w:bottom w:val="single" w:sz="4" w:space="0" w:color="auto"/>
              <w:right w:val="single" w:sz="4" w:space="0" w:color="auto"/>
            </w:tcBorders>
            <w:shd w:val="clear" w:color="auto" w:fill="auto"/>
            <w:vAlign w:val="center"/>
            <w:hideMark/>
          </w:tcPr>
          <w:p w14:paraId="3D10E8B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4CBBAFA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12,000,000</w:t>
            </w:r>
          </w:p>
        </w:tc>
        <w:tc>
          <w:tcPr>
            <w:tcW w:w="165" w:type="pct"/>
            <w:tcBorders>
              <w:top w:val="nil"/>
              <w:left w:val="nil"/>
              <w:bottom w:val="single" w:sz="4" w:space="0" w:color="auto"/>
              <w:right w:val="single" w:sz="4" w:space="0" w:color="auto"/>
            </w:tcBorders>
            <w:shd w:val="clear" w:color="auto" w:fill="auto"/>
            <w:vAlign w:val="center"/>
            <w:hideMark/>
          </w:tcPr>
          <w:p w14:paraId="574DB1D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12,000,000</w:t>
            </w:r>
          </w:p>
        </w:tc>
        <w:tc>
          <w:tcPr>
            <w:tcW w:w="163" w:type="pct"/>
            <w:tcBorders>
              <w:top w:val="nil"/>
              <w:left w:val="nil"/>
              <w:bottom w:val="single" w:sz="4" w:space="0" w:color="auto"/>
              <w:right w:val="single" w:sz="4" w:space="0" w:color="auto"/>
            </w:tcBorders>
            <w:shd w:val="clear" w:color="auto" w:fill="auto"/>
            <w:vAlign w:val="center"/>
            <w:hideMark/>
          </w:tcPr>
          <w:p w14:paraId="5AAB823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00AEF89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12,000,000</w:t>
            </w:r>
          </w:p>
        </w:tc>
        <w:tc>
          <w:tcPr>
            <w:tcW w:w="163" w:type="pct"/>
            <w:tcBorders>
              <w:top w:val="nil"/>
              <w:left w:val="nil"/>
              <w:bottom w:val="single" w:sz="4" w:space="0" w:color="auto"/>
              <w:right w:val="single" w:sz="4" w:space="0" w:color="auto"/>
            </w:tcBorders>
            <w:shd w:val="clear" w:color="auto" w:fill="auto"/>
            <w:vAlign w:val="center"/>
            <w:hideMark/>
          </w:tcPr>
          <w:p w14:paraId="538330F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12,000,000</w:t>
            </w:r>
          </w:p>
        </w:tc>
        <w:tc>
          <w:tcPr>
            <w:tcW w:w="148" w:type="pct"/>
            <w:tcBorders>
              <w:top w:val="nil"/>
              <w:left w:val="nil"/>
              <w:bottom w:val="single" w:sz="4" w:space="0" w:color="auto"/>
              <w:right w:val="single" w:sz="4" w:space="0" w:color="auto"/>
            </w:tcBorders>
            <w:shd w:val="clear" w:color="auto" w:fill="auto"/>
            <w:vAlign w:val="center"/>
            <w:hideMark/>
          </w:tcPr>
          <w:p w14:paraId="6AFB30F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4192CEA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12,000,000</w:t>
            </w:r>
          </w:p>
        </w:tc>
        <w:tc>
          <w:tcPr>
            <w:tcW w:w="165" w:type="pct"/>
            <w:tcBorders>
              <w:top w:val="nil"/>
              <w:left w:val="nil"/>
              <w:bottom w:val="single" w:sz="4" w:space="0" w:color="auto"/>
              <w:right w:val="single" w:sz="4" w:space="0" w:color="auto"/>
            </w:tcBorders>
            <w:shd w:val="clear" w:color="auto" w:fill="auto"/>
            <w:vAlign w:val="center"/>
            <w:hideMark/>
          </w:tcPr>
          <w:p w14:paraId="380F6D0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36,000,000</w:t>
            </w:r>
          </w:p>
        </w:tc>
        <w:tc>
          <w:tcPr>
            <w:tcW w:w="163" w:type="pct"/>
            <w:tcBorders>
              <w:top w:val="nil"/>
              <w:left w:val="nil"/>
              <w:bottom w:val="single" w:sz="4" w:space="0" w:color="auto"/>
              <w:right w:val="single" w:sz="4" w:space="0" w:color="auto"/>
            </w:tcBorders>
            <w:shd w:val="clear" w:color="auto" w:fill="auto"/>
            <w:vAlign w:val="center"/>
            <w:hideMark/>
          </w:tcPr>
          <w:p w14:paraId="42D6AFD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4125709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36,000,000</w:t>
            </w:r>
          </w:p>
        </w:tc>
        <w:tc>
          <w:tcPr>
            <w:tcW w:w="163" w:type="pct"/>
            <w:tcBorders>
              <w:top w:val="nil"/>
              <w:left w:val="nil"/>
              <w:bottom w:val="single" w:sz="4" w:space="0" w:color="auto"/>
              <w:right w:val="single" w:sz="4" w:space="0" w:color="auto"/>
            </w:tcBorders>
            <w:shd w:val="clear" w:color="auto" w:fill="auto"/>
            <w:vAlign w:val="center"/>
            <w:hideMark/>
          </w:tcPr>
          <w:p w14:paraId="545D8A1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36,000,000</w:t>
            </w:r>
          </w:p>
        </w:tc>
        <w:tc>
          <w:tcPr>
            <w:tcW w:w="155" w:type="pct"/>
            <w:tcBorders>
              <w:top w:val="nil"/>
              <w:left w:val="nil"/>
              <w:bottom w:val="single" w:sz="4" w:space="0" w:color="auto"/>
              <w:right w:val="single" w:sz="4" w:space="0" w:color="auto"/>
            </w:tcBorders>
            <w:shd w:val="clear" w:color="auto" w:fill="auto"/>
            <w:vAlign w:val="center"/>
            <w:hideMark/>
          </w:tcPr>
          <w:p w14:paraId="2386FBB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0C730B7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36,000,000</w:t>
            </w:r>
          </w:p>
        </w:tc>
        <w:tc>
          <w:tcPr>
            <w:tcW w:w="162" w:type="pct"/>
            <w:tcBorders>
              <w:top w:val="nil"/>
              <w:left w:val="nil"/>
              <w:bottom w:val="single" w:sz="4" w:space="0" w:color="auto"/>
              <w:right w:val="single" w:sz="4" w:space="0" w:color="auto"/>
            </w:tcBorders>
            <w:shd w:val="clear" w:color="auto" w:fill="auto"/>
            <w:vAlign w:val="center"/>
            <w:hideMark/>
          </w:tcPr>
          <w:p w14:paraId="348AF33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51A0BCC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noWrap/>
            <w:vAlign w:val="center"/>
            <w:hideMark/>
          </w:tcPr>
          <w:p w14:paraId="1E75E7B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noWrap/>
            <w:vAlign w:val="center"/>
            <w:hideMark/>
          </w:tcPr>
          <w:p w14:paraId="2C46584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noWrap/>
            <w:vAlign w:val="center"/>
            <w:hideMark/>
          </w:tcPr>
          <w:p w14:paraId="21B47F1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noWrap/>
            <w:vAlign w:val="center"/>
            <w:hideMark/>
          </w:tcPr>
          <w:p w14:paraId="247D830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noWrap/>
            <w:vAlign w:val="center"/>
            <w:hideMark/>
          </w:tcPr>
          <w:p w14:paraId="7E17A6C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6C665CA9" w14:textId="45E087EB"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68221EDC"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center"/>
            <w:hideMark/>
          </w:tcPr>
          <w:p w14:paraId="78A6B99B"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2.1.2.2</w:t>
            </w:r>
          </w:p>
        </w:tc>
        <w:tc>
          <w:tcPr>
            <w:tcW w:w="281" w:type="pct"/>
            <w:tcBorders>
              <w:top w:val="nil"/>
              <w:left w:val="nil"/>
              <w:bottom w:val="single" w:sz="4" w:space="0" w:color="auto"/>
              <w:right w:val="single" w:sz="4" w:space="0" w:color="auto"/>
            </w:tcBorders>
            <w:shd w:val="clear" w:color="auto" w:fill="auto"/>
            <w:vAlign w:val="center"/>
            <w:hideMark/>
          </w:tcPr>
          <w:p w14:paraId="2F2B5C8E" w14:textId="4DEC2732"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2.1.2.2 Zhvillimi, përditësim</w:t>
            </w:r>
            <w:r w:rsidR="00FC441E" w:rsidRPr="00B457F5">
              <w:rPr>
                <w:rFonts w:ascii="Garamond" w:eastAsia="Times New Roman" w:hAnsi="Garamond" w:cs="Times New Roman"/>
                <w:color w:val="000000"/>
                <w:sz w:val="4"/>
                <w:szCs w:val="10"/>
              </w:rPr>
              <w:t>i</w:t>
            </w:r>
            <w:r w:rsidRPr="00B457F5">
              <w:rPr>
                <w:rFonts w:ascii="Garamond" w:eastAsia="Times New Roman" w:hAnsi="Garamond" w:cs="Times New Roman"/>
                <w:color w:val="000000"/>
                <w:sz w:val="4"/>
                <w:szCs w:val="10"/>
              </w:rPr>
              <w:t xml:space="preserve"> dhe publikimi i përmbajtjeve informative</w:t>
            </w:r>
            <w:r w:rsidR="00FC441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në lidhje me mundësitë për migracion të rregullt për motive punësimi dhe promovimin e migracionit të rregullt për motive punësimi </w:t>
            </w:r>
          </w:p>
        </w:tc>
        <w:tc>
          <w:tcPr>
            <w:tcW w:w="186" w:type="pct"/>
            <w:tcBorders>
              <w:top w:val="nil"/>
              <w:left w:val="nil"/>
              <w:bottom w:val="single" w:sz="4" w:space="0" w:color="auto"/>
              <w:right w:val="nil"/>
            </w:tcBorders>
            <w:shd w:val="clear" w:color="000000" w:fill="F2F2F2"/>
            <w:vAlign w:val="center"/>
            <w:hideMark/>
          </w:tcPr>
          <w:p w14:paraId="2D8A8722" w14:textId="13ED9017" w:rsidR="00C260C3" w:rsidRPr="00B457F5" w:rsidRDefault="00C260C3" w:rsidP="008E5BAD">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8E5BAD" w:rsidRPr="00B457F5">
              <w:rPr>
                <w:rFonts w:ascii="Garamond" w:eastAsia="Times New Roman" w:hAnsi="Garamond" w:cs="Times New Roman"/>
                <w:color w:val="FF0000"/>
                <w:sz w:val="4"/>
                <w:szCs w:val="10"/>
              </w:rPr>
              <w:t>Punës</w:t>
            </w:r>
          </w:p>
        </w:tc>
        <w:tc>
          <w:tcPr>
            <w:tcW w:w="169" w:type="pct"/>
            <w:tcBorders>
              <w:top w:val="nil"/>
              <w:left w:val="single" w:sz="4" w:space="0" w:color="auto"/>
              <w:bottom w:val="single" w:sz="4" w:space="0" w:color="auto"/>
              <w:right w:val="single" w:sz="4" w:space="0" w:color="auto"/>
            </w:tcBorders>
            <w:shd w:val="clear" w:color="auto" w:fill="auto"/>
            <w:vAlign w:val="center"/>
            <w:hideMark/>
          </w:tcPr>
          <w:p w14:paraId="366EEB2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AKPA</w:t>
            </w:r>
          </w:p>
        </w:tc>
        <w:tc>
          <w:tcPr>
            <w:tcW w:w="244" w:type="pct"/>
            <w:tcBorders>
              <w:top w:val="nil"/>
              <w:left w:val="nil"/>
              <w:bottom w:val="single" w:sz="4" w:space="0" w:color="auto"/>
              <w:right w:val="single" w:sz="4" w:space="0" w:color="auto"/>
            </w:tcBorders>
            <w:shd w:val="clear" w:color="auto" w:fill="auto"/>
            <w:vAlign w:val="center"/>
            <w:hideMark/>
          </w:tcPr>
          <w:p w14:paraId="583F51A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MEKI, MB, IOM</w:t>
            </w:r>
          </w:p>
        </w:tc>
        <w:tc>
          <w:tcPr>
            <w:tcW w:w="135" w:type="pct"/>
            <w:tcBorders>
              <w:top w:val="nil"/>
              <w:left w:val="nil"/>
              <w:bottom w:val="single" w:sz="4" w:space="0" w:color="auto"/>
              <w:right w:val="single" w:sz="4" w:space="0" w:color="auto"/>
            </w:tcBorders>
            <w:shd w:val="clear" w:color="000000" w:fill="DDEBF7"/>
            <w:vAlign w:val="center"/>
            <w:hideMark/>
          </w:tcPr>
          <w:p w14:paraId="102BD5B3"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2024</w:t>
            </w:r>
          </w:p>
        </w:tc>
        <w:tc>
          <w:tcPr>
            <w:tcW w:w="152" w:type="pct"/>
            <w:tcBorders>
              <w:top w:val="nil"/>
              <w:left w:val="nil"/>
              <w:bottom w:val="single" w:sz="4" w:space="0" w:color="auto"/>
              <w:right w:val="single" w:sz="4" w:space="0" w:color="auto"/>
            </w:tcBorders>
            <w:shd w:val="clear" w:color="000000" w:fill="DDEBF7"/>
            <w:vAlign w:val="center"/>
            <w:hideMark/>
          </w:tcPr>
          <w:p w14:paraId="7CB1F4B0"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63" w:type="pct"/>
            <w:tcBorders>
              <w:top w:val="nil"/>
              <w:left w:val="nil"/>
              <w:bottom w:val="single" w:sz="4" w:space="0" w:color="auto"/>
              <w:right w:val="single" w:sz="4" w:space="0" w:color="auto"/>
            </w:tcBorders>
            <w:shd w:val="clear" w:color="auto" w:fill="auto"/>
            <w:vAlign w:val="center"/>
            <w:hideMark/>
          </w:tcPr>
          <w:p w14:paraId="5204FAC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904,046</w:t>
            </w:r>
          </w:p>
        </w:tc>
        <w:tc>
          <w:tcPr>
            <w:tcW w:w="155" w:type="pct"/>
            <w:tcBorders>
              <w:top w:val="nil"/>
              <w:left w:val="nil"/>
              <w:bottom w:val="single" w:sz="4" w:space="0" w:color="auto"/>
              <w:right w:val="single" w:sz="4" w:space="0" w:color="auto"/>
            </w:tcBorders>
            <w:shd w:val="clear" w:color="auto" w:fill="auto"/>
            <w:vAlign w:val="center"/>
            <w:hideMark/>
          </w:tcPr>
          <w:p w14:paraId="24155B1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62536C8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904,046</w:t>
            </w:r>
          </w:p>
        </w:tc>
        <w:tc>
          <w:tcPr>
            <w:tcW w:w="165" w:type="pct"/>
            <w:tcBorders>
              <w:top w:val="nil"/>
              <w:left w:val="nil"/>
              <w:bottom w:val="single" w:sz="4" w:space="0" w:color="auto"/>
              <w:right w:val="single" w:sz="4" w:space="0" w:color="auto"/>
            </w:tcBorders>
            <w:shd w:val="clear" w:color="auto" w:fill="auto"/>
            <w:vAlign w:val="center"/>
            <w:hideMark/>
          </w:tcPr>
          <w:p w14:paraId="35781AB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904,046</w:t>
            </w:r>
          </w:p>
        </w:tc>
        <w:tc>
          <w:tcPr>
            <w:tcW w:w="163" w:type="pct"/>
            <w:tcBorders>
              <w:top w:val="nil"/>
              <w:left w:val="nil"/>
              <w:bottom w:val="single" w:sz="4" w:space="0" w:color="auto"/>
              <w:right w:val="single" w:sz="4" w:space="0" w:color="auto"/>
            </w:tcBorders>
            <w:shd w:val="clear" w:color="auto" w:fill="auto"/>
            <w:vAlign w:val="center"/>
            <w:hideMark/>
          </w:tcPr>
          <w:p w14:paraId="5BA6A35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2D63DC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904,046</w:t>
            </w:r>
          </w:p>
        </w:tc>
        <w:tc>
          <w:tcPr>
            <w:tcW w:w="163" w:type="pct"/>
            <w:tcBorders>
              <w:top w:val="nil"/>
              <w:left w:val="nil"/>
              <w:bottom w:val="single" w:sz="4" w:space="0" w:color="auto"/>
              <w:right w:val="single" w:sz="4" w:space="0" w:color="auto"/>
            </w:tcBorders>
            <w:shd w:val="clear" w:color="auto" w:fill="auto"/>
            <w:vAlign w:val="center"/>
            <w:hideMark/>
          </w:tcPr>
          <w:p w14:paraId="100C624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904,046</w:t>
            </w:r>
          </w:p>
        </w:tc>
        <w:tc>
          <w:tcPr>
            <w:tcW w:w="148" w:type="pct"/>
            <w:tcBorders>
              <w:top w:val="nil"/>
              <w:left w:val="nil"/>
              <w:bottom w:val="single" w:sz="4" w:space="0" w:color="auto"/>
              <w:right w:val="single" w:sz="4" w:space="0" w:color="auto"/>
            </w:tcBorders>
            <w:shd w:val="clear" w:color="auto" w:fill="auto"/>
            <w:vAlign w:val="center"/>
            <w:hideMark/>
          </w:tcPr>
          <w:p w14:paraId="4622B14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3BF7E42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904,046</w:t>
            </w:r>
          </w:p>
        </w:tc>
        <w:tc>
          <w:tcPr>
            <w:tcW w:w="165" w:type="pct"/>
            <w:tcBorders>
              <w:top w:val="nil"/>
              <w:left w:val="nil"/>
              <w:bottom w:val="single" w:sz="4" w:space="0" w:color="auto"/>
              <w:right w:val="single" w:sz="4" w:space="0" w:color="auto"/>
            </w:tcBorders>
            <w:shd w:val="clear" w:color="auto" w:fill="auto"/>
            <w:vAlign w:val="center"/>
            <w:hideMark/>
          </w:tcPr>
          <w:p w14:paraId="2FF9AE6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2,712,138</w:t>
            </w:r>
          </w:p>
        </w:tc>
        <w:tc>
          <w:tcPr>
            <w:tcW w:w="163" w:type="pct"/>
            <w:tcBorders>
              <w:top w:val="nil"/>
              <w:left w:val="nil"/>
              <w:bottom w:val="single" w:sz="4" w:space="0" w:color="auto"/>
              <w:right w:val="single" w:sz="4" w:space="0" w:color="auto"/>
            </w:tcBorders>
            <w:shd w:val="clear" w:color="auto" w:fill="auto"/>
            <w:vAlign w:val="center"/>
            <w:hideMark/>
          </w:tcPr>
          <w:p w14:paraId="18A54CC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187F95E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2,712,138</w:t>
            </w:r>
          </w:p>
        </w:tc>
        <w:tc>
          <w:tcPr>
            <w:tcW w:w="163" w:type="pct"/>
            <w:tcBorders>
              <w:top w:val="nil"/>
              <w:left w:val="nil"/>
              <w:bottom w:val="single" w:sz="4" w:space="0" w:color="auto"/>
              <w:right w:val="single" w:sz="4" w:space="0" w:color="auto"/>
            </w:tcBorders>
            <w:shd w:val="clear" w:color="auto" w:fill="auto"/>
            <w:vAlign w:val="center"/>
            <w:hideMark/>
          </w:tcPr>
          <w:p w14:paraId="71A6CBC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2,712,138</w:t>
            </w:r>
          </w:p>
        </w:tc>
        <w:tc>
          <w:tcPr>
            <w:tcW w:w="155" w:type="pct"/>
            <w:tcBorders>
              <w:top w:val="nil"/>
              <w:left w:val="nil"/>
              <w:bottom w:val="single" w:sz="4" w:space="0" w:color="auto"/>
              <w:right w:val="single" w:sz="4" w:space="0" w:color="auto"/>
            </w:tcBorders>
            <w:shd w:val="clear" w:color="auto" w:fill="auto"/>
            <w:vAlign w:val="center"/>
            <w:hideMark/>
          </w:tcPr>
          <w:p w14:paraId="26E4A41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C7766D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2,712,138</w:t>
            </w:r>
          </w:p>
        </w:tc>
        <w:tc>
          <w:tcPr>
            <w:tcW w:w="162" w:type="pct"/>
            <w:tcBorders>
              <w:top w:val="nil"/>
              <w:left w:val="nil"/>
              <w:bottom w:val="single" w:sz="4" w:space="0" w:color="auto"/>
              <w:right w:val="single" w:sz="4" w:space="0" w:color="auto"/>
            </w:tcBorders>
            <w:shd w:val="clear" w:color="auto" w:fill="auto"/>
            <w:vAlign w:val="center"/>
            <w:hideMark/>
          </w:tcPr>
          <w:p w14:paraId="7BB0015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2A30674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noWrap/>
            <w:vAlign w:val="center"/>
            <w:hideMark/>
          </w:tcPr>
          <w:p w14:paraId="1DF6242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noWrap/>
            <w:vAlign w:val="center"/>
            <w:hideMark/>
          </w:tcPr>
          <w:p w14:paraId="06D6739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noWrap/>
            <w:vAlign w:val="center"/>
            <w:hideMark/>
          </w:tcPr>
          <w:p w14:paraId="6C1E40B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noWrap/>
            <w:vAlign w:val="center"/>
            <w:hideMark/>
          </w:tcPr>
          <w:p w14:paraId="5FA6E31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noWrap/>
            <w:vAlign w:val="center"/>
            <w:hideMark/>
          </w:tcPr>
          <w:p w14:paraId="20638F9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2688C609" w14:textId="51CB1F82"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56A696C4"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center"/>
            <w:hideMark/>
          </w:tcPr>
          <w:p w14:paraId="0006C4BA"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2.1.2.3</w:t>
            </w:r>
          </w:p>
        </w:tc>
        <w:tc>
          <w:tcPr>
            <w:tcW w:w="281" w:type="pct"/>
            <w:tcBorders>
              <w:top w:val="nil"/>
              <w:left w:val="nil"/>
              <w:bottom w:val="single" w:sz="4" w:space="0" w:color="auto"/>
              <w:right w:val="single" w:sz="4" w:space="0" w:color="auto"/>
            </w:tcBorders>
            <w:shd w:val="clear" w:color="auto" w:fill="auto"/>
            <w:vAlign w:val="center"/>
            <w:hideMark/>
          </w:tcPr>
          <w:p w14:paraId="1EB5CF24" w14:textId="77777777"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 xml:space="preserve">2.1.2.3 Krijimi i një </w:t>
            </w:r>
            <w:r w:rsidRPr="00B457F5">
              <w:rPr>
                <w:rFonts w:ascii="Garamond" w:eastAsia="Times New Roman" w:hAnsi="Garamond" w:cs="Times New Roman"/>
                <w:i/>
                <w:sz w:val="4"/>
                <w:szCs w:val="10"/>
              </w:rPr>
              <w:t>website</w:t>
            </w:r>
            <w:r w:rsidRPr="00B457F5">
              <w:rPr>
                <w:rFonts w:ascii="Garamond" w:eastAsia="Times New Roman" w:hAnsi="Garamond" w:cs="Times New Roman"/>
                <w:sz w:val="4"/>
                <w:szCs w:val="10"/>
              </w:rPr>
              <w:t xml:space="preserve"> unik për </w:t>
            </w:r>
            <w:r w:rsidRPr="00B457F5">
              <w:rPr>
                <w:rFonts w:ascii="Garamond" w:eastAsia="Times New Roman" w:hAnsi="Garamond" w:cs="Times New Roman"/>
                <w:i/>
                <w:iCs/>
                <w:sz w:val="4"/>
                <w:szCs w:val="10"/>
              </w:rPr>
              <w:t>posting of workers</w:t>
            </w:r>
            <w:r w:rsidRPr="00B457F5">
              <w:rPr>
                <w:rFonts w:ascii="Garamond" w:eastAsia="Times New Roman" w:hAnsi="Garamond" w:cs="Times New Roman"/>
                <w:sz w:val="4"/>
                <w:szCs w:val="10"/>
              </w:rPr>
              <w:t xml:space="preserve"> ku të jenë të publikuara kriteret dhe procedurat për </w:t>
            </w:r>
            <w:r w:rsidRPr="00B457F5">
              <w:rPr>
                <w:rFonts w:ascii="Garamond" w:eastAsia="Times New Roman" w:hAnsi="Garamond" w:cs="Times New Roman"/>
                <w:i/>
                <w:iCs/>
                <w:sz w:val="4"/>
                <w:szCs w:val="10"/>
              </w:rPr>
              <w:t>posting of workers</w:t>
            </w:r>
            <w:r w:rsidRPr="00B457F5">
              <w:rPr>
                <w:rFonts w:ascii="Garamond" w:eastAsia="Times New Roman" w:hAnsi="Garamond" w:cs="Times New Roman"/>
                <w:sz w:val="4"/>
                <w:szCs w:val="10"/>
              </w:rPr>
              <w:t>, në përputhje me legjislacionin dhe praktikën kombëtare</w:t>
            </w:r>
          </w:p>
        </w:tc>
        <w:tc>
          <w:tcPr>
            <w:tcW w:w="186" w:type="pct"/>
            <w:tcBorders>
              <w:top w:val="nil"/>
              <w:left w:val="nil"/>
              <w:bottom w:val="single" w:sz="4" w:space="0" w:color="auto"/>
              <w:right w:val="nil"/>
            </w:tcBorders>
            <w:shd w:val="clear" w:color="000000" w:fill="F2F2F2"/>
            <w:vAlign w:val="center"/>
            <w:hideMark/>
          </w:tcPr>
          <w:p w14:paraId="3FD85B11" w14:textId="39ED97E7" w:rsidR="00C260C3" w:rsidRPr="00B457F5" w:rsidRDefault="00C260C3" w:rsidP="008E5BAD">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8E5BAD" w:rsidRPr="00B457F5">
              <w:rPr>
                <w:rFonts w:ascii="Garamond" w:eastAsia="Times New Roman" w:hAnsi="Garamond" w:cs="Times New Roman"/>
                <w:color w:val="FF0000"/>
                <w:sz w:val="4"/>
                <w:szCs w:val="10"/>
              </w:rPr>
              <w:t>Punës</w:t>
            </w:r>
          </w:p>
        </w:tc>
        <w:tc>
          <w:tcPr>
            <w:tcW w:w="169" w:type="pct"/>
            <w:tcBorders>
              <w:top w:val="nil"/>
              <w:left w:val="single" w:sz="4" w:space="0" w:color="auto"/>
              <w:bottom w:val="single" w:sz="4" w:space="0" w:color="auto"/>
              <w:right w:val="single" w:sz="4" w:space="0" w:color="auto"/>
            </w:tcBorders>
            <w:shd w:val="clear" w:color="auto" w:fill="auto"/>
            <w:vAlign w:val="center"/>
            <w:hideMark/>
          </w:tcPr>
          <w:p w14:paraId="6A2A6B1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AKPA</w:t>
            </w:r>
          </w:p>
        </w:tc>
        <w:tc>
          <w:tcPr>
            <w:tcW w:w="244" w:type="pct"/>
            <w:tcBorders>
              <w:top w:val="nil"/>
              <w:left w:val="nil"/>
              <w:bottom w:val="single" w:sz="4" w:space="0" w:color="auto"/>
              <w:right w:val="single" w:sz="4" w:space="0" w:color="auto"/>
            </w:tcBorders>
            <w:shd w:val="clear" w:color="auto" w:fill="auto"/>
            <w:vAlign w:val="center"/>
            <w:hideMark/>
          </w:tcPr>
          <w:p w14:paraId="785C7D3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MEKI</w:t>
            </w:r>
          </w:p>
        </w:tc>
        <w:tc>
          <w:tcPr>
            <w:tcW w:w="135" w:type="pct"/>
            <w:tcBorders>
              <w:top w:val="nil"/>
              <w:left w:val="nil"/>
              <w:bottom w:val="single" w:sz="4" w:space="0" w:color="auto"/>
              <w:right w:val="single" w:sz="4" w:space="0" w:color="auto"/>
            </w:tcBorders>
            <w:shd w:val="clear" w:color="000000" w:fill="DDEBF7"/>
            <w:vAlign w:val="center"/>
            <w:hideMark/>
          </w:tcPr>
          <w:p w14:paraId="0F3BC773"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52" w:type="pct"/>
            <w:tcBorders>
              <w:top w:val="nil"/>
              <w:left w:val="nil"/>
              <w:bottom w:val="single" w:sz="4" w:space="0" w:color="auto"/>
              <w:right w:val="single" w:sz="4" w:space="0" w:color="auto"/>
            </w:tcBorders>
            <w:shd w:val="clear" w:color="000000" w:fill="DDEBF7"/>
            <w:vAlign w:val="center"/>
            <w:hideMark/>
          </w:tcPr>
          <w:p w14:paraId="035F49FE"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63" w:type="pct"/>
            <w:tcBorders>
              <w:top w:val="nil"/>
              <w:left w:val="nil"/>
              <w:bottom w:val="single" w:sz="4" w:space="0" w:color="auto"/>
              <w:right w:val="single" w:sz="4" w:space="0" w:color="auto"/>
            </w:tcBorders>
            <w:shd w:val="clear" w:color="auto" w:fill="auto"/>
            <w:vAlign w:val="center"/>
            <w:hideMark/>
          </w:tcPr>
          <w:p w14:paraId="79A6462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7ADD23F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10B8F18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auto" w:fill="auto"/>
            <w:vAlign w:val="center"/>
            <w:hideMark/>
          </w:tcPr>
          <w:p w14:paraId="2216903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56A6CB4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57D1E31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2A03052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8" w:type="pct"/>
            <w:tcBorders>
              <w:top w:val="nil"/>
              <w:left w:val="nil"/>
              <w:bottom w:val="single" w:sz="4" w:space="0" w:color="auto"/>
              <w:right w:val="single" w:sz="4" w:space="0" w:color="auto"/>
            </w:tcBorders>
            <w:shd w:val="clear" w:color="auto" w:fill="auto"/>
            <w:vAlign w:val="center"/>
            <w:hideMark/>
          </w:tcPr>
          <w:p w14:paraId="50E9DB1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2,875,000</w:t>
            </w:r>
          </w:p>
        </w:tc>
        <w:tc>
          <w:tcPr>
            <w:tcW w:w="162" w:type="pct"/>
            <w:tcBorders>
              <w:top w:val="nil"/>
              <w:left w:val="nil"/>
              <w:bottom w:val="single" w:sz="4" w:space="0" w:color="auto"/>
              <w:right w:val="single" w:sz="4" w:space="0" w:color="auto"/>
            </w:tcBorders>
            <w:shd w:val="clear" w:color="000000" w:fill="FFF2CC"/>
            <w:vAlign w:val="center"/>
            <w:hideMark/>
          </w:tcPr>
          <w:p w14:paraId="36881D5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2,875,000</w:t>
            </w:r>
          </w:p>
        </w:tc>
        <w:tc>
          <w:tcPr>
            <w:tcW w:w="165" w:type="pct"/>
            <w:tcBorders>
              <w:top w:val="nil"/>
              <w:left w:val="nil"/>
              <w:bottom w:val="single" w:sz="4" w:space="0" w:color="auto"/>
              <w:right w:val="single" w:sz="4" w:space="0" w:color="auto"/>
            </w:tcBorders>
            <w:shd w:val="clear" w:color="auto" w:fill="auto"/>
            <w:vAlign w:val="center"/>
            <w:hideMark/>
          </w:tcPr>
          <w:p w14:paraId="1ED952D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124CC91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2,875,000</w:t>
            </w:r>
          </w:p>
        </w:tc>
        <w:tc>
          <w:tcPr>
            <w:tcW w:w="165" w:type="pct"/>
            <w:tcBorders>
              <w:top w:val="nil"/>
              <w:left w:val="nil"/>
              <w:bottom w:val="single" w:sz="4" w:space="0" w:color="auto"/>
              <w:right w:val="single" w:sz="4" w:space="0" w:color="auto"/>
            </w:tcBorders>
            <w:shd w:val="clear" w:color="000000" w:fill="FFF2CC"/>
            <w:vAlign w:val="center"/>
            <w:hideMark/>
          </w:tcPr>
          <w:p w14:paraId="26CB6B4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2,875,000</w:t>
            </w:r>
          </w:p>
        </w:tc>
        <w:tc>
          <w:tcPr>
            <w:tcW w:w="163" w:type="pct"/>
            <w:tcBorders>
              <w:top w:val="nil"/>
              <w:left w:val="nil"/>
              <w:bottom w:val="single" w:sz="4" w:space="0" w:color="auto"/>
              <w:right w:val="single" w:sz="4" w:space="0" w:color="auto"/>
            </w:tcBorders>
            <w:shd w:val="clear" w:color="auto" w:fill="auto"/>
            <w:vAlign w:val="center"/>
            <w:hideMark/>
          </w:tcPr>
          <w:p w14:paraId="64DF0FD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5C6F291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F87E82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0BE17AE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6435CBB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noWrap/>
            <w:vAlign w:val="center"/>
            <w:hideMark/>
          </w:tcPr>
          <w:p w14:paraId="7ED5CBE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noWrap/>
            <w:vAlign w:val="center"/>
            <w:hideMark/>
          </w:tcPr>
          <w:p w14:paraId="6AFB55B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noWrap/>
            <w:vAlign w:val="center"/>
            <w:hideMark/>
          </w:tcPr>
          <w:p w14:paraId="4715668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noWrap/>
            <w:vAlign w:val="center"/>
            <w:hideMark/>
          </w:tcPr>
          <w:p w14:paraId="1B0A9F9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noWrap/>
            <w:vAlign w:val="center"/>
            <w:hideMark/>
          </w:tcPr>
          <w:p w14:paraId="0199EC5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090D19E2" w14:textId="7434A12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(2,875,000)</w:t>
            </w:r>
          </w:p>
        </w:tc>
      </w:tr>
      <w:tr w:rsidR="00C260C3" w:rsidRPr="00B457F5" w14:paraId="5BEE2E5E"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center"/>
            <w:hideMark/>
          </w:tcPr>
          <w:p w14:paraId="4FF2D43A"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2.1.2.4</w:t>
            </w:r>
          </w:p>
        </w:tc>
        <w:tc>
          <w:tcPr>
            <w:tcW w:w="281" w:type="pct"/>
            <w:tcBorders>
              <w:top w:val="nil"/>
              <w:left w:val="nil"/>
              <w:bottom w:val="single" w:sz="4" w:space="0" w:color="auto"/>
              <w:right w:val="single" w:sz="4" w:space="0" w:color="auto"/>
            </w:tcBorders>
            <w:shd w:val="clear" w:color="auto" w:fill="auto"/>
            <w:vAlign w:val="center"/>
            <w:hideMark/>
          </w:tcPr>
          <w:p w14:paraId="31C49056" w14:textId="77A8894B"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2.1.2.4 Ofrimi i informacionit të dedikuar </w:t>
            </w:r>
            <w:r w:rsidRPr="00B457F5">
              <w:rPr>
                <w:rFonts w:ascii="Garamond" w:eastAsia="Times New Roman" w:hAnsi="Garamond" w:cs="Times New Roman"/>
                <w:i/>
                <w:color w:val="000000"/>
                <w:sz w:val="4"/>
                <w:szCs w:val="10"/>
              </w:rPr>
              <w:t>online</w:t>
            </w:r>
            <w:r w:rsidRPr="00B457F5">
              <w:rPr>
                <w:rFonts w:ascii="Garamond" w:eastAsia="Times New Roman" w:hAnsi="Garamond" w:cs="Times New Roman"/>
                <w:color w:val="000000"/>
                <w:sz w:val="4"/>
                <w:szCs w:val="10"/>
              </w:rPr>
              <w:t xml:space="preserve"> për punëtorët</w:t>
            </w:r>
            <w:r w:rsidR="0006016F" w:rsidRPr="00B457F5">
              <w:rPr>
                <w:rFonts w:ascii="Garamond" w:eastAsia="Times New Roman" w:hAnsi="Garamond" w:cs="Times New Roman"/>
                <w:color w:val="000000"/>
                <w:sz w:val="4"/>
                <w:szCs w:val="10"/>
              </w:rPr>
              <w:t xml:space="preserve"> </w:t>
            </w:r>
            <w:r w:rsidRPr="00B457F5">
              <w:rPr>
                <w:rFonts w:ascii="Garamond" w:eastAsia="Times New Roman" w:hAnsi="Garamond" w:cs="Times New Roman"/>
                <w:color w:val="000000"/>
                <w:sz w:val="4"/>
                <w:szCs w:val="10"/>
              </w:rPr>
              <w:t>dhe anëtarët e familjes së tyre për punësimin dhe qëndrimin për motive pune në territorin e RSH</w:t>
            </w:r>
            <w:r w:rsidR="002803F2" w:rsidRPr="00B457F5">
              <w:rPr>
                <w:rFonts w:ascii="Garamond" w:eastAsia="Times New Roman" w:hAnsi="Garamond" w:cs="Times New Roman"/>
                <w:color w:val="000000"/>
                <w:sz w:val="4"/>
                <w:szCs w:val="10"/>
              </w:rPr>
              <w:t>-së</w:t>
            </w:r>
          </w:p>
        </w:tc>
        <w:tc>
          <w:tcPr>
            <w:tcW w:w="186" w:type="pct"/>
            <w:tcBorders>
              <w:top w:val="nil"/>
              <w:left w:val="nil"/>
              <w:bottom w:val="single" w:sz="4" w:space="0" w:color="auto"/>
              <w:right w:val="nil"/>
            </w:tcBorders>
            <w:shd w:val="clear" w:color="000000" w:fill="F2F2F2"/>
            <w:vAlign w:val="center"/>
            <w:hideMark/>
          </w:tcPr>
          <w:p w14:paraId="5CE1EFDC" w14:textId="4C2806F8" w:rsidR="00C260C3" w:rsidRPr="00B457F5" w:rsidRDefault="00C260C3" w:rsidP="008E5BAD">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8E5BAD" w:rsidRPr="00B457F5">
              <w:rPr>
                <w:rFonts w:ascii="Garamond" w:eastAsia="Times New Roman" w:hAnsi="Garamond" w:cs="Times New Roman"/>
                <w:color w:val="FF0000"/>
                <w:sz w:val="4"/>
                <w:szCs w:val="10"/>
              </w:rPr>
              <w:t>Punës</w:t>
            </w:r>
          </w:p>
        </w:tc>
        <w:tc>
          <w:tcPr>
            <w:tcW w:w="169" w:type="pct"/>
            <w:tcBorders>
              <w:top w:val="nil"/>
              <w:left w:val="single" w:sz="4" w:space="0" w:color="auto"/>
              <w:bottom w:val="single" w:sz="4" w:space="0" w:color="auto"/>
              <w:right w:val="single" w:sz="4" w:space="0" w:color="auto"/>
            </w:tcBorders>
            <w:shd w:val="clear" w:color="auto" w:fill="auto"/>
            <w:vAlign w:val="center"/>
            <w:hideMark/>
          </w:tcPr>
          <w:p w14:paraId="62BBA2B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AKPA, </w:t>
            </w:r>
          </w:p>
        </w:tc>
        <w:tc>
          <w:tcPr>
            <w:tcW w:w="244" w:type="pct"/>
            <w:tcBorders>
              <w:top w:val="nil"/>
              <w:left w:val="nil"/>
              <w:bottom w:val="single" w:sz="4" w:space="0" w:color="auto"/>
              <w:right w:val="single" w:sz="4" w:space="0" w:color="auto"/>
            </w:tcBorders>
            <w:shd w:val="clear" w:color="auto" w:fill="auto"/>
            <w:vAlign w:val="center"/>
            <w:hideMark/>
          </w:tcPr>
          <w:p w14:paraId="535F020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DKM, MEKI, MB, GIZ</w:t>
            </w:r>
          </w:p>
        </w:tc>
        <w:tc>
          <w:tcPr>
            <w:tcW w:w="135" w:type="pct"/>
            <w:tcBorders>
              <w:top w:val="nil"/>
              <w:left w:val="nil"/>
              <w:bottom w:val="single" w:sz="4" w:space="0" w:color="auto"/>
              <w:right w:val="single" w:sz="4" w:space="0" w:color="auto"/>
            </w:tcBorders>
            <w:shd w:val="clear" w:color="000000" w:fill="DDEBF7"/>
            <w:vAlign w:val="center"/>
            <w:hideMark/>
          </w:tcPr>
          <w:p w14:paraId="7EDCB5EE"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2024</w:t>
            </w:r>
          </w:p>
        </w:tc>
        <w:tc>
          <w:tcPr>
            <w:tcW w:w="152" w:type="pct"/>
            <w:tcBorders>
              <w:top w:val="nil"/>
              <w:left w:val="nil"/>
              <w:bottom w:val="single" w:sz="4" w:space="0" w:color="auto"/>
              <w:right w:val="single" w:sz="4" w:space="0" w:color="auto"/>
            </w:tcBorders>
            <w:shd w:val="clear" w:color="000000" w:fill="DDEBF7"/>
            <w:vAlign w:val="center"/>
            <w:hideMark/>
          </w:tcPr>
          <w:p w14:paraId="743C55EE"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63" w:type="pct"/>
            <w:tcBorders>
              <w:top w:val="nil"/>
              <w:left w:val="nil"/>
              <w:bottom w:val="single" w:sz="4" w:space="0" w:color="auto"/>
              <w:right w:val="single" w:sz="4" w:space="0" w:color="auto"/>
            </w:tcBorders>
            <w:shd w:val="clear" w:color="auto" w:fill="auto"/>
            <w:vAlign w:val="center"/>
            <w:hideMark/>
          </w:tcPr>
          <w:p w14:paraId="49B9900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1,392,278</w:t>
            </w:r>
          </w:p>
        </w:tc>
        <w:tc>
          <w:tcPr>
            <w:tcW w:w="155" w:type="pct"/>
            <w:tcBorders>
              <w:top w:val="nil"/>
              <w:left w:val="nil"/>
              <w:bottom w:val="single" w:sz="4" w:space="0" w:color="auto"/>
              <w:right w:val="single" w:sz="4" w:space="0" w:color="auto"/>
            </w:tcBorders>
            <w:shd w:val="clear" w:color="auto" w:fill="auto"/>
            <w:vAlign w:val="center"/>
            <w:hideMark/>
          </w:tcPr>
          <w:p w14:paraId="6ED6830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366C94E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1,392,278</w:t>
            </w:r>
          </w:p>
        </w:tc>
        <w:tc>
          <w:tcPr>
            <w:tcW w:w="165" w:type="pct"/>
            <w:tcBorders>
              <w:top w:val="nil"/>
              <w:left w:val="nil"/>
              <w:bottom w:val="single" w:sz="4" w:space="0" w:color="auto"/>
              <w:right w:val="single" w:sz="4" w:space="0" w:color="auto"/>
            </w:tcBorders>
            <w:shd w:val="clear" w:color="auto" w:fill="auto"/>
            <w:vAlign w:val="center"/>
            <w:hideMark/>
          </w:tcPr>
          <w:p w14:paraId="7E985B9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1,392,278</w:t>
            </w:r>
          </w:p>
        </w:tc>
        <w:tc>
          <w:tcPr>
            <w:tcW w:w="163" w:type="pct"/>
            <w:tcBorders>
              <w:top w:val="nil"/>
              <w:left w:val="nil"/>
              <w:bottom w:val="single" w:sz="4" w:space="0" w:color="auto"/>
              <w:right w:val="single" w:sz="4" w:space="0" w:color="auto"/>
            </w:tcBorders>
            <w:shd w:val="clear" w:color="auto" w:fill="auto"/>
            <w:vAlign w:val="center"/>
            <w:hideMark/>
          </w:tcPr>
          <w:p w14:paraId="35FDD61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660B197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1,392,278</w:t>
            </w:r>
          </w:p>
        </w:tc>
        <w:tc>
          <w:tcPr>
            <w:tcW w:w="163" w:type="pct"/>
            <w:tcBorders>
              <w:top w:val="nil"/>
              <w:left w:val="nil"/>
              <w:bottom w:val="single" w:sz="4" w:space="0" w:color="auto"/>
              <w:right w:val="single" w:sz="4" w:space="0" w:color="auto"/>
            </w:tcBorders>
            <w:shd w:val="clear" w:color="auto" w:fill="auto"/>
            <w:vAlign w:val="center"/>
            <w:hideMark/>
          </w:tcPr>
          <w:p w14:paraId="52DD577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1,392,278</w:t>
            </w:r>
          </w:p>
        </w:tc>
        <w:tc>
          <w:tcPr>
            <w:tcW w:w="148" w:type="pct"/>
            <w:tcBorders>
              <w:top w:val="nil"/>
              <w:left w:val="nil"/>
              <w:bottom w:val="single" w:sz="4" w:space="0" w:color="auto"/>
              <w:right w:val="single" w:sz="4" w:space="0" w:color="auto"/>
            </w:tcBorders>
            <w:shd w:val="clear" w:color="auto" w:fill="auto"/>
            <w:vAlign w:val="center"/>
            <w:hideMark/>
          </w:tcPr>
          <w:p w14:paraId="1070D9D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546167F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1,392,278</w:t>
            </w:r>
          </w:p>
        </w:tc>
        <w:tc>
          <w:tcPr>
            <w:tcW w:w="165" w:type="pct"/>
            <w:tcBorders>
              <w:top w:val="nil"/>
              <w:left w:val="nil"/>
              <w:bottom w:val="single" w:sz="4" w:space="0" w:color="auto"/>
              <w:right w:val="single" w:sz="4" w:space="0" w:color="auto"/>
            </w:tcBorders>
            <w:shd w:val="clear" w:color="auto" w:fill="auto"/>
            <w:vAlign w:val="center"/>
            <w:hideMark/>
          </w:tcPr>
          <w:p w14:paraId="37DD5EC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4,176,834</w:t>
            </w:r>
          </w:p>
        </w:tc>
        <w:tc>
          <w:tcPr>
            <w:tcW w:w="163" w:type="pct"/>
            <w:tcBorders>
              <w:top w:val="nil"/>
              <w:left w:val="nil"/>
              <w:bottom w:val="single" w:sz="4" w:space="0" w:color="auto"/>
              <w:right w:val="single" w:sz="4" w:space="0" w:color="auto"/>
            </w:tcBorders>
            <w:shd w:val="clear" w:color="auto" w:fill="auto"/>
            <w:vAlign w:val="center"/>
            <w:hideMark/>
          </w:tcPr>
          <w:p w14:paraId="428A6E3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53B2C6A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4,176,834</w:t>
            </w:r>
          </w:p>
        </w:tc>
        <w:tc>
          <w:tcPr>
            <w:tcW w:w="163" w:type="pct"/>
            <w:tcBorders>
              <w:top w:val="nil"/>
              <w:left w:val="nil"/>
              <w:bottom w:val="single" w:sz="4" w:space="0" w:color="auto"/>
              <w:right w:val="single" w:sz="4" w:space="0" w:color="auto"/>
            </w:tcBorders>
            <w:shd w:val="clear" w:color="auto" w:fill="auto"/>
            <w:vAlign w:val="center"/>
            <w:hideMark/>
          </w:tcPr>
          <w:p w14:paraId="0C7B3DD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6EFF7CA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5A5CF01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3A72DCB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4,176,834</w:t>
            </w:r>
          </w:p>
        </w:tc>
        <w:tc>
          <w:tcPr>
            <w:tcW w:w="155" w:type="pct"/>
            <w:tcBorders>
              <w:top w:val="nil"/>
              <w:left w:val="nil"/>
              <w:bottom w:val="single" w:sz="4" w:space="0" w:color="auto"/>
              <w:right w:val="single" w:sz="4" w:space="0" w:color="auto"/>
            </w:tcBorders>
            <w:shd w:val="clear" w:color="auto" w:fill="auto"/>
            <w:vAlign w:val="center"/>
            <w:hideMark/>
          </w:tcPr>
          <w:p w14:paraId="638B6F0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noWrap/>
            <w:vAlign w:val="center"/>
            <w:hideMark/>
          </w:tcPr>
          <w:p w14:paraId="772FC2C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GIZ</w:t>
            </w:r>
          </w:p>
        </w:tc>
        <w:tc>
          <w:tcPr>
            <w:tcW w:w="163" w:type="pct"/>
            <w:tcBorders>
              <w:top w:val="nil"/>
              <w:left w:val="nil"/>
              <w:bottom w:val="single" w:sz="4" w:space="0" w:color="auto"/>
              <w:right w:val="single" w:sz="4" w:space="0" w:color="auto"/>
            </w:tcBorders>
            <w:shd w:val="clear" w:color="000000" w:fill="FFF2CC"/>
            <w:noWrap/>
            <w:vAlign w:val="center"/>
            <w:hideMark/>
          </w:tcPr>
          <w:p w14:paraId="7E51091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4,176,834</w:t>
            </w:r>
          </w:p>
        </w:tc>
        <w:tc>
          <w:tcPr>
            <w:tcW w:w="139" w:type="pct"/>
            <w:tcBorders>
              <w:top w:val="nil"/>
              <w:left w:val="nil"/>
              <w:bottom w:val="single" w:sz="4" w:space="0" w:color="auto"/>
              <w:right w:val="single" w:sz="4" w:space="0" w:color="auto"/>
            </w:tcBorders>
            <w:shd w:val="clear" w:color="auto" w:fill="auto"/>
            <w:noWrap/>
            <w:vAlign w:val="center"/>
            <w:hideMark/>
          </w:tcPr>
          <w:p w14:paraId="05D6904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noWrap/>
            <w:vAlign w:val="center"/>
            <w:hideMark/>
          </w:tcPr>
          <w:p w14:paraId="136A7E7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noWrap/>
            <w:vAlign w:val="center"/>
            <w:hideMark/>
          </w:tcPr>
          <w:p w14:paraId="7782605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5FB5C908" w14:textId="78848F98"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73A8754F"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center"/>
            <w:hideMark/>
          </w:tcPr>
          <w:p w14:paraId="5B75ACA8"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2.1.2.5.</w:t>
            </w:r>
          </w:p>
        </w:tc>
        <w:tc>
          <w:tcPr>
            <w:tcW w:w="281" w:type="pct"/>
            <w:tcBorders>
              <w:top w:val="nil"/>
              <w:left w:val="nil"/>
              <w:bottom w:val="single" w:sz="4" w:space="0" w:color="auto"/>
              <w:right w:val="single" w:sz="4" w:space="0" w:color="auto"/>
            </w:tcBorders>
            <w:shd w:val="clear" w:color="auto" w:fill="auto"/>
            <w:vAlign w:val="center"/>
            <w:hideMark/>
          </w:tcPr>
          <w:p w14:paraId="4C6D8112" w14:textId="24D92D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2.1.2.5 Krijimi i partneriteteve me vendet anëtare të BE</w:t>
            </w:r>
            <w:r w:rsidR="00FC441E" w:rsidRPr="00B457F5">
              <w:rPr>
                <w:rFonts w:ascii="Garamond" w:eastAsia="Times New Roman" w:hAnsi="Garamond" w:cs="Times New Roman"/>
                <w:color w:val="000000"/>
                <w:sz w:val="4"/>
                <w:szCs w:val="10"/>
              </w:rPr>
              <w:t>-së</w:t>
            </w:r>
            <w:r w:rsidRPr="00B457F5">
              <w:rPr>
                <w:rFonts w:ascii="Garamond" w:eastAsia="Times New Roman" w:hAnsi="Garamond" w:cs="Times New Roman"/>
                <w:color w:val="000000"/>
                <w:sz w:val="4"/>
                <w:szCs w:val="10"/>
              </w:rPr>
              <w:t xml:space="preserve"> dhe Ballkanit Perëndimor për shkëmbim informacioni mbi procedurat e rregullta të migracionit dhe strukturat përgjegjëse në çdo shtet</w:t>
            </w:r>
            <w:r w:rsidR="00FC441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për pajisjen me dokumentacionin e duhur për migrantët për motive punësimi</w:t>
            </w:r>
          </w:p>
        </w:tc>
        <w:tc>
          <w:tcPr>
            <w:tcW w:w="186" w:type="pct"/>
            <w:tcBorders>
              <w:top w:val="nil"/>
              <w:left w:val="nil"/>
              <w:bottom w:val="single" w:sz="4" w:space="0" w:color="auto"/>
              <w:right w:val="nil"/>
            </w:tcBorders>
            <w:shd w:val="clear" w:color="000000" w:fill="F2F2F2"/>
            <w:vAlign w:val="center"/>
            <w:hideMark/>
          </w:tcPr>
          <w:p w14:paraId="1FFD79CA" w14:textId="037290EA" w:rsidR="00C260C3" w:rsidRPr="00B457F5" w:rsidRDefault="00C260C3" w:rsidP="008E5BAD">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8E5BAD" w:rsidRPr="00B457F5">
              <w:rPr>
                <w:rFonts w:ascii="Garamond" w:eastAsia="Times New Roman" w:hAnsi="Garamond" w:cs="Times New Roman"/>
                <w:color w:val="FF0000"/>
                <w:sz w:val="4"/>
                <w:szCs w:val="10"/>
              </w:rPr>
              <w:t>Punës</w:t>
            </w:r>
          </w:p>
        </w:tc>
        <w:tc>
          <w:tcPr>
            <w:tcW w:w="169" w:type="pct"/>
            <w:tcBorders>
              <w:top w:val="nil"/>
              <w:left w:val="single" w:sz="4" w:space="0" w:color="auto"/>
              <w:bottom w:val="single" w:sz="4" w:space="0" w:color="auto"/>
              <w:right w:val="single" w:sz="4" w:space="0" w:color="auto"/>
            </w:tcBorders>
            <w:shd w:val="clear" w:color="auto" w:fill="auto"/>
            <w:vAlign w:val="center"/>
            <w:hideMark/>
          </w:tcPr>
          <w:p w14:paraId="5A36039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MEKI </w:t>
            </w:r>
          </w:p>
        </w:tc>
        <w:tc>
          <w:tcPr>
            <w:tcW w:w="244" w:type="pct"/>
            <w:tcBorders>
              <w:top w:val="nil"/>
              <w:left w:val="nil"/>
              <w:bottom w:val="single" w:sz="4" w:space="0" w:color="auto"/>
              <w:right w:val="single" w:sz="4" w:space="0" w:color="auto"/>
            </w:tcBorders>
            <w:shd w:val="clear" w:color="auto" w:fill="auto"/>
            <w:vAlign w:val="center"/>
            <w:hideMark/>
          </w:tcPr>
          <w:p w14:paraId="65347D1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AKPA, ISHPSHSH</w:t>
            </w:r>
          </w:p>
        </w:tc>
        <w:tc>
          <w:tcPr>
            <w:tcW w:w="135" w:type="pct"/>
            <w:tcBorders>
              <w:top w:val="nil"/>
              <w:left w:val="nil"/>
              <w:bottom w:val="single" w:sz="4" w:space="0" w:color="auto"/>
              <w:right w:val="single" w:sz="4" w:space="0" w:color="auto"/>
            </w:tcBorders>
            <w:shd w:val="clear" w:color="000000" w:fill="DDEBF7"/>
            <w:vAlign w:val="center"/>
            <w:hideMark/>
          </w:tcPr>
          <w:p w14:paraId="29AFAEE7"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2024</w:t>
            </w:r>
          </w:p>
        </w:tc>
        <w:tc>
          <w:tcPr>
            <w:tcW w:w="152" w:type="pct"/>
            <w:tcBorders>
              <w:top w:val="nil"/>
              <w:left w:val="nil"/>
              <w:bottom w:val="single" w:sz="4" w:space="0" w:color="auto"/>
              <w:right w:val="single" w:sz="4" w:space="0" w:color="auto"/>
            </w:tcBorders>
            <w:shd w:val="clear" w:color="000000" w:fill="DDEBF7"/>
            <w:vAlign w:val="center"/>
            <w:hideMark/>
          </w:tcPr>
          <w:p w14:paraId="53D59BB3"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63" w:type="pct"/>
            <w:tcBorders>
              <w:top w:val="nil"/>
              <w:left w:val="nil"/>
              <w:bottom w:val="single" w:sz="4" w:space="0" w:color="auto"/>
              <w:right w:val="single" w:sz="4" w:space="0" w:color="auto"/>
            </w:tcBorders>
            <w:shd w:val="clear" w:color="auto" w:fill="auto"/>
            <w:vAlign w:val="center"/>
            <w:hideMark/>
          </w:tcPr>
          <w:p w14:paraId="44C2FC5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1,256,859</w:t>
            </w:r>
          </w:p>
        </w:tc>
        <w:tc>
          <w:tcPr>
            <w:tcW w:w="155" w:type="pct"/>
            <w:tcBorders>
              <w:top w:val="nil"/>
              <w:left w:val="nil"/>
              <w:bottom w:val="single" w:sz="4" w:space="0" w:color="auto"/>
              <w:right w:val="single" w:sz="4" w:space="0" w:color="auto"/>
            </w:tcBorders>
            <w:shd w:val="clear" w:color="auto" w:fill="auto"/>
            <w:vAlign w:val="center"/>
            <w:hideMark/>
          </w:tcPr>
          <w:p w14:paraId="0756848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1D27AF8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1,256,859</w:t>
            </w:r>
          </w:p>
        </w:tc>
        <w:tc>
          <w:tcPr>
            <w:tcW w:w="165" w:type="pct"/>
            <w:tcBorders>
              <w:top w:val="nil"/>
              <w:left w:val="nil"/>
              <w:bottom w:val="single" w:sz="4" w:space="0" w:color="auto"/>
              <w:right w:val="single" w:sz="4" w:space="0" w:color="auto"/>
            </w:tcBorders>
            <w:shd w:val="clear" w:color="auto" w:fill="auto"/>
            <w:vAlign w:val="center"/>
            <w:hideMark/>
          </w:tcPr>
          <w:p w14:paraId="1685782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1,256,859</w:t>
            </w:r>
          </w:p>
        </w:tc>
        <w:tc>
          <w:tcPr>
            <w:tcW w:w="163" w:type="pct"/>
            <w:tcBorders>
              <w:top w:val="nil"/>
              <w:left w:val="nil"/>
              <w:bottom w:val="single" w:sz="4" w:space="0" w:color="auto"/>
              <w:right w:val="single" w:sz="4" w:space="0" w:color="auto"/>
            </w:tcBorders>
            <w:shd w:val="clear" w:color="auto" w:fill="auto"/>
            <w:vAlign w:val="center"/>
            <w:hideMark/>
          </w:tcPr>
          <w:p w14:paraId="195F4D2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781FBAF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1,256,859</w:t>
            </w:r>
          </w:p>
        </w:tc>
        <w:tc>
          <w:tcPr>
            <w:tcW w:w="163" w:type="pct"/>
            <w:tcBorders>
              <w:top w:val="nil"/>
              <w:left w:val="nil"/>
              <w:bottom w:val="single" w:sz="4" w:space="0" w:color="auto"/>
              <w:right w:val="single" w:sz="4" w:space="0" w:color="auto"/>
            </w:tcBorders>
            <w:shd w:val="clear" w:color="auto" w:fill="auto"/>
            <w:vAlign w:val="center"/>
            <w:hideMark/>
          </w:tcPr>
          <w:p w14:paraId="745481D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1,256,859</w:t>
            </w:r>
          </w:p>
        </w:tc>
        <w:tc>
          <w:tcPr>
            <w:tcW w:w="148" w:type="pct"/>
            <w:tcBorders>
              <w:top w:val="nil"/>
              <w:left w:val="nil"/>
              <w:bottom w:val="single" w:sz="4" w:space="0" w:color="auto"/>
              <w:right w:val="single" w:sz="4" w:space="0" w:color="auto"/>
            </w:tcBorders>
            <w:shd w:val="clear" w:color="auto" w:fill="auto"/>
            <w:vAlign w:val="center"/>
            <w:hideMark/>
          </w:tcPr>
          <w:p w14:paraId="6906663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358CBDC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1,256,859</w:t>
            </w:r>
          </w:p>
        </w:tc>
        <w:tc>
          <w:tcPr>
            <w:tcW w:w="165" w:type="pct"/>
            <w:tcBorders>
              <w:top w:val="nil"/>
              <w:left w:val="nil"/>
              <w:bottom w:val="single" w:sz="4" w:space="0" w:color="auto"/>
              <w:right w:val="single" w:sz="4" w:space="0" w:color="auto"/>
            </w:tcBorders>
            <w:shd w:val="clear" w:color="auto" w:fill="auto"/>
            <w:vAlign w:val="center"/>
            <w:hideMark/>
          </w:tcPr>
          <w:p w14:paraId="735934A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3,770,577</w:t>
            </w:r>
          </w:p>
        </w:tc>
        <w:tc>
          <w:tcPr>
            <w:tcW w:w="163" w:type="pct"/>
            <w:tcBorders>
              <w:top w:val="nil"/>
              <w:left w:val="nil"/>
              <w:bottom w:val="single" w:sz="4" w:space="0" w:color="auto"/>
              <w:right w:val="single" w:sz="4" w:space="0" w:color="auto"/>
            </w:tcBorders>
            <w:shd w:val="clear" w:color="auto" w:fill="auto"/>
            <w:vAlign w:val="center"/>
            <w:hideMark/>
          </w:tcPr>
          <w:p w14:paraId="4047230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041763F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3,770,577</w:t>
            </w:r>
          </w:p>
        </w:tc>
        <w:tc>
          <w:tcPr>
            <w:tcW w:w="163" w:type="pct"/>
            <w:tcBorders>
              <w:top w:val="nil"/>
              <w:left w:val="nil"/>
              <w:bottom w:val="single" w:sz="4" w:space="0" w:color="auto"/>
              <w:right w:val="single" w:sz="4" w:space="0" w:color="auto"/>
            </w:tcBorders>
            <w:shd w:val="clear" w:color="auto" w:fill="auto"/>
            <w:vAlign w:val="center"/>
            <w:hideMark/>
          </w:tcPr>
          <w:p w14:paraId="1063AD5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3,770,577</w:t>
            </w:r>
          </w:p>
        </w:tc>
        <w:tc>
          <w:tcPr>
            <w:tcW w:w="155" w:type="pct"/>
            <w:tcBorders>
              <w:top w:val="nil"/>
              <w:left w:val="nil"/>
              <w:bottom w:val="single" w:sz="4" w:space="0" w:color="auto"/>
              <w:right w:val="single" w:sz="4" w:space="0" w:color="auto"/>
            </w:tcBorders>
            <w:shd w:val="clear" w:color="auto" w:fill="auto"/>
            <w:vAlign w:val="center"/>
            <w:hideMark/>
          </w:tcPr>
          <w:p w14:paraId="5AFDA09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4F05E33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3,770,577</w:t>
            </w:r>
          </w:p>
        </w:tc>
        <w:tc>
          <w:tcPr>
            <w:tcW w:w="162" w:type="pct"/>
            <w:tcBorders>
              <w:top w:val="nil"/>
              <w:left w:val="nil"/>
              <w:bottom w:val="single" w:sz="4" w:space="0" w:color="auto"/>
              <w:right w:val="single" w:sz="4" w:space="0" w:color="auto"/>
            </w:tcBorders>
            <w:shd w:val="clear" w:color="auto" w:fill="auto"/>
            <w:vAlign w:val="center"/>
            <w:hideMark/>
          </w:tcPr>
          <w:p w14:paraId="2FE9CD0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376C6E6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noWrap/>
            <w:vAlign w:val="center"/>
            <w:hideMark/>
          </w:tcPr>
          <w:p w14:paraId="55D4108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noWrap/>
            <w:vAlign w:val="center"/>
            <w:hideMark/>
          </w:tcPr>
          <w:p w14:paraId="4389E95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noWrap/>
            <w:vAlign w:val="center"/>
            <w:hideMark/>
          </w:tcPr>
          <w:p w14:paraId="1CC9D5E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noWrap/>
            <w:vAlign w:val="center"/>
            <w:hideMark/>
          </w:tcPr>
          <w:p w14:paraId="0620895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noWrap/>
            <w:vAlign w:val="center"/>
            <w:hideMark/>
          </w:tcPr>
          <w:p w14:paraId="29428B5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78E7E77C" w14:textId="1085C4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0375904C" w14:textId="77777777" w:rsidTr="00C260C3">
        <w:trPr>
          <w:trHeight w:val="20"/>
        </w:trPr>
        <w:tc>
          <w:tcPr>
            <w:tcW w:w="131" w:type="pct"/>
            <w:tcBorders>
              <w:top w:val="nil"/>
              <w:left w:val="single" w:sz="8" w:space="0" w:color="auto"/>
              <w:bottom w:val="single" w:sz="4" w:space="0" w:color="auto"/>
              <w:right w:val="single" w:sz="4" w:space="0" w:color="auto"/>
            </w:tcBorders>
            <w:shd w:val="clear" w:color="000000" w:fill="D9D9D9"/>
            <w:noWrap/>
            <w:vAlign w:val="center"/>
            <w:hideMark/>
          </w:tcPr>
          <w:p w14:paraId="20A93BE1"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2.1.3</w:t>
            </w:r>
          </w:p>
        </w:tc>
        <w:tc>
          <w:tcPr>
            <w:tcW w:w="281" w:type="pct"/>
            <w:tcBorders>
              <w:top w:val="nil"/>
              <w:left w:val="nil"/>
              <w:bottom w:val="single" w:sz="4" w:space="0" w:color="auto"/>
              <w:right w:val="single" w:sz="4" w:space="0" w:color="auto"/>
            </w:tcBorders>
            <w:shd w:val="clear" w:color="000000" w:fill="D9D9D9"/>
            <w:vAlign w:val="center"/>
            <w:hideMark/>
          </w:tcPr>
          <w:p w14:paraId="176AFB09"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2.1.3 Përmirësimi i veprimtarisë së agjencive private të punësimit </w:t>
            </w:r>
          </w:p>
        </w:tc>
        <w:tc>
          <w:tcPr>
            <w:tcW w:w="186" w:type="pct"/>
            <w:tcBorders>
              <w:top w:val="nil"/>
              <w:left w:val="nil"/>
              <w:bottom w:val="single" w:sz="4" w:space="0" w:color="auto"/>
              <w:right w:val="nil"/>
            </w:tcBorders>
            <w:shd w:val="clear" w:color="000000" w:fill="D9D9D9"/>
            <w:vAlign w:val="center"/>
            <w:hideMark/>
          </w:tcPr>
          <w:p w14:paraId="7E2D4901" w14:textId="40D9604A"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8E5BAD" w:rsidRPr="00B457F5">
              <w:rPr>
                <w:rFonts w:ascii="Garamond" w:eastAsia="Times New Roman" w:hAnsi="Garamond" w:cs="Times New Roman"/>
                <w:color w:val="FF0000"/>
                <w:sz w:val="4"/>
                <w:szCs w:val="10"/>
              </w:rPr>
              <w:t>Punës</w:t>
            </w:r>
            <w:r w:rsidRPr="00B457F5">
              <w:rPr>
                <w:rFonts w:ascii="Garamond" w:eastAsia="Times New Roman" w:hAnsi="Garamond" w:cs="Times New Roman"/>
                <w:color w:val="FF0000"/>
                <w:sz w:val="4"/>
                <w:szCs w:val="10"/>
              </w:rPr>
              <w:t>, 04170 Inspektimi n</w:t>
            </w:r>
            <w:r w:rsidR="002803F2" w:rsidRPr="00B457F5">
              <w:rPr>
                <w:rFonts w:ascii="Garamond" w:eastAsia="Times New Roman" w:hAnsi="Garamond" w:cs="Times New Roman"/>
                <w:bCs/>
                <w:color w:val="FF0000"/>
                <w:sz w:val="4"/>
                <w:szCs w:val="10"/>
              </w:rPr>
              <w:t>ë</w:t>
            </w:r>
            <w:r w:rsidRPr="00B457F5">
              <w:rPr>
                <w:rFonts w:ascii="Garamond" w:eastAsia="Times New Roman" w:hAnsi="Garamond" w:cs="Times New Roman"/>
                <w:color w:val="FF0000"/>
                <w:sz w:val="4"/>
                <w:szCs w:val="10"/>
              </w:rPr>
              <w:t xml:space="preserve"> Pun</w:t>
            </w:r>
            <w:r w:rsidR="002803F2" w:rsidRPr="00B457F5">
              <w:rPr>
                <w:rFonts w:ascii="Garamond" w:eastAsia="Times New Roman" w:hAnsi="Garamond" w:cs="Times New Roman"/>
                <w:bCs/>
                <w:color w:val="FF0000"/>
                <w:sz w:val="4"/>
                <w:szCs w:val="10"/>
              </w:rPr>
              <w:t>ë</w:t>
            </w:r>
          </w:p>
        </w:tc>
        <w:tc>
          <w:tcPr>
            <w:tcW w:w="169" w:type="pct"/>
            <w:tcBorders>
              <w:top w:val="nil"/>
              <w:left w:val="single" w:sz="4" w:space="0" w:color="auto"/>
              <w:bottom w:val="single" w:sz="4" w:space="0" w:color="auto"/>
              <w:right w:val="single" w:sz="4" w:space="0" w:color="auto"/>
            </w:tcBorders>
            <w:shd w:val="clear" w:color="000000" w:fill="D9D9D9"/>
            <w:vAlign w:val="center"/>
            <w:hideMark/>
          </w:tcPr>
          <w:p w14:paraId="2A56A92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MEKI, AKPA, ISHPSH</w:t>
            </w:r>
          </w:p>
        </w:tc>
        <w:tc>
          <w:tcPr>
            <w:tcW w:w="244" w:type="pct"/>
            <w:tcBorders>
              <w:top w:val="nil"/>
              <w:left w:val="nil"/>
              <w:bottom w:val="single" w:sz="4" w:space="0" w:color="auto"/>
              <w:right w:val="single" w:sz="4" w:space="0" w:color="auto"/>
            </w:tcBorders>
            <w:shd w:val="clear" w:color="000000" w:fill="D9D9D9"/>
            <w:vAlign w:val="center"/>
            <w:hideMark/>
          </w:tcPr>
          <w:p w14:paraId="59A4AF8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AKPA, QKB, ISHSHSP, GIZ, IOM</w:t>
            </w:r>
          </w:p>
        </w:tc>
        <w:tc>
          <w:tcPr>
            <w:tcW w:w="135" w:type="pct"/>
            <w:tcBorders>
              <w:top w:val="nil"/>
              <w:left w:val="nil"/>
              <w:bottom w:val="single" w:sz="4" w:space="0" w:color="auto"/>
              <w:right w:val="nil"/>
            </w:tcBorders>
            <w:shd w:val="clear" w:color="000000" w:fill="D9D9D9"/>
            <w:vAlign w:val="center"/>
            <w:hideMark/>
          </w:tcPr>
          <w:p w14:paraId="1DEFF218"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single" w:sz="4" w:space="0" w:color="auto"/>
              <w:bottom w:val="single" w:sz="4" w:space="0" w:color="auto"/>
              <w:right w:val="single" w:sz="4" w:space="0" w:color="auto"/>
            </w:tcBorders>
            <w:shd w:val="clear" w:color="000000" w:fill="D9D9D9"/>
            <w:vAlign w:val="center"/>
            <w:hideMark/>
          </w:tcPr>
          <w:p w14:paraId="192740D6"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000000" w:fill="D9D9D9"/>
            <w:vAlign w:val="center"/>
            <w:hideMark/>
          </w:tcPr>
          <w:p w14:paraId="11EF1B7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3,822,026</w:t>
            </w:r>
          </w:p>
        </w:tc>
        <w:tc>
          <w:tcPr>
            <w:tcW w:w="155" w:type="pct"/>
            <w:tcBorders>
              <w:top w:val="nil"/>
              <w:left w:val="nil"/>
              <w:bottom w:val="single" w:sz="4" w:space="0" w:color="auto"/>
              <w:right w:val="single" w:sz="4" w:space="0" w:color="auto"/>
            </w:tcBorders>
            <w:shd w:val="clear" w:color="000000" w:fill="D9D9D9"/>
            <w:vAlign w:val="center"/>
            <w:hideMark/>
          </w:tcPr>
          <w:p w14:paraId="1CFDC09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4DD2D75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3,822,026</w:t>
            </w:r>
          </w:p>
        </w:tc>
        <w:tc>
          <w:tcPr>
            <w:tcW w:w="165" w:type="pct"/>
            <w:tcBorders>
              <w:top w:val="nil"/>
              <w:left w:val="nil"/>
              <w:bottom w:val="single" w:sz="4" w:space="0" w:color="auto"/>
              <w:right w:val="single" w:sz="4" w:space="0" w:color="auto"/>
            </w:tcBorders>
            <w:shd w:val="clear" w:color="000000" w:fill="D9D9D9"/>
            <w:vAlign w:val="center"/>
            <w:hideMark/>
          </w:tcPr>
          <w:p w14:paraId="2C9D21E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3,822,026</w:t>
            </w:r>
          </w:p>
        </w:tc>
        <w:tc>
          <w:tcPr>
            <w:tcW w:w="163" w:type="pct"/>
            <w:tcBorders>
              <w:top w:val="nil"/>
              <w:left w:val="nil"/>
              <w:bottom w:val="single" w:sz="4" w:space="0" w:color="auto"/>
              <w:right w:val="single" w:sz="4" w:space="0" w:color="auto"/>
            </w:tcBorders>
            <w:shd w:val="clear" w:color="000000" w:fill="D9D9D9"/>
            <w:vAlign w:val="center"/>
            <w:hideMark/>
          </w:tcPr>
          <w:p w14:paraId="232AF60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422C891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3,822,026</w:t>
            </w:r>
          </w:p>
        </w:tc>
        <w:tc>
          <w:tcPr>
            <w:tcW w:w="163" w:type="pct"/>
            <w:tcBorders>
              <w:top w:val="nil"/>
              <w:left w:val="nil"/>
              <w:bottom w:val="single" w:sz="4" w:space="0" w:color="auto"/>
              <w:right w:val="single" w:sz="4" w:space="0" w:color="auto"/>
            </w:tcBorders>
            <w:shd w:val="clear" w:color="000000" w:fill="D9D9D9"/>
            <w:vAlign w:val="center"/>
            <w:hideMark/>
          </w:tcPr>
          <w:p w14:paraId="4192F89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3,822,026</w:t>
            </w:r>
          </w:p>
        </w:tc>
        <w:tc>
          <w:tcPr>
            <w:tcW w:w="148" w:type="pct"/>
            <w:tcBorders>
              <w:top w:val="nil"/>
              <w:left w:val="nil"/>
              <w:bottom w:val="single" w:sz="4" w:space="0" w:color="auto"/>
              <w:right w:val="single" w:sz="4" w:space="0" w:color="auto"/>
            </w:tcBorders>
            <w:shd w:val="clear" w:color="000000" w:fill="D9D9D9"/>
            <w:vAlign w:val="center"/>
            <w:hideMark/>
          </w:tcPr>
          <w:p w14:paraId="3E57812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3E02E69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3,822,026</w:t>
            </w:r>
          </w:p>
        </w:tc>
        <w:tc>
          <w:tcPr>
            <w:tcW w:w="165" w:type="pct"/>
            <w:tcBorders>
              <w:top w:val="nil"/>
              <w:left w:val="nil"/>
              <w:bottom w:val="single" w:sz="4" w:space="0" w:color="auto"/>
              <w:right w:val="single" w:sz="4" w:space="0" w:color="auto"/>
            </w:tcBorders>
            <w:shd w:val="clear" w:color="000000" w:fill="D9D9D9"/>
            <w:vAlign w:val="center"/>
            <w:hideMark/>
          </w:tcPr>
          <w:p w14:paraId="10555A3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11,466,078</w:t>
            </w:r>
          </w:p>
        </w:tc>
        <w:tc>
          <w:tcPr>
            <w:tcW w:w="163" w:type="pct"/>
            <w:tcBorders>
              <w:top w:val="nil"/>
              <w:left w:val="nil"/>
              <w:bottom w:val="single" w:sz="4" w:space="0" w:color="auto"/>
              <w:right w:val="single" w:sz="4" w:space="0" w:color="auto"/>
            </w:tcBorders>
            <w:shd w:val="clear" w:color="000000" w:fill="D9D9D9"/>
            <w:vAlign w:val="center"/>
            <w:hideMark/>
          </w:tcPr>
          <w:p w14:paraId="3572D9A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D9D9D9"/>
            <w:vAlign w:val="center"/>
            <w:hideMark/>
          </w:tcPr>
          <w:p w14:paraId="1213D3A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11,466,078</w:t>
            </w:r>
          </w:p>
        </w:tc>
        <w:tc>
          <w:tcPr>
            <w:tcW w:w="163" w:type="pct"/>
            <w:tcBorders>
              <w:top w:val="nil"/>
              <w:left w:val="nil"/>
              <w:bottom w:val="single" w:sz="4" w:space="0" w:color="auto"/>
              <w:right w:val="single" w:sz="4" w:space="0" w:color="auto"/>
            </w:tcBorders>
            <w:shd w:val="clear" w:color="000000" w:fill="D9D9D9"/>
            <w:vAlign w:val="center"/>
            <w:hideMark/>
          </w:tcPr>
          <w:p w14:paraId="1DAC53B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10,206,078</w:t>
            </w:r>
          </w:p>
        </w:tc>
        <w:tc>
          <w:tcPr>
            <w:tcW w:w="155" w:type="pct"/>
            <w:tcBorders>
              <w:top w:val="nil"/>
              <w:left w:val="nil"/>
              <w:bottom w:val="single" w:sz="4" w:space="0" w:color="auto"/>
              <w:right w:val="single" w:sz="4" w:space="0" w:color="auto"/>
            </w:tcBorders>
            <w:shd w:val="clear" w:color="000000" w:fill="D9D9D9"/>
            <w:vAlign w:val="center"/>
            <w:hideMark/>
          </w:tcPr>
          <w:p w14:paraId="7713577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3C10140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10,206,078</w:t>
            </w:r>
          </w:p>
        </w:tc>
        <w:tc>
          <w:tcPr>
            <w:tcW w:w="162" w:type="pct"/>
            <w:tcBorders>
              <w:top w:val="nil"/>
              <w:left w:val="nil"/>
              <w:bottom w:val="single" w:sz="4" w:space="0" w:color="auto"/>
              <w:right w:val="single" w:sz="4" w:space="0" w:color="auto"/>
            </w:tcBorders>
            <w:shd w:val="clear" w:color="000000" w:fill="D9D9D9"/>
            <w:vAlign w:val="center"/>
            <w:hideMark/>
          </w:tcPr>
          <w:p w14:paraId="4FDC29D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1,260,000</w:t>
            </w:r>
          </w:p>
        </w:tc>
        <w:tc>
          <w:tcPr>
            <w:tcW w:w="155" w:type="pct"/>
            <w:tcBorders>
              <w:top w:val="nil"/>
              <w:left w:val="nil"/>
              <w:bottom w:val="single" w:sz="4" w:space="0" w:color="auto"/>
              <w:right w:val="single" w:sz="4" w:space="0" w:color="auto"/>
            </w:tcBorders>
            <w:shd w:val="clear" w:color="000000" w:fill="D9D9D9"/>
            <w:vAlign w:val="center"/>
            <w:hideMark/>
          </w:tcPr>
          <w:p w14:paraId="4C3D7E1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000000" w:fill="D9D9D9"/>
            <w:noWrap/>
            <w:vAlign w:val="center"/>
            <w:hideMark/>
          </w:tcPr>
          <w:p w14:paraId="6E1AE43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D9D9D9"/>
            <w:noWrap/>
            <w:vAlign w:val="center"/>
            <w:hideMark/>
          </w:tcPr>
          <w:p w14:paraId="18B0E93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1,260,000</w:t>
            </w:r>
          </w:p>
        </w:tc>
        <w:tc>
          <w:tcPr>
            <w:tcW w:w="139" w:type="pct"/>
            <w:tcBorders>
              <w:top w:val="nil"/>
              <w:left w:val="nil"/>
              <w:bottom w:val="single" w:sz="4" w:space="0" w:color="auto"/>
              <w:right w:val="single" w:sz="4" w:space="0" w:color="auto"/>
            </w:tcBorders>
            <w:shd w:val="clear" w:color="000000" w:fill="D9D9D9"/>
            <w:vAlign w:val="center"/>
            <w:hideMark/>
          </w:tcPr>
          <w:p w14:paraId="55F0C74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000000" w:fill="D9D9D9"/>
            <w:vAlign w:val="center"/>
            <w:hideMark/>
          </w:tcPr>
          <w:p w14:paraId="11194A1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D9D9D9"/>
            <w:noWrap/>
            <w:vAlign w:val="center"/>
            <w:hideMark/>
          </w:tcPr>
          <w:p w14:paraId="123BBAF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000000" w:fill="D9D9D9"/>
            <w:vAlign w:val="center"/>
            <w:hideMark/>
          </w:tcPr>
          <w:p w14:paraId="18800CBE" w14:textId="76CEC1A6"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041F8D61"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noWrap/>
            <w:vAlign w:val="center"/>
            <w:hideMark/>
          </w:tcPr>
          <w:p w14:paraId="502D5AB9"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2.1.3.1</w:t>
            </w:r>
          </w:p>
        </w:tc>
        <w:tc>
          <w:tcPr>
            <w:tcW w:w="281" w:type="pct"/>
            <w:tcBorders>
              <w:top w:val="nil"/>
              <w:left w:val="nil"/>
              <w:bottom w:val="single" w:sz="4" w:space="0" w:color="auto"/>
              <w:right w:val="single" w:sz="4" w:space="0" w:color="auto"/>
            </w:tcBorders>
            <w:shd w:val="clear" w:color="auto" w:fill="auto"/>
            <w:vAlign w:val="center"/>
            <w:hideMark/>
          </w:tcPr>
          <w:p w14:paraId="76FE3E00" w14:textId="406CD4A4"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2.1.3.1 Të publikohet në portalin e AKPA</w:t>
            </w:r>
            <w:r w:rsidR="00FC441E" w:rsidRPr="00B457F5">
              <w:rPr>
                <w:rFonts w:ascii="Garamond" w:eastAsia="Times New Roman" w:hAnsi="Garamond" w:cs="Times New Roman"/>
                <w:color w:val="000000"/>
                <w:sz w:val="4"/>
                <w:szCs w:val="10"/>
              </w:rPr>
              <w:t>-së</w:t>
            </w:r>
            <w:r w:rsidRPr="00B457F5">
              <w:rPr>
                <w:rFonts w:ascii="Garamond" w:eastAsia="Times New Roman" w:hAnsi="Garamond" w:cs="Times New Roman"/>
                <w:color w:val="000000"/>
                <w:sz w:val="4"/>
                <w:szCs w:val="10"/>
              </w:rPr>
              <w:t xml:space="preserve"> listë e agjencive private të punësimit dhe agjencive të punësimit të përkohshëm</w:t>
            </w:r>
            <w:r w:rsidR="00FC441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të licencuara</w:t>
            </w:r>
            <w:r w:rsidR="0006016F" w:rsidRPr="00B457F5">
              <w:rPr>
                <w:rFonts w:ascii="Garamond" w:eastAsia="Times New Roman" w:hAnsi="Garamond" w:cs="Times New Roman"/>
                <w:color w:val="000000"/>
                <w:sz w:val="4"/>
                <w:szCs w:val="10"/>
              </w:rPr>
              <w:t xml:space="preserve"> </w:t>
            </w:r>
            <w:r w:rsidRPr="00B457F5">
              <w:rPr>
                <w:rFonts w:ascii="Garamond" w:eastAsia="Times New Roman" w:hAnsi="Garamond" w:cs="Times New Roman"/>
                <w:color w:val="000000"/>
                <w:sz w:val="4"/>
                <w:szCs w:val="10"/>
              </w:rPr>
              <w:t xml:space="preserve">për të siguruar informimin e duhur të </w:t>
            </w:r>
            <w:r w:rsidRPr="00B457F5">
              <w:rPr>
                <w:rFonts w:ascii="Garamond" w:eastAsia="Times New Roman" w:hAnsi="Garamond" w:cs="Times New Roman"/>
                <w:color w:val="000000"/>
                <w:sz w:val="4"/>
                <w:szCs w:val="10"/>
              </w:rPr>
              <w:lastRenderedPageBreak/>
              <w:t>individëve shqiptarë dhe të huaj që kanë nevojë për shërbimet e tyre</w:t>
            </w:r>
          </w:p>
        </w:tc>
        <w:tc>
          <w:tcPr>
            <w:tcW w:w="186" w:type="pct"/>
            <w:tcBorders>
              <w:top w:val="nil"/>
              <w:left w:val="nil"/>
              <w:bottom w:val="single" w:sz="4" w:space="0" w:color="auto"/>
              <w:right w:val="nil"/>
            </w:tcBorders>
            <w:shd w:val="clear" w:color="auto" w:fill="auto"/>
            <w:vAlign w:val="center"/>
            <w:hideMark/>
          </w:tcPr>
          <w:p w14:paraId="129D7B31" w14:textId="3BCC2545" w:rsidR="00C260C3" w:rsidRPr="00B457F5" w:rsidRDefault="00C260C3" w:rsidP="008E5BAD">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lastRenderedPageBreak/>
              <w:t xml:space="preserve">10550 Tregu i </w:t>
            </w:r>
            <w:r w:rsidR="008E5BAD" w:rsidRPr="00B457F5">
              <w:rPr>
                <w:rFonts w:ascii="Garamond" w:eastAsia="Times New Roman" w:hAnsi="Garamond" w:cs="Times New Roman"/>
                <w:color w:val="FF0000"/>
                <w:sz w:val="4"/>
                <w:szCs w:val="10"/>
              </w:rPr>
              <w:t>Punës</w:t>
            </w:r>
          </w:p>
        </w:tc>
        <w:tc>
          <w:tcPr>
            <w:tcW w:w="169" w:type="pct"/>
            <w:tcBorders>
              <w:top w:val="nil"/>
              <w:left w:val="single" w:sz="4" w:space="0" w:color="auto"/>
              <w:bottom w:val="single" w:sz="4" w:space="0" w:color="auto"/>
              <w:right w:val="single" w:sz="4" w:space="0" w:color="auto"/>
            </w:tcBorders>
            <w:shd w:val="clear" w:color="auto" w:fill="auto"/>
            <w:vAlign w:val="center"/>
            <w:hideMark/>
          </w:tcPr>
          <w:p w14:paraId="3E8BBD9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MEKI, AKPA</w:t>
            </w:r>
          </w:p>
        </w:tc>
        <w:tc>
          <w:tcPr>
            <w:tcW w:w="244" w:type="pct"/>
            <w:tcBorders>
              <w:top w:val="nil"/>
              <w:left w:val="nil"/>
              <w:bottom w:val="single" w:sz="4" w:space="0" w:color="auto"/>
              <w:right w:val="single" w:sz="4" w:space="0" w:color="auto"/>
            </w:tcBorders>
            <w:shd w:val="clear" w:color="auto" w:fill="auto"/>
            <w:vAlign w:val="center"/>
            <w:hideMark/>
          </w:tcPr>
          <w:p w14:paraId="11F481C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AKPA, QKB</w:t>
            </w:r>
          </w:p>
        </w:tc>
        <w:tc>
          <w:tcPr>
            <w:tcW w:w="135" w:type="pct"/>
            <w:tcBorders>
              <w:top w:val="nil"/>
              <w:left w:val="nil"/>
              <w:bottom w:val="single" w:sz="4" w:space="0" w:color="auto"/>
              <w:right w:val="nil"/>
            </w:tcBorders>
            <w:shd w:val="clear" w:color="000000" w:fill="DDEBF7"/>
            <w:vAlign w:val="center"/>
            <w:hideMark/>
          </w:tcPr>
          <w:p w14:paraId="6C236CCF"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single" w:sz="4" w:space="0" w:color="auto"/>
              <w:bottom w:val="single" w:sz="4" w:space="0" w:color="auto"/>
              <w:right w:val="single" w:sz="4" w:space="0" w:color="auto"/>
            </w:tcBorders>
            <w:shd w:val="clear" w:color="000000" w:fill="DDEBF7"/>
            <w:vAlign w:val="center"/>
            <w:hideMark/>
          </w:tcPr>
          <w:p w14:paraId="26121FE9"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205EF7E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116,023</w:t>
            </w:r>
          </w:p>
        </w:tc>
        <w:tc>
          <w:tcPr>
            <w:tcW w:w="155" w:type="pct"/>
            <w:tcBorders>
              <w:top w:val="nil"/>
              <w:left w:val="nil"/>
              <w:bottom w:val="single" w:sz="4" w:space="0" w:color="auto"/>
              <w:right w:val="single" w:sz="4" w:space="0" w:color="auto"/>
            </w:tcBorders>
            <w:shd w:val="clear" w:color="auto" w:fill="auto"/>
            <w:vAlign w:val="center"/>
            <w:hideMark/>
          </w:tcPr>
          <w:p w14:paraId="76590C9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5145EFF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116,023</w:t>
            </w:r>
          </w:p>
        </w:tc>
        <w:tc>
          <w:tcPr>
            <w:tcW w:w="165" w:type="pct"/>
            <w:tcBorders>
              <w:top w:val="nil"/>
              <w:left w:val="nil"/>
              <w:bottom w:val="single" w:sz="4" w:space="0" w:color="auto"/>
              <w:right w:val="single" w:sz="4" w:space="0" w:color="auto"/>
            </w:tcBorders>
            <w:shd w:val="clear" w:color="auto" w:fill="auto"/>
            <w:vAlign w:val="center"/>
            <w:hideMark/>
          </w:tcPr>
          <w:p w14:paraId="031416E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116,023</w:t>
            </w:r>
          </w:p>
        </w:tc>
        <w:tc>
          <w:tcPr>
            <w:tcW w:w="163" w:type="pct"/>
            <w:tcBorders>
              <w:top w:val="nil"/>
              <w:left w:val="nil"/>
              <w:bottom w:val="single" w:sz="4" w:space="0" w:color="auto"/>
              <w:right w:val="single" w:sz="4" w:space="0" w:color="auto"/>
            </w:tcBorders>
            <w:shd w:val="clear" w:color="auto" w:fill="auto"/>
            <w:vAlign w:val="center"/>
            <w:hideMark/>
          </w:tcPr>
          <w:p w14:paraId="34C0320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4C4D002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116,023</w:t>
            </w:r>
          </w:p>
        </w:tc>
        <w:tc>
          <w:tcPr>
            <w:tcW w:w="163" w:type="pct"/>
            <w:tcBorders>
              <w:top w:val="nil"/>
              <w:left w:val="nil"/>
              <w:bottom w:val="single" w:sz="4" w:space="0" w:color="auto"/>
              <w:right w:val="single" w:sz="4" w:space="0" w:color="auto"/>
            </w:tcBorders>
            <w:shd w:val="clear" w:color="auto" w:fill="auto"/>
            <w:vAlign w:val="center"/>
            <w:hideMark/>
          </w:tcPr>
          <w:p w14:paraId="410BCA6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116,023</w:t>
            </w:r>
          </w:p>
        </w:tc>
        <w:tc>
          <w:tcPr>
            <w:tcW w:w="148" w:type="pct"/>
            <w:tcBorders>
              <w:top w:val="nil"/>
              <w:left w:val="nil"/>
              <w:bottom w:val="single" w:sz="4" w:space="0" w:color="auto"/>
              <w:right w:val="single" w:sz="4" w:space="0" w:color="auto"/>
            </w:tcBorders>
            <w:shd w:val="clear" w:color="auto" w:fill="auto"/>
            <w:vAlign w:val="center"/>
            <w:hideMark/>
          </w:tcPr>
          <w:p w14:paraId="7C61DE3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5197A2C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116,023</w:t>
            </w:r>
          </w:p>
        </w:tc>
        <w:tc>
          <w:tcPr>
            <w:tcW w:w="165" w:type="pct"/>
            <w:tcBorders>
              <w:top w:val="nil"/>
              <w:left w:val="nil"/>
              <w:bottom w:val="single" w:sz="4" w:space="0" w:color="auto"/>
              <w:right w:val="single" w:sz="4" w:space="0" w:color="auto"/>
            </w:tcBorders>
            <w:shd w:val="clear" w:color="auto" w:fill="auto"/>
            <w:vAlign w:val="center"/>
            <w:hideMark/>
          </w:tcPr>
          <w:p w14:paraId="414D67D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348,069</w:t>
            </w:r>
          </w:p>
        </w:tc>
        <w:tc>
          <w:tcPr>
            <w:tcW w:w="163" w:type="pct"/>
            <w:tcBorders>
              <w:top w:val="nil"/>
              <w:left w:val="nil"/>
              <w:bottom w:val="single" w:sz="4" w:space="0" w:color="auto"/>
              <w:right w:val="single" w:sz="4" w:space="0" w:color="auto"/>
            </w:tcBorders>
            <w:shd w:val="clear" w:color="auto" w:fill="auto"/>
            <w:vAlign w:val="center"/>
            <w:hideMark/>
          </w:tcPr>
          <w:p w14:paraId="5194927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4BC4D63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348,069</w:t>
            </w:r>
          </w:p>
        </w:tc>
        <w:tc>
          <w:tcPr>
            <w:tcW w:w="163" w:type="pct"/>
            <w:tcBorders>
              <w:top w:val="nil"/>
              <w:left w:val="nil"/>
              <w:bottom w:val="single" w:sz="4" w:space="0" w:color="auto"/>
              <w:right w:val="single" w:sz="4" w:space="0" w:color="auto"/>
            </w:tcBorders>
            <w:shd w:val="clear" w:color="auto" w:fill="auto"/>
            <w:noWrap/>
            <w:vAlign w:val="center"/>
            <w:hideMark/>
          </w:tcPr>
          <w:p w14:paraId="595C0CF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348,069</w:t>
            </w:r>
          </w:p>
        </w:tc>
        <w:tc>
          <w:tcPr>
            <w:tcW w:w="155" w:type="pct"/>
            <w:tcBorders>
              <w:top w:val="nil"/>
              <w:left w:val="nil"/>
              <w:bottom w:val="single" w:sz="4" w:space="0" w:color="auto"/>
              <w:right w:val="single" w:sz="4" w:space="0" w:color="auto"/>
            </w:tcBorders>
            <w:shd w:val="clear" w:color="auto" w:fill="auto"/>
            <w:vAlign w:val="center"/>
            <w:hideMark/>
          </w:tcPr>
          <w:p w14:paraId="3B6B71D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3FC4CA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348,069</w:t>
            </w:r>
          </w:p>
        </w:tc>
        <w:tc>
          <w:tcPr>
            <w:tcW w:w="162" w:type="pct"/>
            <w:tcBorders>
              <w:top w:val="nil"/>
              <w:left w:val="nil"/>
              <w:bottom w:val="single" w:sz="4" w:space="0" w:color="auto"/>
              <w:right w:val="single" w:sz="4" w:space="0" w:color="auto"/>
            </w:tcBorders>
            <w:shd w:val="clear" w:color="auto" w:fill="auto"/>
            <w:vAlign w:val="center"/>
            <w:hideMark/>
          </w:tcPr>
          <w:p w14:paraId="211692C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7A0A389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noWrap/>
            <w:vAlign w:val="center"/>
            <w:hideMark/>
          </w:tcPr>
          <w:p w14:paraId="752986D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noWrap/>
            <w:vAlign w:val="center"/>
            <w:hideMark/>
          </w:tcPr>
          <w:p w14:paraId="5527CB4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noWrap/>
            <w:vAlign w:val="center"/>
            <w:hideMark/>
          </w:tcPr>
          <w:p w14:paraId="72AEAB3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noWrap/>
            <w:vAlign w:val="center"/>
            <w:hideMark/>
          </w:tcPr>
          <w:p w14:paraId="31EBA5A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noWrap/>
            <w:vAlign w:val="center"/>
            <w:hideMark/>
          </w:tcPr>
          <w:p w14:paraId="383E48D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487D25CA" w14:textId="74E7F4E3"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466E155A"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noWrap/>
            <w:vAlign w:val="center"/>
            <w:hideMark/>
          </w:tcPr>
          <w:p w14:paraId="497F714B"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2.1.3.2</w:t>
            </w:r>
          </w:p>
        </w:tc>
        <w:tc>
          <w:tcPr>
            <w:tcW w:w="281" w:type="pct"/>
            <w:tcBorders>
              <w:top w:val="nil"/>
              <w:left w:val="nil"/>
              <w:bottom w:val="single" w:sz="4" w:space="0" w:color="auto"/>
              <w:right w:val="single" w:sz="4" w:space="0" w:color="auto"/>
            </w:tcBorders>
            <w:shd w:val="clear" w:color="auto" w:fill="auto"/>
            <w:vAlign w:val="center"/>
            <w:hideMark/>
          </w:tcPr>
          <w:p w14:paraId="392A26C9" w14:textId="3918B15D"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2.1.3.2 Përditësim i broshurave dhe udhëzimeve informuese për rekrutimin etik nga APP</w:t>
            </w:r>
            <w:r w:rsidR="00FC441E" w:rsidRPr="00B457F5">
              <w:rPr>
                <w:rFonts w:ascii="Garamond" w:eastAsia="Times New Roman" w:hAnsi="Garamond" w:cs="Times New Roman"/>
                <w:color w:val="000000"/>
                <w:sz w:val="4"/>
                <w:szCs w:val="10"/>
              </w:rPr>
              <w:t>-ja</w:t>
            </w:r>
            <w:r w:rsidRPr="00B457F5">
              <w:rPr>
                <w:rFonts w:ascii="Garamond" w:eastAsia="Times New Roman" w:hAnsi="Garamond" w:cs="Times New Roman"/>
                <w:color w:val="000000"/>
                <w:sz w:val="4"/>
                <w:szCs w:val="10"/>
              </w:rPr>
              <w:t>, bazuar në legjislacionin e përmirësuar</w:t>
            </w:r>
          </w:p>
        </w:tc>
        <w:tc>
          <w:tcPr>
            <w:tcW w:w="186" w:type="pct"/>
            <w:tcBorders>
              <w:top w:val="nil"/>
              <w:left w:val="nil"/>
              <w:bottom w:val="single" w:sz="4" w:space="0" w:color="auto"/>
              <w:right w:val="nil"/>
            </w:tcBorders>
            <w:shd w:val="clear" w:color="auto" w:fill="auto"/>
            <w:vAlign w:val="center"/>
            <w:hideMark/>
          </w:tcPr>
          <w:p w14:paraId="211EAD03" w14:textId="41537E9A" w:rsidR="00C260C3" w:rsidRPr="00B457F5" w:rsidRDefault="00C260C3" w:rsidP="008E5BAD">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8E5BAD" w:rsidRPr="00B457F5">
              <w:rPr>
                <w:rFonts w:ascii="Garamond" w:eastAsia="Times New Roman" w:hAnsi="Garamond" w:cs="Times New Roman"/>
                <w:color w:val="FF0000"/>
                <w:sz w:val="4"/>
                <w:szCs w:val="10"/>
              </w:rPr>
              <w:t>Punës</w:t>
            </w:r>
          </w:p>
        </w:tc>
        <w:tc>
          <w:tcPr>
            <w:tcW w:w="169" w:type="pct"/>
            <w:tcBorders>
              <w:top w:val="nil"/>
              <w:left w:val="single" w:sz="4" w:space="0" w:color="auto"/>
              <w:bottom w:val="single" w:sz="4" w:space="0" w:color="auto"/>
              <w:right w:val="single" w:sz="4" w:space="0" w:color="auto"/>
            </w:tcBorders>
            <w:shd w:val="clear" w:color="auto" w:fill="auto"/>
            <w:vAlign w:val="center"/>
            <w:hideMark/>
          </w:tcPr>
          <w:p w14:paraId="30E0043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MEKI</w:t>
            </w:r>
          </w:p>
        </w:tc>
        <w:tc>
          <w:tcPr>
            <w:tcW w:w="244" w:type="pct"/>
            <w:tcBorders>
              <w:top w:val="nil"/>
              <w:left w:val="nil"/>
              <w:bottom w:val="single" w:sz="4" w:space="0" w:color="auto"/>
              <w:right w:val="single" w:sz="4" w:space="0" w:color="auto"/>
            </w:tcBorders>
            <w:shd w:val="clear" w:color="auto" w:fill="auto"/>
            <w:vAlign w:val="center"/>
            <w:hideMark/>
          </w:tcPr>
          <w:p w14:paraId="1D0E675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AKPA, GIZ, IOM</w:t>
            </w:r>
          </w:p>
        </w:tc>
        <w:tc>
          <w:tcPr>
            <w:tcW w:w="135" w:type="pct"/>
            <w:tcBorders>
              <w:top w:val="nil"/>
              <w:left w:val="nil"/>
              <w:bottom w:val="single" w:sz="4" w:space="0" w:color="auto"/>
              <w:right w:val="nil"/>
            </w:tcBorders>
            <w:shd w:val="clear" w:color="000000" w:fill="DDEBF7"/>
            <w:vAlign w:val="center"/>
            <w:hideMark/>
          </w:tcPr>
          <w:p w14:paraId="4C9EE7F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single" w:sz="4" w:space="0" w:color="auto"/>
              <w:bottom w:val="single" w:sz="4" w:space="0" w:color="auto"/>
              <w:right w:val="single" w:sz="4" w:space="0" w:color="auto"/>
            </w:tcBorders>
            <w:shd w:val="clear" w:color="000000" w:fill="DDEBF7"/>
            <w:vAlign w:val="center"/>
            <w:hideMark/>
          </w:tcPr>
          <w:p w14:paraId="0734EE02"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149B73F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420,000</w:t>
            </w:r>
          </w:p>
        </w:tc>
        <w:tc>
          <w:tcPr>
            <w:tcW w:w="155" w:type="pct"/>
            <w:tcBorders>
              <w:top w:val="nil"/>
              <w:left w:val="nil"/>
              <w:bottom w:val="single" w:sz="4" w:space="0" w:color="auto"/>
              <w:right w:val="single" w:sz="4" w:space="0" w:color="auto"/>
            </w:tcBorders>
            <w:shd w:val="clear" w:color="auto" w:fill="auto"/>
            <w:vAlign w:val="center"/>
            <w:hideMark/>
          </w:tcPr>
          <w:p w14:paraId="2ABC3E7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12B456F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420,000</w:t>
            </w:r>
          </w:p>
        </w:tc>
        <w:tc>
          <w:tcPr>
            <w:tcW w:w="165" w:type="pct"/>
            <w:tcBorders>
              <w:top w:val="nil"/>
              <w:left w:val="nil"/>
              <w:bottom w:val="single" w:sz="4" w:space="0" w:color="auto"/>
              <w:right w:val="single" w:sz="4" w:space="0" w:color="auto"/>
            </w:tcBorders>
            <w:shd w:val="clear" w:color="auto" w:fill="auto"/>
            <w:vAlign w:val="center"/>
            <w:hideMark/>
          </w:tcPr>
          <w:p w14:paraId="2B79C48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420,000</w:t>
            </w:r>
          </w:p>
        </w:tc>
        <w:tc>
          <w:tcPr>
            <w:tcW w:w="163" w:type="pct"/>
            <w:tcBorders>
              <w:top w:val="nil"/>
              <w:left w:val="nil"/>
              <w:bottom w:val="single" w:sz="4" w:space="0" w:color="auto"/>
              <w:right w:val="single" w:sz="4" w:space="0" w:color="auto"/>
            </w:tcBorders>
            <w:shd w:val="clear" w:color="auto" w:fill="auto"/>
            <w:vAlign w:val="center"/>
            <w:hideMark/>
          </w:tcPr>
          <w:p w14:paraId="79757E1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B72BBF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420,000</w:t>
            </w:r>
          </w:p>
        </w:tc>
        <w:tc>
          <w:tcPr>
            <w:tcW w:w="163" w:type="pct"/>
            <w:tcBorders>
              <w:top w:val="nil"/>
              <w:left w:val="nil"/>
              <w:bottom w:val="single" w:sz="4" w:space="0" w:color="auto"/>
              <w:right w:val="single" w:sz="4" w:space="0" w:color="auto"/>
            </w:tcBorders>
            <w:shd w:val="clear" w:color="auto" w:fill="auto"/>
            <w:vAlign w:val="center"/>
            <w:hideMark/>
          </w:tcPr>
          <w:p w14:paraId="6BA14EB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420,000</w:t>
            </w:r>
          </w:p>
        </w:tc>
        <w:tc>
          <w:tcPr>
            <w:tcW w:w="148" w:type="pct"/>
            <w:tcBorders>
              <w:top w:val="nil"/>
              <w:left w:val="nil"/>
              <w:bottom w:val="single" w:sz="4" w:space="0" w:color="auto"/>
              <w:right w:val="single" w:sz="4" w:space="0" w:color="auto"/>
            </w:tcBorders>
            <w:shd w:val="clear" w:color="auto" w:fill="auto"/>
            <w:vAlign w:val="center"/>
            <w:hideMark/>
          </w:tcPr>
          <w:p w14:paraId="2654A7F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18BD0D5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420,000</w:t>
            </w:r>
          </w:p>
        </w:tc>
        <w:tc>
          <w:tcPr>
            <w:tcW w:w="165" w:type="pct"/>
            <w:tcBorders>
              <w:top w:val="nil"/>
              <w:left w:val="nil"/>
              <w:bottom w:val="single" w:sz="4" w:space="0" w:color="auto"/>
              <w:right w:val="single" w:sz="4" w:space="0" w:color="auto"/>
            </w:tcBorders>
            <w:shd w:val="clear" w:color="auto" w:fill="auto"/>
            <w:vAlign w:val="center"/>
            <w:hideMark/>
          </w:tcPr>
          <w:p w14:paraId="27B5B58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1,260,000</w:t>
            </w:r>
          </w:p>
        </w:tc>
        <w:tc>
          <w:tcPr>
            <w:tcW w:w="163" w:type="pct"/>
            <w:tcBorders>
              <w:top w:val="nil"/>
              <w:left w:val="nil"/>
              <w:bottom w:val="single" w:sz="4" w:space="0" w:color="auto"/>
              <w:right w:val="single" w:sz="4" w:space="0" w:color="auto"/>
            </w:tcBorders>
            <w:shd w:val="clear" w:color="auto" w:fill="auto"/>
            <w:vAlign w:val="center"/>
            <w:hideMark/>
          </w:tcPr>
          <w:p w14:paraId="010287C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591F1DC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1,260,000</w:t>
            </w:r>
          </w:p>
        </w:tc>
        <w:tc>
          <w:tcPr>
            <w:tcW w:w="163" w:type="pct"/>
            <w:tcBorders>
              <w:top w:val="nil"/>
              <w:left w:val="nil"/>
              <w:bottom w:val="single" w:sz="4" w:space="0" w:color="auto"/>
              <w:right w:val="single" w:sz="4" w:space="0" w:color="auto"/>
            </w:tcBorders>
            <w:shd w:val="clear" w:color="auto" w:fill="auto"/>
            <w:noWrap/>
            <w:vAlign w:val="center"/>
            <w:hideMark/>
          </w:tcPr>
          <w:p w14:paraId="19C54DC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4144C5D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0666DC6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3322AC6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1,260,000</w:t>
            </w:r>
          </w:p>
        </w:tc>
        <w:tc>
          <w:tcPr>
            <w:tcW w:w="155" w:type="pct"/>
            <w:tcBorders>
              <w:top w:val="nil"/>
              <w:left w:val="nil"/>
              <w:bottom w:val="single" w:sz="4" w:space="0" w:color="auto"/>
              <w:right w:val="single" w:sz="4" w:space="0" w:color="auto"/>
            </w:tcBorders>
            <w:shd w:val="clear" w:color="auto" w:fill="auto"/>
            <w:vAlign w:val="center"/>
            <w:hideMark/>
          </w:tcPr>
          <w:p w14:paraId="543C690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noWrap/>
            <w:vAlign w:val="center"/>
            <w:hideMark/>
          </w:tcPr>
          <w:p w14:paraId="2C95C5D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GIZ</w:t>
            </w:r>
          </w:p>
        </w:tc>
        <w:tc>
          <w:tcPr>
            <w:tcW w:w="163" w:type="pct"/>
            <w:tcBorders>
              <w:top w:val="nil"/>
              <w:left w:val="nil"/>
              <w:bottom w:val="single" w:sz="4" w:space="0" w:color="auto"/>
              <w:right w:val="single" w:sz="4" w:space="0" w:color="auto"/>
            </w:tcBorders>
            <w:shd w:val="clear" w:color="000000" w:fill="FFF2CC"/>
            <w:noWrap/>
            <w:vAlign w:val="center"/>
            <w:hideMark/>
          </w:tcPr>
          <w:p w14:paraId="08D3F84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1,260,000</w:t>
            </w:r>
          </w:p>
        </w:tc>
        <w:tc>
          <w:tcPr>
            <w:tcW w:w="139" w:type="pct"/>
            <w:tcBorders>
              <w:top w:val="nil"/>
              <w:left w:val="nil"/>
              <w:bottom w:val="single" w:sz="4" w:space="0" w:color="auto"/>
              <w:right w:val="single" w:sz="4" w:space="0" w:color="auto"/>
            </w:tcBorders>
            <w:shd w:val="clear" w:color="auto" w:fill="auto"/>
            <w:noWrap/>
            <w:vAlign w:val="center"/>
            <w:hideMark/>
          </w:tcPr>
          <w:p w14:paraId="46E8FC4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noWrap/>
            <w:vAlign w:val="center"/>
            <w:hideMark/>
          </w:tcPr>
          <w:p w14:paraId="7323485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noWrap/>
            <w:vAlign w:val="center"/>
            <w:hideMark/>
          </w:tcPr>
          <w:p w14:paraId="2B9B514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0089EDA2" w14:textId="01AAA4C6"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55DADABA"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noWrap/>
            <w:vAlign w:val="center"/>
            <w:hideMark/>
          </w:tcPr>
          <w:p w14:paraId="0835EBB3"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2.1.3.3</w:t>
            </w:r>
          </w:p>
        </w:tc>
        <w:tc>
          <w:tcPr>
            <w:tcW w:w="281" w:type="pct"/>
            <w:tcBorders>
              <w:top w:val="nil"/>
              <w:left w:val="nil"/>
              <w:bottom w:val="single" w:sz="4" w:space="0" w:color="auto"/>
              <w:right w:val="single" w:sz="4" w:space="0" w:color="auto"/>
            </w:tcBorders>
            <w:shd w:val="clear" w:color="auto" w:fill="auto"/>
            <w:vAlign w:val="center"/>
            <w:hideMark/>
          </w:tcPr>
          <w:p w14:paraId="179FF457" w14:textId="59B3A97D"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2.1.3.3 Rishikimi i VKM-ve që rregullojnë funksionimin e </w:t>
            </w:r>
            <w:r w:rsidR="008E5BAD" w:rsidRPr="00B457F5">
              <w:rPr>
                <w:rFonts w:ascii="Garamond" w:eastAsia="Times New Roman" w:hAnsi="Garamond" w:cs="Times New Roman"/>
                <w:color w:val="000000"/>
                <w:sz w:val="4"/>
                <w:szCs w:val="10"/>
              </w:rPr>
              <w:t>agjencive</w:t>
            </w:r>
            <w:r w:rsidRPr="00B457F5">
              <w:rPr>
                <w:rFonts w:ascii="Garamond" w:eastAsia="Times New Roman" w:hAnsi="Garamond" w:cs="Times New Roman"/>
                <w:color w:val="000000"/>
                <w:sz w:val="4"/>
                <w:szCs w:val="10"/>
              </w:rPr>
              <w:t xml:space="preserve"> private të punësimit dhe </w:t>
            </w:r>
            <w:r w:rsidR="008E5BAD" w:rsidRPr="00B457F5">
              <w:rPr>
                <w:rFonts w:ascii="Garamond" w:eastAsia="Times New Roman" w:hAnsi="Garamond" w:cs="Times New Roman"/>
                <w:color w:val="000000"/>
                <w:sz w:val="4"/>
                <w:szCs w:val="10"/>
              </w:rPr>
              <w:t>agjencive</w:t>
            </w:r>
            <w:r w:rsidRPr="00B457F5">
              <w:rPr>
                <w:rFonts w:ascii="Garamond" w:eastAsia="Times New Roman" w:hAnsi="Garamond" w:cs="Times New Roman"/>
                <w:color w:val="000000"/>
                <w:sz w:val="4"/>
                <w:szCs w:val="10"/>
              </w:rPr>
              <w:t xml:space="preserve"> të punësimit të përkohshëm</w:t>
            </w:r>
          </w:p>
        </w:tc>
        <w:tc>
          <w:tcPr>
            <w:tcW w:w="186" w:type="pct"/>
            <w:tcBorders>
              <w:top w:val="nil"/>
              <w:left w:val="nil"/>
              <w:bottom w:val="single" w:sz="4" w:space="0" w:color="auto"/>
              <w:right w:val="nil"/>
            </w:tcBorders>
            <w:shd w:val="clear" w:color="auto" w:fill="auto"/>
            <w:vAlign w:val="center"/>
            <w:hideMark/>
          </w:tcPr>
          <w:p w14:paraId="6E6D7DED" w14:textId="75D97823" w:rsidR="00C260C3" w:rsidRPr="00B457F5" w:rsidRDefault="00C260C3" w:rsidP="008E5BAD">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8E5BAD" w:rsidRPr="00B457F5">
              <w:rPr>
                <w:rFonts w:ascii="Garamond" w:eastAsia="Times New Roman" w:hAnsi="Garamond" w:cs="Times New Roman"/>
                <w:color w:val="FF0000"/>
                <w:sz w:val="4"/>
                <w:szCs w:val="10"/>
              </w:rPr>
              <w:t>Punës</w:t>
            </w:r>
          </w:p>
        </w:tc>
        <w:tc>
          <w:tcPr>
            <w:tcW w:w="169" w:type="pct"/>
            <w:tcBorders>
              <w:top w:val="nil"/>
              <w:left w:val="single" w:sz="4" w:space="0" w:color="auto"/>
              <w:bottom w:val="single" w:sz="4" w:space="0" w:color="auto"/>
              <w:right w:val="single" w:sz="4" w:space="0" w:color="auto"/>
            </w:tcBorders>
            <w:shd w:val="clear" w:color="auto" w:fill="auto"/>
            <w:vAlign w:val="center"/>
            <w:hideMark/>
          </w:tcPr>
          <w:p w14:paraId="7984E28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MEKI</w:t>
            </w:r>
          </w:p>
        </w:tc>
        <w:tc>
          <w:tcPr>
            <w:tcW w:w="244" w:type="pct"/>
            <w:tcBorders>
              <w:top w:val="nil"/>
              <w:left w:val="nil"/>
              <w:bottom w:val="single" w:sz="4" w:space="0" w:color="auto"/>
              <w:right w:val="single" w:sz="4" w:space="0" w:color="auto"/>
            </w:tcBorders>
            <w:shd w:val="clear" w:color="auto" w:fill="auto"/>
            <w:vAlign w:val="center"/>
            <w:hideMark/>
          </w:tcPr>
          <w:p w14:paraId="79F2875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AKPA</w:t>
            </w:r>
          </w:p>
        </w:tc>
        <w:tc>
          <w:tcPr>
            <w:tcW w:w="135" w:type="pct"/>
            <w:tcBorders>
              <w:top w:val="nil"/>
              <w:left w:val="nil"/>
              <w:bottom w:val="single" w:sz="4" w:space="0" w:color="auto"/>
              <w:right w:val="nil"/>
            </w:tcBorders>
            <w:shd w:val="clear" w:color="000000" w:fill="DDEBF7"/>
            <w:vAlign w:val="center"/>
            <w:hideMark/>
          </w:tcPr>
          <w:p w14:paraId="683F0705"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single" w:sz="4" w:space="0" w:color="auto"/>
              <w:bottom w:val="single" w:sz="4" w:space="0" w:color="auto"/>
              <w:right w:val="single" w:sz="4" w:space="0" w:color="auto"/>
            </w:tcBorders>
            <w:shd w:val="clear" w:color="000000" w:fill="DDEBF7"/>
            <w:vAlign w:val="center"/>
            <w:hideMark/>
          </w:tcPr>
          <w:p w14:paraId="54FD32BE"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10907A6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1,206,868</w:t>
            </w:r>
          </w:p>
        </w:tc>
        <w:tc>
          <w:tcPr>
            <w:tcW w:w="155" w:type="pct"/>
            <w:tcBorders>
              <w:top w:val="nil"/>
              <w:left w:val="nil"/>
              <w:bottom w:val="single" w:sz="4" w:space="0" w:color="auto"/>
              <w:right w:val="single" w:sz="4" w:space="0" w:color="auto"/>
            </w:tcBorders>
            <w:shd w:val="clear" w:color="auto" w:fill="auto"/>
            <w:vAlign w:val="center"/>
            <w:hideMark/>
          </w:tcPr>
          <w:p w14:paraId="11B4203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4645190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1,206,868</w:t>
            </w:r>
          </w:p>
        </w:tc>
        <w:tc>
          <w:tcPr>
            <w:tcW w:w="165" w:type="pct"/>
            <w:tcBorders>
              <w:top w:val="nil"/>
              <w:left w:val="nil"/>
              <w:bottom w:val="single" w:sz="4" w:space="0" w:color="auto"/>
              <w:right w:val="single" w:sz="4" w:space="0" w:color="auto"/>
            </w:tcBorders>
            <w:shd w:val="clear" w:color="auto" w:fill="auto"/>
            <w:vAlign w:val="center"/>
            <w:hideMark/>
          </w:tcPr>
          <w:p w14:paraId="63DCFD3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1,206,868</w:t>
            </w:r>
          </w:p>
        </w:tc>
        <w:tc>
          <w:tcPr>
            <w:tcW w:w="163" w:type="pct"/>
            <w:tcBorders>
              <w:top w:val="nil"/>
              <w:left w:val="nil"/>
              <w:bottom w:val="single" w:sz="4" w:space="0" w:color="auto"/>
              <w:right w:val="single" w:sz="4" w:space="0" w:color="auto"/>
            </w:tcBorders>
            <w:shd w:val="clear" w:color="auto" w:fill="auto"/>
            <w:vAlign w:val="center"/>
            <w:hideMark/>
          </w:tcPr>
          <w:p w14:paraId="2FEB66F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74D939B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1,206,868</w:t>
            </w:r>
          </w:p>
        </w:tc>
        <w:tc>
          <w:tcPr>
            <w:tcW w:w="163" w:type="pct"/>
            <w:tcBorders>
              <w:top w:val="nil"/>
              <w:left w:val="nil"/>
              <w:bottom w:val="single" w:sz="4" w:space="0" w:color="auto"/>
              <w:right w:val="single" w:sz="4" w:space="0" w:color="auto"/>
            </w:tcBorders>
            <w:shd w:val="clear" w:color="auto" w:fill="auto"/>
            <w:vAlign w:val="center"/>
            <w:hideMark/>
          </w:tcPr>
          <w:p w14:paraId="4C8704B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1,206,868</w:t>
            </w:r>
          </w:p>
        </w:tc>
        <w:tc>
          <w:tcPr>
            <w:tcW w:w="148" w:type="pct"/>
            <w:tcBorders>
              <w:top w:val="nil"/>
              <w:left w:val="nil"/>
              <w:bottom w:val="single" w:sz="4" w:space="0" w:color="auto"/>
              <w:right w:val="single" w:sz="4" w:space="0" w:color="auto"/>
            </w:tcBorders>
            <w:shd w:val="clear" w:color="auto" w:fill="auto"/>
            <w:vAlign w:val="center"/>
            <w:hideMark/>
          </w:tcPr>
          <w:p w14:paraId="72CD541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4A1F241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1,206,868</w:t>
            </w:r>
          </w:p>
        </w:tc>
        <w:tc>
          <w:tcPr>
            <w:tcW w:w="165" w:type="pct"/>
            <w:tcBorders>
              <w:top w:val="nil"/>
              <w:left w:val="nil"/>
              <w:bottom w:val="single" w:sz="4" w:space="0" w:color="auto"/>
              <w:right w:val="single" w:sz="4" w:space="0" w:color="auto"/>
            </w:tcBorders>
            <w:shd w:val="clear" w:color="auto" w:fill="auto"/>
            <w:vAlign w:val="center"/>
            <w:hideMark/>
          </w:tcPr>
          <w:p w14:paraId="27B8290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3,620,604</w:t>
            </w:r>
          </w:p>
        </w:tc>
        <w:tc>
          <w:tcPr>
            <w:tcW w:w="163" w:type="pct"/>
            <w:tcBorders>
              <w:top w:val="nil"/>
              <w:left w:val="nil"/>
              <w:bottom w:val="single" w:sz="4" w:space="0" w:color="auto"/>
              <w:right w:val="single" w:sz="4" w:space="0" w:color="auto"/>
            </w:tcBorders>
            <w:shd w:val="clear" w:color="auto" w:fill="auto"/>
            <w:vAlign w:val="center"/>
            <w:hideMark/>
          </w:tcPr>
          <w:p w14:paraId="5F0B8F0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597A8E9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3,620,604</w:t>
            </w:r>
          </w:p>
        </w:tc>
        <w:tc>
          <w:tcPr>
            <w:tcW w:w="163" w:type="pct"/>
            <w:tcBorders>
              <w:top w:val="nil"/>
              <w:left w:val="nil"/>
              <w:bottom w:val="single" w:sz="4" w:space="0" w:color="auto"/>
              <w:right w:val="single" w:sz="4" w:space="0" w:color="auto"/>
            </w:tcBorders>
            <w:shd w:val="clear" w:color="auto" w:fill="auto"/>
            <w:noWrap/>
            <w:vAlign w:val="center"/>
            <w:hideMark/>
          </w:tcPr>
          <w:p w14:paraId="4DBD975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3,620,604</w:t>
            </w:r>
          </w:p>
        </w:tc>
        <w:tc>
          <w:tcPr>
            <w:tcW w:w="155" w:type="pct"/>
            <w:tcBorders>
              <w:top w:val="nil"/>
              <w:left w:val="nil"/>
              <w:bottom w:val="single" w:sz="4" w:space="0" w:color="auto"/>
              <w:right w:val="single" w:sz="4" w:space="0" w:color="auto"/>
            </w:tcBorders>
            <w:shd w:val="clear" w:color="auto" w:fill="auto"/>
            <w:vAlign w:val="center"/>
            <w:hideMark/>
          </w:tcPr>
          <w:p w14:paraId="7D63C5E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77AD602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3,620,604</w:t>
            </w:r>
          </w:p>
        </w:tc>
        <w:tc>
          <w:tcPr>
            <w:tcW w:w="162" w:type="pct"/>
            <w:tcBorders>
              <w:top w:val="nil"/>
              <w:left w:val="nil"/>
              <w:bottom w:val="single" w:sz="4" w:space="0" w:color="auto"/>
              <w:right w:val="single" w:sz="4" w:space="0" w:color="auto"/>
            </w:tcBorders>
            <w:shd w:val="clear" w:color="auto" w:fill="auto"/>
            <w:vAlign w:val="center"/>
            <w:hideMark/>
          </w:tcPr>
          <w:p w14:paraId="514E9B9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4FB417E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noWrap/>
            <w:vAlign w:val="center"/>
            <w:hideMark/>
          </w:tcPr>
          <w:p w14:paraId="4B067C5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noWrap/>
            <w:vAlign w:val="center"/>
            <w:hideMark/>
          </w:tcPr>
          <w:p w14:paraId="52DC297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noWrap/>
            <w:vAlign w:val="center"/>
            <w:hideMark/>
          </w:tcPr>
          <w:p w14:paraId="63304FC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noWrap/>
            <w:vAlign w:val="center"/>
            <w:hideMark/>
          </w:tcPr>
          <w:p w14:paraId="4F70E44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noWrap/>
            <w:vAlign w:val="center"/>
            <w:hideMark/>
          </w:tcPr>
          <w:p w14:paraId="38F1411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1A5BFBE2" w14:textId="0A800099"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76D52153"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noWrap/>
            <w:vAlign w:val="center"/>
            <w:hideMark/>
          </w:tcPr>
          <w:p w14:paraId="4805F24D"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2.1.3.4</w:t>
            </w:r>
          </w:p>
        </w:tc>
        <w:tc>
          <w:tcPr>
            <w:tcW w:w="281" w:type="pct"/>
            <w:tcBorders>
              <w:top w:val="nil"/>
              <w:left w:val="nil"/>
              <w:bottom w:val="single" w:sz="4" w:space="0" w:color="auto"/>
              <w:right w:val="single" w:sz="4" w:space="0" w:color="auto"/>
            </w:tcBorders>
            <w:shd w:val="clear" w:color="auto" w:fill="auto"/>
            <w:vAlign w:val="center"/>
            <w:hideMark/>
          </w:tcPr>
          <w:p w14:paraId="272D60EC" w14:textId="57D28FDD"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2.1.3.4 Monitorimi</w:t>
            </w:r>
            <w:r w:rsidR="0006016F" w:rsidRPr="00B457F5">
              <w:rPr>
                <w:rFonts w:ascii="Garamond" w:eastAsia="Times New Roman" w:hAnsi="Garamond" w:cs="Times New Roman"/>
                <w:color w:val="000000"/>
                <w:sz w:val="4"/>
                <w:szCs w:val="10"/>
              </w:rPr>
              <w:t xml:space="preserve"> </w:t>
            </w:r>
            <w:r w:rsidRPr="00B457F5">
              <w:rPr>
                <w:rFonts w:ascii="Garamond" w:eastAsia="Times New Roman" w:hAnsi="Garamond" w:cs="Times New Roman"/>
                <w:color w:val="000000"/>
                <w:sz w:val="4"/>
                <w:szCs w:val="10"/>
              </w:rPr>
              <w:t>i punëdhënësve për procesin e punësimit të migrantëve të huaj</w:t>
            </w:r>
          </w:p>
        </w:tc>
        <w:tc>
          <w:tcPr>
            <w:tcW w:w="186" w:type="pct"/>
            <w:tcBorders>
              <w:top w:val="nil"/>
              <w:left w:val="nil"/>
              <w:bottom w:val="single" w:sz="4" w:space="0" w:color="auto"/>
              <w:right w:val="nil"/>
            </w:tcBorders>
            <w:shd w:val="clear" w:color="auto" w:fill="auto"/>
            <w:vAlign w:val="center"/>
            <w:hideMark/>
          </w:tcPr>
          <w:p w14:paraId="12EBF542" w14:textId="7A2E75FB" w:rsidR="00C260C3" w:rsidRPr="00B457F5" w:rsidRDefault="00C260C3" w:rsidP="008E5BAD">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04170 Inspektimi n</w:t>
            </w:r>
            <w:r w:rsidR="002803F2" w:rsidRPr="00B457F5">
              <w:rPr>
                <w:rFonts w:ascii="Garamond" w:eastAsia="Times New Roman" w:hAnsi="Garamond" w:cs="Times New Roman"/>
                <w:color w:val="FF0000"/>
                <w:sz w:val="4"/>
                <w:szCs w:val="10"/>
              </w:rPr>
              <w:t>ë</w:t>
            </w:r>
            <w:r w:rsidRPr="00B457F5">
              <w:rPr>
                <w:rFonts w:ascii="Garamond" w:eastAsia="Times New Roman" w:hAnsi="Garamond" w:cs="Times New Roman"/>
                <w:color w:val="FF0000"/>
                <w:sz w:val="4"/>
                <w:szCs w:val="10"/>
              </w:rPr>
              <w:t xml:space="preserve"> </w:t>
            </w:r>
            <w:r w:rsidR="008E5BAD" w:rsidRPr="00B457F5">
              <w:rPr>
                <w:rFonts w:ascii="Garamond" w:eastAsia="Times New Roman" w:hAnsi="Garamond" w:cs="Times New Roman"/>
                <w:color w:val="FF0000"/>
                <w:sz w:val="4"/>
                <w:szCs w:val="10"/>
              </w:rPr>
              <w:t>Punë</w:t>
            </w:r>
          </w:p>
        </w:tc>
        <w:tc>
          <w:tcPr>
            <w:tcW w:w="169" w:type="pct"/>
            <w:tcBorders>
              <w:top w:val="nil"/>
              <w:left w:val="single" w:sz="4" w:space="0" w:color="auto"/>
              <w:bottom w:val="single" w:sz="4" w:space="0" w:color="auto"/>
              <w:right w:val="single" w:sz="4" w:space="0" w:color="auto"/>
            </w:tcBorders>
            <w:shd w:val="clear" w:color="auto" w:fill="auto"/>
            <w:vAlign w:val="center"/>
            <w:hideMark/>
          </w:tcPr>
          <w:p w14:paraId="012CAF4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ISHPSHSH</w:t>
            </w:r>
          </w:p>
        </w:tc>
        <w:tc>
          <w:tcPr>
            <w:tcW w:w="244" w:type="pct"/>
            <w:tcBorders>
              <w:top w:val="nil"/>
              <w:left w:val="nil"/>
              <w:bottom w:val="single" w:sz="4" w:space="0" w:color="auto"/>
              <w:right w:val="single" w:sz="4" w:space="0" w:color="auto"/>
            </w:tcBorders>
            <w:shd w:val="clear" w:color="auto" w:fill="auto"/>
            <w:vAlign w:val="center"/>
            <w:hideMark/>
          </w:tcPr>
          <w:p w14:paraId="2A4E245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AKPA, ISHSHSP</w:t>
            </w:r>
          </w:p>
        </w:tc>
        <w:tc>
          <w:tcPr>
            <w:tcW w:w="135" w:type="pct"/>
            <w:tcBorders>
              <w:top w:val="nil"/>
              <w:left w:val="nil"/>
              <w:bottom w:val="single" w:sz="4" w:space="0" w:color="auto"/>
              <w:right w:val="nil"/>
            </w:tcBorders>
            <w:shd w:val="clear" w:color="000000" w:fill="DDEBF7"/>
            <w:vAlign w:val="center"/>
            <w:hideMark/>
          </w:tcPr>
          <w:p w14:paraId="12D60C9C"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single" w:sz="4" w:space="0" w:color="auto"/>
              <w:bottom w:val="single" w:sz="4" w:space="0" w:color="auto"/>
              <w:right w:val="single" w:sz="4" w:space="0" w:color="auto"/>
            </w:tcBorders>
            <w:shd w:val="clear" w:color="000000" w:fill="DDEBF7"/>
            <w:vAlign w:val="center"/>
            <w:hideMark/>
          </w:tcPr>
          <w:p w14:paraId="38AE6F36"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16ED451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2,079,135</w:t>
            </w:r>
          </w:p>
        </w:tc>
        <w:tc>
          <w:tcPr>
            <w:tcW w:w="155" w:type="pct"/>
            <w:tcBorders>
              <w:top w:val="nil"/>
              <w:left w:val="nil"/>
              <w:bottom w:val="single" w:sz="4" w:space="0" w:color="auto"/>
              <w:right w:val="single" w:sz="4" w:space="0" w:color="auto"/>
            </w:tcBorders>
            <w:shd w:val="clear" w:color="auto" w:fill="auto"/>
            <w:vAlign w:val="center"/>
            <w:hideMark/>
          </w:tcPr>
          <w:p w14:paraId="27807D0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0749C1E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2,079,135</w:t>
            </w:r>
          </w:p>
        </w:tc>
        <w:tc>
          <w:tcPr>
            <w:tcW w:w="165" w:type="pct"/>
            <w:tcBorders>
              <w:top w:val="nil"/>
              <w:left w:val="nil"/>
              <w:bottom w:val="single" w:sz="4" w:space="0" w:color="auto"/>
              <w:right w:val="single" w:sz="4" w:space="0" w:color="auto"/>
            </w:tcBorders>
            <w:shd w:val="clear" w:color="auto" w:fill="auto"/>
            <w:vAlign w:val="center"/>
            <w:hideMark/>
          </w:tcPr>
          <w:p w14:paraId="339F6EA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2,079,135</w:t>
            </w:r>
          </w:p>
        </w:tc>
        <w:tc>
          <w:tcPr>
            <w:tcW w:w="163" w:type="pct"/>
            <w:tcBorders>
              <w:top w:val="nil"/>
              <w:left w:val="nil"/>
              <w:bottom w:val="single" w:sz="4" w:space="0" w:color="auto"/>
              <w:right w:val="single" w:sz="4" w:space="0" w:color="auto"/>
            </w:tcBorders>
            <w:shd w:val="clear" w:color="auto" w:fill="auto"/>
            <w:vAlign w:val="center"/>
            <w:hideMark/>
          </w:tcPr>
          <w:p w14:paraId="066543C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75E50E5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2,079,135</w:t>
            </w:r>
          </w:p>
        </w:tc>
        <w:tc>
          <w:tcPr>
            <w:tcW w:w="163" w:type="pct"/>
            <w:tcBorders>
              <w:top w:val="nil"/>
              <w:left w:val="nil"/>
              <w:bottom w:val="single" w:sz="4" w:space="0" w:color="auto"/>
              <w:right w:val="single" w:sz="4" w:space="0" w:color="auto"/>
            </w:tcBorders>
            <w:shd w:val="clear" w:color="auto" w:fill="auto"/>
            <w:vAlign w:val="center"/>
            <w:hideMark/>
          </w:tcPr>
          <w:p w14:paraId="6F64078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2,079,135</w:t>
            </w:r>
          </w:p>
        </w:tc>
        <w:tc>
          <w:tcPr>
            <w:tcW w:w="148" w:type="pct"/>
            <w:tcBorders>
              <w:top w:val="nil"/>
              <w:left w:val="nil"/>
              <w:bottom w:val="single" w:sz="4" w:space="0" w:color="auto"/>
              <w:right w:val="single" w:sz="4" w:space="0" w:color="auto"/>
            </w:tcBorders>
            <w:shd w:val="clear" w:color="auto" w:fill="auto"/>
            <w:vAlign w:val="center"/>
            <w:hideMark/>
          </w:tcPr>
          <w:p w14:paraId="6B81C3D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6C4334C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2,079,135</w:t>
            </w:r>
          </w:p>
        </w:tc>
        <w:tc>
          <w:tcPr>
            <w:tcW w:w="165" w:type="pct"/>
            <w:tcBorders>
              <w:top w:val="nil"/>
              <w:left w:val="nil"/>
              <w:bottom w:val="single" w:sz="4" w:space="0" w:color="auto"/>
              <w:right w:val="single" w:sz="4" w:space="0" w:color="auto"/>
            </w:tcBorders>
            <w:shd w:val="clear" w:color="auto" w:fill="auto"/>
            <w:vAlign w:val="center"/>
            <w:hideMark/>
          </w:tcPr>
          <w:p w14:paraId="694C5AC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6,237,405</w:t>
            </w:r>
          </w:p>
        </w:tc>
        <w:tc>
          <w:tcPr>
            <w:tcW w:w="163" w:type="pct"/>
            <w:tcBorders>
              <w:top w:val="nil"/>
              <w:left w:val="nil"/>
              <w:bottom w:val="single" w:sz="4" w:space="0" w:color="auto"/>
              <w:right w:val="single" w:sz="4" w:space="0" w:color="auto"/>
            </w:tcBorders>
            <w:shd w:val="clear" w:color="auto" w:fill="auto"/>
            <w:vAlign w:val="center"/>
            <w:hideMark/>
          </w:tcPr>
          <w:p w14:paraId="3143962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08E52F4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6,237,405</w:t>
            </w:r>
          </w:p>
        </w:tc>
        <w:tc>
          <w:tcPr>
            <w:tcW w:w="163" w:type="pct"/>
            <w:tcBorders>
              <w:top w:val="nil"/>
              <w:left w:val="nil"/>
              <w:bottom w:val="single" w:sz="4" w:space="0" w:color="auto"/>
              <w:right w:val="single" w:sz="4" w:space="0" w:color="auto"/>
            </w:tcBorders>
            <w:shd w:val="clear" w:color="auto" w:fill="auto"/>
            <w:noWrap/>
            <w:vAlign w:val="center"/>
            <w:hideMark/>
          </w:tcPr>
          <w:p w14:paraId="5B53F5C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6,237,405</w:t>
            </w:r>
          </w:p>
        </w:tc>
        <w:tc>
          <w:tcPr>
            <w:tcW w:w="155" w:type="pct"/>
            <w:tcBorders>
              <w:top w:val="nil"/>
              <w:left w:val="nil"/>
              <w:bottom w:val="single" w:sz="4" w:space="0" w:color="auto"/>
              <w:right w:val="single" w:sz="4" w:space="0" w:color="auto"/>
            </w:tcBorders>
            <w:shd w:val="clear" w:color="auto" w:fill="auto"/>
            <w:vAlign w:val="center"/>
            <w:hideMark/>
          </w:tcPr>
          <w:p w14:paraId="3F08F9E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56691E7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6,237,405</w:t>
            </w:r>
          </w:p>
        </w:tc>
        <w:tc>
          <w:tcPr>
            <w:tcW w:w="162" w:type="pct"/>
            <w:tcBorders>
              <w:top w:val="nil"/>
              <w:left w:val="nil"/>
              <w:bottom w:val="single" w:sz="4" w:space="0" w:color="auto"/>
              <w:right w:val="single" w:sz="4" w:space="0" w:color="auto"/>
            </w:tcBorders>
            <w:shd w:val="clear" w:color="auto" w:fill="auto"/>
            <w:vAlign w:val="center"/>
            <w:hideMark/>
          </w:tcPr>
          <w:p w14:paraId="19C2908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582E4D1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noWrap/>
            <w:vAlign w:val="center"/>
            <w:hideMark/>
          </w:tcPr>
          <w:p w14:paraId="0350A6A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noWrap/>
            <w:vAlign w:val="center"/>
            <w:hideMark/>
          </w:tcPr>
          <w:p w14:paraId="4817189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noWrap/>
            <w:vAlign w:val="center"/>
            <w:hideMark/>
          </w:tcPr>
          <w:p w14:paraId="3916EEE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noWrap/>
            <w:vAlign w:val="center"/>
            <w:hideMark/>
          </w:tcPr>
          <w:p w14:paraId="3FD7546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noWrap/>
            <w:vAlign w:val="center"/>
            <w:hideMark/>
          </w:tcPr>
          <w:p w14:paraId="42CCE5E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499BBE02" w14:textId="6BA397B1"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2B12F7B9" w14:textId="77777777" w:rsidTr="00C260C3">
        <w:trPr>
          <w:trHeight w:val="20"/>
        </w:trPr>
        <w:tc>
          <w:tcPr>
            <w:tcW w:w="131" w:type="pct"/>
            <w:tcBorders>
              <w:top w:val="nil"/>
              <w:left w:val="single" w:sz="8" w:space="0" w:color="auto"/>
              <w:bottom w:val="single" w:sz="8" w:space="0" w:color="auto"/>
              <w:right w:val="single" w:sz="4" w:space="0" w:color="auto"/>
            </w:tcBorders>
            <w:shd w:val="clear" w:color="000000" w:fill="D9D9D9"/>
            <w:vAlign w:val="center"/>
            <w:hideMark/>
          </w:tcPr>
          <w:p w14:paraId="696C5BBF"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81" w:type="pct"/>
            <w:tcBorders>
              <w:top w:val="nil"/>
              <w:left w:val="nil"/>
              <w:bottom w:val="single" w:sz="8" w:space="0" w:color="auto"/>
              <w:right w:val="single" w:sz="4" w:space="0" w:color="auto"/>
            </w:tcBorders>
            <w:shd w:val="clear" w:color="000000" w:fill="D9D9D9"/>
            <w:vAlign w:val="center"/>
            <w:hideMark/>
          </w:tcPr>
          <w:p w14:paraId="7D088C1E" w14:textId="7A869762" w:rsidR="00C260C3" w:rsidRPr="00B457F5" w:rsidRDefault="00C260C3" w:rsidP="00C260C3">
            <w:pPr>
              <w:spacing w:before="0" w:after="0"/>
              <w:jc w:val="lef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Kosto</w:t>
            </w:r>
            <w:r w:rsidR="008E5BAD" w:rsidRPr="00B457F5">
              <w:rPr>
                <w:rFonts w:ascii="Garamond" w:eastAsia="Times New Roman" w:hAnsi="Garamond" w:cs="Times New Roman"/>
                <w:b/>
                <w:bCs/>
                <w:color w:val="FF0000"/>
                <w:sz w:val="4"/>
                <w:szCs w:val="10"/>
              </w:rPr>
              <w:t>ja</w:t>
            </w:r>
            <w:r w:rsidRPr="00B457F5">
              <w:rPr>
                <w:rFonts w:ascii="Garamond" w:eastAsia="Times New Roman" w:hAnsi="Garamond" w:cs="Times New Roman"/>
                <w:b/>
                <w:bCs/>
                <w:color w:val="FF0000"/>
                <w:sz w:val="4"/>
                <w:szCs w:val="10"/>
              </w:rPr>
              <w:t xml:space="preserve"> </w:t>
            </w:r>
            <w:r w:rsidR="008E5BAD" w:rsidRPr="00B457F5">
              <w:rPr>
                <w:rFonts w:ascii="Garamond" w:eastAsia="Times New Roman" w:hAnsi="Garamond" w:cs="Times New Roman"/>
                <w:b/>
                <w:bCs/>
                <w:color w:val="FF0000"/>
                <w:sz w:val="4"/>
                <w:szCs w:val="10"/>
              </w:rPr>
              <w:t>e o</w:t>
            </w:r>
            <w:r w:rsidRPr="00B457F5">
              <w:rPr>
                <w:rFonts w:ascii="Garamond" w:eastAsia="Times New Roman" w:hAnsi="Garamond" w:cs="Times New Roman"/>
                <w:b/>
                <w:bCs/>
                <w:color w:val="FF0000"/>
                <w:sz w:val="4"/>
                <w:szCs w:val="10"/>
              </w:rPr>
              <w:t>bjektivi</w:t>
            </w:r>
            <w:r w:rsidR="008E5BAD" w:rsidRPr="00B457F5">
              <w:rPr>
                <w:rFonts w:ascii="Garamond" w:eastAsia="Times New Roman" w:hAnsi="Garamond" w:cs="Times New Roman"/>
                <w:b/>
                <w:bCs/>
                <w:color w:val="FF0000"/>
                <w:sz w:val="4"/>
                <w:szCs w:val="10"/>
              </w:rPr>
              <w:t>t</w:t>
            </w:r>
            <w:r w:rsidRPr="00B457F5">
              <w:rPr>
                <w:rFonts w:ascii="Garamond" w:eastAsia="Times New Roman" w:hAnsi="Garamond" w:cs="Times New Roman"/>
                <w:b/>
                <w:bCs/>
                <w:color w:val="FF0000"/>
                <w:sz w:val="4"/>
                <w:szCs w:val="10"/>
              </w:rPr>
              <w:t xml:space="preserve"> specifik 2.1</w:t>
            </w:r>
          </w:p>
        </w:tc>
        <w:tc>
          <w:tcPr>
            <w:tcW w:w="186" w:type="pct"/>
            <w:tcBorders>
              <w:top w:val="nil"/>
              <w:left w:val="nil"/>
              <w:bottom w:val="single" w:sz="8" w:space="0" w:color="auto"/>
              <w:right w:val="single" w:sz="4" w:space="0" w:color="auto"/>
            </w:tcBorders>
            <w:shd w:val="clear" w:color="000000" w:fill="D9D9D9"/>
            <w:vAlign w:val="center"/>
            <w:hideMark/>
          </w:tcPr>
          <w:p w14:paraId="4BF46404"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9" w:type="pct"/>
            <w:tcBorders>
              <w:top w:val="nil"/>
              <w:left w:val="nil"/>
              <w:bottom w:val="single" w:sz="8" w:space="0" w:color="auto"/>
              <w:right w:val="single" w:sz="4" w:space="0" w:color="auto"/>
            </w:tcBorders>
            <w:shd w:val="clear" w:color="000000" w:fill="D9D9D9"/>
            <w:vAlign w:val="center"/>
            <w:hideMark/>
          </w:tcPr>
          <w:p w14:paraId="79ADD6E0"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44" w:type="pct"/>
            <w:tcBorders>
              <w:top w:val="nil"/>
              <w:left w:val="nil"/>
              <w:bottom w:val="single" w:sz="8" w:space="0" w:color="auto"/>
              <w:right w:val="single" w:sz="4" w:space="0" w:color="auto"/>
            </w:tcBorders>
            <w:shd w:val="clear" w:color="000000" w:fill="D9D9D9"/>
            <w:vAlign w:val="center"/>
            <w:hideMark/>
          </w:tcPr>
          <w:p w14:paraId="1D193F05"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35" w:type="pct"/>
            <w:tcBorders>
              <w:top w:val="single" w:sz="8" w:space="0" w:color="auto"/>
              <w:left w:val="nil"/>
              <w:bottom w:val="single" w:sz="8" w:space="0" w:color="auto"/>
              <w:right w:val="single" w:sz="4" w:space="0" w:color="auto"/>
            </w:tcBorders>
            <w:shd w:val="clear" w:color="000000" w:fill="D9D9D9"/>
            <w:vAlign w:val="center"/>
            <w:hideMark/>
          </w:tcPr>
          <w:p w14:paraId="6C936F2A"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2" w:type="pct"/>
            <w:tcBorders>
              <w:top w:val="single" w:sz="8" w:space="0" w:color="auto"/>
              <w:left w:val="nil"/>
              <w:bottom w:val="single" w:sz="8" w:space="0" w:color="auto"/>
              <w:right w:val="single" w:sz="4" w:space="0" w:color="auto"/>
            </w:tcBorders>
            <w:shd w:val="clear" w:color="000000" w:fill="D9D9D9"/>
            <w:vAlign w:val="center"/>
            <w:hideMark/>
          </w:tcPr>
          <w:p w14:paraId="6F1CA1FB"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single" w:sz="8" w:space="0" w:color="auto"/>
              <w:left w:val="nil"/>
              <w:bottom w:val="single" w:sz="8" w:space="0" w:color="auto"/>
              <w:right w:val="single" w:sz="4" w:space="0" w:color="auto"/>
            </w:tcBorders>
            <w:shd w:val="clear" w:color="000000" w:fill="D9D9D9"/>
            <w:vAlign w:val="center"/>
            <w:hideMark/>
          </w:tcPr>
          <w:p w14:paraId="387F009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24,643,258</w:t>
            </w:r>
          </w:p>
        </w:tc>
        <w:tc>
          <w:tcPr>
            <w:tcW w:w="155" w:type="pct"/>
            <w:tcBorders>
              <w:top w:val="single" w:sz="8" w:space="0" w:color="auto"/>
              <w:left w:val="nil"/>
              <w:bottom w:val="single" w:sz="8" w:space="0" w:color="auto"/>
              <w:right w:val="single" w:sz="4" w:space="0" w:color="auto"/>
            </w:tcBorders>
            <w:shd w:val="clear" w:color="000000" w:fill="D9D9D9"/>
            <w:vAlign w:val="center"/>
            <w:hideMark/>
          </w:tcPr>
          <w:p w14:paraId="7B47463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2" w:type="pct"/>
            <w:tcBorders>
              <w:top w:val="single" w:sz="8" w:space="0" w:color="auto"/>
              <w:left w:val="nil"/>
              <w:bottom w:val="single" w:sz="8" w:space="0" w:color="auto"/>
              <w:right w:val="single" w:sz="4" w:space="0" w:color="auto"/>
            </w:tcBorders>
            <w:shd w:val="clear" w:color="000000" w:fill="D9D9D9"/>
            <w:vAlign w:val="center"/>
            <w:hideMark/>
          </w:tcPr>
          <w:p w14:paraId="785CF115"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24,643,258</w:t>
            </w:r>
          </w:p>
        </w:tc>
        <w:tc>
          <w:tcPr>
            <w:tcW w:w="165" w:type="pct"/>
            <w:tcBorders>
              <w:top w:val="single" w:sz="8" w:space="0" w:color="auto"/>
              <w:left w:val="nil"/>
              <w:bottom w:val="single" w:sz="8" w:space="0" w:color="auto"/>
              <w:right w:val="single" w:sz="4" w:space="0" w:color="auto"/>
            </w:tcBorders>
            <w:shd w:val="clear" w:color="000000" w:fill="D9D9D9"/>
            <w:vAlign w:val="center"/>
            <w:hideMark/>
          </w:tcPr>
          <w:p w14:paraId="2099BBD3"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33,222,669</w:t>
            </w:r>
          </w:p>
        </w:tc>
        <w:tc>
          <w:tcPr>
            <w:tcW w:w="163" w:type="pct"/>
            <w:tcBorders>
              <w:top w:val="single" w:sz="8" w:space="0" w:color="auto"/>
              <w:left w:val="nil"/>
              <w:bottom w:val="single" w:sz="8" w:space="0" w:color="auto"/>
              <w:right w:val="single" w:sz="4" w:space="0" w:color="auto"/>
            </w:tcBorders>
            <w:shd w:val="clear" w:color="000000" w:fill="D9D9D9"/>
            <w:vAlign w:val="center"/>
            <w:hideMark/>
          </w:tcPr>
          <w:p w14:paraId="44C7579B"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3" w:type="pct"/>
            <w:tcBorders>
              <w:top w:val="single" w:sz="8" w:space="0" w:color="auto"/>
              <w:left w:val="nil"/>
              <w:bottom w:val="single" w:sz="8" w:space="0" w:color="auto"/>
              <w:right w:val="single" w:sz="4" w:space="0" w:color="auto"/>
            </w:tcBorders>
            <w:shd w:val="clear" w:color="000000" w:fill="D9D9D9"/>
            <w:vAlign w:val="center"/>
            <w:hideMark/>
          </w:tcPr>
          <w:p w14:paraId="2E78B9D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33,222,669</w:t>
            </w:r>
          </w:p>
        </w:tc>
        <w:tc>
          <w:tcPr>
            <w:tcW w:w="163" w:type="pct"/>
            <w:tcBorders>
              <w:top w:val="single" w:sz="8" w:space="0" w:color="auto"/>
              <w:left w:val="nil"/>
              <w:bottom w:val="single" w:sz="8" w:space="0" w:color="auto"/>
              <w:right w:val="single" w:sz="4" w:space="0" w:color="auto"/>
            </w:tcBorders>
            <w:shd w:val="clear" w:color="000000" w:fill="D9D9D9"/>
            <w:vAlign w:val="center"/>
            <w:hideMark/>
          </w:tcPr>
          <w:p w14:paraId="687F23FB"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33,222,669</w:t>
            </w:r>
          </w:p>
        </w:tc>
        <w:tc>
          <w:tcPr>
            <w:tcW w:w="148" w:type="pct"/>
            <w:tcBorders>
              <w:top w:val="single" w:sz="8" w:space="0" w:color="auto"/>
              <w:left w:val="nil"/>
              <w:bottom w:val="single" w:sz="8" w:space="0" w:color="auto"/>
              <w:right w:val="single" w:sz="4" w:space="0" w:color="auto"/>
            </w:tcBorders>
            <w:shd w:val="clear" w:color="000000" w:fill="D9D9D9"/>
            <w:vAlign w:val="center"/>
            <w:hideMark/>
          </w:tcPr>
          <w:p w14:paraId="7094461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2,875,000</w:t>
            </w:r>
          </w:p>
        </w:tc>
        <w:tc>
          <w:tcPr>
            <w:tcW w:w="162" w:type="pct"/>
            <w:tcBorders>
              <w:top w:val="single" w:sz="8" w:space="0" w:color="auto"/>
              <w:left w:val="nil"/>
              <w:bottom w:val="single" w:sz="8" w:space="0" w:color="auto"/>
              <w:right w:val="single" w:sz="4" w:space="0" w:color="auto"/>
            </w:tcBorders>
            <w:shd w:val="clear" w:color="000000" w:fill="D9D9D9"/>
            <w:vAlign w:val="center"/>
            <w:hideMark/>
          </w:tcPr>
          <w:p w14:paraId="03512458"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36,097,669</w:t>
            </w:r>
          </w:p>
        </w:tc>
        <w:tc>
          <w:tcPr>
            <w:tcW w:w="165" w:type="pct"/>
            <w:tcBorders>
              <w:top w:val="single" w:sz="8" w:space="0" w:color="auto"/>
              <w:left w:val="nil"/>
              <w:bottom w:val="single" w:sz="8" w:space="0" w:color="auto"/>
              <w:right w:val="single" w:sz="4" w:space="0" w:color="auto"/>
            </w:tcBorders>
            <w:shd w:val="clear" w:color="000000" w:fill="D9D9D9"/>
            <w:vAlign w:val="center"/>
            <w:hideMark/>
          </w:tcPr>
          <w:p w14:paraId="5AEBE490"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91,088,596</w:t>
            </w:r>
          </w:p>
        </w:tc>
        <w:tc>
          <w:tcPr>
            <w:tcW w:w="163" w:type="pct"/>
            <w:tcBorders>
              <w:top w:val="single" w:sz="8" w:space="0" w:color="auto"/>
              <w:left w:val="nil"/>
              <w:bottom w:val="single" w:sz="8" w:space="0" w:color="auto"/>
              <w:right w:val="single" w:sz="4" w:space="0" w:color="auto"/>
            </w:tcBorders>
            <w:shd w:val="clear" w:color="000000" w:fill="D9D9D9"/>
            <w:vAlign w:val="center"/>
            <w:hideMark/>
          </w:tcPr>
          <w:p w14:paraId="26AC42AE"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2,875,000</w:t>
            </w:r>
          </w:p>
        </w:tc>
        <w:tc>
          <w:tcPr>
            <w:tcW w:w="165" w:type="pct"/>
            <w:tcBorders>
              <w:top w:val="single" w:sz="8" w:space="0" w:color="auto"/>
              <w:left w:val="nil"/>
              <w:bottom w:val="single" w:sz="8" w:space="0" w:color="auto"/>
              <w:right w:val="single" w:sz="4" w:space="0" w:color="auto"/>
            </w:tcBorders>
            <w:shd w:val="clear" w:color="000000" w:fill="D9D9D9"/>
            <w:vAlign w:val="center"/>
            <w:hideMark/>
          </w:tcPr>
          <w:p w14:paraId="3986D9F0"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93,963,596</w:t>
            </w:r>
          </w:p>
        </w:tc>
        <w:tc>
          <w:tcPr>
            <w:tcW w:w="163" w:type="pct"/>
            <w:tcBorders>
              <w:top w:val="single" w:sz="8" w:space="0" w:color="auto"/>
              <w:left w:val="nil"/>
              <w:bottom w:val="single" w:sz="8" w:space="0" w:color="auto"/>
              <w:right w:val="single" w:sz="4" w:space="0" w:color="auto"/>
            </w:tcBorders>
            <w:shd w:val="clear" w:color="000000" w:fill="D9D9D9"/>
            <w:vAlign w:val="center"/>
            <w:hideMark/>
          </w:tcPr>
          <w:p w14:paraId="0563A608"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83,815,762</w:t>
            </w:r>
          </w:p>
        </w:tc>
        <w:tc>
          <w:tcPr>
            <w:tcW w:w="155" w:type="pct"/>
            <w:tcBorders>
              <w:top w:val="single" w:sz="8" w:space="0" w:color="auto"/>
              <w:left w:val="nil"/>
              <w:bottom w:val="single" w:sz="8" w:space="0" w:color="auto"/>
              <w:right w:val="single" w:sz="4" w:space="0" w:color="auto"/>
            </w:tcBorders>
            <w:shd w:val="clear" w:color="000000" w:fill="D9D9D9"/>
            <w:vAlign w:val="center"/>
            <w:hideMark/>
          </w:tcPr>
          <w:p w14:paraId="5AE52C37"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3" w:type="pct"/>
            <w:tcBorders>
              <w:top w:val="single" w:sz="8" w:space="0" w:color="auto"/>
              <w:left w:val="nil"/>
              <w:bottom w:val="single" w:sz="8" w:space="0" w:color="auto"/>
              <w:right w:val="single" w:sz="4" w:space="0" w:color="auto"/>
            </w:tcBorders>
            <w:shd w:val="clear" w:color="000000" w:fill="D9D9D9"/>
            <w:vAlign w:val="center"/>
            <w:hideMark/>
          </w:tcPr>
          <w:p w14:paraId="24DE135F"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83,815,762</w:t>
            </w:r>
          </w:p>
        </w:tc>
        <w:tc>
          <w:tcPr>
            <w:tcW w:w="162" w:type="pct"/>
            <w:tcBorders>
              <w:top w:val="single" w:sz="8" w:space="0" w:color="auto"/>
              <w:left w:val="nil"/>
              <w:bottom w:val="single" w:sz="8" w:space="0" w:color="auto"/>
              <w:right w:val="single" w:sz="4" w:space="0" w:color="auto"/>
            </w:tcBorders>
            <w:shd w:val="clear" w:color="000000" w:fill="D9D9D9"/>
            <w:vAlign w:val="center"/>
            <w:hideMark/>
          </w:tcPr>
          <w:p w14:paraId="7699F1BC"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7,272,834</w:t>
            </w:r>
          </w:p>
        </w:tc>
        <w:tc>
          <w:tcPr>
            <w:tcW w:w="155" w:type="pct"/>
            <w:tcBorders>
              <w:top w:val="single" w:sz="8" w:space="0" w:color="auto"/>
              <w:left w:val="nil"/>
              <w:bottom w:val="single" w:sz="8" w:space="0" w:color="auto"/>
              <w:right w:val="single" w:sz="4" w:space="0" w:color="auto"/>
            </w:tcBorders>
            <w:shd w:val="clear" w:color="000000" w:fill="D9D9D9"/>
            <w:vAlign w:val="center"/>
            <w:hideMark/>
          </w:tcPr>
          <w:p w14:paraId="0ADBAB6B"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218" w:type="pct"/>
            <w:tcBorders>
              <w:top w:val="single" w:sz="8" w:space="0" w:color="auto"/>
              <w:left w:val="nil"/>
              <w:bottom w:val="single" w:sz="8" w:space="0" w:color="auto"/>
              <w:right w:val="single" w:sz="4" w:space="0" w:color="auto"/>
            </w:tcBorders>
            <w:shd w:val="clear" w:color="000000" w:fill="D9D9D9"/>
            <w:vAlign w:val="center"/>
            <w:hideMark/>
          </w:tcPr>
          <w:p w14:paraId="284BCD90"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single" w:sz="8" w:space="0" w:color="auto"/>
              <w:left w:val="nil"/>
              <w:bottom w:val="single" w:sz="8" w:space="0" w:color="auto"/>
              <w:right w:val="single" w:sz="4" w:space="0" w:color="auto"/>
            </w:tcBorders>
            <w:shd w:val="clear" w:color="000000" w:fill="D9D9D9"/>
            <w:vAlign w:val="center"/>
            <w:hideMark/>
          </w:tcPr>
          <w:p w14:paraId="7F19CECC"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7,272,834</w:t>
            </w:r>
          </w:p>
        </w:tc>
        <w:tc>
          <w:tcPr>
            <w:tcW w:w="139" w:type="pct"/>
            <w:tcBorders>
              <w:top w:val="single" w:sz="8" w:space="0" w:color="auto"/>
              <w:left w:val="nil"/>
              <w:bottom w:val="single" w:sz="8" w:space="0" w:color="auto"/>
              <w:right w:val="single" w:sz="4" w:space="0" w:color="auto"/>
            </w:tcBorders>
            <w:shd w:val="clear" w:color="000000" w:fill="D9D9D9"/>
            <w:vAlign w:val="center"/>
            <w:hideMark/>
          </w:tcPr>
          <w:p w14:paraId="1C1F5EE0"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42" w:type="pct"/>
            <w:tcBorders>
              <w:top w:val="single" w:sz="8" w:space="0" w:color="auto"/>
              <w:left w:val="nil"/>
              <w:bottom w:val="single" w:sz="8" w:space="0" w:color="auto"/>
              <w:right w:val="single" w:sz="4" w:space="0" w:color="auto"/>
            </w:tcBorders>
            <w:shd w:val="clear" w:color="000000" w:fill="D9D9D9"/>
            <w:vAlign w:val="center"/>
            <w:hideMark/>
          </w:tcPr>
          <w:p w14:paraId="7A87671A"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28" w:type="pct"/>
            <w:tcBorders>
              <w:top w:val="single" w:sz="8" w:space="0" w:color="auto"/>
              <w:left w:val="nil"/>
              <w:bottom w:val="single" w:sz="8" w:space="0" w:color="auto"/>
              <w:right w:val="single" w:sz="4" w:space="0" w:color="auto"/>
            </w:tcBorders>
            <w:shd w:val="clear" w:color="000000" w:fill="D9D9D9"/>
            <w:vAlign w:val="center"/>
            <w:hideMark/>
          </w:tcPr>
          <w:p w14:paraId="378B455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77" w:type="pct"/>
            <w:tcBorders>
              <w:top w:val="single" w:sz="8" w:space="0" w:color="auto"/>
              <w:left w:val="nil"/>
              <w:bottom w:val="single" w:sz="8" w:space="0" w:color="auto"/>
              <w:right w:val="single" w:sz="4" w:space="0" w:color="auto"/>
            </w:tcBorders>
            <w:shd w:val="clear" w:color="000000" w:fill="D9D9D9"/>
            <w:vAlign w:val="center"/>
            <w:hideMark/>
          </w:tcPr>
          <w:p w14:paraId="74EFB580" w14:textId="22175C5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(2,875,000)</w:t>
            </w:r>
          </w:p>
        </w:tc>
      </w:tr>
      <w:tr w:rsidR="00C260C3" w:rsidRPr="00B457F5" w14:paraId="7C5F4836"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noWrap/>
            <w:vAlign w:val="center"/>
            <w:hideMark/>
          </w:tcPr>
          <w:p w14:paraId="11B63061"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2.2</w:t>
            </w:r>
          </w:p>
        </w:tc>
        <w:tc>
          <w:tcPr>
            <w:tcW w:w="281" w:type="pct"/>
            <w:tcBorders>
              <w:top w:val="nil"/>
              <w:left w:val="nil"/>
              <w:bottom w:val="single" w:sz="4" w:space="0" w:color="auto"/>
              <w:right w:val="single" w:sz="4" w:space="0" w:color="auto"/>
            </w:tcBorders>
            <w:shd w:val="clear" w:color="auto" w:fill="auto"/>
            <w:vAlign w:val="center"/>
            <w:hideMark/>
          </w:tcPr>
          <w:p w14:paraId="156AA73F"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Objektivi specifik: 2.2: Krijimi i mundësive dhe stimujve për emigrantët që të kontribuojnë në zhvillimin e qëndrueshëm </w:t>
            </w:r>
          </w:p>
        </w:tc>
        <w:tc>
          <w:tcPr>
            <w:tcW w:w="186" w:type="pct"/>
            <w:tcBorders>
              <w:top w:val="nil"/>
              <w:left w:val="nil"/>
              <w:bottom w:val="single" w:sz="4" w:space="0" w:color="auto"/>
              <w:right w:val="single" w:sz="4" w:space="0" w:color="auto"/>
            </w:tcBorders>
            <w:shd w:val="clear" w:color="auto" w:fill="auto"/>
            <w:vAlign w:val="center"/>
            <w:hideMark/>
          </w:tcPr>
          <w:p w14:paraId="379EE398"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9" w:type="pct"/>
            <w:tcBorders>
              <w:top w:val="nil"/>
              <w:left w:val="nil"/>
              <w:bottom w:val="single" w:sz="4" w:space="0" w:color="auto"/>
              <w:right w:val="single" w:sz="4" w:space="0" w:color="auto"/>
            </w:tcBorders>
            <w:shd w:val="clear" w:color="auto" w:fill="auto"/>
            <w:noWrap/>
            <w:vAlign w:val="bottom"/>
            <w:hideMark/>
          </w:tcPr>
          <w:p w14:paraId="658E118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244" w:type="pct"/>
            <w:tcBorders>
              <w:top w:val="nil"/>
              <w:left w:val="nil"/>
              <w:bottom w:val="single" w:sz="4" w:space="0" w:color="auto"/>
              <w:right w:val="single" w:sz="4" w:space="0" w:color="auto"/>
            </w:tcBorders>
            <w:shd w:val="clear" w:color="auto" w:fill="auto"/>
            <w:noWrap/>
            <w:vAlign w:val="bottom"/>
            <w:hideMark/>
          </w:tcPr>
          <w:p w14:paraId="1643B46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35" w:type="pct"/>
            <w:tcBorders>
              <w:top w:val="nil"/>
              <w:left w:val="nil"/>
              <w:bottom w:val="single" w:sz="4" w:space="0" w:color="auto"/>
              <w:right w:val="single" w:sz="4" w:space="0" w:color="auto"/>
            </w:tcBorders>
            <w:shd w:val="clear" w:color="auto" w:fill="auto"/>
            <w:noWrap/>
            <w:vAlign w:val="bottom"/>
            <w:hideMark/>
          </w:tcPr>
          <w:p w14:paraId="3E6B872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2" w:type="pct"/>
            <w:tcBorders>
              <w:top w:val="nil"/>
              <w:left w:val="nil"/>
              <w:bottom w:val="single" w:sz="4" w:space="0" w:color="auto"/>
              <w:right w:val="single" w:sz="4" w:space="0" w:color="auto"/>
            </w:tcBorders>
            <w:shd w:val="clear" w:color="auto" w:fill="auto"/>
            <w:noWrap/>
            <w:vAlign w:val="bottom"/>
            <w:hideMark/>
          </w:tcPr>
          <w:p w14:paraId="3E2D2A4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65BACAD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nil"/>
              <w:left w:val="nil"/>
              <w:bottom w:val="single" w:sz="4" w:space="0" w:color="auto"/>
              <w:right w:val="single" w:sz="4" w:space="0" w:color="auto"/>
            </w:tcBorders>
            <w:shd w:val="clear" w:color="auto" w:fill="auto"/>
            <w:noWrap/>
            <w:vAlign w:val="center"/>
            <w:hideMark/>
          </w:tcPr>
          <w:p w14:paraId="4A04820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nil"/>
              <w:left w:val="nil"/>
              <w:bottom w:val="single" w:sz="4" w:space="0" w:color="auto"/>
              <w:right w:val="single" w:sz="4" w:space="0" w:color="auto"/>
            </w:tcBorders>
            <w:shd w:val="clear" w:color="auto" w:fill="auto"/>
            <w:noWrap/>
            <w:vAlign w:val="center"/>
            <w:hideMark/>
          </w:tcPr>
          <w:p w14:paraId="29FD444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nil"/>
              <w:left w:val="nil"/>
              <w:bottom w:val="single" w:sz="4" w:space="0" w:color="auto"/>
              <w:right w:val="single" w:sz="4" w:space="0" w:color="auto"/>
            </w:tcBorders>
            <w:shd w:val="clear" w:color="auto" w:fill="auto"/>
            <w:noWrap/>
            <w:vAlign w:val="center"/>
            <w:hideMark/>
          </w:tcPr>
          <w:p w14:paraId="7431035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1759757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5DFB7EA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1436267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48" w:type="pct"/>
            <w:tcBorders>
              <w:top w:val="nil"/>
              <w:left w:val="nil"/>
              <w:bottom w:val="single" w:sz="4" w:space="0" w:color="auto"/>
              <w:right w:val="single" w:sz="4" w:space="0" w:color="auto"/>
            </w:tcBorders>
            <w:shd w:val="clear" w:color="auto" w:fill="auto"/>
            <w:noWrap/>
            <w:vAlign w:val="center"/>
            <w:hideMark/>
          </w:tcPr>
          <w:p w14:paraId="7C6E17E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nil"/>
              <w:left w:val="nil"/>
              <w:bottom w:val="single" w:sz="4" w:space="0" w:color="auto"/>
              <w:right w:val="single" w:sz="4" w:space="0" w:color="auto"/>
            </w:tcBorders>
            <w:shd w:val="clear" w:color="auto" w:fill="auto"/>
            <w:noWrap/>
            <w:vAlign w:val="center"/>
            <w:hideMark/>
          </w:tcPr>
          <w:p w14:paraId="26985BC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nil"/>
              <w:left w:val="nil"/>
              <w:bottom w:val="single" w:sz="4" w:space="0" w:color="auto"/>
              <w:right w:val="single" w:sz="4" w:space="0" w:color="auto"/>
            </w:tcBorders>
            <w:shd w:val="clear" w:color="auto" w:fill="auto"/>
            <w:noWrap/>
            <w:vAlign w:val="center"/>
            <w:hideMark/>
          </w:tcPr>
          <w:p w14:paraId="3E06A19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1F72CB3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nil"/>
              <w:left w:val="nil"/>
              <w:bottom w:val="single" w:sz="4" w:space="0" w:color="auto"/>
              <w:right w:val="single" w:sz="4" w:space="0" w:color="auto"/>
            </w:tcBorders>
            <w:shd w:val="clear" w:color="auto" w:fill="auto"/>
            <w:noWrap/>
            <w:vAlign w:val="center"/>
            <w:hideMark/>
          </w:tcPr>
          <w:p w14:paraId="11EAEC4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7C7622F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nil"/>
              <w:left w:val="nil"/>
              <w:bottom w:val="single" w:sz="4" w:space="0" w:color="auto"/>
              <w:right w:val="single" w:sz="4" w:space="0" w:color="auto"/>
            </w:tcBorders>
            <w:shd w:val="clear" w:color="auto" w:fill="auto"/>
            <w:noWrap/>
            <w:vAlign w:val="center"/>
            <w:hideMark/>
          </w:tcPr>
          <w:p w14:paraId="5B288E7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3DEF17C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nil"/>
              <w:left w:val="nil"/>
              <w:bottom w:val="single" w:sz="4" w:space="0" w:color="auto"/>
              <w:right w:val="single" w:sz="4" w:space="0" w:color="auto"/>
            </w:tcBorders>
            <w:shd w:val="clear" w:color="auto" w:fill="auto"/>
            <w:noWrap/>
            <w:vAlign w:val="center"/>
            <w:hideMark/>
          </w:tcPr>
          <w:p w14:paraId="186FA98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nil"/>
              <w:left w:val="nil"/>
              <w:bottom w:val="single" w:sz="4" w:space="0" w:color="auto"/>
              <w:right w:val="single" w:sz="4" w:space="0" w:color="auto"/>
            </w:tcBorders>
            <w:shd w:val="clear" w:color="auto" w:fill="auto"/>
            <w:noWrap/>
            <w:vAlign w:val="center"/>
            <w:hideMark/>
          </w:tcPr>
          <w:p w14:paraId="0EC8368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218" w:type="pct"/>
            <w:tcBorders>
              <w:top w:val="nil"/>
              <w:left w:val="nil"/>
              <w:bottom w:val="single" w:sz="4" w:space="0" w:color="auto"/>
              <w:right w:val="single" w:sz="4" w:space="0" w:color="auto"/>
            </w:tcBorders>
            <w:shd w:val="clear" w:color="auto" w:fill="auto"/>
            <w:noWrap/>
            <w:vAlign w:val="center"/>
            <w:hideMark/>
          </w:tcPr>
          <w:p w14:paraId="31E19F2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37A2A20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39" w:type="pct"/>
            <w:tcBorders>
              <w:top w:val="nil"/>
              <w:left w:val="nil"/>
              <w:bottom w:val="single" w:sz="4" w:space="0" w:color="auto"/>
              <w:right w:val="single" w:sz="4" w:space="0" w:color="auto"/>
            </w:tcBorders>
            <w:shd w:val="clear" w:color="auto" w:fill="auto"/>
            <w:noWrap/>
            <w:vAlign w:val="center"/>
            <w:hideMark/>
          </w:tcPr>
          <w:p w14:paraId="752E0B9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42" w:type="pct"/>
            <w:tcBorders>
              <w:top w:val="nil"/>
              <w:left w:val="nil"/>
              <w:bottom w:val="single" w:sz="4" w:space="0" w:color="auto"/>
              <w:right w:val="single" w:sz="4" w:space="0" w:color="auto"/>
            </w:tcBorders>
            <w:shd w:val="clear" w:color="auto" w:fill="auto"/>
            <w:noWrap/>
            <w:vAlign w:val="center"/>
            <w:hideMark/>
          </w:tcPr>
          <w:p w14:paraId="027F195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28" w:type="pct"/>
            <w:tcBorders>
              <w:top w:val="nil"/>
              <w:left w:val="nil"/>
              <w:bottom w:val="single" w:sz="4" w:space="0" w:color="auto"/>
              <w:right w:val="single" w:sz="4" w:space="0" w:color="auto"/>
            </w:tcBorders>
            <w:shd w:val="clear" w:color="auto" w:fill="auto"/>
            <w:noWrap/>
            <w:vAlign w:val="center"/>
            <w:hideMark/>
          </w:tcPr>
          <w:p w14:paraId="60FBD9B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77" w:type="pct"/>
            <w:tcBorders>
              <w:top w:val="nil"/>
              <w:left w:val="nil"/>
              <w:bottom w:val="single" w:sz="4" w:space="0" w:color="auto"/>
              <w:right w:val="single" w:sz="8" w:space="0" w:color="auto"/>
            </w:tcBorders>
            <w:shd w:val="clear" w:color="auto" w:fill="auto"/>
            <w:noWrap/>
            <w:vAlign w:val="center"/>
            <w:hideMark/>
          </w:tcPr>
          <w:p w14:paraId="38DC741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r>
      <w:tr w:rsidR="00C260C3" w:rsidRPr="00B457F5" w14:paraId="1623AA56"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noWrap/>
            <w:vAlign w:val="center"/>
            <w:hideMark/>
          </w:tcPr>
          <w:p w14:paraId="6E622AFD"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81" w:type="pct"/>
            <w:tcBorders>
              <w:top w:val="nil"/>
              <w:left w:val="nil"/>
              <w:bottom w:val="single" w:sz="4" w:space="0" w:color="auto"/>
              <w:right w:val="single" w:sz="4" w:space="0" w:color="auto"/>
            </w:tcBorders>
            <w:shd w:val="clear" w:color="auto" w:fill="auto"/>
            <w:vAlign w:val="center"/>
            <w:hideMark/>
          </w:tcPr>
          <w:p w14:paraId="471810FD" w14:textId="77777777" w:rsidR="00C260C3" w:rsidRPr="00B457F5" w:rsidRDefault="00C260C3" w:rsidP="00C260C3">
            <w:pPr>
              <w:spacing w:before="0" w:after="0"/>
              <w:jc w:val="left"/>
              <w:rPr>
                <w:rFonts w:ascii="Garamond" w:eastAsia="Times New Roman" w:hAnsi="Garamond" w:cs="Times New Roman"/>
                <w:b/>
                <w:bCs/>
                <w:i/>
                <w:iCs/>
                <w:color w:val="0066CC"/>
                <w:sz w:val="4"/>
                <w:szCs w:val="10"/>
              </w:rPr>
            </w:pPr>
            <w:r w:rsidRPr="00B457F5">
              <w:rPr>
                <w:rFonts w:ascii="Garamond" w:eastAsia="Times New Roman" w:hAnsi="Garamond" w:cs="Times New Roman"/>
                <w:b/>
                <w:bCs/>
                <w:i/>
                <w:iCs/>
                <w:color w:val="0066CC"/>
                <w:sz w:val="4"/>
                <w:szCs w:val="10"/>
              </w:rPr>
              <w:t>Masat</w:t>
            </w:r>
          </w:p>
        </w:tc>
        <w:tc>
          <w:tcPr>
            <w:tcW w:w="186" w:type="pct"/>
            <w:tcBorders>
              <w:top w:val="nil"/>
              <w:left w:val="nil"/>
              <w:bottom w:val="single" w:sz="4" w:space="0" w:color="auto"/>
              <w:right w:val="single" w:sz="4" w:space="0" w:color="auto"/>
            </w:tcBorders>
            <w:shd w:val="clear" w:color="auto" w:fill="auto"/>
            <w:vAlign w:val="center"/>
            <w:hideMark/>
          </w:tcPr>
          <w:p w14:paraId="0150951A"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9" w:type="pct"/>
            <w:tcBorders>
              <w:top w:val="nil"/>
              <w:left w:val="nil"/>
              <w:bottom w:val="single" w:sz="4" w:space="0" w:color="auto"/>
              <w:right w:val="single" w:sz="4" w:space="0" w:color="auto"/>
            </w:tcBorders>
            <w:shd w:val="clear" w:color="auto" w:fill="auto"/>
            <w:noWrap/>
            <w:vAlign w:val="bottom"/>
            <w:hideMark/>
          </w:tcPr>
          <w:p w14:paraId="0B74BC1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244" w:type="pct"/>
            <w:tcBorders>
              <w:top w:val="nil"/>
              <w:left w:val="nil"/>
              <w:bottom w:val="single" w:sz="4" w:space="0" w:color="auto"/>
              <w:right w:val="single" w:sz="4" w:space="0" w:color="auto"/>
            </w:tcBorders>
            <w:shd w:val="clear" w:color="auto" w:fill="auto"/>
            <w:noWrap/>
            <w:vAlign w:val="bottom"/>
            <w:hideMark/>
          </w:tcPr>
          <w:p w14:paraId="1860C0A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35" w:type="pct"/>
            <w:tcBorders>
              <w:top w:val="nil"/>
              <w:left w:val="nil"/>
              <w:bottom w:val="single" w:sz="4" w:space="0" w:color="auto"/>
              <w:right w:val="single" w:sz="4" w:space="0" w:color="auto"/>
            </w:tcBorders>
            <w:shd w:val="clear" w:color="auto" w:fill="auto"/>
            <w:noWrap/>
            <w:vAlign w:val="bottom"/>
            <w:hideMark/>
          </w:tcPr>
          <w:p w14:paraId="52CBCD8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2" w:type="pct"/>
            <w:tcBorders>
              <w:top w:val="nil"/>
              <w:left w:val="nil"/>
              <w:bottom w:val="single" w:sz="4" w:space="0" w:color="auto"/>
              <w:right w:val="single" w:sz="4" w:space="0" w:color="auto"/>
            </w:tcBorders>
            <w:shd w:val="clear" w:color="auto" w:fill="auto"/>
            <w:noWrap/>
            <w:vAlign w:val="bottom"/>
            <w:hideMark/>
          </w:tcPr>
          <w:p w14:paraId="6F978F3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245EF05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nil"/>
              <w:left w:val="nil"/>
              <w:bottom w:val="single" w:sz="4" w:space="0" w:color="auto"/>
              <w:right w:val="single" w:sz="4" w:space="0" w:color="auto"/>
            </w:tcBorders>
            <w:shd w:val="clear" w:color="auto" w:fill="auto"/>
            <w:noWrap/>
            <w:vAlign w:val="center"/>
            <w:hideMark/>
          </w:tcPr>
          <w:p w14:paraId="69367FF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nil"/>
              <w:left w:val="nil"/>
              <w:bottom w:val="single" w:sz="4" w:space="0" w:color="auto"/>
              <w:right w:val="single" w:sz="4" w:space="0" w:color="auto"/>
            </w:tcBorders>
            <w:shd w:val="clear" w:color="auto" w:fill="auto"/>
            <w:noWrap/>
            <w:vAlign w:val="center"/>
            <w:hideMark/>
          </w:tcPr>
          <w:p w14:paraId="6AD8CC9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nil"/>
              <w:left w:val="nil"/>
              <w:bottom w:val="single" w:sz="4" w:space="0" w:color="auto"/>
              <w:right w:val="single" w:sz="4" w:space="0" w:color="auto"/>
            </w:tcBorders>
            <w:shd w:val="clear" w:color="auto" w:fill="auto"/>
            <w:noWrap/>
            <w:vAlign w:val="center"/>
            <w:hideMark/>
          </w:tcPr>
          <w:p w14:paraId="1A2DF28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6FBF1DD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11E9467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3D40BF8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48" w:type="pct"/>
            <w:tcBorders>
              <w:top w:val="nil"/>
              <w:left w:val="nil"/>
              <w:bottom w:val="single" w:sz="4" w:space="0" w:color="auto"/>
              <w:right w:val="single" w:sz="4" w:space="0" w:color="auto"/>
            </w:tcBorders>
            <w:shd w:val="clear" w:color="auto" w:fill="auto"/>
            <w:noWrap/>
            <w:vAlign w:val="center"/>
            <w:hideMark/>
          </w:tcPr>
          <w:p w14:paraId="7801AE9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nil"/>
              <w:left w:val="nil"/>
              <w:bottom w:val="single" w:sz="4" w:space="0" w:color="auto"/>
              <w:right w:val="single" w:sz="4" w:space="0" w:color="auto"/>
            </w:tcBorders>
            <w:shd w:val="clear" w:color="auto" w:fill="auto"/>
            <w:noWrap/>
            <w:vAlign w:val="center"/>
            <w:hideMark/>
          </w:tcPr>
          <w:p w14:paraId="7394727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nil"/>
              <w:left w:val="nil"/>
              <w:bottom w:val="single" w:sz="4" w:space="0" w:color="auto"/>
              <w:right w:val="single" w:sz="4" w:space="0" w:color="auto"/>
            </w:tcBorders>
            <w:shd w:val="clear" w:color="auto" w:fill="auto"/>
            <w:noWrap/>
            <w:vAlign w:val="center"/>
            <w:hideMark/>
          </w:tcPr>
          <w:p w14:paraId="20F7DFF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60583BD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nil"/>
              <w:left w:val="nil"/>
              <w:bottom w:val="single" w:sz="4" w:space="0" w:color="auto"/>
              <w:right w:val="single" w:sz="4" w:space="0" w:color="auto"/>
            </w:tcBorders>
            <w:shd w:val="clear" w:color="auto" w:fill="auto"/>
            <w:noWrap/>
            <w:vAlign w:val="center"/>
            <w:hideMark/>
          </w:tcPr>
          <w:p w14:paraId="33FC353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6D91785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nil"/>
              <w:left w:val="nil"/>
              <w:bottom w:val="single" w:sz="4" w:space="0" w:color="auto"/>
              <w:right w:val="single" w:sz="4" w:space="0" w:color="auto"/>
            </w:tcBorders>
            <w:shd w:val="clear" w:color="auto" w:fill="auto"/>
            <w:noWrap/>
            <w:vAlign w:val="center"/>
            <w:hideMark/>
          </w:tcPr>
          <w:p w14:paraId="00C2456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37EE137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nil"/>
              <w:left w:val="nil"/>
              <w:bottom w:val="single" w:sz="4" w:space="0" w:color="auto"/>
              <w:right w:val="single" w:sz="4" w:space="0" w:color="auto"/>
            </w:tcBorders>
            <w:shd w:val="clear" w:color="auto" w:fill="auto"/>
            <w:noWrap/>
            <w:vAlign w:val="center"/>
            <w:hideMark/>
          </w:tcPr>
          <w:p w14:paraId="436E27F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nil"/>
              <w:left w:val="nil"/>
              <w:bottom w:val="single" w:sz="4" w:space="0" w:color="auto"/>
              <w:right w:val="single" w:sz="4" w:space="0" w:color="auto"/>
            </w:tcBorders>
            <w:shd w:val="clear" w:color="auto" w:fill="auto"/>
            <w:noWrap/>
            <w:vAlign w:val="center"/>
            <w:hideMark/>
          </w:tcPr>
          <w:p w14:paraId="73FFB1E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218" w:type="pct"/>
            <w:tcBorders>
              <w:top w:val="nil"/>
              <w:left w:val="nil"/>
              <w:bottom w:val="single" w:sz="4" w:space="0" w:color="auto"/>
              <w:right w:val="single" w:sz="4" w:space="0" w:color="auto"/>
            </w:tcBorders>
            <w:shd w:val="clear" w:color="auto" w:fill="auto"/>
            <w:noWrap/>
            <w:vAlign w:val="center"/>
            <w:hideMark/>
          </w:tcPr>
          <w:p w14:paraId="3357D05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4AE07E1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39" w:type="pct"/>
            <w:tcBorders>
              <w:top w:val="nil"/>
              <w:left w:val="nil"/>
              <w:bottom w:val="single" w:sz="4" w:space="0" w:color="auto"/>
              <w:right w:val="single" w:sz="4" w:space="0" w:color="auto"/>
            </w:tcBorders>
            <w:shd w:val="clear" w:color="auto" w:fill="auto"/>
            <w:noWrap/>
            <w:vAlign w:val="center"/>
            <w:hideMark/>
          </w:tcPr>
          <w:p w14:paraId="2151DBB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42" w:type="pct"/>
            <w:tcBorders>
              <w:top w:val="nil"/>
              <w:left w:val="nil"/>
              <w:bottom w:val="single" w:sz="4" w:space="0" w:color="auto"/>
              <w:right w:val="single" w:sz="4" w:space="0" w:color="auto"/>
            </w:tcBorders>
            <w:shd w:val="clear" w:color="auto" w:fill="auto"/>
            <w:noWrap/>
            <w:vAlign w:val="center"/>
            <w:hideMark/>
          </w:tcPr>
          <w:p w14:paraId="5C6717D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28" w:type="pct"/>
            <w:tcBorders>
              <w:top w:val="nil"/>
              <w:left w:val="nil"/>
              <w:bottom w:val="single" w:sz="4" w:space="0" w:color="auto"/>
              <w:right w:val="single" w:sz="4" w:space="0" w:color="auto"/>
            </w:tcBorders>
            <w:shd w:val="clear" w:color="auto" w:fill="auto"/>
            <w:noWrap/>
            <w:vAlign w:val="center"/>
            <w:hideMark/>
          </w:tcPr>
          <w:p w14:paraId="7A0B099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77" w:type="pct"/>
            <w:tcBorders>
              <w:top w:val="nil"/>
              <w:left w:val="nil"/>
              <w:bottom w:val="single" w:sz="4" w:space="0" w:color="auto"/>
              <w:right w:val="single" w:sz="8" w:space="0" w:color="auto"/>
            </w:tcBorders>
            <w:shd w:val="clear" w:color="auto" w:fill="auto"/>
            <w:vAlign w:val="center"/>
            <w:hideMark/>
          </w:tcPr>
          <w:p w14:paraId="147CE32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r>
      <w:tr w:rsidR="00C260C3" w:rsidRPr="00B457F5" w14:paraId="105F4F6D" w14:textId="77777777" w:rsidTr="00C260C3">
        <w:trPr>
          <w:trHeight w:val="20"/>
        </w:trPr>
        <w:tc>
          <w:tcPr>
            <w:tcW w:w="131" w:type="pct"/>
            <w:tcBorders>
              <w:top w:val="nil"/>
              <w:left w:val="single" w:sz="8" w:space="0" w:color="auto"/>
              <w:bottom w:val="single" w:sz="4" w:space="0" w:color="auto"/>
              <w:right w:val="single" w:sz="4" w:space="0" w:color="auto"/>
            </w:tcBorders>
            <w:shd w:val="clear" w:color="000000" w:fill="D9D9D9"/>
            <w:noWrap/>
            <w:vAlign w:val="center"/>
            <w:hideMark/>
          </w:tcPr>
          <w:p w14:paraId="714A642E"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2.2.1</w:t>
            </w:r>
          </w:p>
        </w:tc>
        <w:tc>
          <w:tcPr>
            <w:tcW w:w="281" w:type="pct"/>
            <w:tcBorders>
              <w:top w:val="nil"/>
              <w:left w:val="nil"/>
              <w:bottom w:val="single" w:sz="4" w:space="0" w:color="auto"/>
              <w:right w:val="nil"/>
            </w:tcBorders>
            <w:shd w:val="clear" w:color="000000" w:fill="D9D9D9"/>
            <w:vAlign w:val="center"/>
            <w:hideMark/>
          </w:tcPr>
          <w:p w14:paraId="4DF228BA" w14:textId="2C11444B"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2.2.1 </w:t>
            </w:r>
            <w:r w:rsidR="00FC441E" w:rsidRPr="00B457F5">
              <w:rPr>
                <w:rFonts w:ascii="Garamond" w:eastAsia="Times New Roman" w:hAnsi="Garamond" w:cs="Times New Roman"/>
                <w:b/>
                <w:bCs/>
                <w:color w:val="000000"/>
                <w:sz w:val="4"/>
                <w:szCs w:val="10"/>
              </w:rPr>
              <w:t>Identifikimi</w:t>
            </w:r>
            <w:r w:rsidRPr="00B457F5">
              <w:rPr>
                <w:rFonts w:ascii="Garamond" w:eastAsia="Times New Roman" w:hAnsi="Garamond" w:cs="Times New Roman"/>
                <w:b/>
                <w:bCs/>
                <w:color w:val="000000"/>
                <w:sz w:val="4"/>
                <w:szCs w:val="10"/>
              </w:rPr>
              <w:t xml:space="preserve"> dhe regjistrimi i adresave të shtetasve shqiptarë, </w:t>
            </w:r>
            <w:r w:rsidR="00FC441E" w:rsidRPr="00B457F5">
              <w:rPr>
                <w:rFonts w:ascii="Garamond" w:eastAsia="Times New Roman" w:hAnsi="Garamond" w:cs="Times New Roman"/>
                <w:b/>
                <w:bCs/>
                <w:color w:val="000000"/>
                <w:sz w:val="4"/>
                <w:szCs w:val="10"/>
              </w:rPr>
              <w:t>rezidentë</w:t>
            </w:r>
            <w:r w:rsidRPr="00B457F5">
              <w:rPr>
                <w:rFonts w:ascii="Garamond" w:eastAsia="Times New Roman" w:hAnsi="Garamond" w:cs="Times New Roman"/>
                <w:b/>
                <w:bCs/>
                <w:color w:val="000000"/>
                <w:sz w:val="4"/>
                <w:szCs w:val="10"/>
              </w:rPr>
              <w:t xml:space="preserve"> të </w:t>
            </w:r>
            <w:r w:rsidR="00FC441E" w:rsidRPr="00B457F5">
              <w:rPr>
                <w:rFonts w:ascii="Garamond" w:eastAsia="Times New Roman" w:hAnsi="Garamond" w:cs="Times New Roman"/>
                <w:b/>
                <w:bCs/>
                <w:color w:val="000000"/>
                <w:sz w:val="4"/>
                <w:szCs w:val="10"/>
              </w:rPr>
              <w:t>përhershëm</w:t>
            </w:r>
            <w:r w:rsidRPr="00B457F5">
              <w:rPr>
                <w:rFonts w:ascii="Garamond" w:eastAsia="Times New Roman" w:hAnsi="Garamond" w:cs="Times New Roman"/>
                <w:b/>
                <w:bCs/>
                <w:color w:val="000000"/>
                <w:sz w:val="4"/>
                <w:szCs w:val="10"/>
              </w:rPr>
              <w:t xml:space="preserve"> jashtë territorit të RSH</w:t>
            </w:r>
            <w:r w:rsidR="00FC441E" w:rsidRPr="00B457F5">
              <w:rPr>
                <w:rFonts w:ascii="Garamond" w:eastAsia="Times New Roman" w:hAnsi="Garamond" w:cs="Times New Roman"/>
                <w:b/>
                <w:color w:val="000000"/>
                <w:sz w:val="4"/>
                <w:szCs w:val="10"/>
              </w:rPr>
              <w:t>-së</w:t>
            </w:r>
          </w:p>
        </w:tc>
        <w:tc>
          <w:tcPr>
            <w:tcW w:w="186" w:type="pct"/>
            <w:tcBorders>
              <w:top w:val="nil"/>
              <w:left w:val="nil"/>
              <w:bottom w:val="single" w:sz="4" w:space="0" w:color="auto"/>
              <w:right w:val="single" w:sz="4" w:space="0" w:color="auto"/>
            </w:tcBorders>
            <w:shd w:val="clear" w:color="000000" w:fill="D9D9D9"/>
            <w:vAlign w:val="center"/>
            <w:hideMark/>
          </w:tcPr>
          <w:p w14:paraId="5E1156B0"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(15)</w:t>
            </w:r>
          </w:p>
        </w:tc>
        <w:tc>
          <w:tcPr>
            <w:tcW w:w="169" w:type="pct"/>
            <w:tcBorders>
              <w:top w:val="nil"/>
              <w:left w:val="nil"/>
              <w:bottom w:val="single" w:sz="4" w:space="0" w:color="auto"/>
              <w:right w:val="single" w:sz="4" w:space="0" w:color="auto"/>
            </w:tcBorders>
            <w:shd w:val="clear" w:color="000000" w:fill="D9D9D9"/>
            <w:vAlign w:val="center"/>
            <w:hideMark/>
          </w:tcPr>
          <w:p w14:paraId="5A37861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MEPJ</w:t>
            </w:r>
          </w:p>
        </w:tc>
        <w:tc>
          <w:tcPr>
            <w:tcW w:w="244" w:type="pct"/>
            <w:tcBorders>
              <w:top w:val="nil"/>
              <w:left w:val="nil"/>
              <w:bottom w:val="single" w:sz="4" w:space="0" w:color="auto"/>
              <w:right w:val="single" w:sz="4" w:space="0" w:color="auto"/>
            </w:tcBorders>
            <w:shd w:val="clear" w:color="000000" w:fill="D9D9D9"/>
            <w:vAlign w:val="center"/>
            <w:hideMark/>
          </w:tcPr>
          <w:p w14:paraId="1F1FE64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AKD, MDK</w:t>
            </w:r>
          </w:p>
        </w:tc>
        <w:tc>
          <w:tcPr>
            <w:tcW w:w="135" w:type="pct"/>
            <w:tcBorders>
              <w:top w:val="nil"/>
              <w:left w:val="nil"/>
              <w:bottom w:val="single" w:sz="4" w:space="0" w:color="auto"/>
              <w:right w:val="nil"/>
            </w:tcBorders>
            <w:shd w:val="clear" w:color="000000" w:fill="D9D9D9"/>
            <w:vAlign w:val="center"/>
            <w:hideMark/>
          </w:tcPr>
          <w:p w14:paraId="25D1843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single" w:sz="4" w:space="0" w:color="auto"/>
              <w:bottom w:val="single" w:sz="4" w:space="0" w:color="auto"/>
              <w:right w:val="single" w:sz="4" w:space="0" w:color="auto"/>
            </w:tcBorders>
            <w:shd w:val="clear" w:color="000000" w:fill="D9D9D9"/>
            <w:vAlign w:val="center"/>
            <w:hideMark/>
          </w:tcPr>
          <w:p w14:paraId="71CAE136"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63" w:type="pct"/>
            <w:tcBorders>
              <w:top w:val="nil"/>
              <w:left w:val="nil"/>
              <w:bottom w:val="single" w:sz="4" w:space="0" w:color="auto"/>
              <w:right w:val="single" w:sz="4" w:space="0" w:color="auto"/>
            </w:tcBorders>
            <w:shd w:val="clear" w:color="000000" w:fill="D9D9D9"/>
            <w:vAlign w:val="center"/>
            <w:hideMark/>
          </w:tcPr>
          <w:p w14:paraId="0F2ED8A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2,942,624</w:t>
            </w:r>
          </w:p>
        </w:tc>
        <w:tc>
          <w:tcPr>
            <w:tcW w:w="155" w:type="pct"/>
            <w:tcBorders>
              <w:top w:val="nil"/>
              <w:left w:val="nil"/>
              <w:bottom w:val="single" w:sz="4" w:space="0" w:color="auto"/>
              <w:right w:val="single" w:sz="4" w:space="0" w:color="auto"/>
            </w:tcBorders>
            <w:shd w:val="clear" w:color="000000" w:fill="D9D9D9"/>
            <w:vAlign w:val="center"/>
            <w:hideMark/>
          </w:tcPr>
          <w:p w14:paraId="1339E78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D9D9D9"/>
            <w:noWrap/>
            <w:vAlign w:val="center"/>
            <w:hideMark/>
          </w:tcPr>
          <w:p w14:paraId="2F7387E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2,942,624</w:t>
            </w:r>
          </w:p>
        </w:tc>
        <w:tc>
          <w:tcPr>
            <w:tcW w:w="165" w:type="pct"/>
            <w:tcBorders>
              <w:top w:val="nil"/>
              <w:left w:val="nil"/>
              <w:bottom w:val="single" w:sz="4" w:space="0" w:color="auto"/>
              <w:right w:val="single" w:sz="4" w:space="0" w:color="auto"/>
            </w:tcBorders>
            <w:shd w:val="clear" w:color="000000" w:fill="D9D9D9"/>
            <w:vAlign w:val="center"/>
            <w:hideMark/>
          </w:tcPr>
          <w:p w14:paraId="7E3241D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6914145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D9D9D9"/>
            <w:noWrap/>
            <w:vAlign w:val="center"/>
            <w:hideMark/>
          </w:tcPr>
          <w:p w14:paraId="425E366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33593E7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8" w:type="pct"/>
            <w:tcBorders>
              <w:top w:val="nil"/>
              <w:left w:val="nil"/>
              <w:bottom w:val="single" w:sz="4" w:space="0" w:color="auto"/>
              <w:right w:val="single" w:sz="4" w:space="0" w:color="auto"/>
            </w:tcBorders>
            <w:shd w:val="clear" w:color="000000" w:fill="D9D9D9"/>
            <w:vAlign w:val="center"/>
            <w:hideMark/>
          </w:tcPr>
          <w:p w14:paraId="01BD640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D9D9D9"/>
            <w:noWrap/>
            <w:vAlign w:val="center"/>
            <w:hideMark/>
          </w:tcPr>
          <w:p w14:paraId="59B2EE0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D9D9D9"/>
            <w:noWrap/>
            <w:vAlign w:val="center"/>
            <w:hideMark/>
          </w:tcPr>
          <w:p w14:paraId="4062770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2,942,624</w:t>
            </w:r>
          </w:p>
        </w:tc>
        <w:tc>
          <w:tcPr>
            <w:tcW w:w="163" w:type="pct"/>
            <w:tcBorders>
              <w:top w:val="nil"/>
              <w:left w:val="nil"/>
              <w:bottom w:val="single" w:sz="4" w:space="0" w:color="auto"/>
              <w:right w:val="single" w:sz="4" w:space="0" w:color="auto"/>
            </w:tcBorders>
            <w:shd w:val="clear" w:color="000000" w:fill="D9D9D9"/>
            <w:noWrap/>
            <w:vAlign w:val="center"/>
            <w:hideMark/>
          </w:tcPr>
          <w:p w14:paraId="1C7E563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D9D9D9"/>
            <w:noWrap/>
            <w:vAlign w:val="center"/>
            <w:hideMark/>
          </w:tcPr>
          <w:p w14:paraId="35BF293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2,942,624</w:t>
            </w:r>
          </w:p>
        </w:tc>
        <w:tc>
          <w:tcPr>
            <w:tcW w:w="163" w:type="pct"/>
            <w:tcBorders>
              <w:top w:val="nil"/>
              <w:left w:val="nil"/>
              <w:bottom w:val="single" w:sz="4" w:space="0" w:color="auto"/>
              <w:right w:val="single" w:sz="4" w:space="0" w:color="auto"/>
            </w:tcBorders>
            <w:shd w:val="clear" w:color="000000" w:fill="D9D9D9"/>
            <w:vAlign w:val="center"/>
            <w:hideMark/>
          </w:tcPr>
          <w:p w14:paraId="019C1E2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2,942,624</w:t>
            </w:r>
          </w:p>
        </w:tc>
        <w:tc>
          <w:tcPr>
            <w:tcW w:w="155" w:type="pct"/>
            <w:tcBorders>
              <w:top w:val="nil"/>
              <w:left w:val="nil"/>
              <w:bottom w:val="single" w:sz="4" w:space="0" w:color="auto"/>
              <w:right w:val="single" w:sz="4" w:space="0" w:color="auto"/>
            </w:tcBorders>
            <w:shd w:val="clear" w:color="000000" w:fill="D9D9D9"/>
            <w:vAlign w:val="center"/>
            <w:hideMark/>
          </w:tcPr>
          <w:p w14:paraId="5D3CD65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D9D9D9"/>
            <w:noWrap/>
            <w:vAlign w:val="center"/>
            <w:hideMark/>
          </w:tcPr>
          <w:p w14:paraId="01F6C4B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2,942,624</w:t>
            </w:r>
          </w:p>
        </w:tc>
        <w:tc>
          <w:tcPr>
            <w:tcW w:w="162" w:type="pct"/>
            <w:tcBorders>
              <w:top w:val="nil"/>
              <w:left w:val="nil"/>
              <w:bottom w:val="single" w:sz="4" w:space="0" w:color="auto"/>
              <w:right w:val="single" w:sz="4" w:space="0" w:color="auto"/>
            </w:tcBorders>
            <w:shd w:val="clear" w:color="000000" w:fill="D9D9D9"/>
            <w:vAlign w:val="center"/>
            <w:hideMark/>
          </w:tcPr>
          <w:p w14:paraId="72E52C8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000000" w:fill="D9D9D9"/>
            <w:vAlign w:val="center"/>
            <w:hideMark/>
          </w:tcPr>
          <w:p w14:paraId="5CEAB3B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000000" w:fill="D9D9D9"/>
            <w:noWrap/>
            <w:vAlign w:val="center"/>
            <w:hideMark/>
          </w:tcPr>
          <w:p w14:paraId="32FCDDD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D9D9D9"/>
            <w:noWrap/>
            <w:vAlign w:val="center"/>
            <w:hideMark/>
          </w:tcPr>
          <w:p w14:paraId="29D6D4E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000000" w:fill="D9D9D9"/>
            <w:vAlign w:val="center"/>
            <w:hideMark/>
          </w:tcPr>
          <w:p w14:paraId="31B24EF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000000" w:fill="D9D9D9"/>
            <w:vAlign w:val="center"/>
            <w:hideMark/>
          </w:tcPr>
          <w:p w14:paraId="208BA07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D9D9D9"/>
            <w:noWrap/>
            <w:vAlign w:val="center"/>
            <w:hideMark/>
          </w:tcPr>
          <w:p w14:paraId="2798979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000000" w:fill="D9D9D9"/>
            <w:vAlign w:val="center"/>
            <w:hideMark/>
          </w:tcPr>
          <w:p w14:paraId="23FBDD23" w14:textId="7DFF554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6DA87F06"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noWrap/>
            <w:vAlign w:val="center"/>
            <w:hideMark/>
          </w:tcPr>
          <w:p w14:paraId="3376B58E"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2.2.1.1</w:t>
            </w:r>
          </w:p>
        </w:tc>
        <w:tc>
          <w:tcPr>
            <w:tcW w:w="281" w:type="pct"/>
            <w:tcBorders>
              <w:top w:val="nil"/>
              <w:left w:val="nil"/>
              <w:bottom w:val="single" w:sz="4" w:space="0" w:color="auto"/>
              <w:right w:val="single" w:sz="4" w:space="0" w:color="auto"/>
            </w:tcBorders>
            <w:shd w:val="clear" w:color="auto" w:fill="auto"/>
            <w:vAlign w:val="center"/>
            <w:hideMark/>
          </w:tcPr>
          <w:p w14:paraId="6C1FE1D3" w14:textId="7A1F9B26"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2.2.1.1 Organizimi i fushatave mediatike me të gjitha përfaqësitë konsullore</w:t>
            </w:r>
            <w:r w:rsidR="00FC441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ambasadat për ndërgjegjësimin mbi vetëdeklarimin e adresës </w:t>
            </w:r>
            <w:r w:rsidR="00FC441E" w:rsidRPr="00B457F5">
              <w:rPr>
                <w:rFonts w:ascii="Garamond" w:eastAsia="Times New Roman" w:hAnsi="Garamond" w:cs="Times New Roman"/>
                <w:color w:val="000000"/>
                <w:sz w:val="4"/>
                <w:szCs w:val="10"/>
              </w:rPr>
              <w:t>s</w:t>
            </w:r>
            <w:r w:rsidRPr="00B457F5">
              <w:rPr>
                <w:rFonts w:ascii="Garamond" w:eastAsia="Times New Roman" w:hAnsi="Garamond" w:cs="Times New Roman"/>
                <w:color w:val="000000"/>
                <w:sz w:val="4"/>
                <w:szCs w:val="10"/>
              </w:rPr>
              <w:t>ë emigrantëve</w:t>
            </w:r>
          </w:p>
        </w:tc>
        <w:tc>
          <w:tcPr>
            <w:tcW w:w="186" w:type="pct"/>
            <w:tcBorders>
              <w:top w:val="nil"/>
              <w:left w:val="nil"/>
              <w:bottom w:val="single" w:sz="4" w:space="0" w:color="auto"/>
              <w:right w:val="single" w:sz="4" w:space="0" w:color="auto"/>
            </w:tcBorders>
            <w:shd w:val="clear" w:color="auto" w:fill="auto"/>
            <w:vAlign w:val="center"/>
            <w:hideMark/>
          </w:tcPr>
          <w:p w14:paraId="1E27424E"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(15)</w:t>
            </w:r>
          </w:p>
        </w:tc>
        <w:tc>
          <w:tcPr>
            <w:tcW w:w="169" w:type="pct"/>
            <w:tcBorders>
              <w:top w:val="nil"/>
              <w:left w:val="nil"/>
              <w:bottom w:val="single" w:sz="4" w:space="0" w:color="auto"/>
              <w:right w:val="single" w:sz="4" w:space="0" w:color="auto"/>
            </w:tcBorders>
            <w:shd w:val="clear" w:color="auto" w:fill="auto"/>
            <w:vAlign w:val="center"/>
            <w:hideMark/>
          </w:tcPr>
          <w:p w14:paraId="63277E7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MEPJ</w:t>
            </w:r>
          </w:p>
        </w:tc>
        <w:tc>
          <w:tcPr>
            <w:tcW w:w="244" w:type="pct"/>
            <w:tcBorders>
              <w:top w:val="nil"/>
              <w:left w:val="nil"/>
              <w:bottom w:val="single" w:sz="4" w:space="0" w:color="auto"/>
              <w:right w:val="single" w:sz="4" w:space="0" w:color="auto"/>
            </w:tcBorders>
            <w:shd w:val="clear" w:color="auto" w:fill="auto"/>
            <w:vAlign w:val="center"/>
            <w:hideMark/>
          </w:tcPr>
          <w:p w14:paraId="7D2C0DD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MDK</w:t>
            </w:r>
          </w:p>
        </w:tc>
        <w:tc>
          <w:tcPr>
            <w:tcW w:w="135" w:type="pct"/>
            <w:tcBorders>
              <w:top w:val="nil"/>
              <w:left w:val="nil"/>
              <w:bottom w:val="single" w:sz="4" w:space="0" w:color="auto"/>
              <w:right w:val="nil"/>
            </w:tcBorders>
            <w:shd w:val="clear" w:color="000000" w:fill="DDEBF7"/>
            <w:vAlign w:val="center"/>
            <w:hideMark/>
          </w:tcPr>
          <w:p w14:paraId="1E1C1D85"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single" w:sz="4" w:space="0" w:color="auto"/>
              <w:bottom w:val="single" w:sz="4" w:space="0" w:color="auto"/>
              <w:right w:val="single" w:sz="4" w:space="0" w:color="auto"/>
            </w:tcBorders>
            <w:shd w:val="clear" w:color="000000" w:fill="DDEBF7"/>
            <w:vAlign w:val="center"/>
            <w:hideMark/>
          </w:tcPr>
          <w:p w14:paraId="37A52925"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63" w:type="pct"/>
            <w:tcBorders>
              <w:top w:val="nil"/>
              <w:left w:val="nil"/>
              <w:bottom w:val="single" w:sz="4" w:space="0" w:color="auto"/>
              <w:right w:val="single" w:sz="4" w:space="0" w:color="auto"/>
            </w:tcBorders>
            <w:shd w:val="clear" w:color="auto" w:fill="auto"/>
            <w:vAlign w:val="center"/>
            <w:hideMark/>
          </w:tcPr>
          <w:p w14:paraId="5628424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1,346,951</w:t>
            </w:r>
          </w:p>
        </w:tc>
        <w:tc>
          <w:tcPr>
            <w:tcW w:w="155" w:type="pct"/>
            <w:tcBorders>
              <w:top w:val="nil"/>
              <w:left w:val="nil"/>
              <w:bottom w:val="single" w:sz="4" w:space="0" w:color="auto"/>
              <w:right w:val="single" w:sz="4" w:space="0" w:color="auto"/>
            </w:tcBorders>
            <w:shd w:val="clear" w:color="auto" w:fill="auto"/>
            <w:vAlign w:val="center"/>
            <w:hideMark/>
          </w:tcPr>
          <w:p w14:paraId="6182EBA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noWrap/>
            <w:vAlign w:val="center"/>
            <w:hideMark/>
          </w:tcPr>
          <w:p w14:paraId="7697C51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1,346,951</w:t>
            </w:r>
          </w:p>
        </w:tc>
        <w:tc>
          <w:tcPr>
            <w:tcW w:w="165" w:type="pct"/>
            <w:tcBorders>
              <w:top w:val="nil"/>
              <w:left w:val="nil"/>
              <w:bottom w:val="single" w:sz="4" w:space="0" w:color="auto"/>
              <w:right w:val="single" w:sz="4" w:space="0" w:color="auto"/>
            </w:tcBorders>
            <w:shd w:val="clear" w:color="auto" w:fill="auto"/>
            <w:vAlign w:val="center"/>
            <w:hideMark/>
          </w:tcPr>
          <w:p w14:paraId="3771695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14E1E71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noWrap/>
            <w:vAlign w:val="center"/>
            <w:hideMark/>
          </w:tcPr>
          <w:p w14:paraId="396A828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auto" w:fill="auto"/>
            <w:noWrap/>
            <w:vAlign w:val="center"/>
            <w:hideMark/>
          </w:tcPr>
          <w:p w14:paraId="461EE2A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8" w:type="pct"/>
            <w:tcBorders>
              <w:top w:val="nil"/>
              <w:left w:val="nil"/>
              <w:bottom w:val="single" w:sz="4" w:space="0" w:color="auto"/>
              <w:right w:val="single" w:sz="4" w:space="0" w:color="auto"/>
            </w:tcBorders>
            <w:shd w:val="clear" w:color="auto" w:fill="auto"/>
            <w:vAlign w:val="center"/>
            <w:hideMark/>
          </w:tcPr>
          <w:p w14:paraId="29E986B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noWrap/>
            <w:vAlign w:val="center"/>
            <w:hideMark/>
          </w:tcPr>
          <w:p w14:paraId="7EE306B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auto" w:fill="auto"/>
            <w:noWrap/>
            <w:vAlign w:val="center"/>
            <w:hideMark/>
          </w:tcPr>
          <w:p w14:paraId="668525D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1,346,951</w:t>
            </w:r>
          </w:p>
        </w:tc>
        <w:tc>
          <w:tcPr>
            <w:tcW w:w="163" w:type="pct"/>
            <w:tcBorders>
              <w:top w:val="nil"/>
              <w:left w:val="nil"/>
              <w:bottom w:val="single" w:sz="4" w:space="0" w:color="auto"/>
              <w:right w:val="single" w:sz="4" w:space="0" w:color="auto"/>
            </w:tcBorders>
            <w:shd w:val="clear" w:color="auto" w:fill="auto"/>
            <w:noWrap/>
            <w:vAlign w:val="center"/>
            <w:hideMark/>
          </w:tcPr>
          <w:p w14:paraId="1D0AA6D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noWrap/>
            <w:vAlign w:val="center"/>
            <w:hideMark/>
          </w:tcPr>
          <w:p w14:paraId="3CB057B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1,346,951</w:t>
            </w:r>
          </w:p>
        </w:tc>
        <w:tc>
          <w:tcPr>
            <w:tcW w:w="163" w:type="pct"/>
            <w:tcBorders>
              <w:top w:val="nil"/>
              <w:left w:val="nil"/>
              <w:bottom w:val="single" w:sz="4" w:space="0" w:color="auto"/>
              <w:right w:val="single" w:sz="4" w:space="0" w:color="auto"/>
            </w:tcBorders>
            <w:shd w:val="clear" w:color="auto" w:fill="auto"/>
            <w:noWrap/>
            <w:vAlign w:val="center"/>
            <w:hideMark/>
          </w:tcPr>
          <w:p w14:paraId="54228CE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1,346,951</w:t>
            </w:r>
          </w:p>
        </w:tc>
        <w:tc>
          <w:tcPr>
            <w:tcW w:w="155" w:type="pct"/>
            <w:tcBorders>
              <w:top w:val="nil"/>
              <w:left w:val="nil"/>
              <w:bottom w:val="single" w:sz="4" w:space="0" w:color="auto"/>
              <w:right w:val="single" w:sz="4" w:space="0" w:color="auto"/>
            </w:tcBorders>
            <w:shd w:val="clear" w:color="auto" w:fill="auto"/>
            <w:vAlign w:val="center"/>
            <w:hideMark/>
          </w:tcPr>
          <w:p w14:paraId="4C84704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noWrap/>
            <w:vAlign w:val="center"/>
            <w:hideMark/>
          </w:tcPr>
          <w:p w14:paraId="0FD539E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1,346,951</w:t>
            </w:r>
          </w:p>
        </w:tc>
        <w:tc>
          <w:tcPr>
            <w:tcW w:w="162" w:type="pct"/>
            <w:tcBorders>
              <w:top w:val="nil"/>
              <w:left w:val="nil"/>
              <w:bottom w:val="single" w:sz="4" w:space="0" w:color="auto"/>
              <w:right w:val="single" w:sz="4" w:space="0" w:color="auto"/>
            </w:tcBorders>
            <w:shd w:val="clear" w:color="auto" w:fill="auto"/>
            <w:vAlign w:val="center"/>
            <w:hideMark/>
          </w:tcPr>
          <w:p w14:paraId="021A228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3FABCBA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noWrap/>
            <w:vAlign w:val="center"/>
            <w:hideMark/>
          </w:tcPr>
          <w:p w14:paraId="3CB045A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noWrap/>
            <w:vAlign w:val="center"/>
            <w:hideMark/>
          </w:tcPr>
          <w:p w14:paraId="516DA1F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noWrap/>
            <w:vAlign w:val="center"/>
            <w:hideMark/>
          </w:tcPr>
          <w:p w14:paraId="75EB495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noWrap/>
            <w:vAlign w:val="center"/>
            <w:hideMark/>
          </w:tcPr>
          <w:p w14:paraId="5E69427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noWrap/>
            <w:vAlign w:val="center"/>
            <w:hideMark/>
          </w:tcPr>
          <w:p w14:paraId="072750A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0A4E01D2" w14:textId="47777CC1"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5B8C7AA7"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noWrap/>
            <w:vAlign w:val="center"/>
            <w:hideMark/>
          </w:tcPr>
          <w:p w14:paraId="741DE9AF"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2.2.1.2</w:t>
            </w:r>
          </w:p>
        </w:tc>
        <w:tc>
          <w:tcPr>
            <w:tcW w:w="281" w:type="pct"/>
            <w:tcBorders>
              <w:top w:val="nil"/>
              <w:left w:val="nil"/>
              <w:bottom w:val="single" w:sz="4" w:space="0" w:color="auto"/>
              <w:right w:val="nil"/>
            </w:tcBorders>
            <w:shd w:val="clear" w:color="auto" w:fill="auto"/>
            <w:vAlign w:val="center"/>
            <w:hideMark/>
          </w:tcPr>
          <w:p w14:paraId="3A9ADCFB"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2.2.1.2 Bashkëpunimi me shoqatat e emigrantëve/ të diasporës për nxitjen e vetëdeklarimeve të adresave</w:t>
            </w:r>
          </w:p>
        </w:tc>
        <w:tc>
          <w:tcPr>
            <w:tcW w:w="186" w:type="pct"/>
            <w:tcBorders>
              <w:top w:val="nil"/>
              <w:left w:val="nil"/>
              <w:bottom w:val="single" w:sz="4" w:space="0" w:color="auto"/>
              <w:right w:val="single" w:sz="4" w:space="0" w:color="auto"/>
            </w:tcBorders>
            <w:shd w:val="clear" w:color="auto" w:fill="auto"/>
            <w:vAlign w:val="center"/>
            <w:hideMark/>
          </w:tcPr>
          <w:p w14:paraId="621C4D24"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(15)</w:t>
            </w:r>
          </w:p>
        </w:tc>
        <w:tc>
          <w:tcPr>
            <w:tcW w:w="169" w:type="pct"/>
            <w:tcBorders>
              <w:top w:val="nil"/>
              <w:left w:val="nil"/>
              <w:bottom w:val="single" w:sz="4" w:space="0" w:color="auto"/>
              <w:right w:val="single" w:sz="4" w:space="0" w:color="auto"/>
            </w:tcBorders>
            <w:shd w:val="clear" w:color="auto" w:fill="auto"/>
            <w:vAlign w:val="center"/>
            <w:hideMark/>
          </w:tcPr>
          <w:p w14:paraId="72C8549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MEPJ</w:t>
            </w:r>
          </w:p>
        </w:tc>
        <w:tc>
          <w:tcPr>
            <w:tcW w:w="244" w:type="pct"/>
            <w:tcBorders>
              <w:top w:val="nil"/>
              <w:left w:val="nil"/>
              <w:bottom w:val="single" w:sz="4" w:space="0" w:color="auto"/>
              <w:right w:val="single" w:sz="4" w:space="0" w:color="auto"/>
            </w:tcBorders>
            <w:shd w:val="clear" w:color="auto" w:fill="auto"/>
            <w:vAlign w:val="center"/>
            <w:hideMark/>
          </w:tcPr>
          <w:p w14:paraId="0A62F28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MDK, AKD</w:t>
            </w:r>
          </w:p>
        </w:tc>
        <w:tc>
          <w:tcPr>
            <w:tcW w:w="135" w:type="pct"/>
            <w:tcBorders>
              <w:top w:val="nil"/>
              <w:left w:val="nil"/>
              <w:bottom w:val="single" w:sz="4" w:space="0" w:color="auto"/>
              <w:right w:val="nil"/>
            </w:tcBorders>
            <w:shd w:val="clear" w:color="000000" w:fill="DDEBF7"/>
            <w:vAlign w:val="center"/>
            <w:hideMark/>
          </w:tcPr>
          <w:p w14:paraId="10FE5F96"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single" w:sz="4" w:space="0" w:color="auto"/>
              <w:bottom w:val="single" w:sz="4" w:space="0" w:color="auto"/>
              <w:right w:val="single" w:sz="4" w:space="0" w:color="auto"/>
            </w:tcBorders>
            <w:shd w:val="clear" w:color="000000" w:fill="DDEBF7"/>
            <w:vAlign w:val="center"/>
            <w:hideMark/>
          </w:tcPr>
          <w:p w14:paraId="09A5C8B9"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63" w:type="pct"/>
            <w:tcBorders>
              <w:top w:val="nil"/>
              <w:left w:val="nil"/>
              <w:bottom w:val="single" w:sz="4" w:space="0" w:color="auto"/>
              <w:right w:val="single" w:sz="4" w:space="0" w:color="auto"/>
            </w:tcBorders>
            <w:shd w:val="clear" w:color="auto" w:fill="auto"/>
            <w:vAlign w:val="center"/>
            <w:hideMark/>
          </w:tcPr>
          <w:p w14:paraId="381222C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1,595,673</w:t>
            </w:r>
          </w:p>
        </w:tc>
        <w:tc>
          <w:tcPr>
            <w:tcW w:w="155" w:type="pct"/>
            <w:tcBorders>
              <w:top w:val="nil"/>
              <w:left w:val="nil"/>
              <w:bottom w:val="single" w:sz="4" w:space="0" w:color="auto"/>
              <w:right w:val="single" w:sz="4" w:space="0" w:color="auto"/>
            </w:tcBorders>
            <w:shd w:val="clear" w:color="auto" w:fill="auto"/>
            <w:vAlign w:val="center"/>
            <w:hideMark/>
          </w:tcPr>
          <w:p w14:paraId="2ACCB6E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noWrap/>
            <w:vAlign w:val="center"/>
            <w:hideMark/>
          </w:tcPr>
          <w:p w14:paraId="0A92C0B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1,595,673</w:t>
            </w:r>
          </w:p>
        </w:tc>
        <w:tc>
          <w:tcPr>
            <w:tcW w:w="165" w:type="pct"/>
            <w:tcBorders>
              <w:top w:val="nil"/>
              <w:left w:val="nil"/>
              <w:bottom w:val="single" w:sz="4" w:space="0" w:color="auto"/>
              <w:right w:val="single" w:sz="4" w:space="0" w:color="auto"/>
            </w:tcBorders>
            <w:shd w:val="clear" w:color="auto" w:fill="auto"/>
            <w:vAlign w:val="center"/>
            <w:hideMark/>
          </w:tcPr>
          <w:p w14:paraId="3AF8412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60E7C3F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noWrap/>
            <w:vAlign w:val="center"/>
            <w:hideMark/>
          </w:tcPr>
          <w:p w14:paraId="3654C16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auto" w:fill="auto"/>
            <w:noWrap/>
            <w:vAlign w:val="center"/>
            <w:hideMark/>
          </w:tcPr>
          <w:p w14:paraId="6C8D5A5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8" w:type="pct"/>
            <w:tcBorders>
              <w:top w:val="nil"/>
              <w:left w:val="nil"/>
              <w:bottom w:val="single" w:sz="4" w:space="0" w:color="auto"/>
              <w:right w:val="single" w:sz="4" w:space="0" w:color="auto"/>
            </w:tcBorders>
            <w:shd w:val="clear" w:color="auto" w:fill="auto"/>
            <w:vAlign w:val="center"/>
            <w:hideMark/>
          </w:tcPr>
          <w:p w14:paraId="05D0DE4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noWrap/>
            <w:vAlign w:val="center"/>
            <w:hideMark/>
          </w:tcPr>
          <w:p w14:paraId="38ED307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auto" w:fill="auto"/>
            <w:noWrap/>
            <w:vAlign w:val="center"/>
            <w:hideMark/>
          </w:tcPr>
          <w:p w14:paraId="7E697F8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1,595,673</w:t>
            </w:r>
          </w:p>
        </w:tc>
        <w:tc>
          <w:tcPr>
            <w:tcW w:w="163" w:type="pct"/>
            <w:tcBorders>
              <w:top w:val="nil"/>
              <w:left w:val="nil"/>
              <w:bottom w:val="single" w:sz="4" w:space="0" w:color="auto"/>
              <w:right w:val="single" w:sz="4" w:space="0" w:color="auto"/>
            </w:tcBorders>
            <w:shd w:val="clear" w:color="auto" w:fill="auto"/>
            <w:noWrap/>
            <w:vAlign w:val="center"/>
            <w:hideMark/>
          </w:tcPr>
          <w:p w14:paraId="304D40C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noWrap/>
            <w:vAlign w:val="center"/>
            <w:hideMark/>
          </w:tcPr>
          <w:p w14:paraId="1EBA955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1,595,673</w:t>
            </w:r>
          </w:p>
        </w:tc>
        <w:tc>
          <w:tcPr>
            <w:tcW w:w="163" w:type="pct"/>
            <w:tcBorders>
              <w:top w:val="nil"/>
              <w:left w:val="nil"/>
              <w:bottom w:val="single" w:sz="4" w:space="0" w:color="auto"/>
              <w:right w:val="single" w:sz="4" w:space="0" w:color="auto"/>
            </w:tcBorders>
            <w:shd w:val="clear" w:color="auto" w:fill="auto"/>
            <w:noWrap/>
            <w:vAlign w:val="center"/>
            <w:hideMark/>
          </w:tcPr>
          <w:p w14:paraId="7700FBC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1,595,673</w:t>
            </w:r>
          </w:p>
        </w:tc>
        <w:tc>
          <w:tcPr>
            <w:tcW w:w="155" w:type="pct"/>
            <w:tcBorders>
              <w:top w:val="nil"/>
              <w:left w:val="nil"/>
              <w:bottom w:val="single" w:sz="4" w:space="0" w:color="auto"/>
              <w:right w:val="single" w:sz="4" w:space="0" w:color="auto"/>
            </w:tcBorders>
            <w:shd w:val="clear" w:color="auto" w:fill="auto"/>
            <w:vAlign w:val="center"/>
            <w:hideMark/>
          </w:tcPr>
          <w:p w14:paraId="7BC8102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noWrap/>
            <w:vAlign w:val="center"/>
            <w:hideMark/>
          </w:tcPr>
          <w:p w14:paraId="45219D8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1,595,673</w:t>
            </w:r>
          </w:p>
        </w:tc>
        <w:tc>
          <w:tcPr>
            <w:tcW w:w="162" w:type="pct"/>
            <w:tcBorders>
              <w:top w:val="nil"/>
              <w:left w:val="nil"/>
              <w:bottom w:val="single" w:sz="4" w:space="0" w:color="auto"/>
              <w:right w:val="single" w:sz="4" w:space="0" w:color="auto"/>
            </w:tcBorders>
            <w:shd w:val="clear" w:color="auto" w:fill="auto"/>
            <w:vAlign w:val="center"/>
            <w:hideMark/>
          </w:tcPr>
          <w:p w14:paraId="35A56F1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26A42C9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noWrap/>
            <w:vAlign w:val="center"/>
            <w:hideMark/>
          </w:tcPr>
          <w:p w14:paraId="034F3EC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noWrap/>
            <w:vAlign w:val="center"/>
            <w:hideMark/>
          </w:tcPr>
          <w:p w14:paraId="1228FCD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noWrap/>
            <w:vAlign w:val="center"/>
            <w:hideMark/>
          </w:tcPr>
          <w:p w14:paraId="4977963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noWrap/>
            <w:vAlign w:val="center"/>
            <w:hideMark/>
          </w:tcPr>
          <w:p w14:paraId="0BC9FCD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noWrap/>
            <w:vAlign w:val="center"/>
            <w:hideMark/>
          </w:tcPr>
          <w:p w14:paraId="5EF4B30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6C859405" w14:textId="4DF9CA9C"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3681E6CC" w14:textId="77777777" w:rsidTr="00C260C3">
        <w:trPr>
          <w:trHeight w:val="20"/>
        </w:trPr>
        <w:tc>
          <w:tcPr>
            <w:tcW w:w="131" w:type="pct"/>
            <w:tcBorders>
              <w:top w:val="nil"/>
              <w:left w:val="single" w:sz="4" w:space="0" w:color="auto"/>
              <w:bottom w:val="single" w:sz="4" w:space="0" w:color="auto"/>
              <w:right w:val="single" w:sz="4" w:space="0" w:color="auto"/>
            </w:tcBorders>
            <w:shd w:val="clear" w:color="000000" w:fill="D9D9D9"/>
            <w:noWrap/>
            <w:vAlign w:val="center"/>
            <w:hideMark/>
          </w:tcPr>
          <w:p w14:paraId="374A35CE"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2.2.2</w:t>
            </w:r>
          </w:p>
        </w:tc>
        <w:tc>
          <w:tcPr>
            <w:tcW w:w="281" w:type="pct"/>
            <w:tcBorders>
              <w:top w:val="nil"/>
              <w:left w:val="nil"/>
              <w:bottom w:val="single" w:sz="4" w:space="0" w:color="auto"/>
              <w:right w:val="single" w:sz="4" w:space="0" w:color="auto"/>
            </w:tcBorders>
            <w:shd w:val="clear" w:color="000000" w:fill="D9D9D9"/>
            <w:vAlign w:val="center"/>
            <w:hideMark/>
          </w:tcPr>
          <w:p w14:paraId="34FEF136" w14:textId="298FF3F9"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2.2.2 Promovimi i transferimit më të shpejtë, më të sigurt dhe më të lirë të remitancave dhe nxitja e përfshirjes financiare të migrantëve</w:t>
            </w:r>
          </w:p>
        </w:tc>
        <w:tc>
          <w:tcPr>
            <w:tcW w:w="186" w:type="pct"/>
            <w:tcBorders>
              <w:top w:val="nil"/>
              <w:left w:val="nil"/>
              <w:bottom w:val="single" w:sz="4" w:space="0" w:color="auto"/>
              <w:right w:val="single" w:sz="4" w:space="0" w:color="auto"/>
            </w:tcBorders>
            <w:shd w:val="clear" w:color="000000" w:fill="D9D9D9"/>
            <w:vAlign w:val="center"/>
            <w:hideMark/>
          </w:tcPr>
          <w:p w14:paraId="33786222"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w:t>
            </w:r>
          </w:p>
        </w:tc>
        <w:tc>
          <w:tcPr>
            <w:tcW w:w="169" w:type="pct"/>
            <w:tcBorders>
              <w:top w:val="nil"/>
              <w:left w:val="nil"/>
              <w:bottom w:val="single" w:sz="4" w:space="0" w:color="auto"/>
              <w:right w:val="single" w:sz="4" w:space="0" w:color="auto"/>
            </w:tcBorders>
            <w:shd w:val="clear" w:color="000000" w:fill="D9D9D9"/>
            <w:vAlign w:val="center"/>
            <w:hideMark/>
          </w:tcPr>
          <w:p w14:paraId="2C59911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Banka e Shqipërisë</w:t>
            </w:r>
          </w:p>
        </w:tc>
        <w:tc>
          <w:tcPr>
            <w:tcW w:w="244" w:type="pct"/>
            <w:tcBorders>
              <w:top w:val="nil"/>
              <w:left w:val="nil"/>
              <w:bottom w:val="single" w:sz="4" w:space="0" w:color="auto"/>
              <w:right w:val="single" w:sz="4" w:space="0" w:color="auto"/>
            </w:tcBorders>
            <w:shd w:val="clear" w:color="000000" w:fill="D9D9D9"/>
            <w:vAlign w:val="center"/>
            <w:hideMark/>
          </w:tcPr>
          <w:p w14:paraId="031EDD12" w14:textId="1F142B66" w:rsidR="00C260C3" w:rsidRPr="00B457F5" w:rsidRDefault="00C260C3" w:rsidP="002803F2">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MEKI, </w:t>
            </w:r>
            <w:r w:rsidR="002803F2" w:rsidRPr="00B457F5">
              <w:rPr>
                <w:rFonts w:ascii="Garamond" w:eastAsia="Times New Roman" w:hAnsi="Garamond" w:cs="Times New Roman"/>
                <w:color w:val="000000"/>
                <w:sz w:val="4"/>
                <w:szCs w:val="10"/>
              </w:rPr>
              <w:t>Ambasada e Mbretërisë së Bashkuar</w:t>
            </w:r>
          </w:p>
        </w:tc>
        <w:tc>
          <w:tcPr>
            <w:tcW w:w="135" w:type="pct"/>
            <w:tcBorders>
              <w:top w:val="nil"/>
              <w:left w:val="nil"/>
              <w:bottom w:val="single" w:sz="4" w:space="0" w:color="auto"/>
              <w:right w:val="single" w:sz="4" w:space="0" w:color="auto"/>
            </w:tcBorders>
            <w:shd w:val="clear" w:color="000000" w:fill="D9D9D9"/>
            <w:vAlign w:val="center"/>
            <w:hideMark/>
          </w:tcPr>
          <w:p w14:paraId="5213AF3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9D9D9"/>
            <w:vAlign w:val="center"/>
            <w:hideMark/>
          </w:tcPr>
          <w:p w14:paraId="58369DB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2030</w:t>
            </w:r>
          </w:p>
        </w:tc>
        <w:tc>
          <w:tcPr>
            <w:tcW w:w="163" w:type="pct"/>
            <w:tcBorders>
              <w:top w:val="nil"/>
              <w:left w:val="nil"/>
              <w:bottom w:val="single" w:sz="4" w:space="0" w:color="auto"/>
              <w:right w:val="single" w:sz="4" w:space="0" w:color="auto"/>
            </w:tcBorders>
            <w:shd w:val="clear" w:color="000000" w:fill="D9D9D9"/>
            <w:vAlign w:val="center"/>
            <w:hideMark/>
          </w:tcPr>
          <w:p w14:paraId="424E3FB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4,628,031</w:t>
            </w:r>
          </w:p>
        </w:tc>
        <w:tc>
          <w:tcPr>
            <w:tcW w:w="155" w:type="pct"/>
            <w:tcBorders>
              <w:top w:val="nil"/>
              <w:left w:val="nil"/>
              <w:bottom w:val="single" w:sz="4" w:space="0" w:color="auto"/>
              <w:right w:val="single" w:sz="4" w:space="0" w:color="auto"/>
            </w:tcBorders>
            <w:shd w:val="clear" w:color="000000" w:fill="D9D9D9"/>
            <w:vAlign w:val="center"/>
            <w:hideMark/>
          </w:tcPr>
          <w:p w14:paraId="4EEE2F9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D9D9D9"/>
            <w:noWrap/>
            <w:vAlign w:val="center"/>
            <w:hideMark/>
          </w:tcPr>
          <w:p w14:paraId="22A44F8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4,628,031</w:t>
            </w:r>
          </w:p>
        </w:tc>
        <w:tc>
          <w:tcPr>
            <w:tcW w:w="165" w:type="pct"/>
            <w:tcBorders>
              <w:top w:val="nil"/>
              <w:left w:val="nil"/>
              <w:bottom w:val="single" w:sz="4" w:space="0" w:color="auto"/>
              <w:right w:val="single" w:sz="4" w:space="0" w:color="auto"/>
            </w:tcBorders>
            <w:shd w:val="clear" w:color="000000" w:fill="D9D9D9"/>
            <w:vAlign w:val="center"/>
            <w:hideMark/>
          </w:tcPr>
          <w:p w14:paraId="148AE2A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4,628,031</w:t>
            </w:r>
          </w:p>
        </w:tc>
        <w:tc>
          <w:tcPr>
            <w:tcW w:w="163" w:type="pct"/>
            <w:tcBorders>
              <w:top w:val="nil"/>
              <w:left w:val="nil"/>
              <w:bottom w:val="single" w:sz="4" w:space="0" w:color="auto"/>
              <w:right w:val="single" w:sz="4" w:space="0" w:color="auto"/>
            </w:tcBorders>
            <w:shd w:val="clear" w:color="000000" w:fill="D9D9D9"/>
            <w:vAlign w:val="center"/>
            <w:hideMark/>
          </w:tcPr>
          <w:p w14:paraId="2F26E66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D9D9D9"/>
            <w:noWrap/>
            <w:vAlign w:val="center"/>
            <w:hideMark/>
          </w:tcPr>
          <w:p w14:paraId="026107C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4,628,031</w:t>
            </w:r>
          </w:p>
        </w:tc>
        <w:tc>
          <w:tcPr>
            <w:tcW w:w="163" w:type="pct"/>
            <w:tcBorders>
              <w:top w:val="nil"/>
              <w:left w:val="nil"/>
              <w:bottom w:val="single" w:sz="4" w:space="0" w:color="auto"/>
              <w:right w:val="single" w:sz="4" w:space="0" w:color="auto"/>
            </w:tcBorders>
            <w:shd w:val="clear" w:color="000000" w:fill="D9D9D9"/>
            <w:vAlign w:val="center"/>
            <w:hideMark/>
          </w:tcPr>
          <w:p w14:paraId="5F7456C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4,628,031</w:t>
            </w:r>
          </w:p>
        </w:tc>
        <w:tc>
          <w:tcPr>
            <w:tcW w:w="148" w:type="pct"/>
            <w:tcBorders>
              <w:top w:val="nil"/>
              <w:left w:val="nil"/>
              <w:bottom w:val="single" w:sz="4" w:space="0" w:color="auto"/>
              <w:right w:val="single" w:sz="4" w:space="0" w:color="auto"/>
            </w:tcBorders>
            <w:shd w:val="clear" w:color="000000" w:fill="D9D9D9"/>
            <w:vAlign w:val="center"/>
            <w:hideMark/>
          </w:tcPr>
          <w:p w14:paraId="0D30EE7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D9D9D9"/>
            <w:noWrap/>
            <w:vAlign w:val="center"/>
            <w:hideMark/>
          </w:tcPr>
          <w:p w14:paraId="2938956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4,628,031</w:t>
            </w:r>
          </w:p>
        </w:tc>
        <w:tc>
          <w:tcPr>
            <w:tcW w:w="165" w:type="pct"/>
            <w:tcBorders>
              <w:top w:val="nil"/>
              <w:left w:val="nil"/>
              <w:bottom w:val="single" w:sz="4" w:space="0" w:color="auto"/>
              <w:right w:val="single" w:sz="4" w:space="0" w:color="auto"/>
            </w:tcBorders>
            <w:shd w:val="clear" w:color="000000" w:fill="D9D9D9"/>
            <w:noWrap/>
            <w:vAlign w:val="center"/>
            <w:hideMark/>
          </w:tcPr>
          <w:p w14:paraId="7AC98D2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13,884,092</w:t>
            </w:r>
          </w:p>
        </w:tc>
        <w:tc>
          <w:tcPr>
            <w:tcW w:w="163" w:type="pct"/>
            <w:tcBorders>
              <w:top w:val="nil"/>
              <w:left w:val="nil"/>
              <w:bottom w:val="single" w:sz="4" w:space="0" w:color="auto"/>
              <w:right w:val="single" w:sz="4" w:space="0" w:color="auto"/>
            </w:tcBorders>
            <w:shd w:val="clear" w:color="000000" w:fill="D9D9D9"/>
            <w:noWrap/>
            <w:vAlign w:val="center"/>
            <w:hideMark/>
          </w:tcPr>
          <w:p w14:paraId="2138019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D9D9D9"/>
            <w:noWrap/>
            <w:vAlign w:val="center"/>
            <w:hideMark/>
          </w:tcPr>
          <w:p w14:paraId="7CA2703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13,884,092</w:t>
            </w:r>
          </w:p>
        </w:tc>
        <w:tc>
          <w:tcPr>
            <w:tcW w:w="163" w:type="pct"/>
            <w:tcBorders>
              <w:top w:val="nil"/>
              <w:left w:val="nil"/>
              <w:bottom w:val="single" w:sz="4" w:space="0" w:color="auto"/>
              <w:right w:val="single" w:sz="4" w:space="0" w:color="auto"/>
            </w:tcBorders>
            <w:shd w:val="clear" w:color="000000" w:fill="D9D9D9"/>
            <w:vAlign w:val="center"/>
            <w:hideMark/>
          </w:tcPr>
          <w:p w14:paraId="7EB9120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6,223,902</w:t>
            </w:r>
          </w:p>
        </w:tc>
        <w:tc>
          <w:tcPr>
            <w:tcW w:w="155" w:type="pct"/>
            <w:tcBorders>
              <w:top w:val="nil"/>
              <w:left w:val="nil"/>
              <w:bottom w:val="single" w:sz="4" w:space="0" w:color="auto"/>
              <w:right w:val="single" w:sz="4" w:space="0" w:color="auto"/>
            </w:tcBorders>
            <w:shd w:val="clear" w:color="000000" w:fill="D9D9D9"/>
            <w:vAlign w:val="center"/>
            <w:hideMark/>
          </w:tcPr>
          <w:p w14:paraId="1CF57B2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D9D9D9"/>
            <w:noWrap/>
            <w:vAlign w:val="center"/>
            <w:hideMark/>
          </w:tcPr>
          <w:p w14:paraId="10831EB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6,223,902</w:t>
            </w:r>
          </w:p>
        </w:tc>
        <w:tc>
          <w:tcPr>
            <w:tcW w:w="162" w:type="pct"/>
            <w:tcBorders>
              <w:top w:val="nil"/>
              <w:left w:val="nil"/>
              <w:bottom w:val="single" w:sz="4" w:space="0" w:color="auto"/>
              <w:right w:val="single" w:sz="4" w:space="0" w:color="auto"/>
            </w:tcBorders>
            <w:shd w:val="clear" w:color="000000" w:fill="D9D9D9"/>
            <w:vAlign w:val="center"/>
            <w:hideMark/>
          </w:tcPr>
          <w:p w14:paraId="113E93F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7,660,190</w:t>
            </w:r>
          </w:p>
        </w:tc>
        <w:tc>
          <w:tcPr>
            <w:tcW w:w="155" w:type="pct"/>
            <w:tcBorders>
              <w:top w:val="nil"/>
              <w:left w:val="nil"/>
              <w:bottom w:val="single" w:sz="4" w:space="0" w:color="auto"/>
              <w:right w:val="single" w:sz="4" w:space="0" w:color="auto"/>
            </w:tcBorders>
            <w:shd w:val="clear" w:color="000000" w:fill="D9D9D9"/>
            <w:vAlign w:val="center"/>
            <w:hideMark/>
          </w:tcPr>
          <w:p w14:paraId="28BE849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000000" w:fill="D9D9D9"/>
            <w:noWrap/>
            <w:vAlign w:val="center"/>
            <w:hideMark/>
          </w:tcPr>
          <w:p w14:paraId="2FF1F20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D9D9D9"/>
            <w:noWrap/>
            <w:vAlign w:val="center"/>
            <w:hideMark/>
          </w:tcPr>
          <w:p w14:paraId="6FDF71A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7,660,190</w:t>
            </w:r>
          </w:p>
        </w:tc>
        <w:tc>
          <w:tcPr>
            <w:tcW w:w="139" w:type="pct"/>
            <w:tcBorders>
              <w:top w:val="nil"/>
              <w:left w:val="nil"/>
              <w:bottom w:val="single" w:sz="4" w:space="0" w:color="auto"/>
              <w:right w:val="single" w:sz="4" w:space="0" w:color="auto"/>
            </w:tcBorders>
            <w:shd w:val="clear" w:color="000000" w:fill="D9D9D9"/>
            <w:vAlign w:val="center"/>
            <w:hideMark/>
          </w:tcPr>
          <w:p w14:paraId="6A16FAF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000000" w:fill="D9D9D9"/>
            <w:vAlign w:val="center"/>
            <w:hideMark/>
          </w:tcPr>
          <w:p w14:paraId="0EA6A8A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D9D9D9"/>
            <w:noWrap/>
            <w:vAlign w:val="center"/>
            <w:hideMark/>
          </w:tcPr>
          <w:p w14:paraId="2AA1D19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4" w:space="0" w:color="auto"/>
            </w:tcBorders>
            <w:shd w:val="clear" w:color="000000" w:fill="D9D9D9"/>
            <w:vAlign w:val="center"/>
            <w:hideMark/>
          </w:tcPr>
          <w:p w14:paraId="1CF32291" w14:textId="02DE9BFE"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0 </w:t>
            </w:r>
          </w:p>
        </w:tc>
      </w:tr>
      <w:tr w:rsidR="00C260C3" w:rsidRPr="00B457F5" w14:paraId="2A0FDE68"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noWrap/>
            <w:vAlign w:val="center"/>
            <w:hideMark/>
          </w:tcPr>
          <w:p w14:paraId="307FFCF2"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2.2.2.1</w:t>
            </w:r>
          </w:p>
        </w:tc>
        <w:tc>
          <w:tcPr>
            <w:tcW w:w="281" w:type="pct"/>
            <w:tcBorders>
              <w:top w:val="nil"/>
              <w:left w:val="nil"/>
              <w:bottom w:val="single" w:sz="4" w:space="0" w:color="auto"/>
              <w:right w:val="single" w:sz="4" w:space="0" w:color="auto"/>
            </w:tcBorders>
            <w:shd w:val="clear" w:color="auto" w:fill="auto"/>
            <w:vAlign w:val="center"/>
            <w:hideMark/>
          </w:tcPr>
          <w:p w14:paraId="3917ABC7" w14:textId="6CD17E9F"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2.2.2.1</w:t>
            </w:r>
            <w:r w:rsidR="0006016F" w:rsidRPr="00B457F5">
              <w:rPr>
                <w:rFonts w:ascii="Garamond" w:eastAsia="Times New Roman" w:hAnsi="Garamond" w:cs="Times New Roman"/>
                <w:color w:val="000000"/>
                <w:sz w:val="4"/>
                <w:szCs w:val="10"/>
              </w:rPr>
              <w:t xml:space="preserve"> </w:t>
            </w:r>
            <w:r w:rsidRPr="00B457F5">
              <w:rPr>
                <w:rFonts w:ascii="Garamond" w:eastAsia="Times New Roman" w:hAnsi="Garamond" w:cs="Times New Roman"/>
                <w:color w:val="000000"/>
                <w:sz w:val="4"/>
                <w:szCs w:val="10"/>
              </w:rPr>
              <w:t>Hartimi një udhërrëfyesi për të ulur kostot e transaksionit të dërgesave</w:t>
            </w:r>
            <w:r w:rsidR="0006016F" w:rsidRPr="00B457F5">
              <w:rPr>
                <w:rFonts w:ascii="Garamond" w:eastAsia="Times New Roman" w:hAnsi="Garamond" w:cs="Times New Roman"/>
                <w:color w:val="000000"/>
                <w:sz w:val="4"/>
                <w:szCs w:val="10"/>
              </w:rPr>
              <w:t xml:space="preserve"> </w:t>
            </w:r>
            <w:r w:rsidRPr="00B457F5">
              <w:rPr>
                <w:rFonts w:ascii="Garamond" w:eastAsia="Times New Roman" w:hAnsi="Garamond" w:cs="Times New Roman"/>
                <w:color w:val="000000"/>
                <w:sz w:val="4"/>
                <w:szCs w:val="10"/>
              </w:rPr>
              <w:t xml:space="preserve">të emigrantëve </w:t>
            </w:r>
          </w:p>
        </w:tc>
        <w:tc>
          <w:tcPr>
            <w:tcW w:w="186" w:type="pct"/>
            <w:tcBorders>
              <w:top w:val="nil"/>
              <w:left w:val="nil"/>
              <w:bottom w:val="single" w:sz="4" w:space="0" w:color="auto"/>
              <w:right w:val="single" w:sz="4" w:space="0" w:color="auto"/>
            </w:tcBorders>
            <w:shd w:val="clear" w:color="auto" w:fill="auto"/>
            <w:vAlign w:val="center"/>
            <w:hideMark/>
          </w:tcPr>
          <w:p w14:paraId="5C25BF4B"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w:t>
            </w:r>
          </w:p>
        </w:tc>
        <w:tc>
          <w:tcPr>
            <w:tcW w:w="169" w:type="pct"/>
            <w:tcBorders>
              <w:top w:val="nil"/>
              <w:left w:val="nil"/>
              <w:bottom w:val="single" w:sz="4" w:space="0" w:color="auto"/>
              <w:right w:val="single" w:sz="4" w:space="0" w:color="auto"/>
            </w:tcBorders>
            <w:shd w:val="clear" w:color="auto" w:fill="auto"/>
            <w:vAlign w:val="center"/>
            <w:hideMark/>
          </w:tcPr>
          <w:p w14:paraId="2F287D7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Banka e Shqipërisë</w:t>
            </w:r>
          </w:p>
        </w:tc>
        <w:tc>
          <w:tcPr>
            <w:tcW w:w="244" w:type="pct"/>
            <w:tcBorders>
              <w:top w:val="nil"/>
              <w:left w:val="nil"/>
              <w:bottom w:val="single" w:sz="4" w:space="0" w:color="auto"/>
              <w:right w:val="single" w:sz="4" w:space="0" w:color="auto"/>
            </w:tcBorders>
            <w:shd w:val="clear" w:color="auto" w:fill="auto"/>
            <w:vAlign w:val="center"/>
            <w:hideMark/>
          </w:tcPr>
          <w:p w14:paraId="3F61C9D8" w14:textId="09B45DEF"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MEKI, AMBASADA E </w:t>
            </w:r>
            <w:r w:rsidR="008E5BAD" w:rsidRPr="00B457F5">
              <w:rPr>
                <w:rFonts w:ascii="Garamond" w:eastAsia="Times New Roman" w:hAnsi="Garamond" w:cs="Times New Roman"/>
                <w:color w:val="000000"/>
                <w:sz w:val="4"/>
                <w:szCs w:val="10"/>
              </w:rPr>
              <w:t>MBRETËRISË</w:t>
            </w:r>
            <w:r w:rsidRPr="00B457F5">
              <w:rPr>
                <w:rFonts w:ascii="Garamond" w:eastAsia="Times New Roman" w:hAnsi="Garamond" w:cs="Times New Roman"/>
                <w:color w:val="000000"/>
                <w:sz w:val="4"/>
                <w:szCs w:val="10"/>
              </w:rPr>
              <w:t xml:space="preserve"> S</w:t>
            </w:r>
            <w:r w:rsidR="008E5BAD" w:rsidRPr="00B457F5">
              <w:rPr>
                <w:rFonts w:ascii="Garamond" w:eastAsia="Times New Roman" w:hAnsi="Garamond" w:cs="Times New Roman"/>
                <w:color w:val="000000"/>
                <w:sz w:val="4"/>
                <w:szCs w:val="10"/>
              </w:rPr>
              <w:t>Ë</w:t>
            </w:r>
            <w:r w:rsidRPr="00B457F5">
              <w:rPr>
                <w:rFonts w:ascii="Garamond" w:eastAsia="Times New Roman" w:hAnsi="Garamond" w:cs="Times New Roman"/>
                <w:color w:val="000000"/>
                <w:sz w:val="4"/>
                <w:szCs w:val="10"/>
              </w:rPr>
              <w:t xml:space="preserve"> BASHKUAR</w:t>
            </w:r>
            <w:r w:rsidR="0006016F" w:rsidRPr="00B457F5">
              <w:rPr>
                <w:rFonts w:ascii="Garamond" w:eastAsia="Times New Roman" w:hAnsi="Garamond" w:cs="Times New Roman"/>
                <w:color w:val="000000"/>
                <w:sz w:val="4"/>
                <w:szCs w:val="10"/>
              </w:rPr>
              <w:t xml:space="preserve"> </w:t>
            </w:r>
          </w:p>
        </w:tc>
        <w:tc>
          <w:tcPr>
            <w:tcW w:w="135" w:type="pct"/>
            <w:tcBorders>
              <w:top w:val="nil"/>
              <w:left w:val="nil"/>
              <w:bottom w:val="single" w:sz="4" w:space="0" w:color="auto"/>
              <w:right w:val="single" w:sz="4" w:space="0" w:color="auto"/>
            </w:tcBorders>
            <w:shd w:val="clear" w:color="000000" w:fill="DDEBF7"/>
            <w:vAlign w:val="center"/>
            <w:hideMark/>
          </w:tcPr>
          <w:p w14:paraId="2589433B"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2024 </w:t>
            </w:r>
          </w:p>
        </w:tc>
        <w:tc>
          <w:tcPr>
            <w:tcW w:w="152" w:type="pct"/>
            <w:tcBorders>
              <w:top w:val="nil"/>
              <w:left w:val="nil"/>
              <w:bottom w:val="single" w:sz="4" w:space="0" w:color="auto"/>
              <w:right w:val="single" w:sz="4" w:space="0" w:color="auto"/>
            </w:tcBorders>
            <w:shd w:val="clear" w:color="000000" w:fill="DDEBF7"/>
            <w:vAlign w:val="center"/>
            <w:hideMark/>
          </w:tcPr>
          <w:p w14:paraId="1DE4E728"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2026 </w:t>
            </w:r>
          </w:p>
        </w:tc>
        <w:tc>
          <w:tcPr>
            <w:tcW w:w="163" w:type="pct"/>
            <w:tcBorders>
              <w:top w:val="nil"/>
              <w:left w:val="nil"/>
              <w:bottom w:val="single" w:sz="4" w:space="0" w:color="auto"/>
              <w:right w:val="single" w:sz="4" w:space="0" w:color="auto"/>
            </w:tcBorders>
            <w:shd w:val="clear" w:color="auto" w:fill="auto"/>
            <w:vAlign w:val="center"/>
            <w:hideMark/>
          </w:tcPr>
          <w:p w14:paraId="7184B04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957,524</w:t>
            </w:r>
          </w:p>
        </w:tc>
        <w:tc>
          <w:tcPr>
            <w:tcW w:w="155" w:type="pct"/>
            <w:tcBorders>
              <w:top w:val="nil"/>
              <w:left w:val="nil"/>
              <w:bottom w:val="single" w:sz="4" w:space="0" w:color="auto"/>
              <w:right w:val="single" w:sz="4" w:space="0" w:color="auto"/>
            </w:tcBorders>
            <w:shd w:val="clear" w:color="auto" w:fill="auto"/>
            <w:vAlign w:val="center"/>
            <w:hideMark/>
          </w:tcPr>
          <w:p w14:paraId="0A6AE62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noWrap/>
            <w:vAlign w:val="center"/>
            <w:hideMark/>
          </w:tcPr>
          <w:p w14:paraId="420C9B6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957,524</w:t>
            </w:r>
          </w:p>
        </w:tc>
        <w:tc>
          <w:tcPr>
            <w:tcW w:w="165" w:type="pct"/>
            <w:tcBorders>
              <w:top w:val="nil"/>
              <w:left w:val="nil"/>
              <w:bottom w:val="single" w:sz="4" w:space="0" w:color="auto"/>
              <w:right w:val="single" w:sz="4" w:space="0" w:color="auto"/>
            </w:tcBorders>
            <w:shd w:val="clear" w:color="auto" w:fill="auto"/>
            <w:vAlign w:val="center"/>
            <w:hideMark/>
          </w:tcPr>
          <w:p w14:paraId="78B3409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957,524</w:t>
            </w:r>
          </w:p>
        </w:tc>
        <w:tc>
          <w:tcPr>
            <w:tcW w:w="163" w:type="pct"/>
            <w:tcBorders>
              <w:top w:val="nil"/>
              <w:left w:val="nil"/>
              <w:bottom w:val="single" w:sz="4" w:space="0" w:color="auto"/>
              <w:right w:val="single" w:sz="4" w:space="0" w:color="auto"/>
            </w:tcBorders>
            <w:shd w:val="clear" w:color="auto" w:fill="auto"/>
            <w:vAlign w:val="center"/>
            <w:hideMark/>
          </w:tcPr>
          <w:p w14:paraId="0FC2EB0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noWrap/>
            <w:vAlign w:val="center"/>
            <w:hideMark/>
          </w:tcPr>
          <w:p w14:paraId="43C0431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957,524</w:t>
            </w:r>
          </w:p>
        </w:tc>
        <w:tc>
          <w:tcPr>
            <w:tcW w:w="163" w:type="pct"/>
            <w:tcBorders>
              <w:top w:val="nil"/>
              <w:left w:val="nil"/>
              <w:bottom w:val="single" w:sz="4" w:space="0" w:color="auto"/>
              <w:right w:val="single" w:sz="4" w:space="0" w:color="auto"/>
            </w:tcBorders>
            <w:shd w:val="clear" w:color="auto" w:fill="auto"/>
            <w:vAlign w:val="center"/>
            <w:hideMark/>
          </w:tcPr>
          <w:p w14:paraId="41DA9C6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957,524</w:t>
            </w:r>
          </w:p>
        </w:tc>
        <w:tc>
          <w:tcPr>
            <w:tcW w:w="148" w:type="pct"/>
            <w:tcBorders>
              <w:top w:val="nil"/>
              <w:left w:val="nil"/>
              <w:bottom w:val="single" w:sz="4" w:space="0" w:color="auto"/>
              <w:right w:val="single" w:sz="4" w:space="0" w:color="auto"/>
            </w:tcBorders>
            <w:shd w:val="clear" w:color="auto" w:fill="auto"/>
            <w:vAlign w:val="center"/>
            <w:hideMark/>
          </w:tcPr>
          <w:p w14:paraId="7AADF29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noWrap/>
            <w:vAlign w:val="center"/>
            <w:hideMark/>
          </w:tcPr>
          <w:p w14:paraId="7E40F51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957,524</w:t>
            </w:r>
          </w:p>
        </w:tc>
        <w:tc>
          <w:tcPr>
            <w:tcW w:w="165" w:type="pct"/>
            <w:tcBorders>
              <w:top w:val="nil"/>
              <w:left w:val="nil"/>
              <w:bottom w:val="single" w:sz="4" w:space="0" w:color="auto"/>
              <w:right w:val="single" w:sz="4" w:space="0" w:color="auto"/>
            </w:tcBorders>
            <w:shd w:val="clear" w:color="auto" w:fill="auto"/>
            <w:noWrap/>
            <w:vAlign w:val="center"/>
            <w:hideMark/>
          </w:tcPr>
          <w:p w14:paraId="1D06F94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2,872,571</w:t>
            </w:r>
          </w:p>
        </w:tc>
        <w:tc>
          <w:tcPr>
            <w:tcW w:w="163" w:type="pct"/>
            <w:tcBorders>
              <w:top w:val="nil"/>
              <w:left w:val="nil"/>
              <w:bottom w:val="single" w:sz="4" w:space="0" w:color="auto"/>
              <w:right w:val="single" w:sz="4" w:space="0" w:color="auto"/>
            </w:tcBorders>
            <w:shd w:val="clear" w:color="auto" w:fill="auto"/>
            <w:noWrap/>
            <w:vAlign w:val="center"/>
            <w:hideMark/>
          </w:tcPr>
          <w:p w14:paraId="2F95D9C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noWrap/>
            <w:vAlign w:val="center"/>
            <w:hideMark/>
          </w:tcPr>
          <w:p w14:paraId="22CFAD7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2,872,571</w:t>
            </w:r>
          </w:p>
        </w:tc>
        <w:tc>
          <w:tcPr>
            <w:tcW w:w="163" w:type="pct"/>
            <w:tcBorders>
              <w:top w:val="nil"/>
              <w:left w:val="nil"/>
              <w:bottom w:val="single" w:sz="4" w:space="0" w:color="auto"/>
              <w:right w:val="single" w:sz="4" w:space="0" w:color="auto"/>
            </w:tcBorders>
            <w:shd w:val="clear" w:color="auto" w:fill="auto"/>
            <w:noWrap/>
            <w:vAlign w:val="center"/>
            <w:hideMark/>
          </w:tcPr>
          <w:p w14:paraId="143E545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3637857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noWrap/>
            <w:vAlign w:val="center"/>
            <w:hideMark/>
          </w:tcPr>
          <w:p w14:paraId="0B07447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30D9C80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2,872,571</w:t>
            </w:r>
          </w:p>
        </w:tc>
        <w:tc>
          <w:tcPr>
            <w:tcW w:w="155" w:type="pct"/>
            <w:tcBorders>
              <w:top w:val="nil"/>
              <w:left w:val="nil"/>
              <w:bottom w:val="single" w:sz="4" w:space="0" w:color="auto"/>
              <w:right w:val="single" w:sz="4" w:space="0" w:color="auto"/>
            </w:tcBorders>
            <w:shd w:val="clear" w:color="auto" w:fill="auto"/>
            <w:vAlign w:val="center"/>
            <w:hideMark/>
          </w:tcPr>
          <w:p w14:paraId="2DDC26C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71C8D039" w14:textId="5AC9E6CE"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AMBASADA E MBRETERISE SE BASHKUAR</w:t>
            </w:r>
            <w:r w:rsidR="0006016F" w:rsidRPr="00B457F5">
              <w:rPr>
                <w:rFonts w:ascii="Garamond" w:eastAsia="Times New Roman" w:hAnsi="Garamond" w:cs="Times New Roman"/>
                <w:color w:val="000000"/>
                <w:sz w:val="4"/>
                <w:szCs w:val="10"/>
              </w:rPr>
              <w:t xml:space="preserve"> </w:t>
            </w:r>
          </w:p>
        </w:tc>
        <w:tc>
          <w:tcPr>
            <w:tcW w:w="163" w:type="pct"/>
            <w:tcBorders>
              <w:top w:val="nil"/>
              <w:left w:val="nil"/>
              <w:bottom w:val="single" w:sz="4" w:space="0" w:color="auto"/>
              <w:right w:val="single" w:sz="4" w:space="0" w:color="auto"/>
            </w:tcBorders>
            <w:shd w:val="clear" w:color="000000" w:fill="FFF2CC"/>
            <w:noWrap/>
            <w:vAlign w:val="center"/>
            <w:hideMark/>
          </w:tcPr>
          <w:p w14:paraId="3FE9076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2,872,571</w:t>
            </w:r>
          </w:p>
        </w:tc>
        <w:tc>
          <w:tcPr>
            <w:tcW w:w="139" w:type="pct"/>
            <w:tcBorders>
              <w:top w:val="nil"/>
              <w:left w:val="nil"/>
              <w:bottom w:val="single" w:sz="4" w:space="0" w:color="auto"/>
              <w:right w:val="single" w:sz="4" w:space="0" w:color="auto"/>
            </w:tcBorders>
            <w:shd w:val="clear" w:color="auto" w:fill="auto"/>
            <w:noWrap/>
            <w:vAlign w:val="center"/>
            <w:hideMark/>
          </w:tcPr>
          <w:p w14:paraId="69CED00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noWrap/>
            <w:vAlign w:val="center"/>
            <w:hideMark/>
          </w:tcPr>
          <w:p w14:paraId="3E0F071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noWrap/>
            <w:vAlign w:val="center"/>
            <w:hideMark/>
          </w:tcPr>
          <w:p w14:paraId="6190BF5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09089A30" w14:textId="3113002B"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0 </w:t>
            </w:r>
          </w:p>
        </w:tc>
      </w:tr>
      <w:tr w:rsidR="00C260C3" w:rsidRPr="00B457F5" w14:paraId="331FC22B"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noWrap/>
            <w:vAlign w:val="center"/>
            <w:hideMark/>
          </w:tcPr>
          <w:p w14:paraId="3DD413BF"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2.2.2.2</w:t>
            </w:r>
          </w:p>
        </w:tc>
        <w:tc>
          <w:tcPr>
            <w:tcW w:w="281" w:type="pct"/>
            <w:tcBorders>
              <w:top w:val="nil"/>
              <w:left w:val="nil"/>
              <w:bottom w:val="single" w:sz="4" w:space="0" w:color="auto"/>
              <w:right w:val="single" w:sz="4" w:space="0" w:color="auto"/>
            </w:tcBorders>
            <w:shd w:val="clear" w:color="auto" w:fill="auto"/>
            <w:vAlign w:val="center"/>
            <w:hideMark/>
          </w:tcPr>
          <w:p w14:paraId="0C0669AC" w14:textId="1F48B85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2.2.2.2 Rishikimi </w:t>
            </w:r>
            <w:r w:rsidR="00FC441E" w:rsidRPr="00B457F5">
              <w:rPr>
                <w:rFonts w:ascii="Garamond" w:eastAsia="Times New Roman" w:hAnsi="Garamond" w:cs="Times New Roman"/>
                <w:color w:val="000000"/>
                <w:sz w:val="4"/>
                <w:szCs w:val="10"/>
              </w:rPr>
              <w:t xml:space="preserve">i </w:t>
            </w:r>
            <w:r w:rsidRPr="00B457F5">
              <w:rPr>
                <w:rFonts w:ascii="Garamond" w:eastAsia="Times New Roman" w:hAnsi="Garamond" w:cs="Times New Roman"/>
                <w:color w:val="000000"/>
                <w:sz w:val="4"/>
                <w:szCs w:val="10"/>
              </w:rPr>
              <w:t xml:space="preserve">kuadrit rregullues të dërgesave të remitancave, me qëllim frenimin e flukseve të paligjshme financiare dhe pastrimin e parave, duke mos penguar dërgesat e remitancave të ligjshme </w:t>
            </w:r>
          </w:p>
        </w:tc>
        <w:tc>
          <w:tcPr>
            <w:tcW w:w="186" w:type="pct"/>
            <w:tcBorders>
              <w:top w:val="nil"/>
              <w:left w:val="nil"/>
              <w:bottom w:val="single" w:sz="4" w:space="0" w:color="auto"/>
              <w:right w:val="single" w:sz="4" w:space="0" w:color="auto"/>
            </w:tcBorders>
            <w:shd w:val="clear" w:color="auto" w:fill="auto"/>
            <w:vAlign w:val="center"/>
            <w:hideMark/>
          </w:tcPr>
          <w:p w14:paraId="6D109272"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w:t>
            </w:r>
          </w:p>
        </w:tc>
        <w:tc>
          <w:tcPr>
            <w:tcW w:w="169" w:type="pct"/>
            <w:tcBorders>
              <w:top w:val="nil"/>
              <w:left w:val="nil"/>
              <w:bottom w:val="single" w:sz="4" w:space="0" w:color="auto"/>
              <w:right w:val="single" w:sz="4" w:space="0" w:color="auto"/>
            </w:tcBorders>
            <w:shd w:val="clear" w:color="auto" w:fill="auto"/>
            <w:vAlign w:val="center"/>
            <w:hideMark/>
          </w:tcPr>
          <w:p w14:paraId="2FCF0AA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Banka e Shqipërisë</w:t>
            </w:r>
          </w:p>
        </w:tc>
        <w:tc>
          <w:tcPr>
            <w:tcW w:w="244" w:type="pct"/>
            <w:tcBorders>
              <w:top w:val="nil"/>
              <w:left w:val="nil"/>
              <w:bottom w:val="single" w:sz="4" w:space="0" w:color="auto"/>
              <w:right w:val="single" w:sz="4" w:space="0" w:color="auto"/>
            </w:tcBorders>
            <w:shd w:val="clear" w:color="auto" w:fill="auto"/>
            <w:vAlign w:val="center"/>
            <w:hideMark/>
          </w:tcPr>
          <w:p w14:paraId="34D7E65C" w14:textId="7E1FC15B" w:rsidR="00C260C3" w:rsidRPr="00B457F5" w:rsidRDefault="00C260C3" w:rsidP="002803F2">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MEKI, </w:t>
            </w:r>
            <w:r w:rsidR="002803F2" w:rsidRPr="00B457F5">
              <w:rPr>
                <w:rFonts w:ascii="Garamond" w:eastAsia="Times New Roman" w:hAnsi="Garamond" w:cs="Times New Roman"/>
                <w:color w:val="000000"/>
                <w:sz w:val="4"/>
                <w:szCs w:val="10"/>
              </w:rPr>
              <w:t>Ambasada e Mbretërisë së Bashkuar</w:t>
            </w:r>
          </w:p>
        </w:tc>
        <w:tc>
          <w:tcPr>
            <w:tcW w:w="135" w:type="pct"/>
            <w:tcBorders>
              <w:top w:val="nil"/>
              <w:left w:val="nil"/>
              <w:bottom w:val="single" w:sz="4" w:space="0" w:color="auto"/>
              <w:right w:val="single" w:sz="4" w:space="0" w:color="auto"/>
            </w:tcBorders>
            <w:shd w:val="clear" w:color="000000" w:fill="DDEBF7"/>
            <w:vAlign w:val="center"/>
            <w:hideMark/>
          </w:tcPr>
          <w:p w14:paraId="59AD146A"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2024</w:t>
            </w:r>
          </w:p>
        </w:tc>
        <w:tc>
          <w:tcPr>
            <w:tcW w:w="152" w:type="pct"/>
            <w:tcBorders>
              <w:top w:val="nil"/>
              <w:left w:val="nil"/>
              <w:bottom w:val="single" w:sz="4" w:space="0" w:color="auto"/>
              <w:right w:val="single" w:sz="4" w:space="0" w:color="auto"/>
            </w:tcBorders>
            <w:shd w:val="clear" w:color="000000" w:fill="DDEBF7"/>
            <w:vAlign w:val="center"/>
            <w:hideMark/>
          </w:tcPr>
          <w:p w14:paraId="5FF4FAC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2026 </w:t>
            </w:r>
          </w:p>
        </w:tc>
        <w:tc>
          <w:tcPr>
            <w:tcW w:w="163" w:type="pct"/>
            <w:tcBorders>
              <w:top w:val="nil"/>
              <w:left w:val="nil"/>
              <w:bottom w:val="single" w:sz="4" w:space="0" w:color="auto"/>
              <w:right w:val="single" w:sz="4" w:space="0" w:color="auto"/>
            </w:tcBorders>
            <w:shd w:val="clear" w:color="auto" w:fill="auto"/>
            <w:vAlign w:val="center"/>
            <w:hideMark/>
          </w:tcPr>
          <w:p w14:paraId="5446719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1,595,873</w:t>
            </w:r>
          </w:p>
        </w:tc>
        <w:tc>
          <w:tcPr>
            <w:tcW w:w="155" w:type="pct"/>
            <w:tcBorders>
              <w:top w:val="nil"/>
              <w:left w:val="nil"/>
              <w:bottom w:val="single" w:sz="4" w:space="0" w:color="auto"/>
              <w:right w:val="single" w:sz="4" w:space="0" w:color="auto"/>
            </w:tcBorders>
            <w:shd w:val="clear" w:color="auto" w:fill="auto"/>
            <w:vAlign w:val="center"/>
            <w:hideMark/>
          </w:tcPr>
          <w:p w14:paraId="2D7FEBD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noWrap/>
            <w:vAlign w:val="center"/>
            <w:hideMark/>
          </w:tcPr>
          <w:p w14:paraId="1F87965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1,595,873</w:t>
            </w:r>
          </w:p>
        </w:tc>
        <w:tc>
          <w:tcPr>
            <w:tcW w:w="165" w:type="pct"/>
            <w:tcBorders>
              <w:top w:val="nil"/>
              <w:left w:val="nil"/>
              <w:bottom w:val="single" w:sz="4" w:space="0" w:color="auto"/>
              <w:right w:val="single" w:sz="4" w:space="0" w:color="auto"/>
            </w:tcBorders>
            <w:shd w:val="clear" w:color="auto" w:fill="auto"/>
            <w:vAlign w:val="center"/>
            <w:hideMark/>
          </w:tcPr>
          <w:p w14:paraId="2F9F250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1,595,873</w:t>
            </w:r>
          </w:p>
        </w:tc>
        <w:tc>
          <w:tcPr>
            <w:tcW w:w="163" w:type="pct"/>
            <w:tcBorders>
              <w:top w:val="nil"/>
              <w:left w:val="nil"/>
              <w:bottom w:val="single" w:sz="4" w:space="0" w:color="auto"/>
              <w:right w:val="single" w:sz="4" w:space="0" w:color="auto"/>
            </w:tcBorders>
            <w:shd w:val="clear" w:color="auto" w:fill="auto"/>
            <w:vAlign w:val="center"/>
            <w:hideMark/>
          </w:tcPr>
          <w:p w14:paraId="075D4C5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noWrap/>
            <w:vAlign w:val="center"/>
            <w:hideMark/>
          </w:tcPr>
          <w:p w14:paraId="2145D58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1,595,873</w:t>
            </w:r>
          </w:p>
        </w:tc>
        <w:tc>
          <w:tcPr>
            <w:tcW w:w="163" w:type="pct"/>
            <w:tcBorders>
              <w:top w:val="nil"/>
              <w:left w:val="nil"/>
              <w:bottom w:val="single" w:sz="4" w:space="0" w:color="auto"/>
              <w:right w:val="single" w:sz="4" w:space="0" w:color="auto"/>
            </w:tcBorders>
            <w:shd w:val="clear" w:color="auto" w:fill="auto"/>
            <w:vAlign w:val="center"/>
            <w:hideMark/>
          </w:tcPr>
          <w:p w14:paraId="0F1CAF6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1,595,873</w:t>
            </w:r>
          </w:p>
        </w:tc>
        <w:tc>
          <w:tcPr>
            <w:tcW w:w="148" w:type="pct"/>
            <w:tcBorders>
              <w:top w:val="nil"/>
              <w:left w:val="nil"/>
              <w:bottom w:val="single" w:sz="4" w:space="0" w:color="auto"/>
              <w:right w:val="single" w:sz="4" w:space="0" w:color="auto"/>
            </w:tcBorders>
            <w:shd w:val="clear" w:color="auto" w:fill="auto"/>
            <w:vAlign w:val="center"/>
            <w:hideMark/>
          </w:tcPr>
          <w:p w14:paraId="5A81A75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noWrap/>
            <w:vAlign w:val="center"/>
            <w:hideMark/>
          </w:tcPr>
          <w:p w14:paraId="3AFE3CF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1,595,873</w:t>
            </w:r>
          </w:p>
        </w:tc>
        <w:tc>
          <w:tcPr>
            <w:tcW w:w="165" w:type="pct"/>
            <w:tcBorders>
              <w:top w:val="nil"/>
              <w:left w:val="nil"/>
              <w:bottom w:val="single" w:sz="4" w:space="0" w:color="auto"/>
              <w:right w:val="single" w:sz="4" w:space="0" w:color="auto"/>
            </w:tcBorders>
            <w:shd w:val="clear" w:color="auto" w:fill="auto"/>
            <w:noWrap/>
            <w:vAlign w:val="center"/>
            <w:hideMark/>
          </w:tcPr>
          <w:p w14:paraId="46752FE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4,787,619</w:t>
            </w:r>
          </w:p>
        </w:tc>
        <w:tc>
          <w:tcPr>
            <w:tcW w:w="163" w:type="pct"/>
            <w:tcBorders>
              <w:top w:val="nil"/>
              <w:left w:val="nil"/>
              <w:bottom w:val="single" w:sz="4" w:space="0" w:color="auto"/>
              <w:right w:val="single" w:sz="4" w:space="0" w:color="auto"/>
            </w:tcBorders>
            <w:shd w:val="clear" w:color="auto" w:fill="auto"/>
            <w:noWrap/>
            <w:vAlign w:val="center"/>
            <w:hideMark/>
          </w:tcPr>
          <w:p w14:paraId="18BAE9B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noWrap/>
            <w:vAlign w:val="center"/>
            <w:hideMark/>
          </w:tcPr>
          <w:p w14:paraId="55A5BC1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4,787,619</w:t>
            </w:r>
          </w:p>
        </w:tc>
        <w:tc>
          <w:tcPr>
            <w:tcW w:w="163" w:type="pct"/>
            <w:tcBorders>
              <w:top w:val="nil"/>
              <w:left w:val="nil"/>
              <w:bottom w:val="single" w:sz="4" w:space="0" w:color="auto"/>
              <w:right w:val="single" w:sz="4" w:space="0" w:color="auto"/>
            </w:tcBorders>
            <w:shd w:val="clear" w:color="auto" w:fill="auto"/>
            <w:noWrap/>
            <w:vAlign w:val="center"/>
            <w:hideMark/>
          </w:tcPr>
          <w:p w14:paraId="522CD22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1C873DA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noWrap/>
            <w:vAlign w:val="center"/>
            <w:hideMark/>
          </w:tcPr>
          <w:p w14:paraId="0B54B91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4C4E3CA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4,787,619</w:t>
            </w:r>
          </w:p>
        </w:tc>
        <w:tc>
          <w:tcPr>
            <w:tcW w:w="155" w:type="pct"/>
            <w:tcBorders>
              <w:top w:val="nil"/>
              <w:left w:val="nil"/>
              <w:bottom w:val="single" w:sz="4" w:space="0" w:color="auto"/>
              <w:right w:val="single" w:sz="4" w:space="0" w:color="auto"/>
            </w:tcBorders>
            <w:shd w:val="clear" w:color="auto" w:fill="auto"/>
            <w:vAlign w:val="center"/>
            <w:hideMark/>
          </w:tcPr>
          <w:p w14:paraId="707A294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198DD193" w14:textId="35B0086E"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AMBASADA E MBRETERISE SE BASHKUAR</w:t>
            </w:r>
            <w:r w:rsidR="0006016F" w:rsidRPr="00B457F5">
              <w:rPr>
                <w:rFonts w:ascii="Garamond" w:eastAsia="Times New Roman" w:hAnsi="Garamond" w:cs="Times New Roman"/>
                <w:color w:val="000000"/>
                <w:sz w:val="4"/>
                <w:szCs w:val="10"/>
              </w:rPr>
              <w:t xml:space="preserve"> </w:t>
            </w:r>
          </w:p>
        </w:tc>
        <w:tc>
          <w:tcPr>
            <w:tcW w:w="163" w:type="pct"/>
            <w:tcBorders>
              <w:top w:val="nil"/>
              <w:left w:val="nil"/>
              <w:bottom w:val="single" w:sz="4" w:space="0" w:color="auto"/>
              <w:right w:val="single" w:sz="4" w:space="0" w:color="auto"/>
            </w:tcBorders>
            <w:shd w:val="clear" w:color="000000" w:fill="FFF2CC"/>
            <w:noWrap/>
            <w:vAlign w:val="center"/>
            <w:hideMark/>
          </w:tcPr>
          <w:p w14:paraId="70ADACF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4,787,619</w:t>
            </w:r>
          </w:p>
        </w:tc>
        <w:tc>
          <w:tcPr>
            <w:tcW w:w="139" w:type="pct"/>
            <w:tcBorders>
              <w:top w:val="nil"/>
              <w:left w:val="nil"/>
              <w:bottom w:val="single" w:sz="4" w:space="0" w:color="auto"/>
              <w:right w:val="single" w:sz="4" w:space="0" w:color="auto"/>
            </w:tcBorders>
            <w:shd w:val="clear" w:color="auto" w:fill="auto"/>
            <w:noWrap/>
            <w:vAlign w:val="center"/>
            <w:hideMark/>
          </w:tcPr>
          <w:p w14:paraId="51D1AB9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noWrap/>
            <w:vAlign w:val="center"/>
            <w:hideMark/>
          </w:tcPr>
          <w:p w14:paraId="73B19A3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noWrap/>
            <w:vAlign w:val="center"/>
            <w:hideMark/>
          </w:tcPr>
          <w:p w14:paraId="7F77588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208BED6A" w14:textId="40FA417F"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3AF2F6A4"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noWrap/>
            <w:vAlign w:val="center"/>
            <w:hideMark/>
          </w:tcPr>
          <w:p w14:paraId="6468AA1C"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2.2.2.3</w:t>
            </w:r>
          </w:p>
        </w:tc>
        <w:tc>
          <w:tcPr>
            <w:tcW w:w="281" w:type="pct"/>
            <w:tcBorders>
              <w:top w:val="nil"/>
              <w:left w:val="nil"/>
              <w:bottom w:val="single" w:sz="4" w:space="0" w:color="auto"/>
              <w:right w:val="single" w:sz="4" w:space="0" w:color="auto"/>
            </w:tcBorders>
            <w:shd w:val="clear" w:color="auto" w:fill="auto"/>
            <w:vAlign w:val="center"/>
            <w:hideMark/>
          </w:tcPr>
          <w:p w14:paraId="1E52E0BF" w14:textId="1AE5B982"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2.2.2.3 Krijimi i aksesit dhe instrumenteve financiare për migrantët, duke përfshirë familjet me të ardhura të ulëta dhe me kryefamiljare femra (si</w:t>
            </w:r>
            <w:r w:rsidR="00FC441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llogaritë bankare që lejojnë depozitat direkte nga punëdhënësit, llogaritë e kursimit, kreditë dhe kreditë në bashkëpunim me sektorin bankar</w:t>
            </w:r>
            <w:r w:rsidR="00FC441E" w:rsidRPr="00B457F5">
              <w:rPr>
                <w:rFonts w:ascii="Garamond" w:eastAsia="Times New Roman" w:hAnsi="Garamond" w:cs="Times New Roman"/>
                <w:color w:val="000000"/>
                <w:sz w:val="4"/>
                <w:szCs w:val="10"/>
              </w:rPr>
              <w:t>)</w:t>
            </w:r>
          </w:p>
        </w:tc>
        <w:tc>
          <w:tcPr>
            <w:tcW w:w="186" w:type="pct"/>
            <w:tcBorders>
              <w:top w:val="nil"/>
              <w:left w:val="nil"/>
              <w:bottom w:val="single" w:sz="4" w:space="0" w:color="auto"/>
              <w:right w:val="single" w:sz="4" w:space="0" w:color="auto"/>
            </w:tcBorders>
            <w:shd w:val="clear" w:color="auto" w:fill="auto"/>
            <w:vAlign w:val="center"/>
            <w:hideMark/>
          </w:tcPr>
          <w:p w14:paraId="6C84BA6E"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w:t>
            </w:r>
          </w:p>
        </w:tc>
        <w:tc>
          <w:tcPr>
            <w:tcW w:w="169" w:type="pct"/>
            <w:tcBorders>
              <w:top w:val="nil"/>
              <w:left w:val="nil"/>
              <w:bottom w:val="single" w:sz="4" w:space="0" w:color="auto"/>
              <w:right w:val="single" w:sz="4" w:space="0" w:color="auto"/>
            </w:tcBorders>
            <w:shd w:val="clear" w:color="auto" w:fill="auto"/>
            <w:vAlign w:val="center"/>
            <w:hideMark/>
          </w:tcPr>
          <w:p w14:paraId="3AF0ECE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Banka e Shqipërisë</w:t>
            </w:r>
          </w:p>
        </w:tc>
        <w:tc>
          <w:tcPr>
            <w:tcW w:w="244" w:type="pct"/>
            <w:tcBorders>
              <w:top w:val="nil"/>
              <w:left w:val="nil"/>
              <w:bottom w:val="single" w:sz="4" w:space="0" w:color="auto"/>
              <w:right w:val="single" w:sz="4" w:space="0" w:color="auto"/>
            </w:tcBorders>
            <w:shd w:val="clear" w:color="auto" w:fill="auto"/>
            <w:vAlign w:val="center"/>
            <w:hideMark/>
          </w:tcPr>
          <w:p w14:paraId="47BCEC6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MEKI</w:t>
            </w:r>
          </w:p>
        </w:tc>
        <w:tc>
          <w:tcPr>
            <w:tcW w:w="135" w:type="pct"/>
            <w:tcBorders>
              <w:top w:val="nil"/>
              <w:left w:val="nil"/>
              <w:bottom w:val="single" w:sz="4" w:space="0" w:color="auto"/>
              <w:right w:val="single" w:sz="4" w:space="0" w:color="auto"/>
            </w:tcBorders>
            <w:shd w:val="clear" w:color="000000" w:fill="DDEBF7"/>
            <w:vAlign w:val="center"/>
            <w:hideMark/>
          </w:tcPr>
          <w:p w14:paraId="35C6E644"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2024 </w:t>
            </w:r>
          </w:p>
        </w:tc>
        <w:tc>
          <w:tcPr>
            <w:tcW w:w="152" w:type="pct"/>
            <w:tcBorders>
              <w:top w:val="nil"/>
              <w:left w:val="nil"/>
              <w:bottom w:val="single" w:sz="4" w:space="0" w:color="auto"/>
              <w:right w:val="single" w:sz="4" w:space="0" w:color="auto"/>
            </w:tcBorders>
            <w:shd w:val="clear" w:color="000000" w:fill="DDEBF7"/>
            <w:vAlign w:val="center"/>
            <w:hideMark/>
          </w:tcPr>
          <w:p w14:paraId="2A7CA249"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63" w:type="pct"/>
            <w:tcBorders>
              <w:top w:val="nil"/>
              <w:left w:val="nil"/>
              <w:bottom w:val="single" w:sz="4" w:space="0" w:color="auto"/>
              <w:right w:val="single" w:sz="4" w:space="0" w:color="auto"/>
            </w:tcBorders>
            <w:shd w:val="clear" w:color="auto" w:fill="auto"/>
            <w:vAlign w:val="center"/>
            <w:hideMark/>
          </w:tcPr>
          <w:p w14:paraId="0A6A8D5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1,276,698</w:t>
            </w:r>
          </w:p>
        </w:tc>
        <w:tc>
          <w:tcPr>
            <w:tcW w:w="155" w:type="pct"/>
            <w:tcBorders>
              <w:top w:val="nil"/>
              <w:left w:val="nil"/>
              <w:bottom w:val="single" w:sz="4" w:space="0" w:color="auto"/>
              <w:right w:val="single" w:sz="4" w:space="0" w:color="auto"/>
            </w:tcBorders>
            <w:shd w:val="clear" w:color="auto" w:fill="auto"/>
            <w:vAlign w:val="center"/>
            <w:hideMark/>
          </w:tcPr>
          <w:p w14:paraId="34BDB6C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noWrap/>
            <w:vAlign w:val="center"/>
            <w:hideMark/>
          </w:tcPr>
          <w:p w14:paraId="6D1A88A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1,276,698</w:t>
            </w:r>
          </w:p>
        </w:tc>
        <w:tc>
          <w:tcPr>
            <w:tcW w:w="165" w:type="pct"/>
            <w:tcBorders>
              <w:top w:val="nil"/>
              <w:left w:val="nil"/>
              <w:bottom w:val="single" w:sz="4" w:space="0" w:color="auto"/>
              <w:right w:val="single" w:sz="4" w:space="0" w:color="auto"/>
            </w:tcBorders>
            <w:shd w:val="clear" w:color="auto" w:fill="auto"/>
            <w:vAlign w:val="center"/>
            <w:hideMark/>
          </w:tcPr>
          <w:p w14:paraId="2DFA232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1,276,698</w:t>
            </w:r>
          </w:p>
        </w:tc>
        <w:tc>
          <w:tcPr>
            <w:tcW w:w="163" w:type="pct"/>
            <w:tcBorders>
              <w:top w:val="nil"/>
              <w:left w:val="nil"/>
              <w:bottom w:val="single" w:sz="4" w:space="0" w:color="auto"/>
              <w:right w:val="single" w:sz="4" w:space="0" w:color="auto"/>
            </w:tcBorders>
            <w:shd w:val="clear" w:color="auto" w:fill="auto"/>
            <w:vAlign w:val="center"/>
            <w:hideMark/>
          </w:tcPr>
          <w:p w14:paraId="70233B9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noWrap/>
            <w:vAlign w:val="center"/>
            <w:hideMark/>
          </w:tcPr>
          <w:p w14:paraId="12B251C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1,276,698</w:t>
            </w:r>
          </w:p>
        </w:tc>
        <w:tc>
          <w:tcPr>
            <w:tcW w:w="163" w:type="pct"/>
            <w:tcBorders>
              <w:top w:val="nil"/>
              <w:left w:val="nil"/>
              <w:bottom w:val="single" w:sz="4" w:space="0" w:color="auto"/>
              <w:right w:val="single" w:sz="4" w:space="0" w:color="auto"/>
            </w:tcBorders>
            <w:shd w:val="clear" w:color="auto" w:fill="auto"/>
            <w:vAlign w:val="center"/>
            <w:hideMark/>
          </w:tcPr>
          <w:p w14:paraId="5DF7CFB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1,276,698</w:t>
            </w:r>
          </w:p>
        </w:tc>
        <w:tc>
          <w:tcPr>
            <w:tcW w:w="148" w:type="pct"/>
            <w:tcBorders>
              <w:top w:val="nil"/>
              <w:left w:val="nil"/>
              <w:bottom w:val="single" w:sz="4" w:space="0" w:color="auto"/>
              <w:right w:val="single" w:sz="4" w:space="0" w:color="auto"/>
            </w:tcBorders>
            <w:shd w:val="clear" w:color="auto" w:fill="auto"/>
            <w:vAlign w:val="center"/>
            <w:hideMark/>
          </w:tcPr>
          <w:p w14:paraId="06E7FDC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noWrap/>
            <w:vAlign w:val="center"/>
            <w:hideMark/>
          </w:tcPr>
          <w:p w14:paraId="0CFF05B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1,276,698</w:t>
            </w:r>
          </w:p>
        </w:tc>
        <w:tc>
          <w:tcPr>
            <w:tcW w:w="165" w:type="pct"/>
            <w:tcBorders>
              <w:top w:val="nil"/>
              <w:left w:val="nil"/>
              <w:bottom w:val="single" w:sz="4" w:space="0" w:color="auto"/>
              <w:right w:val="single" w:sz="4" w:space="0" w:color="auto"/>
            </w:tcBorders>
            <w:shd w:val="clear" w:color="auto" w:fill="auto"/>
            <w:noWrap/>
            <w:vAlign w:val="center"/>
            <w:hideMark/>
          </w:tcPr>
          <w:p w14:paraId="2E8B428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3,830,094</w:t>
            </w:r>
          </w:p>
        </w:tc>
        <w:tc>
          <w:tcPr>
            <w:tcW w:w="163" w:type="pct"/>
            <w:tcBorders>
              <w:top w:val="nil"/>
              <w:left w:val="nil"/>
              <w:bottom w:val="single" w:sz="4" w:space="0" w:color="auto"/>
              <w:right w:val="single" w:sz="4" w:space="0" w:color="auto"/>
            </w:tcBorders>
            <w:shd w:val="clear" w:color="auto" w:fill="auto"/>
            <w:noWrap/>
            <w:vAlign w:val="center"/>
            <w:hideMark/>
          </w:tcPr>
          <w:p w14:paraId="2F850BD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noWrap/>
            <w:vAlign w:val="center"/>
            <w:hideMark/>
          </w:tcPr>
          <w:p w14:paraId="1E24112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3,830,094</w:t>
            </w:r>
          </w:p>
        </w:tc>
        <w:tc>
          <w:tcPr>
            <w:tcW w:w="163" w:type="pct"/>
            <w:tcBorders>
              <w:top w:val="nil"/>
              <w:left w:val="nil"/>
              <w:bottom w:val="single" w:sz="4" w:space="0" w:color="auto"/>
              <w:right w:val="single" w:sz="4" w:space="0" w:color="auto"/>
            </w:tcBorders>
            <w:shd w:val="clear" w:color="auto" w:fill="auto"/>
            <w:noWrap/>
            <w:vAlign w:val="center"/>
            <w:hideMark/>
          </w:tcPr>
          <w:p w14:paraId="68B3853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3,830,094</w:t>
            </w:r>
          </w:p>
        </w:tc>
        <w:tc>
          <w:tcPr>
            <w:tcW w:w="155" w:type="pct"/>
            <w:tcBorders>
              <w:top w:val="nil"/>
              <w:left w:val="nil"/>
              <w:bottom w:val="single" w:sz="4" w:space="0" w:color="auto"/>
              <w:right w:val="single" w:sz="4" w:space="0" w:color="auto"/>
            </w:tcBorders>
            <w:shd w:val="clear" w:color="auto" w:fill="auto"/>
            <w:vAlign w:val="center"/>
            <w:hideMark/>
          </w:tcPr>
          <w:p w14:paraId="4A09C28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noWrap/>
            <w:vAlign w:val="center"/>
            <w:hideMark/>
          </w:tcPr>
          <w:p w14:paraId="737990E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3,830,094</w:t>
            </w:r>
          </w:p>
        </w:tc>
        <w:tc>
          <w:tcPr>
            <w:tcW w:w="162" w:type="pct"/>
            <w:tcBorders>
              <w:top w:val="nil"/>
              <w:left w:val="nil"/>
              <w:bottom w:val="single" w:sz="4" w:space="0" w:color="auto"/>
              <w:right w:val="single" w:sz="4" w:space="0" w:color="auto"/>
            </w:tcBorders>
            <w:shd w:val="clear" w:color="auto" w:fill="auto"/>
            <w:vAlign w:val="center"/>
            <w:hideMark/>
          </w:tcPr>
          <w:p w14:paraId="19BA086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10E025E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noWrap/>
            <w:vAlign w:val="center"/>
            <w:hideMark/>
          </w:tcPr>
          <w:p w14:paraId="021B501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noWrap/>
            <w:vAlign w:val="center"/>
            <w:hideMark/>
          </w:tcPr>
          <w:p w14:paraId="6CDC19C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noWrap/>
            <w:vAlign w:val="center"/>
            <w:hideMark/>
          </w:tcPr>
          <w:p w14:paraId="52D6EE6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noWrap/>
            <w:vAlign w:val="center"/>
            <w:hideMark/>
          </w:tcPr>
          <w:p w14:paraId="1A85761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noWrap/>
            <w:vAlign w:val="center"/>
            <w:hideMark/>
          </w:tcPr>
          <w:p w14:paraId="0D0FDD1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34A1B6EA" w14:textId="5BAF87BE"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42D0EA68"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noWrap/>
            <w:vAlign w:val="center"/>
            <w:hideMark/>
          </w:tcPr>
          <w:p w14:paraId="15ECBDEF"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2.2.2.4</w:t>
            </w:r>
          </w:p>
        </w:tc>
        <w:tc>
          <w:tcPr>
            <w:tcW w:w="281" w:type="pct"/>
            <w:tcBorders>
              <w:top w:val="nil"/>
              <w:left w:val="nil"/>
              <w:bottom w:val="single" w:sz="4" w:space="0" w:color="auto"/>
              <w:right w:val="single" w:sz="4" w:space="0" w:color="auto"/>
            </w:tcBorders>
            <w:shd w:val="clear" w:color="auto" w:fill="auto"/>
            <w:vAlign w:val="center"/>
            <w:hideMark/>
          </w:tcPr>
          <w:p w14:paraId="363F30D3"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2.2.2.4 Sigurimi i informacionit të aksesueshëm mbi kostot e transferimit të remitancave (</w:t>
            </w:r>
            <w:r w:rsidRPr="00B457F5">
              <w:rPr>
                <w:rFonts w:ascii="Garamond" w:eastAsia="Times New Roman" w:hAnsi="Garamond" w:cs="Times New Roman"/>
                <w:i/>
                <w:color w:val="000000"/>
                <w:sz w:val="4"/>
                <w:szCs w:val="10"/>
              </w:rPr>
              <w:t>web</w:t>
            </w:r>
            <w:r w:rsidRPr="00B457F5">
              <w:rPr>
                <w:rFonts w:ascii="Garamond" w:eastAsia="Times New Roman" w:hAnsi="Garamond" w:cs="Times New Roman"/>
                <w:color w:val="000000"/>
                <w:sz w:val="4"/>
                <w:szCs w:val="10"/>
              </w:rPr>
              <w:t xml:space="preserve">) </w:t>
            </w:r>
          </w:p>
        </w:tc>
        <w:tc>
          <w:tcPr>
            <w:tcW w:w="186" w:type="pct"/>
            <w:tcBorders>
              <w:top w:val="nil"/>
              <w:left w:val="nil"/>
              <w:bottom w:val="single" w:sz="4" w:space="0" w:color="auto"/>
              <w:right w:val="single" w:sz="4" w:space="0" w:color="auto"/>
            </w:tcBorders>
            <w:shd w:val="clear" w:color="auto" w:fill="auto"/>
            <w:vAlign w:val="center"/>
            <w:hideMark/>
          </w:tcPr>
          <w:p w14:paraId="3140CE9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w:t>
            </w:r>
          </w:p>
        </w:tc>
        <w:tc>
          <w:tcPr>
            <w:tcW w:w="169" w:type="pct"/>
            <w:tcBorders>
              <w:top w:val="nil"/>
              <w:left w:val="nil"/>
              <w:bottom w:val="single" w:sz="4" w:space="0" w:color="auto"/>
              <w:right w:val="single" w:sz="4" w:space="0" w:color="auto"/>
            </w:tcBorders>
            <w:shd w:val="clear" w:color="auto" w:fill="auto"/>
            <w:vAlign w:val="center"/>
            <w:hideMark/>
          </w:tcPr>
          <w:p w14:paraId="1E41683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Banka e Shqipërisë</w:t>
            </w:r>
          </w:p>
        </w:tc>
        <w:tc>
          <w:tcPr>
            <w:tcW w:w="244" w:type="pct"/>
            <w:tcBorders>
              <w:top w:val="nil"/>
              <w:left w:val="nil"/>
              <w:bottom w:val="single" w:sz="4" w:space="0" w:color="auto"/>
              <w:right w:val="single" w:sz="4" w:space="0" w:color="auto"/>
            </w:tcBorders>
            <w:shd w:val="clear" w:color="auto" w:fill="auto"/>
            <w:vAlign w:val="center"/>
            <w:hideMark/>
          </w:tcPr>
          <w:p w14:paraId="4E46FFA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MEKI</w:t>
            </w:r>
          </w:p>
        </w:tc>
        <w:tc>
          <w:tcPr>
            <w:tcW w:w="135" w:type="pct"/>
            <w:tcBorders>
              <w:top w:val="nil"/>
              <w:left w:val="nil"/>
              <w:bottom w:val="single" w:sz="4" w:space="0" w:color="auto"/>
              <w:right w:val="single" w:sz="4" w:space="0" w:color="auto"/>
            </w:tcBorders>
            <w:shd w:val="clear" w:color="000000" w:fill="DDEBF7"/>
            <w:vAlign w:val="center"/>
            <w:hideMark/>
          </w:tcPr>
          <w:p w14:paraId="14C9CFE8"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2024</w:t>
            </w:r>
          </w:p>
        </w:tc>
        <w:tc>
          <w:tcPr>
            <w:tcW w:w="152" w:type="pct"/>
            <w:tcBorders>
              <w:top w:val="nil"/>
              <w:left w:val="nil"/>
              <w:bottom w:val="single" w:sz="4" w:space="0" w:color="auto"/>
              <w:right w:val="single" w:sz="4" w:space="0" w:color="auto"/>
            </w:tcBorders>
            <w:shd w:val="clear" w:color="000000" w:fill="DDEBF7"/>
            <w:vAlign w:val="center"/>
            <w:hideMark/>
          </w:tcPr>
          <w:p w14:paraId="1D39B9E5"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2026 </w:t>
            </w:r>
          </w:p>
        </w:tc>
        <w:tc>
          <w:tcPr>
            <w:tcW w:w="163" w:type="pct"/>
            <w:tcBorders>
              <w:top w:val="nil"/>
              <w:left w:val="nil"/>
              <w:bottom w:val="single" w:sz="4" w:space="0" w:color="auto"/>
              <w:right w:val="single" w:sz="4" w:space="0" w:color="auto"/>
            </w:tcBorders>
            <w:shd w:val="clear" w:color="auto" w:fill="auto"/>
            <w:vAlign w:val="center"/>
            <w:hideMark/>
          </w:tcPr>
          <w:p w14:paraId="4A9D4C0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797,936</w:t>
            </w:r>
          </w:p>
        </w:tc>
        <w:tc>
          <w:tcPr>
            <w:tcW w:w="155" w:type="pct"/>
            <w:tcBorders>
              <w:top w:val="nil"/>
              <w:left w:val="nil"/>
              <w:bottom w:val="single" w:sz="4" w:space="0" w:color="auto"/>
              <w:right w:val="single" w:sz="4" w:space="0" w:color="auto"/>
            </w:tcBorders>
            <w:shd w:val="clear" w:color="auto" w:fill="auto"/>
            <w:vAlign w:val="center"/>
            <w:hideMark/>
          </w:tcPr>
          <w:p w14:paraId="0F7A671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noWrap/>
            <w:vAlign w:val="center"/>
            <w:hideMark/>
          </w:tcPr>
          <w:p w14:paraId="65D26A5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797,936</w:t>
            </w:r>
          </w:p>
        </w:tc>
        <w:tc>
          <w:tcPr>
            <w:tcW w:w="165" w:type="pct"/>
            <w:tcBorders>
              <w:top w:val="nil"/>
              <w:left w:val="nil"/>
              <w:bottom w:val="single" w:sz="4" w:space="0" w:color="auto"/>
              <w:right w:val="single" w:sz="4" w:space="0" w:color="auto"/>
            </w:tcBorders>
            <w:shd w:val="clear" w:color="auto" w:fill="auto"/>
            <w:vAlign w:val="center"/>
            <w:hideMark/>
          </w:tcPr>
          <w:p w14:paraId="5446B59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797,936</w:t>
            </w:r>
          </w:p>
        </w:tc>
        <w:tc>
          <w:tcPr>
            <w:tcW w:w="163" w:type="pct"/>
            <w:tcBorders>
              <w:top w:val="nil"/>
              <w:left w:val="nil"/>
              <w:bottom w:val="single" w:sz="4" w:space="0" w:color="auto"/>
              <w:right w:val="single" w:sz="4" w:space="0" w:color="auto"/>
            </w:tcBorders>
            <w:shd w:val="clear" w:color="auto" w:fill="auto"/>
            <w:vAlign w:val="center"/>
            <w:hideMark/>
          </w:tcPr>
          <w:p w14:paraId="37B24DB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noWrap/>
            <w:vAlign w:val="center"/>
            <w:hideMark/>
          </w:tcPr>
          <w:p w14:paraId="4E5BF46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797,936</w:t>
            </w:r>
          </w:p>
        </w:tc>
        <w:tc>
          <w:tcPr>
            <w:tcW w:w="163" w:type="pct"/>
            <w:tcBorders>
              <w:top w:val="nil"/>
              <w:left w:val="nil"/>
              <w:bottom w:val="single" w:sz="4" w:space="0" w:color="auto"/>
              <w:right w:val="single" w:sz="4" w:space="0" w:color="auto"/>
            </w:tcBorders>
            <w:shd w:val="clear" w:color="auto" w:fill="auto"/>
            <w:vAlign w:val="center"/>
            <w:hideMark/>
          </w:tcPr>
          <w:p w14:paraId="38BB7FC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797,936</w:t>
            </w:r>
          </w:p>
        </w:tc>
        <w:tc>
          <w:tcPr>
            <w:tcW w:w="148" w:type="pct"/>
            <w:tcBorders>
              <w:top w:val="nil"/>
              <w:left w:val="nil"/>
              <w:bottom w:val="single" w:sz="4" w:space="0" w:color="auto"/>
              <w:right w:val="single" w:sz="4" w:space="0" w:color="auto"/>
            </w:tcBorders>
            <w:shd w:val="clear" w:color="auto" w:fill="auto"/>
            <w:vAlign w:val="center"/>
            <w:hideMark/>
          </w:tcPr>
          <w:p w14:paraId="0C222B9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noWrap/>
            <w:vAlign w:val="center"/>
            <w:hideMark/>
          </w:tcPr>
          <w:p w14:paraId="15EF3D7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797,936</w:t>
            </w:r>
          </w:p>
        </w:tc>
        <w:tc>
          <w:tcPr>
            <w:tcW w:w="165" w:type="pct"/>
            <w:tcBorders>
              <w:top w:val="nil"/>
              <w:left w:val="nil"/>
              <w:bottom w:val="single" w:sz="4" w:space="0" w:color="auto"/>
              <w:right w:val="single" w:sz="4" w:space="0" w:color="auto"/>
            </w:tcBorders>
            <w:shd w:val="clear" w:color="auto" w:fill="auto"/>
            <w:noWrap/>
            <w:vAlign w:val="center"/>
            <w:hideMark/>
          </w:tcPr>
          <w:p w14:paraId="1614B5A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2,393,808</w:t>
            </w:r>
          </w:p>
        </w:tc>
        <w:tc>
          <w:tcPr>
            <w:tcW w:w="163" w:type="pct"/>
            <w:tcBorders>
              <w:top w:val="nil"/>
              <w:left w:val="nil"/>
              <w:bottom w:val="single" w:sz="4" w:space="0" w:color="auto"/>
              <w:right w:val="single" w:sz="4" w:space="0" w:color="auto"/>
            </w:tcBorders>
            <w:shd w:val="clear" w:color="auto" w:fill="auto"/>
            <w:noWrap/>
            <w:vAlign w:val="center"/>
            <w:hideMark/>
          </w:tcPr>
          <w:p w14:paraId="3389717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noWrap/>
            <w:vAlign w:val="center"/>
            <w:hideMark/>
          </w:tcPr>
          <w:p w14:paraId="3AD33CC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2,393,808</w:t>
            </w:r>
          </w:p>
        </w:tc>
        <w:tc>
          <w:tcPr>
            <w:tcW w:w="163" w:type="pct"/>
            <w:tcBorders>
              <w:top w:val="nil"/>
              <w:left w:val="nil"/>
              <w:bottom w:val="single" w:sz="4" w:space="0" w:color="auto"/>
              <w:right w:val="single" w:sz="4" w:space="0" w:color="auto"/>
            </w:tcBorders>
            <w:shd w:val="clear" w:color="auto" w:fill="auto"/>
            <w:noWrap/>
            <w:vAlign w:val="center"/>
            <w:hideMark/>
          </w:tcPr>
          <w:p w14:paraId="54D0320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2,393,808</w:t>
            </w:r>
          </w:p>
        </w:tc>
        <w:tc>
          <w:tcPr>
            <w:tcW w:w="155" w:type="pct"/>
            <w:tcBorders>
              <w:top w:val="nil"/>
              <w:left w:val="nil"/>
              <w:bottom w:val="single" w:sz="4" w:space="0" w:color="auto"/>
              <w:right w:val="single" w:sz="4" w:space="0" w:color="auto"/>
            </w:tcBorders>
            <w:shd w:val="clear" w:color="auto" w:fill="auto"/>
            <w:vAlign w:val="center"/>
            <w:hideMark/>
          </w:tcPr>
          <w:p w14:paraId="521C212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noWrap/>
            <w:vAlign w:val="center"/>
            <w:hideMark/>
          </w:tcPr>
          <w:p w14:paraId="1C31344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2,393,808</w:t>
            </w:r>
          </w:p>
        </w:tc>
        <w:tc>
          <w:tcPr>
            <w:tcW w:w="162" w:type="pct"/>
            <w:tcBorders>
              <w:top w:val="nil"/>
              <w:left w:val="nil"/>
              <w:bottom w:val="single" w:sz="4" w:space="0" w:color="auto"/>
              <w:right w:val="single" w:sz="4" w:space="0" w:color="auto"/>
            </w:tcBorders>
            <w:shd w:val="clear" w:color="auto" w:fill="auto"/>
            <w:vAlign w:val="center"/>
            <w:hideMark/>
          </w:tcPr>
          <w:p w14:paraId="26B06B5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59124AE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noWrap/>
            <w:vAlign w:val="center"/>
            <w:hideMark/>
          </w:tcPr>
          <w:p w14:paraId="2DD18F5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noWrap/>
            <w:vAlign w:val="center"/>
            <w:hideMark/>
          </w:tcPr>
          <w:p w14:paraId="5B75A2C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noWrap/>
            <w:vAlign w:val="center"/>
            <w:hideMark/>
          </w:tcPr>
          <w:p w14:paraId="4AF2646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noWrap/>
            <w:vAlign w:val="center"/>
            <w:hideMark/>
          </w:tcPr>
          <w:p w14:paraId="5003123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noWrap/>
            <w:vAlign w:val="center"/>
            <w:hideMark/>
          </w:tcPr>
          <w:p w14:paraId="20DED4C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1F956F06" w14:textId="77F75F5C"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4C42DA48" w14:textId="77777777" w:rsidTr="00C260C3">
        <w:trPr>
          <w:trHeight w:val="20"/>
        </w:trPr>
        <w:tc>
          <w:tcPr>
            <w:tcW w:w="131" w:type="pct"/>
            <w:tcBorders>
              <w:top w:val="nil"/>
              <w:left w:val="single" w:sz="8" w:space="0" w:color="auto"/>
              <w:bottom w:val="single" w:sz="4" w:space="0" w:color="auto"/>
              <w:right w:val="single" w:sz="4" w:space="0" w:color="auto"/>
            </w:tcBorders>
            <w:shd w:val="clear" w:color="000000" w:fill="D9D9D9"/>
            <w:noWrap/>
            <w:vAlign w:val="center"/>
            <w:hideMark/>
          </w:tcPr>
          <w:p w14:paraId="63BD7E95"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2.2.3</w:t>
            </w:r>
          </w:p>
        </w:tc>
        <w:tc>
          <w:tcPr>
            <w:tcW w:w="281" w:type="pct"/>
            <w:tcBorders>
              <w:top w:val="nil"/>
              <w:left w:val="nil"/>
              <w:bottom w:val="single" w:sz="4" w:space="0" w:color="auto"/>
              <w:right w:val="nil"/>
            </w:tcBorders>
            <w:shd w:val="clear" w:color="000000" w:fill="D9D9D9"/>
            <w:vAlign w:val="center"/>
            <w:hideMark/>
          </w:tcPr>
          <w:p w14:paraId="77ADFC0F"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2.2.3 Informimi i emigranteve mbi mundësitë e punësimit dhe tregut të punës në vend</w:t>
            </w:r>
          </w:p>
        </w:tc>
        <w:tc>
          <w:tcPr>
            <w:tcW w:w="186" w:type="pct"/>
            <w:tcBorders>
              <w:top w:val="nil"/>
              <w:left w:val="nil"/>
              <w:bottom w:val="single" w:sz="4" w:space="0" w:color="auto"/>
              <w:right w:val="single" w:sz="4" w:space="0" w:color="auto"/>
            </w:tcBorders>
            <w:shd w:val="clear" w:color="000000" w:fill="D9D9D9"/>
            <w:vAlign w:val="center"/>
            <w:hideMark/>
          </w:tcPr>
          <w:p w14:paraId="68ABB4CC" w14:textId="2D931C2F"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8E5BAD" w:rsidRPr="00B457F5">
              <w:rPr>
                <w:rFonts w:ascii="Garamond" w:eastAsia="Times New Roman" w:hAnsi="Garamond" w:cs="Times New Roman"/>
                <w:color w:val="FF0000"/>
                <w:sz w:val="4"/>
                <w:szCs w:val="10"/>
              </w:rPr>
              <w:t>Punës</w:t>
            </w:r>
            <w:r w:rsidRPr="00B457F5">
              <w:rPr>
                <w:rFonts w:ascii="Garamond" w:eastAsia="Times New Roman" w:hAnsi="Garamond" w:cs="Times New Roman"/>
                <w:color w:val="FF0000"/>
                <w:sz w:val="4"/>
                <w:szCs w:val="10"/>
              </w:rPr>
              <w:t>, 01110 Planifikimi, Menaxhimi dhe Administrimi (15)</w:t>
            </w:r>
          </w:p>
        </w:tc>
        <w:tc>
          <w:tcPr>
            <w:tcW w:w="169" w:type="pct"/>
            <w:tcBorders>
              <w:top w:val="nil"/>
              <w:left w:val="nil"/>
              <w:bottom w:val="single" w:sz="4" w:space="0" w:color="auto"/>
              <w:right w:val="single" w:sz="4" w:space="0" w:color="auto"/>
            </w:tcBorders>
            <w:shd w:val="clear" w:color="000000" w:fill="D9D9D9"/>
            <w:vAlign w:val="center"/>
            <w:hideMark/>
          </w:tcPr>
          <w:p w14:paraId="1E43DEF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MEKI, AKPA, MEPJ</w:t>
            </w:r>
          </w:p>
        </w:tc>
        <w:tc>
          <w:tcPr>
            <w:tcW w:w="244" w:type="pct"/>
            <w:tcBorders>
              <w:top w:val="nil"/>
              <w:left w:val="nil"/>
              <w:bottom w:val="single" w:sz="4" w:space="0" w:color="auto"/>
              <w:right w:val="single" w:sz="4" w:space="0" w:color="auto"/>
            </w:tcBorders>
            <w:shd w:val="clear" w:color="000000" w:fill="D9D9D9"/>
            <w:vAlign w:val="center"/>
            <w:hideMark/>
          </w:tcPr>
          <w:p w14:paraId="2CCC5516" w14:textId="2D425F83"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AKSHI, AKPA, ISSHP, ISSH, AIDA, MEKI, MEPJ, </w:t>
            </w:r>
            <w:r w:rsidR="002803F2" w:rsidRPr="00B457F5">
              <w:rPr>
                <w:rFonts w:ascii="Garamond" w:eastAsia="Times New Roman" w:hAnsi="Garamond" w:cs="Times New Roman"/>
                <w:color w:val="000000"/>
                <w:sz w:val="4"/>
                <w:szCs w:val="10"/>
              </w:rPr>
              <w:t>d</w:t>
            </w:r>
            <w:r w:rsidRPr="00B457F5">
              <w:rPr>
                <w:rFonts w:ascii="Garamond" w:eastAsia="Times New Roman" w:hAnsi="Garamond" w:cs="Times New Roman"/>
                <w:color w:val="000000"/>
                <w:sz w:val="4"/>
                <w:szCs w:val="10"/>
              </w:rPr>
              <w:t>onator</w:t>
            </w:r>
            <w:r w:rsidR="002803F2" w:rsidRPr="00B457F5">
              <w:rPr>
                <w:rFonts w:ascii="Garamond" w:eastAsia="Times New Roman" w:hAnsi="Garamond" w:cs="Times New Roman"/>
                <w:color w:val="000000"/>
                <w:sz w:val="4"/>
                <w:szCs w:val="10"/>
              </w:rPr>
              <w:t>ë</w:t>
            </w:r>
            <w:r w:rsidRPr="00B457F5">
              <w:rPr>
                <w:rFonts w:ascii="Garamond" w:eastAsia="Times New Roman" w:hAnsi="Garamond" w:cs="Times New Roman"/>
                <w:color w:val="000000"/>
                <w:sz w:val="4"/>
                <w:szCs w:val="10"/>
              </w:rPr>
              <w:t xml:space="preserve">, organizata, </w:t>
            </w:r>
            <w:r w:rsidR="002803F2" w:rsidRPr="00B457F5">
              <w:rPr>
                <w:rFonts w:ascii="Garamond" w:eastAsia="Times New Roman" w:hAnsi="Garamond" w:cs="Times New Roman"/>
                <w:color w:val="000000"/>
                <w:sz w:val="4"/>
                <w:szCs w:val="10"/>
              </w:rPr>
              <w:t>Ambasada e Mbretërisë së Bashkuar</w:t>
            </w:r>
            <w:r w:rsidRPr="00B457F5">
              <w:rPr>
                <w:rFonts w:ascii="Garamond" w:eastAsia="Times New Roman" w:hAnsi="Garamond" w:cs="Times New Roman"/>
                <w:color w:val="000000"/>
                <w:sz w:val="4"/>
                <w:szCs w:val="10"/>
              </w:rPr>
              <w:t>, NJVV</w:t>
            </w:r>
            <w:r w:rsidR="002803F2" w:rsidRPr="00B457F5">
              <w:rPr>
                <w:rFonts w:ascii="Garamond" w:eastAsia="Times New Roman" w:hAnsi="Garamond" w:cs="Times New Roman"/>
                <w:color w:val="000000"/>
                <w:sz w:val="4"/>
                <w:szCs w:val="10"/>
              </w:rPr>
              <w:t>-të</w:t>
            </w:r>
          </w:p>
        </w:tc>
        <w:tc>
          <w:tcPr>
            <w:tcW w:w="135" w:type="pct"/>
            <w:tcBorders>
              <w:top w:val="nil"/>
              <w:left w:val="nil"/>
              <w:bottom w:val="single" w:sz="4" w:space="0" w:color="auto"/>
              <w:right w:val="nil"/>
            </w:tcBorders>
            <w:shd w:val="clear" w:color="000000" w:fill="D9D9D9"/>
            <w:vAlign w:val="center"/>
            <w:hideMark/>
          </w:tcPr>
          <w:p w14:paraId="35E8F3C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52" w:type="pct"/>
            <w:tcBorders>
              <w:top w:val="nil"/>
              <w:left w:val="single" w:sz="4" w:space="0" w:color="auto"/>
              <w:bottom w:val="single" w:sz="4" w:space="0" w:color="auto"/>
              <w:right w:val="single" w:sz="4" w:space="0" w:color="auto"/>
            </w:tcBorders>
            <w:shd w:val="clear" w:color="000000" w:fill="D9D9D9"/>
            <w:vAlign w:val="center"/>
            <w:hideMark/>
          </w:tcPr>
          <w:p w14:paraId="44DDCBE6"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2030</w:t>
            </w:r>
          </w:p>
        </w:tc>
        <w:tc>
          <w:tcPr>
            <w:tcW w:w="163" w:type="pct"/>
            <w:tcBorders>
              <w:top w:val="nil"/>
              <w:left w:val="nil"/>
              <w:bottom w:val="single" w:sz="4" w:space="0" w:color="auto"/>
              <w:right w:val="single" w:sz="4" w:space="0" w:color="auto"/>
            </w:tcBorders>
            <w:shd w:val="clear" w:color="000000" w:fill="D9D9D9"/>
            <w:vAlign w:val="center"/>
            <w:hideMark/>
          </w:tcPr>
          <w:p w14:paraId="0BE41AE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23,330,847</w:t>
            </w:r>
          </w:p>
        </w:tc>
        <w:tc>
          <w:tcPr>
            <w:tcW w:w="155" w:type="pct"/>
            <w:tcBorders>
              <w:top w:val="nil"/>
              <w:left w:val="nil"/>
              <w:bottom w:val="single" w:sz="4" w:space="0" w:color="auto"/>
              <w:right w:val="single" w:sz="4" w:space="0" w:color="auto"/>
            </w:tcBorders>
            <w:shd w:val="clear" w:color="000000" w:fill="D9D9D9"/>
            <w:vAlign w:val="center"/>
            <w:hideMark/>
          </w:tcPr>
          <w:p w14:paraId="48E8324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D9D9D9"/>
            <w:noWrap/>
            <w:vAlign w:val="center"/>
            <w:hideMark/>
          </w:tcPr>
          <w:p w14:paraId="0EDCE5D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23,330,847</w:t>
            </w:r>
          </w:p>
        </w:tc>
        <w:tc>
          <w:tcPr>
            <w:tcW w:w="165" w:type="pct"/>
            <w:tcBorders>
              <w:top w:val="nil"/>
              <w:left w:val="nil"/>
              <w:bottom w:val="single" w:sz="4" w:space="0" w:color="auto"/>
              <w:right w:val="single" w:sz="4" w:space="0" w:color="auto"/>
            </w:tcBorders>
            <w:shd w:val="clear" w:color="000000" w:fill="D9D9D9"/>
            <w:vAlign w:val="center"/>
            <w:hideMark/>
          </w:tcPr>
          <w:p w14:paraId="4B6B51F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23,330,847</w:t>
            </w:r>
          </w:p>
        </w:tc>
        <w:tc>
          <w:tcPr>
            <w:tcW w:w="163" w:type="pct"/>
            <w:tcBorders>
              <w:top w:val="nil"/>
              <w:left w:val="nil"/>
              <w:bottom w:val="single" w:sz="4" w:space="0" w:color="auto"/>
              <w:right w:val="single" w:sz="4" w:space="0" w:color="auto"/>
            </w:tcBorders>
            <w:shd w:val="clear" w:color="000000" w:fill="D9D9D9"/>
            <w:vAlign w:val="center"/>
            <w:hideMark/>
          </w:tcPr>
          <w:p w14:paraId="6F341BD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D9D9D9"/>
            <w:noWrap/>
            <w:vAlign w:val="center"/>
            <w:hideMark/>
          </w:tcPr>
          <w:p w14:paraId="3D1BE56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23,330,847</w:t>
            </w:r>
          </w:p>
        </w:tc>
        <w:tc>
          <w:tcPr>
            <w:tcW w:w="163" w:type="pct"/>
            <w:tcBorders>
              <w:top w:val="nil"/>
              <w:left w:val="nil"/>
              <w:bottom w:val="single" w:sz="4" w:space="0" w:color="auto"/>
              <w:right w:val="single" w:sz="4" w:space="0" w:color="auto"/>
            </w:tcBorders>
            <w:shd w:val="clear" w:color="000000" w:fill="D9D9D9"/>
            <w:vAlign w:val="center"/>
            <w:hideMark/>
          </w:tcPr>
          <w:p w14:paraId="723CC7E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23,330,847</w:t>
            </w:r>
          </w:p>
        </w:tc>
        <w:tc>
          <w:tcPr>
            <w:tcW w:w="148" w:type="pct"/>
            <w:tcBorders>
              <w:top w:val="nil"/>
              <w:left w:val="nil"/>
              <w:bottom w:val="single" w:sz="4" w:space="0" w:color="auto"/>
              <w:right w:val="single" w:sz="4" w:space="0" w:color="auto"/>
            </w:tcBorders>
            <w:shd w:val="clear" w:color="000000" w:fill="D9D9D9"/>
            <w:vAlign w:val="center"/>
            <w:hideMark/>
          </w:tcPr>
          <w:p w14:paraId="20CD01A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D9D9D9"/>
            <w:noWrap/>
            <w:vAlign w:val="center"/>
            <w:hideMark/>
          </w:tcPr>
          <w:p w14:paraId="73C5CB9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23,330,847</w:t>
            </w:r>
          </w:p>
        </w:tc>
        <w:tc>
          <w:tcPr>
            <w:tcW w:w="165" w:type="pct"/>
            <w:tcBorders>
              <w:top w:val="nil"/>
              <w:left w:val="nil"/>
              <w:bottom w:val="single" w:sz="4" w:space="0" w:color="auto"/>
              <w:right w:val="single" w:sz="4" w:space="0" w:color="auto"/>
            </w:tcBorders>
            <w:shd w:val="clear" w:color="000000" w:fill="D9D9D9"/>
            <w:noWrap/>
            <w:vAlign w:val="center"/>
            <w:hideMark/>
          </w:tcPr>
          <w:p w14:paraId="061F80B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69,992,541</w:t>
            </w:r>
          </w:p>
        </w:tc>
        <w:tc>
          <w:tcPr>
            <w:tcW w:w="163" w:type="pct"/>
            <w:tcBorders>
              <w:top w:val="nil"/>
              <w:left w:val="nil"/>
              <w:bottom w:val="single" w:sz="4" w:space="0" w:color="auto"/>
              <w:right w:val="single" w:sz="4" w:space="0" w:color="auto"/>
            </w:tcBorders>
            <w:shd w:val="clear" w:color="000000" w:fill="D9D9D9"/>
            <w:noWrap/>
            <w:vAlign w:val="center"/>
            <w:hideMark/>
          </w:tcPr>
          <w:p w14:paraId="019912C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D9D9D9"/>
            <w:noWrap/>
            <w:vAlign w:val="center"/>
            <w:hideMark/>
          </w:tcPr>
          <w:p w14:paraId="6872BF5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69,992,541</w:t>
            </w:r>
          </w:p>
        </w:tc>
        <w:tc>
          <w:tcPr>
            <w:tcW w:w="163" w:type="pct"/>
            <w:tcBorders>
              <w:top w:val="nil"/>
              <w:left w:val="nil"/>
              <w:bottom w:val="single" w:sz="4" w:space="0" w:color="auto"/>
              <w:right w:val="single" w:sz="4" w:space="0" w:color="auto"/>
            </w:tcBorders>
            <w:shd w:val="clear" w:color="000000" w:fill="D9D9D9"/>
            <w:vAlign w:val="center"/>
            <w:hideMark/>
          </w:tcPr>
          <w:p w14:paraId="1522BB3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5,840,541</w:t>
            </w:r>
          </w:p>
        </w:tc>
        <w:tc>
          <w:tcPr>
            <w:tcW w:w="155" w:type="pct"/>
            <w:tcBorders>
              <w:top w:val="nil"/>
              <w:left w:val="nil"/>
              <w:bottom w:val="single" w:sz="4" w:space="0" w:color="auto"/>
              <w:right w:val="single" w:sz="4" w:space="0" w:color="auto"/>
            </w:tcBorders>
            <w:shd w:val="clear" w:color="000000" w:fill="D9D9D9"/>
            <w:vAlign w:val="center"/>
            <w:hideMark/>
          </w:tcPr>
          <w:p w14:paraId="707590D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D9D9D9"/>
            <w:noWrap/>
            <w:vAlign w:val="center"/>
            <w:hideMark/>
          </w:tcPr>
          <w:p w14:paraId="694249B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5,840,541</w:t>
            </w:r>
          </w:p>
        </w:tc>
        <w:tc>
          <w:tcPr>
            <w:tcW w:w="162" w:type="pct"/>
            <w:tcBorders>
              <w:top w:val="nil"/>
              <w:left w:val="nil"/>
              <w:bottom w:val="single" w:sz="4" w:space="0" w:color="auto"/>
              <w:right w:val="single" w:sz="4" w:space="0" w:color="auto"/>
            </w:tcBorders>
            <w:shd w:val="clear" w:color="000000" w:fill="D9D9D9"/>
            <w:vAlign w:val="center"/>
            <w:hideMark/>
          </w:tcPr>
          <w:p w14:paraId="2F13DC5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58,104,000</w:t>
            </w:r>
          </w:p>
        </w:tc>
        <w:tc>
          <w:tcPr>
            <w:tcW w:w="155" w:type="pct"/>
            <w:tcBorders>
              <w:top w:val="nil"/>
              <w:left w:val="nil"/>
              <w:bottom w:val="single" w:sz="4" w:space="0" w:color="auto"/>
              <w:right w:val="single" w:sz="4" w:space="0" w:color="auto"/>
            </w:tcBorders>
            <w:shd w:val="clear" w:color="000000" w:fill="D9D9D9"/>
            <w:vAlign w:val="center"/>
            <w:hideMark/>
          </w:tcPr>
          <w:p w14:paraId="27F9833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000000" w:fill="D9D9D9"/>
            <w:noWrap/>
            <w:vAlign w:val="center"/>
            <w:hideMark/>
          </w:tcPr>
          <w:p w14:paraId="2A2B03D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D9D9D9"/>
            <w:noWrap/>
            <w:vAlign w:val="center"/>
            <w:hideMark/>
          </w:tcPr>
          <w:p w14:paraId="4F3EE71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58,104,000</w:t>
            </w:r>
          </w:p>
        </w:tc>
        <w:tc>
          <w:tcPr>
            <w:tcW w:w="139" w:type="pct"/>
            <w:tcBorders>
              <w:top w:val="nil"/>
              <w:left w:val="nil"/>
              <w:bottom w:val="single" w:sz="4" w:space="0" w:color="auto"/>
              <w:right w:val="single" w:sz="4" w:space="0" w:color="auto"/>
            </w:tcBorders>
            <w:shd w:val="clear" w:color="000000" w:fill="D9D9D9"/>
            <w:vAlign w:val="center"/>
            <w:hideMark/>
          </w:tcPr>
          <w:p w14:paraId="3B33EF4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000000" w:fill="D9D9D9"/>
            <w:vAlign w:val="center"/>
            <w:hideMark/>
          </w:tcPr>
          <w:p w14:paraId="526EC6F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D9D9D9"/>
            <w:noWrap/>
            <w:vAlign w:val="center"/>
            <w:hideMark/>
          </w:tcPr>
          <w:p w14:paraId="7ED4B61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000000" w:fill="D9D9D9"/>
            <w:vAlign w:val="center"/>
            <w:hideMark/>
          </w:tcPr>
          <w:p w14:paraId="415A9CEC" w14:textId="753E432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(6,048,000)</w:t>
            </w:r>
          </w:p>
        </w:tc>
      </w:tr>
      <w:tr w:rsidR="00C260C3" w:rsidRPr="00B457F5" w14:paraId="3E5237BB"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noWrap/>
            <w:vAlign w:val="center"/>
            <w:hideMark/>
          </w:tcPr>
          <w:p w14:paraId="3BBCE01C"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2.2.3.1</w:t>
            </w:r>
          </w:p>
        </w:tc>
        <w:tc>
          <w:tcPr>
            <w:tcW w:w="281" w:type="pct"/>
            <w:tcBorders>
              <w:top w:val="nil"/>
              <w:left w:val="nil"/>
              <w:bottom w:val="single" w:sz="4" w:space="0" w:color="auto"/>
              <w:right w:val="single" w:sz="4" w:space="0" w:color="auto"/>
            </w:tcBorders>
            <w:shd w:val="clear" w:color="auto" w:fill="auto"/>
            <w:vAlign w:val="center"/>
            <w:hideMark/>
          </w:tcPr>
          <w:p w14:paraId="57EE77D9" w14:textId="60285CC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2.2.3.1 Pasurimi i </w:t>
            </w:r>
            <w:r w:rsidRPr="00B457F5">
              <w:rPr>
                <w:rFonts w:ascii="Garamond" w:eastAsia="Times New Roman" w:hAnsi="Garamond" w:cs="Times New Roman"/>
                <w:i/>
                <w:color w:val="000000"/>
                <w:sz w:val="4"/>
                <w:szCs w:val="10"/>
              </w:rPr>
              <w:t>website</w:t>
            </w:r>
            <w:r w:rsidRPr="00B457F5">
              <w:rPr>
                <w:rFonts w:ascii="Garamond" w:eastAsia="Times New Roman" w:hAnsi="Garamond" w:cs="Times New Roman"/>
                <w:color w:val="000000"/>
                <w:sz w:val="4"/>
                <w:szCs w:val="10"/>
              </w:rPr>
              <w:t>-t (portal i qeverisë shqiptare) në Agjencinë Kombëtare të Punësimit dhe Aftësive me informacion të qartë për procesin e kthimit dhe riintegrimit social</w:t>
            </w:r>
            <w:r w:rsidR="00EF5D32">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ekonomik</w:t>
            </w:r>
          </w:p>
        </w:tc>
        <w:tc>
          <w:tcPr>
            <w:tcW w:w="186" w:type="pct"/>
            <w:tcBorders>
              <w:top w:val="nil"/>
              <w:left w:val="nil"/>
              <w:bottom w:val="single" w:sz="4" w:space="0" w:color="auto"/>
              <w:right w:val="single" w:sz="4" w:space="0" w:color="auto"/>
            </w:tcBorders>
            <w:shd w:val="clear" w:color="auto" w:fill="auto"/>
            <w:vAlign w:val="center"/>
            <w:hideMark/>
          </w:tcPr>
          <w:p w14:paraId="7278AC53" w14:textId="2D1E364D"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8E5BAD" w:rsidRPr="00B457F5">
              <w:rPr>
                <w:rFonts w:ascii="Garamond" w:eastAsia="Times New Roman" w:hAnsi="Garamond" w:cs="Times New Roman"/>
                <w:color w:val="FF0000"/>
                <w:sz w:val="4"/>
                <w:szCs w:val="10"/>
              </w:rPr>
              <w:t>Punës</w:t>
            </w:r>
          </w:p>
        </w:tc>
        <w:tc>
          <w:tcPr>
            <w:tcW w:w="169" w:type="pct"/>
            <w:tcBorders>
              <w:top w:val="nil"/>
              <w:left w:val="nil"/>
              <w:bottom w:val="single" w:sz="4" w:space="0" w:color="auto"/>
              <w:right w:val="single" w:sz="4" w:space="0" w:color="auto"/>
            </w:tcBorders>
            <w:shd w:val="clear" w:color="auto" w:fill="auto"/>
            <w:vAlign w:val="center"/>
            <w:hideMark/>
          </w:tcPr>
          <w:p w14:paraId="1A77ECF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AKPA</w:t>
            </w:r>
          </w:p>
        </w:tc>
        <w:tc>
          <w:tcPr>
            <w:tcW w:w="244" w:type="pct"/>
            <w:tcBorders>
              <w:top w:val="nil"/>
              <w:left w:val="nil"/>
              <w:bottom w:val="single" w:sz="4" w:space="0" w:color="auto"/>
              <w:right w:val="single" w:sz="4" w:space="0" w:color="auto"/>
            </w:tcBorders>
            <w:shd w:val="clear" w:color="auto" w:fill="auto"/>
            <w:vAlign w:val="center"/>
            <w:hideMark/>
          </w:tcPr>
          <w:p w14:paraId="05CA2FC6" w14:textId="2F7D60E4"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AKSHI, </w:t>
            </w:r>
            <w:r w:rsidR="002803F2" w:rsidRPr="00B457F5">
              <w:rPr>
                <w:rFonts w:ascii="Garamond" w:eastAsia="Times New Roman" w:hAnsi="Garamond" w:cs="Times New Roman"/>
                <w:sz w:val="4"/>
                <w:szCs w:val="10"/>
              </w:rPr>
              <w:t>donatorë, organizat</w:t>
            </w:r>
            <w:r w:rsidRPr="00B457F5">
              <w:rPr>
                <w:rFonts w:ascii="Garamond" w:eastAsia="Times New Roman" w:hAnsi="Garamond" w:cs="Times New Roman"/>
                <w:sz w:val="4"/>
                <w:szCs w:val="10"/>
              </w:rPr>
              <w:t xml:space="preserve">a </w:t>
            </w:r>
          </w:p>
        </w:tc>
        <w:tc>
          <w:tcPr>
            <w:tcW w:w="135" w:type="pct"/>
            <w:tcBorders>
              <w:top w:val="nil"/>
              <w:left w:val="nil"/>
              <w:bottom w:val="single" w:sz="4" w:space="0" w:color="auto"/>
              <w:right w:val="single" w:sz="4" w:space="0" w:color="auto"/>
            </w:tcBorders>
            <w:shd w:val="clear" w:color="000000" w:fill="DDEBF7"/>
            <w:vAlign w:val="center"/>
            <w:hideMark/>
          </w:tcPr>
          <w:p w14:paraId="38977E52"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2024</w:t>
            </w:r>
          </w:p>
        </w:tc>
        <w:tc>
          <w:tcPr>
            <w:tcW w:w="152" w:type="pct"/>
            <w:tcBorders>
              <w:top w:val="nil"/>
              <w:left w:val="nil"/>
              <w:bottom w:val="single" w:sz="4" w:space="0" w:color="auto"/>
              <w:right w:val="single" w:sz="4" w:space="0" w:color="auto"/>
            </w:tcBorders>
            <w:shd w:val="clear" w:color="000000" w:fill="DDEBF7"/>
            <w:vAlign w:val="center"/>
            <w:hideMark/>
          </w:tcPr>
          <w:p w14:paraId="26D5DCE4"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63" w:type="pct"/>
            <w:tcBorders>
              <w:top w:val="nil"/>
              <w:left w:val="nil"/>
              <w:bottom w:val="single" w:sz="4" w:space="0" w:color="auto"/>
              <w:right w:val="single" w:sz="4" w:space="0" w:color="auto"/>
            </w:tcBorders>
            <w:shd w:val="clear" w:color="auto" w:fill="auto"/>
            <w:vAlign w:val="center"/>
            <w:hideMark/>
          </w:tcPr>
          <w:p w14:paraId="7587ED2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575,475</w:t>
            </w:r>
          </w:p>
        </w:tc>
        <w:tc>
          <w:tcPr>
            <w:tcW w:w="155" w:type="pct"/>
            <w:tcBorders>
              <w:top w:val="nil"/>
              <w:left w:val="nil"/>
              <w:bottom w:val="single" w:sz="4" w:space="0" w:color="auto"/>
              <w:right w:val="single" w:sz="4" w:space="0" w:color="auto"/>
            </w:tcBorders>
            <w:shd w:val="clear" w:color="auto" w:fill="auto"/>
            <w:vAlign w:val="center"/>
            <w:hideMark/>
          </w:tcPr>
          <w:p w14:paraId="7AA187D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noWrap/>
            <w:vAlign w:val="center"/>
            <w:hideMark/>
          </w:tcPr>
          <w:p w14:paraId="21E6515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575,475</w:t>
            </w:r>
          </w:p>
        </w:tc>
        <w:tc>
          <w:tcPr>
            <w:tcW w:w="165" w:type="pct"/>
            <w:tcBorders>
              <w:top w:val="nil"/>
              <w:left w:val="nil"/>
              <w:bottom w:val="single" w:sz="4" w:space="0" w:color="auto"/>
              <w:right w:val="single" w:sz="4" w:space="0" w:color="auto"/>
            </w:tcBorders>
            <w:shd w:val="clear" w:color="auto" w:fill="auto"/>
            <w:vAlign w:val="center"/>
            <w:hideMark/>
          </w:tcPr>
          <w:p w14:paraId="1BCBAD5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575,475</w:t>
            </w:r>
          </w:p>
        </w:tc>
        <w:tc>
          <w:tcPr>
            <w:tcW w:w="163" w:type="pct"/>
            <w:tcBorders>
              <w:top w:val="nil"/>
              <w:left w:val="nil"/>
              <w:bottom w:val="single" w:sz="4" w:space="0" w:color="auto"/>
              <w:right w:val="single" w:sz="4" w:space="0" w:color="auto"/>
            </w:tcBorders>
            <w:shd w:val="clear" w:color="auto" w:fill="auto"/>
            <w:vAlign w:val="center"/>
            <w:hideMark/>
          </w:tcPr>
          <w:p w14:paraId="6FC656B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noWrap/>
            <w:vAlign w:val="center"/>
            <w:hideMark/>
          </w:tcPr>
          <w:p w14:paraId="26F9C8C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575,475</w:t>
            </w:r>
          </w:p>
        </w:tc>
        <w:tc>
          <w:tcPr>
            <w:tcW w:w="163" w:type="pct"/>
            <w:tcBorders>
              <w:top w:val="nil"/>
              <w:left w:val="nil"/>
              <w:bottom w:val="single" w:sz="4" w:space="0" w:color="auto"/>
              <w:right w:val="single" w:sz="4" w:space="0" w:color="auto"/>
            </w:tcBorders>
            <w:shd w:val="clear" w:color="auto" w:fill="auto"/>
            <w:vAlign w:val="center"/>
            <w:hideMark/>
          </w:tcPr>
          <w:p w14:paraId="5799595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575,475</w:t>
            </w:r>
          </w:p>
        </w:tc>
        <w:tc>
          <w:tcPr>
            <w:tcW w:w="148" w:type="pct"/>
            <w:tcBorders>
              <w:top w:val="nil"/>
              <w:left w:val="nil"/>
              <w:bottom w:val="single" w:sz="4" w:space="0" w:color="auto"/>
              <w:right w:val="single" w:sz="4" w:space="0" w:color="auto"/>
            </w:tcBorders>
            <w:shd w:val="clear" w:color="auto" w:fill="auto"/>
            <w:vAlign w:val="center"/>
            <w:hideMark/>
          </w:tcPr>
          <w:p w14:paraId="3104EB3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noWrap/>
            <w:vAlign w:val="center"/>
            <w:hideMark/>
          </w:tcPr>
          <w:p w14:paraId="24BFA46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575,475</w:t>
            </w:r>
          </w:p>
        </w:tc>
        <w:tc>
          <w:tcPr>
            <w:tcW w:w="165" w:type="pct"/>
            <w:tcBorders>
              <w:top w:val="nil"/>
              <w:left w:val="nil"/>
              <w:bottom w:val="single" w:sz="4" w:space="0" w:color="auto"/>
              <w:right w:val="single" w:sz="4" w:space="0" w:color="auto"/>
            </w:tcBorders>
            <w:shd w:val="clear" w:color="auto" w:fill="auto"/>
            <w:noWrap/>
            <w:vAlign w:val="center"/>
            <w:hideMark/>
          </w:tcPr>
          <w:p w14:paraId="6713931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1,726,425</w:t>
            </w:r>
          </w:p>
        </w:tc>
        <w:tc>
          <w:tcPr>
            <w:tcW w:w="163" w:type="pct"/>
            <w:tcBorders>
              <w:top w:val="nil"/>
              <w:left w:val="nil"/>
              <w:bottom w:val="single" w:sz="4" w:space="0" w:color="auto"/>
              <w:right w:val="single" w:sz="4" w:space="0" w:color="auto"/>
            </w:tcBorders>
            <w:shd w:val="clear" w:color="auto" w:fill="auto"/>
            <w:noWrap/>
            <w:vAlign w:val="center"/>
            <w:hideMark/>
          </w:tcPr>
          <w:p w14:paraId="74FF64C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noWrap/>
            <w:vAlign w:val="center"/>
            <w:hideMark/>
          </w:tcPr>
          <w:p w14:paraId="04C9E45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1,726,425</w:t>
            </w:r>
          </w:p>
        </w:tc>
        <w:tc>
          <w:tcPr>
            <w:tcW w:w="163" w:type="pct"/>
            <w:tcBorders>
              <w:top w:val="nil"/>
              <w:left w:val="nil"/>
              <w:bottom w:val="single" w:sz="4" w:space="0" w:color="auto"/>
              <w:right w:val="single" w:sz="4" w:space="0" w:color="auto"/>
            </w:tcBorders>
            <w:shd w:val="clear" w:color="auto" w:fill="auto"/>
            <w:noWrap/>
            <w:vAlign w:val="center"/>
            <w:hideMark/>
          </w:tcPr>
          <w:p w14:paraId="50497A0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1,726,425</w:t>
            </w:r>
          </w:p>
        </w:tc>
        <w:tc>
          <w:tcPr>
            <w:tcW w:w="155" w:type="pct"/>
            <w:tcBorders>
              <w:top w:val="nil"/>
              <w:left w:val="nil"/>
              <w:bottom w:val="single" w:sz="4" w:space="0" w:color="auto"/>
              <w:right w:val="single" w:sz="4" w:space="0" w:color="auto"/>
            </w:tcBorders>
            <w:shd w:val="clear" w:color="auto" w:fill="auto"/>
            <w:noWrap/>
            <w:vAlign w:val="center"/>
            <w:hideMark/>
          </w:tcPr>
          <w:p w14:paraId="2DDA4C2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noWrap/>
            <w:vAlign w:val="center"/>
            <w:hideMark/>
          </w:tcPr>
          <w:p w14:paraId="2AA7910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1,726,425</w:t>
            </w:r>
          </w:p>
        </w:tc>
        <w:tc>
          <w:tcPr>
            <w:tcW w:w="162" w:type="pct"/>
            <w:tcBorders>
              <w:top w:val="nil"/>
              <w:left w:val="nil"/>
              <w:bottom w:val="single" w:sz="4" w:space="0" w:color="auto"/>
              <w:right w:val="single" w:sz="4" w:space="0" w:color="auto"/>
            </w:tcBorders>
            <w:shd w:val="clear" w:color="auto" w:fill="auto"/>
            <w:noWrap/>
            <w:vAlign w:val="center"/>
            <w:hideMark/>
          </w:tcPr>
          <w:p w14:paraId="7973FA8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noWrap/>
            <w:vAlign w:val="center"/>
            <w:hideMark/>
          </w:tcPr>
          <w:p w14:paraId="7160163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noWrap/>
            <w:vAlign w:val="center"/>
            <w:hideMark/>
          </w:tcPr>
          <w:p w14:paraId="0E40325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noWrap/>
            <w:vAlign w:val="center"/>
            <w:hideMark/>
          </w:tcPr>
          <w:p w14:paraId="4FD7F3A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noWrap/>
            <w:vAlign w:val="center"/>
            <w:hideMark/>
          </w:tcPr>
          <w:p w14:paraId="2AABCC9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noWrap/>
            <w:vAlign w:val="center"/>
            <w:hideMark/>
          </w:tcPr>
          <w:p w14:paraId="1BD3FAF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noWrap/>
            <w:vAlign w:val="center"/>
            <w:hideMark/>
          </w:tcPr>
          <w:p w14:paraId="2E50C91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6C3EBFD5" w14:textId="6812365E"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2382B91B"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noWrap/>
            <w:vAlign w:val="center"/>
            <w:hideMark/>
          </w:tcPr>
          <w:p w14:paraId="7330C364"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2.2.3.2</w:t>
            </w:r>
          </w:p>
        </w:tc>
        <w:tc>
          <w:tcPr>
            <w:tcW w:w="281" w:type="pct"/>
            <w:tcBorders>
              <w:top w:val="nil"/>
              <w:left w:val="nil"/>
              <w:bottom w:val="single" w:sz="4" w:space="0" w:color="auto"/>
              <w:right w:val="single" w:sz="4" w:space="0" w:color="auto"/>
            </w:tcBorders>
            <w:shd w:val="clear" w:color="auto" w:fill="auto"/>
            <w:vAlign w:val="center"/>
            <w:hideMark/>
          </w:tcPr>
          <w:p w14:paraId="30C4D7F4" w14:textId="0E1731D4"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2.2.3.2 Përgatitje materialesh informuese dhe fushata informuese për publikun për</w:t>
            </w:r>
            <w:r w:rsidRPr="00B457F5">
              <w:rPr>
                <w:rFonts w:ascii="Garamond" w:eastAsia="Times New Roman" w:hAnsi="Garamond"/>
                <w:color w:val="000000"/>
                <w:sz w:val="4"/>
                <w:szCs w:val="10"/>
              </w:rPr>
              <w:t xml:space="preserve"> </w:t>
            </w:r>
            <w:r w:rsidRPr="00B457F5">
              <w:rPr>
                <w:rFonts w:ascii="Garamond" w:eastAsia="Times New Roman" w:hAnsi="Garamond" w:cs="Times New Roman"/>
                <w:color w:val="000000"/>
                <w:sz w:val="4"/>
                <w:szCs w:val="10"/>
              </w:rPr>
              <w:t>emigrantët shqiptarë</w:t>
            </w:r>
            <w:r w:rsidR="00FC441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potencialë për t</w:t>
            </w:r>
            <w:r w:rsidR="00E47A10"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u kthyer</w:t>
            </w:r>
            <w:r w:rsidR="00FC441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mbi mundësitë e tregut të punës në Shqipëri, si dhe adresa të zyrave të punësimit/</w:t>
            </w:r>
            <w:r w:rsidR="00FC441E" w:rsidRPr="00B457F5">
              <w:rPr>
                <w:rFonts w:ascii="Garamond" w:eastAsia="Times New Roman" w:hAnsi="Garamond" w:cs="Times New Roman"/>
                <w:color w:val="000000"/>
                <w:sz w:val="4"/>
                <w:szCs w:val="10"/>
              </w:rPr>
              <w:t xml:space="preserve">sportelet e migracionit </w:t>
            </w:r>
            <w:r w:rsidRPr="00B457F5">
              <w:rPr>
                <w:rFonts w:ascii="Garamond" w:eastAsia="Times New Roman" w:hAnsi="Garamond" w:cs="Times New Roman"/>
                <w:color w:val="000000"/>
                <w:sz w:val="4"/>
                <w:szCs w:val="10"/>
              </w:rPr>
              <w:t>(si dhe portalet), AIDA, strehimit, etj</w:t>
            </w:r>
            <w:r w:rsidR="00FC441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ku ata mund të drejtohen për të marrë këto shërbime</w:t>
            </w:r>
          </w:p>
        </w:tc>
        <w:tc>
          <w:tcPr>
            <w:tcW w:w="186" w:type="pct"/>
            <w:tcBorders>
              <w:top w:val="nil"/>
              <w:left w:val="nil"/>
              <w:bottom w:val="single" w:sz="4" w:space="0" w:color="auto"/>
              <w:right w:val="single" w:sz="4" w:space="0" w:color="auto"/>
            </w:tcBorders>
            <w:shd w:val="clear" w:color="auto" w:fill="auto"/>
            <w:vAlign w:val="center"/>
            <w:hideMark/>
          </w:tcPr>
          <w:p w14:paraId="0A9D729A" w14:textId="2F001116" w:rsidR="00C260C3" w:rsidRPr="00B457F5" w:rsidRDefault="00C260C3" w:rsidP="008E5BAD">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8E5BAD" w:rsidRPr="00B457F5">
              <w:rPr>
                <w:rFonts w:ascii="Garamond" w:eastAsia="Times New Roman" w:hAnsi="Garamond" w:cs="Times New Roman"/>
                <w:color w:val="FF0000"/>
                <w:sz w:val="4"/>
                <w:szCs w:val="10"/>
              </w:rPr>
              <w:t>Punës</w:t>
            </w:r>
          </w:p>
        </w:tc>
        <w:tc>
          <w:tcPr>
            <w:tcW w:w="169" w:type="pct"/>
            <w:tcBorders>
              <w:top w:val="nil"/>
              <w:left w:val="nil"/>
              <w:bottom w:val="single" w:sz="4" w:space="0" w:color="auto"/>
              <w:right w:val="single" w:sz="4" w:space="0" w:color="auto"/>
            </w:tcBorders>
            <w:shd w:val="clear" w:color="auto" w:fill="auto"/>
            <w:vAlign w:val="center"/>
            <w:hideMark/>
          </w:tcPr>
          <w:p w14:paraId="554231F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AKPA</w:t>
            </w:r>
          </w:p>
        </w:tc>
        <w:tc>
          <w:tcPr>
            <w:tcW w:w="244" w:type="pct"/>
            <w:tcBorders>
              <w:top w:val="nil"/>
              <w:left w:val="nil"/>
              <w:bottom w:val="single" w:sz="4" w:space="0" w:color="auto"/>
              <w:right w:val="single" w:sz="4" w:space="0" w:color="auto"/>
            </w:tcBorders>
            <w:shd w:val="clear" w:color="auto" w:fill="auto"/>
            <w:vAlign w:val="center"/>
            <w:hideMark/>
          </w:tcPr>
          <w:p w14:paraId="6782ED00" w14:textId="6BBC4CFA" w:rsidR="00C260C3" w:rsidRPr="00B457F5" w:rsidRDefault="002803F2"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color w:val="000000"/>
                <w:sz w:val="4"/>
                <w:szCs w:val="10"/>
              </w:rPr>
              <w:t>Ambasada e Mbretërisë së Bashkuar</w:t>
            </w:r>
          </w:p>
        </w:tc>
        <w:tc>
          <w:tcPr>
            <w:tcW w:w="135" w:type="pct"/>
            <w:tcBorders>
              <w:top w:val="nil"/>
              <w:left w:val="nil"/>
              <w:bottom w:val="single" w:sz="4" w:space="0" w:color="auto"/>
              <w:right w:val="single" w:sz="4" w:space="0" w:color="auto"/>
            </w:tcBorders>
            <w:shd w:val="clear" w:color="000000" w:fill="DDEBF7"/>
            <w:vAlign w:val="center"/>
            <w:hideMark/>
          </w:tcPr>
          <w:p w14:paraId="24CAFBE8"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2024</w:t>
            </w:r>
          </w:p>
        </w:tc>
        <w:tc>
          <w:tcPr>
            <w:tcW w:w="152" w:type="pct"/>
            <w:tcBorders>
              <w:top w:val="nil"/>
              <w:left w:val="nil"/>
              <w:bottom w:val="single" w:sz="4" w:space="0" w:color="auto"/>
              <w:right w:val="single" w:sz="4" w:space="0" w:color="auto"/>
            </w:tcBorders>
            <w:shd w:val="clear" w:color="000000" w:fill="DDEBF7"/>
            <w:vAlign w:val="center"/>
            <w:hideMark/>
          </w:tcPr>
          <w:p w14:paraId="1A2EC422"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63" w:type="pct"/>
            <w:tcBorders>
              <w:top w:val="nil"/>
              <w:left w:val="nil"/>
              <w:bottom w:val="single" w:sz="4" w:space="0" w:color="auto"/>
              <w:right w:val="single" w:sz="4" w:space="0" w:color="auto"/>
            </w:tcBorders>
            <w:shd w:val="clear" w:color="auto" w:fill="auto"/>
            <w:vAlign w:val="center"/>
            <w:hideMark/>
          </w:tcPr>
          <w:p w14:paraId="0F26FF7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672,000</w:t>
            </w:r>
          </w:p>
        </w:tc>
        <w:tc>
          <w:tcPr>
            <w:tcW w:w="155" w:type="pct"/>
            <w:tcBorders>
              <w:top w:val="nil"/>
              <w:left w:val="nil"/>
              <w:bottom w:val="single" w:sz="4" w:space="0" w:color="auto"/>
              <w:right w:val="single" w:sz="4" w:space="0" w:color="auto"/>
            </w:tcBorders>
            <w:shd w:val="clear" w:color="auto" w:fill="auto"/>
            <w:vAlign w:val="center"/>
            <w:hideMark/>
          </w:tcPr>
          <w:p w14:paraId="6622DA5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noWrap/>
            <w:vAlign w:val="center"/>
            <w:hideMark/>
          </w:tcPr>
          <w:p w14:paraId="621EDCD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672,000</w:t>
            </w:r>
          </w:p>
        </w:tc>
        <w:tc>
          <w:tcPr>
            <w:tcW w:w="165" w:type="pct"/>
            <w:tcBorders>
              <w:top w:val="nil"/>
              <w:left w:val="nil"/>
              <w:bottom w:val="single" w:sz="4" w:space="0" w:color="auto"/>
              <w:right w:val="single" w:sz="4" w:space="0" w:color="auto"/>
            </w:tcBorders>
            <w:shd w:val="clear" w:color="auto" w:fill="auto"/>
            <w:vAlign w:val="center"/>
            <w:hideMark/>
          </w:tcPr>
          <w:p w14:paraId="550C49B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672,000</w:t>
            </w:r>
          </w:p>
        </w:tc>
        <w:tc>
          <w:tcPr>
            <w:tcW w:w="163" w:type="pct"/>
            <w:tcBorders>
              <w:top w:val="nil"/>
              <w:left w:val="nil"/>
              <w:bottom w:val="single" w:sz="4" w:space="0" w:color="auto"/>
              <w:right w:val="single" w:sz="4" w:space="0" w:color="auto"/>
            </w:tcBorders>
            <w:shd w:val="clear" w:color="auto" w:fill="auto"/>
            <w:vAlign w:val="center"/>
            <w:hideMark/>
          </w:tcPr>
          <w:p w14:paraId="537541E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noWrap/>
            <w:vAlign w:val="center"/>
            <w:hideMark/>
          </w:tcPr>
          <w:p w14:paraId="546F2DB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672,000</w:t>
            </w:r>
          </w:p>
        </w:tc>
        <w:tc>
          <w:tcPr>
            <w:tcW w:w="163" w:type="pct"/>
            <w:tcBorders>
              <w:top w:val="nil"/>
              <w:left w:val="nil"/>
              <w:bottom w:val="single" w:sz="4" w:space="0" w:color="auto"/>
              <w:right w:val="single" w:sz="4" w:space="0" w:color="auto"/>
            </w:tcBorders>
            <w:shd w:val="clear" w:color="auto" w:fill="auto"/>
            <w:vAlign w:val="center"/>
            <w:hideMark/>
          </w:tcPr>
          <w:p w14:paraId="483A832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672,000</w:t>
            </w:r>
          </w:p>
        </w:tc>
        <w:tc>
          <w:tcPr>
            <w:tcW w:w="148" w:type="pct"/>
            <w:tcBorders>
              <w:top w:val="nil"/>
              <w:left w:val="nil"/>
              <w:bottom w:val="single" w:sz="4" w:space="0" w:color="auto"/>
              <w:right w:val="single" w:sz="4" w:space="0" w:color="auto"/>
            </w:tcBorders>
            <w:shd w:val="clear" w:color="auto" w:fill="auto"/>
            <w:vAlign w:val="center"/>
            <w:hideMark/>
          </w:tcPr>
          <w:p w14:paraId="07C7352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noWrap/>
            <w:vAlign w:val="center"/>
            <w:hideMark/>
          </w:tcPr>
          <w:p w14:paraId="00500BC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672,000</w:t>
            </w:r>
          </w:p>
        </w:tc>
        <w:tc>
          <w:tcPr>
            <w:tcW w:w="165" w:type="pct"/>
            <w:tcBorders>
              <w:top w:val="nil"/>
              <w:left w:val="nil"/>
              <w:bottom w:val="single" w:sz="4" w:space="0" w:color="auto"/>
              <w:right w:val="single" w:sz="4" w:space="0" w:color="auto"/>
            </w:tcBorders>
            <w:shd w:val="clear" w:color="auto" w:fill="auto"/>
            <w:noWrap/>
            <w:vAlign w:val="center"/>
            <w:hideMark/>
          </w:tcPr>
          <w:p w14:paraId="19E020D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2,016,000</w:t>
            </w:r>
          </w:p>
        </w:tc>
        <w:tc>
          <w:tcPr>
            <w:tcW w:w="163" w:type="pct"/>
            <w:tcBorders>
              <w:top w:val="nil"/>
              <w:left w:val="nil"/>
              <w:bottom w:val="single" w:sz="4" w:space="0" w:color="auto"/>
              <w:right w:val="single" w:sz="4" w:space="0" w:color="auto"/>
            </w:tcBorders>
            <w:shd w:val="clear" w:color="auto" w:fill="auto"/>
            <w:noWrap/>
            <w:vAlign w:val="center"/>
            <w:hideMark/>
          </w:tcPr>
          <w:p w14:paraId="4657B7C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noWrap/>
            <w:vAlign w:val="center"/>
            <w:hideMark/>
          </w:tcPr>
          <w:p w14:paraId="2E3180C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2,016,000</w:t>
            </w:r>
          </w:p>
        </w:tc>
        <w:tc>
          <w:tcPr>
            <w:tcW w:w="163" w:type="pct"/>
            <w:tcBorders>
              <w:top w:val="nil"/>
              <w:left w:val="nil"/>
              <w:bottom w:val="single" w:sz="4" w:space="0" w:color="auto"/>
              <w:right w:val="single" w:sz="4" w:space="0" w:color="auto"/>
            </w:tcBorders>
            <w:shd w:val="clear" w:color="auto" w:fill="auto"/>
            <w:noWrap/>
            <w:vAlign w:val="center"/>
            <w:hideMark/>
          </w:tcPr>
          <w:p w14:paraId="3C25FC2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noWrap/>
            <w:vAlign w:val="center"/>
            <w:hideMark/>
          </w:tcPr>
          <w:p w14:paraId="184838C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noWrap/>
            <w:vAlign w:val="center"/>
            <w:hideMark/>
          </w:tcPr>
          <w:p w14:paraId="25B7938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auto" w:fill="auto"/>
            <w:noWrap/>
            <w:vAlign w:val="center"/>
            <w:hideMark/>
          </w:tcPr>
          <w:p w14:paraId="0EA4267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2,016,000</w:t>
            </w:r>
          </w:p>
        </w:tc>
        <w:tc>
          <w:tcPr>
            <w:tcW w:w="155" w:type="pct"/>
            <w:tcBorders>
              <w:top w:val="nil"/>
              <w:left w:val="nil"/>
              <w:bottom w:val="single" w:sz="4" w:space="0" w:color="auto"/>
              <w:right w:val="single" w:sz="4" w:space="0" w:color="auto"/>
            </w:tcBorders>
            <w:shd w:val="clear" w:color="auto" w:fill="auto"/>
            <w:noWrap/>
            <w:vAlign w:val="center"/>
            <w:hideMark/>
          </w:tcPr>
          <w:p w14:paraId="4A65984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3690845C" w14:textId="42CCF0E1"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AMBASADA E MBRETERISE SE BASHKUAR</w:t>
            </w:r>
            <w:r w:rsidR="0006016F" w:rsidRPr="00B457F5">
              <w:rPr>
                <w:rFonts w:ascii="Garamond" w:eastAsia="Times New Roman" w:hAnsi="Garamond" w:cs="Times New Roman"/>
                <w:color w:val="000000"/>
                <w:sz w:val="4"/>
                <w:szCs w:val="10"/>
              </w:rPr>
              <w:t xml:space="preserve"> </w:t>
            </w:r>
          </w:p>
        </w:tc>
        <w:tc>
          <w:tcPr>
            <w:tcW w:w="163" w:type="pct"/>
            <w:tcBorders>
              <w:top w:val="nil"/>
              <w:left w:val="nil"/>
              <w:bottom w:val="single" w:sz="4" w:space="0" w:color="auto"/>
              <w:right w:val="single" w:sz="4" w:space="0" w:color="auto"/>
            </w:tcBorders>
            <w:shd w:val="clear" w:color="000000" w:fill="FFF2CC"/>
            <w:noWrap/>
            <w:vAlign w:val="center"/>
            <w:hideMark/>
          </w:tcPr>
          <w:p w14:paraId="613294B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2,016,000</w:t>
            </w:r>
          </w:p>
        </w:tc>
        <w:tc>
          <w:tcPr>
            <w:tcW w:w="139" w:type="pct"/>
            <w:tcBorders>
              <w:top w:val="nil"/>
              <w:left w:val="nil"/>
              <w:bottom w:val="single" w:sz="4" w:space="0" w:color="auto"/>
              <w:right w:val="single" w:sz="4" w:space="0" w:color="auto"/>
            </w:tcBorders>
            <w:shd w:val="clear" w:color="auto" w:fill="auto"/>
            <w:noWrap/>
            <w:vAlign w:val="center"/>
            <w:hideMark/>
          </w:tcPr>
          <w:p w14:paraId="6C7FFB6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noWrap/>
            <w:vAlign w:val="center"/>
            <w:hideMark/>
          </w:tcPr>
          <w:p w14:paraId="04DCB73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noWrap/>
            <w:vAlign w:val="center"/>
            <w:hideMark/>
          </w:tcPr>
          <w:p w14:paraId="226CE11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460406B9" w14:textId="1DBCAE5C"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6F0C7EC2"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noWrap/>
            <w:vAlign w:val="center"/>
            <w:hideMark/>
          </w:tcPr>
          <w:p w14:paraId="690408BD"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2.2.3.3</w:t>
            </w:r>
          </w:p>
        </w:tc>
        <w:tc>
          <w:tcPr>
            <w:tcW w:w="281" w:type="pct"/>
            <w:tcBorders>
              <w:top w:val="nil"/>
              <w:left w:val="nil"/>
              <w:bottom w:val="single" w:sz="4" w:space="0" w:color="auto"/>
              <w:right w:val="single" w:sz="4" w:space="0" w:color="auto"/>
            </w:tcBorders>
            <w:shd w:val="clear" w:color="auto" w:fill="auto"/>
            <w:vAlign w:val="center"/>
            <w:hideMark/>
          </w:tcPr>
          <w:p w14:paraId="5AD022E2" w14:textId="51C8E54A"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2.2.3.3 Ndërveprim di</w:t>
            </w:r>
            <w:r w:rsidR="00FC441E" w:rsidRPr="00B457F5">
              <w:rPr>
                <w:rFonts w:ascii="Garamond" w:eastAsia="Times New Roman" w:hAnsi="Garamond" w:cs="Times New Roman"/>
                <w:color w:val="000000"/>
                <w:sz w:val="4"/>
                <w:szCs w:val="10"/>
              </w:rPr>
              <w:t>gj</w:t>
            </w:r>
            <w:r w:rsidRPr="00B457F5">
              <w:rPr>
                <w:rFonts w:ascii="Garamond" w:eastAsia="Times New Roman" w:hAnsi="Garamond" w:cs="Times New Roman"/>
                <w:color w:val="000000"/>
                <w:sz w:val="4"/>
                <w:szCs w:val="10"/>
              </w:rPr>
              <w:t xml:space="preserve">ital (dritare në </w:t>
            </w:r>
            <w:r w:rsidRPr="00B457F5">
              <w:rPr>
                <w:rFonts w:ascii="Garamond" w:eastAsia="Times New Roman" w:hAnsi="Garamond" w:cs="Times New Roman"/>
                <w:i/>
                <w:color w:val="000000"/>
                <w:sz w:val="4"/>
                <w:szCs w:val="10"/>
              </w:rPr>
              <w:t>website</w:t>
            </w:r>
            <w:r w:rsidRPr="00B457F5">
              <w:rPr>
                <w:rFonts w:ascii="Garamond" w:eastAsia="Times New Roman" w:hAnsi="Garamond" w:cs="Times New Roman"/>
                <w:color w:val="000000"/>
                <w:sz w:val="4"/>
                <w:szCs w:val="10"/>
              </w:rPr>
              <w:t>-n e riintegr</w:t>
            </w:r>
            <w:r w:rsidR="00FC441E" w:rsidRPr="00B457F5">
              <w:rPr>
                <w:rFonts w:ascii="Garamond" w:eastAsia="Times New Roman" w:hAnsi="Garamond" w:cs="Times New Roman"/>
                <w:color w:val="000000"/>
                <w:sz w:val="4"/>
                <w:szCs w:val="10"/>
              </w:rPr>
              <w:t>im</w:t>
            </w:r>
            <w:r w:rsidRPr="00B457F5">
              <w:rPr>
                <w:rFonts w:ascii="Garamond" w:eastAsia="Times New Roman" w:hAnsi="Garamond" w:cs="Times New Roman"/>
                <w:color w:val="000000"/>
                <w:sz w:val="4"/>
                <w:szCs w:val="10"/>
              </w:rPr>
              <w:t>it) me emigrantët shqiptarë dhe të rikthyer</w:t>
            </w:r>
            <w:r w:rsidR="00FC441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me qëllim informimin e tyre për mundësitë dhe shërbimet</w:t>
            </w:r>
          </w:p>
        </w:tc>
        <w:tc>
          <w:tcPr>
            <w:tcW w:w="186" w:type="pct"/>
            <w:tcBorders>
              <w:top w:val="nil"/>
              <w:left w:val="nil"/>
              <w:bottom w:val="single" w:sz="4" w:space="0" w:color="auto"/>
              <w:right w:val="single" w:sz="4" w:space="0" w:color="auto"/>
            </w:tcBorders>
            <w:shd w:val="clear" w:color="auto" w:fill="auto"/>
            <w:vAlign w:val="center"/>
            <w:hideMark/>
          </w:tcPr>
          <w:p w14:paraId="7DD72B56" w14:textId="061A0949" w:rsidR="00C260C3" w:rsidRPr="00B457F5" w:rsidRDefault="00C260C3" w:rsidP="008E5BAD">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8E5BAD" w:rsidRPr="00B457F5">
              <w:rPr>
                <w:rFonts w:ascii="Garamond" w:eastAsia="Times New Roman" w:hAnsi="Garamond" w:cs="Times New Roman"/>
                <w:color w:val="FF0000"/>
                <w:sz w:val="4"/>
                <w:szCs w:val="10"/>
              </w:rPr>
              <w:t>Punës</w:t>
            </w:r>
          </w:p>
        </w:tc>
        <w:tc>
          <w:tcPr>
            <w:tcW w:w="169" w:type="pct"/>
            <w:tcBorders>
              <w:top w:val="nil"/>
              <w:left w:val="nil"/>
              <w:bottom w:val="single" w:sz="4" w:space="0" w:color="auto"/>
              <w:right w:val="single" w:sz="4" w:space="0" w:color="auto"/>
            </w:tcBorders>
            <w:shd w:val="clear" w:color="auto" w:fill="auto"/>
            <w:vAlign w:val="center"/>
            <w:hideMark/>
          </w:tcPr>
          <w:p w14:paraId="42A6906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MEKI, AKPA</w:t>
            </w:r>
          </w:p>
        </w:tc>
        <w:tc>
          <w:tcPr>
            <w:tcW w:w="244" w:type="pct"/>
            <w:tcBorders>
              <w:top w:val="nil"/>
              <w:left w:val="nil"/>
              <w:bottom w:val="single" w:sz="4" w:space="0" w:color="auto"/>
              <w:right w:val="single" w:sz="4" w:space="0" w:color="auto"/>
            </w:tcBorders>
            <w:shd w:val="clear" w:color="auto" w:fill="auto"/>
            <w:vAlign w:val="center"/>
            <w:hideMark/>
          </w:tcPr>
          <w:p w14:paraId="0AFDC91C" w14:textId="465A3D73"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 AKSHI, </w:t>
            </w:r>
            <w:r w:rsidR="002803F2" w:rsidRPr="00B457F5">
              <w:rPr>
                <w:rFonts w:ascii="Garamond" w:eastAsia="Times New Roman" w:hAnsi="Garamond" w:cs="Times New Roman"/>
                <w:color w:val="000000"/>
                <w:sz w:val="4"/>
                <w:szCs w:val="10"/>
              </w:rPr>
              <w:t>Ambasada e Mbretërisë së Bashkuar</w:t>
            </w:r>
          </w:p>
        </w:tc>
        <w:tc>
          <w:tcPr>
            <w:tcW w:w="135" w:type="pct"/>
            <w:tcBorders>
              <w:top w:val="nil"/>
              <w:left w:val="nil"/>
              <w:bottom w:val="single" w:sz="4" w:space="0" w:color="auto"/>
              <w:right w:val="single" w:sz="4" w:space="0" w:color="auto"/>
            </w:tcBorders>
            <w:shd w:val="clear" w:color="000000" w:fill="DDEBF7"/>
            <w:vAlign w:val="center"/>
            <w:hideMark/>
          </w:tcPr>
          <w:p w14:paraId="4518F1EA"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2024</w:t>
            </w:r>
          </w:p>
        </w:tc>
        <w:tc>
          <w:tcPr>
            <w:tcW w:w="152" w:type="pct"/>
            <w:tcBorders>
              <w:top w:val="nil"/>
              <w:left w:val="nil"/>
              <w:bottom w:val="single" w:sz="4" w:space="0" w:color="auto"/>
              <w:right w:val="single" w:sz="4" w:space="0" w:color="auto"/>
            </w:tcBorders>
            <w:shd w:val="clear" w:color="000000" w:fill="DDEBF7"/>
            <w:vAlign w:val="center"/>
            <w:hideMark/>
          </w:tcPr>
          <w:p w14:paraId="6905876E"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63" w:type="pct"/>
            <w:tcBorders>
              <w:top w:val="nil"/>
              <w:left w:val="nil"/>
              <w:bottom w:val="single" w:sz="4" w:space="0" w:color="auto"/>
              <w:right w:val="single" w:sz="4" w:space="0" w:color="auto"/>
            </w:tcBorders>
            <w:shd w:val="clear" w:color="auto" w:fill="auto"/>
            <w:vAlign w:val="center"/>
            <w:hideMark/>
          </w:tcPr>
          <w:p w14:paraId="1429769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696,000</w:t>
            </w:r>
          </w:p>
        </w:tc>
        <w:tc>
          <w:tcPr>
            <w:tcW w:w="155" w:type="pct"/>
            <w:tcBorders>
              <w:top w:val="nil"/>
              <w:left w:val="nil"/>
              <w:bottom w:val="single" w:sz="4" w:space="0" w:color="auto"/>
              <w:right w:val="single" w:sz="4" w:space="0" w:color="auto"/>
            </w:tcBorders>
            <w:shd w:val="clear" w:color="auto" w:fill="auto"/>
            <w:vAlign w:val="center"/>
            <w:hideMark/>
          </w:tcPr>
          <w:p w14:paraId="15B7E48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noWrap/>
            <w:vAlign w:val="center"/>
            <w:hideMark/>
          </w:tcPr>
          <w:p w14:paraId="4AC6450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696,000</w:t>
            </w:r>
          </w:p>
        </w:tc>
        <w:tc>
          <w:tcPr>
            <w:tcW w:w="165" w:type="pct"/>
            <w:tcBorders>
              <w:top w:val="nil"/>
              <w:left w:val="nil"/>
              <w:bottom w:val="single" w:sz="4" w:space="0" w:color="auto"/>
              <w:right w:val="single" w:sz="4" w:space="0" w:color="auto"/>
            </w:tcBorders>
            <w:shd w:val="clear" w:color="auto" w:fill="auto"/>
            <w:vAlign w:val="center"/>
            <w:hideMark/>
          </w:tcPr>
          <w:p w14:paraId="3352729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696,000</w:t>
            </w:r>
          </w:p>
        </w:tc>
        <w:tc>
          <w:tcPr>
            <w:tcW w:w="163" w:type="pct"/>
            <w:tcBorders>
              <w:top w:val="nil"/>
              <w:left w:val="nil"/>
              <w:bottom w:val="single" w:sz="4" w:space="0" w:color="auto"/>
              <w:right w:val="single" w:sz="4" w:space="0" w:color="auto"/>
            </w:tcBorders>
            <w:shd w:val="clear" w:color="auto" w:fill="auto"/>
            <w:vAlign w:val="center"/>
            <w:hideMark/>
          </w:tcPr>
          <w:p w14:paraId="7D03A16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noWrap/>
            <w:vAlign w:val="center"/>
            <w:hideMark/>
          </w:tcPr>
          <w:p w14:paraId="0F552C9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696,000</w:t>
            </w:r>
          </w:p>
        </w:tc>
        <w:tc>
          <w:tcPr>
            <w:tcW w:w="163" w:type="pct"/>
            <w:tcBorders>
              <w:top w:val="nil"/>
              <w:left w:val="nil"/>
              <w:bottom w:val="single" w:sz="4" w:space="0" w:color="auto"/>
              <w:right w:val="single" w:sz="4" w:space="0" w:color="auto"/>
            </w:tcBorders>
            <w:shd w:val="clear" w:color="auto" w:fill="auto"/>
            <w:vAlign w:val="center"/>
            <w:hideMark/>
          </w:tcPr>
          <w:p w14:paraId="519B794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696,000</w:t>
            </w:r>
          </w:p>
        </w:tc>
        <w:tc>
          <w:tcPr>
            <w:tcW w:w="148" w:type="pct"/>
            <w:tcBorders>
              <w:top w:val="nil"/>
              <w:left w:val="nil"/>
              <w:bottom w:val="single" w:sz="4" w:space="0" w:color="auto"/>
              <w:right w:val="single" w:sz="4" w:space="0" w:color="auto"/>
            </w:tcBorders>
            <w:shd w:val="clear" w:color="auto" w:fill="auto"/>
            <w:vAlign w:val="center"/>
            <w:hideMark/>
          </w:tcPr>
          <w:p w14:paraId="5488D1B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noWrap/>
            <w:vAlign w:val="center"/>
            <w:hideMark/>
          </w:tcPr>
          <w:p w14:paraId="1FE23E6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696,000</w:t>
            </w:r>
          </w:p>
        </w:tc>
        <w:tc>
          <w:tcPr>
            <w:tcW w:w="165" w:type="pct"/>
            <w:tcBorders>
              <w:top w:val="nil"/>
              <w:left w:val="nil"/>
              <w:bottom w:val="single" w:sz="4" w:space="0" w:color="auto"/>
              <w:right w:val="single" w:sz="4" w:space="0" w:color="auto"/>
            </w:tcBorders>
            <w:shd w:val="clear" w:color="auto" w:fill="auto"/>
            <w:noWrap/>
            <w:vAlign w:val="center"/>
            <w:hideMark/>
          </w:tcPr>
          <w:p w14:paraId="45810F5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2,088,000</w:t>
            </w:r>
          </w:p>
        </w:tc>
        <w:tc>
          <w:tcPr>
            <w:tcW w:w="163" w:type="pct"/>
            <w:tcBorders>
              <w:top w:val="nil"/>
              <w:left w:val="nil"/>
              <w:bottom w:val="single" w:sz="4" w:space="0" w:color="auto"/>
              <w:right w:val="single" w:sz="4" w:space="0" w:color="auto"/>
            </w:tcBorders>
            <w:shd w:val="clear" w:color="auto" w:fill="auto"/>
            <w:noWrap/>
            <w:vAlign w:val="center"/>
            <w:hideMark/>
          </w:tcPr>
          <w:p w14:paraId="03359A1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noWrap/>
            <w:vAlign w:val="center"/>
            <w:hideMark/>
          </w:tcPr>
          <w:p w14:paraId="3A64AA3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2,088,000</w:t>
            </w:r>
          </w:p>
        </w:tc>
        <w:tc>
          <w:tcPr>
            <w:tcW w:w="163" w:type="pct"/>
            <w:tcBorders>
              <w:top w:val="nil"/>
              <w:left w:val="nil"/>
              <w:bottom w:val="single" w:sz="4" w:space="0" w:color="auto"/>
              <w:right w:val="single" w:sz="4" w:space="0" w:color="auto"/>
            </w:tcBorders>
            <w:shd w:val="clear" w:color="auto" w:fill="auto"/>
            <w:noWrap/>
            <w:vAlign w:val="center"/>
            <w:hideMark/>
          </w:tcPr>
          <w:p w14:paraId="42E2B54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noWrap/>
            <w:vAlign w:val="center"/>
            <w:hideMark/>
          </w:tcPr>
          <w:p w14:paraId="0E50751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noWrap/>
            <w:vAlign w:val="center"/>
            <w:hideMark/>
          </w:tcPr>
          <w:p w14:paraId="3FA83A6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auto" w:fill="auto"/>
            <w:noWrap/>
            <w:vAlign w:val="center"/>
            <w:hideMark/>
          </w:tcPr>
          <w:p w14:paraId="33D5A63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2,088,000</w:t>
            </w:r>
          </w:p>
        </w:tc>
        <w:tc>
          <w:tcPr>
            <w:tcW w:w="155" w:type="pct"/>
            <w:tcBorders>
              <w:top w:val="nil"/>
              <w:left w:val="nil"/>
              <w:bottom w:val="single" w:sz="4" w:space="0" w:color="auto"/>
              <w:right w:val="single" w:sz="4" w:space="0" w:color="auto"/>
            </w:tcBorders>
            <w:shd w:val="clear" w:color="auto" w:fill="auto"/>
            <w:noWrap/>
            <w:vAlign w:val="center"/>
            <w:hideMark/>
          </w:tcPr>
          <w:p w14:paraId="2655435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3004905C" w14:textId="209D7A39"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AMBASADA E MBRETERISE SE BASHKUAR</w:t>
            </w:r>
            <w:r w:rsidR="0006016F" w:rsidRPr="00B457F5">
              <w:rPr>
                <w:rFonts w:ascii="Garamond" w:eastAsia="Times New Roman" w:hAnsi="Garamond" w:cs="Times New Roman"/>
                <w:color w:val="000000"/>
                <w:sz w:val="4"/>
                <w:szCs w:val="10"/>
              </w:rPr>
              <w:t xml:space="preserve"> </w:t>
            </w:r>
          </w:p>
        </w:tc>
        <w:tc>
          <w:tcPr>
            <w:tcW w:w="163" w:type="pct"/>
            <w:tcBorders>
              <w:top w:val="nil"/>
              <w:left w:val="nil"/>
              <w:bottom w:val="single" w:sz="4" w:space="0" w:color="auto"/>
              <w:right w:val="single" w:sz="4" w:space="0" w:color="auto"/>
            </w:tcBorders>
            <w:shd w:val="clear" w:color="000000" w:fill="FFF2CC"/>
            <w:noWrap/>
            <w:vAlign w:val="center"/>
            <w:hideMark/>
          </w:tcPr>
          <w:p w14:paraId="3A22DEA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2,088,000</w:t>
            </w:r>
          </w:p>
        </w:tc>
        <w:tc>
          <w:tcPr>
            <w:tcW w:w="139" w:type="pct"/>
            <w:tcBorders>
              <w:top w:val="nil"/>
              <w:left w:val="nil"/>
              <w:bottom w:val="single" w:sz="4" w:space="0" w:color="auto"/>
              <w:right w:val="single" w:sz="4" w:space="0" w:color="auto"/>
            </w:tcBorders>
            <w:shd w:val="clear" w:color="auto" w:fill="auto"/>
            <w:noWrap/>
            <w:vAlign w:val="center"/>
            <w:hideMark/>
          </w:tcPr>
          <w:p w14:paraId="66C4A69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noWrap/>
            <w:vAlign w:val="center"/>
            <w:hideMark/>
          </w:tcPr>
          <w:p w14:paraId="2137438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noWrap/>
            <w:vAlign w:val="center"/>
            <w:hideMark/>
          </w:tcPr>
          <w:p w14:paraId="60272C2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59D582EC" w14:textId="6A79BCB6"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53884593"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noWrap/>
            <w:vAlign w:val="center"/>
            <w:hideMark/>
          </w:tcPr>
          <w:p w14:paraId="4D67CF50"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2.2.3.4</w:t>
            </w:r>
          </w:p>
        </w:tc>
        <w:tc>
          <w:tcPr>
            <w:tcW w:w="281" w:type="pct"/>
            <w:tcBorders>
              <w:top w:val="nil"/>
              <w:left w:val="nil"/>
              <w:bottom w:val="single" w:sz="4" w:space="0" w:color="auto"/>
              <w:right w:val="single" w:sz="4" w:space="0" w:color="auto"/>
            </w:tcBorders>
            <w:shd w:val="clear" w:color="auto" w:fill="auto"/>
            <w:vAlign w:val="center"/>
            <w:hideMark/>
          </w:tcPr>
          <w:p w14:paraId="22890D33" w14:textId="231126F8"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2.2.3.4 Hartëzim dhe reflektim në </w:t>
            </w:r>
            <w:r w:rsidRPr="00B457F5">
              <w:rPr>
                <w:rFonts w:ascii="Garamond" w:eastAsia="Times New Roman" w:hAnsi="Garamond" w:cs="Times New Roman"/>
                <w:i/>
                <w:color w:val="000000"/>
                <w:sz w:val="4"/>
                <w:szCs w:val="10"/>
              </w:rPr>
              <w:t>website</w:t>
            </w:r>
            <w:r w:rsidRPr="00B457F5">
              <w:rPr>
                <w:rFonts w:ascii="Garamond" w:eastAsia="Times New Roman" w:hAnsi="Garamond" w:cs="Times New Roman"/>
                <w:color w:val="000000"/>
                <w:sz w:val="4"/>
                <w:szCs w:val="10"/>
              </w:rPr>
              <w:t>-n e riintegrimit të të gjithë organizatave joqeveritare brenda dhe jashtë vendit (në vendet ku ka emigrantë shqiptarë)</w:t>
            </w:r>
            <w:r w:rsidR="00FC441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që ofrojnë shërbime për të rikthyerit</w:t>
            </w:r>
          </w:p>
        </w:tc>
        <w:tc>
          <w:tcPr>
            <w:tcW w:w="186" w:type="pct"/>
            <w:tcBorders>
              <w:top w:val="nil"/>
              <w:left w:val="nil"/>
              <w:bottom w:val="single" w:sz="4" w:space="0" w:color="auto"/>
              <w:right w:val="single" w:sz="4" w:space="0" w:color="auto"/>
            </w:tcBorders>
            <w:shd w:val="clear" w:color="auto" w:fill="auto"/>
            <w:vAlign w:val="center"/>
            <w:hideMark/>
          </w:tcPr>
          <w:p w14:paraId="7ECC2EE5" w14:textId="0C0902FA" w:rsidR="00C260C3" w:rsidRPr="00B457F5" w:rsidRDefault="00C260C3" w:rsidP="008E5BAD">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8E5BAD" w:rsidRPr="00B457F5">
              <w:rPr>
                <w:rFonts w:ascii="Garamond" w:eastAsia="Times New Roman" w:hAnsi="Garamond" w:cs="Times New Roman"/>
                <w:color w:val="FF0000"/>
                <w:sz w:val="4"/>
                <w:szCs w:val="10"/>
              </w:rPr>
              <w:t>Punës</w:t>
            </w:r>
          </w:p>
        </w:tc>
        <w:tc>
          <w:tcPr>
            <w:tcW w:w="169" w:type="pct"/>
            <w:tcBorders>
              <w:top w:val="nil"/>
              <w:left w:val="nil"/>
              <w:bottom w:val="single" w:sz="4" w:space="0" w:color="auto"/>
              <w:right w:val="single" w:sz="4" w:space="0" w:color="auto"/>
            </w:tcBorders>
            <w:shd w:val="clear" w:color="auto" w:fill="auto"/>
            <w:vAlign w:val="center"/>
            <w:hideMark/>
          </w:tcPr>
          <w:p w14:paraId="7A30116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MEKI, AKPA</w:t>
            </w:r>
          </w:p>
        </w:tc>
        <w:tc>
          <w:tcPr>
            <w:tcW w:w="244" w:type="pct"/>
            <w:tcBorders>
              <w:top w:val="nil"/>
              <w:left w:val="nil"/>
              <w:bottom w:val="single" w:sz="4" w:space="0" w:color="auto"/>
              <w:right w:val="single" w:sz="4" w:space="0" w:color="auto"/>
            </w:tcBorders>
            <w:shd w:val="clear" w:color="auto" w:fill="auto"/>
            <w:vAlign w:val="center"/>
            <w:hideMark/>
          </w:tcPr>
          <w:p w14:paraId="2119AE1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AKSHI</w:t>
            </w:r>
          </w:p>
        </w:tc>
        <w:tc>
          <w:tcPr>
            <w:tcW w:w="135" w:type="pct"/>
            <w:tcBorders>
              <w:top w:val="nil"/>
              <w:left w:val="nil"/>
              <w:bottom w:val="single" w:sz="4" w:space="0" w:color="auto"/>
              <w:right w:val="single" w:sz="4" w:space="0" w:color="auto"/>
            </w:tcBorders>
            <w:shd w:val="clear" w:color="000000" w:fill="DDEBF7"/>
            <w:vAlign w:val="center"/>
            <w:hideMark/>
          </w:tcPr>
          <w:p w14:paraId="71393977"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2024</w:t>
            </w:r>
          </w:p>
        </w:tc>
        <w:tc>
          <w:tcPr>
            <w:tcW w:w="152" w:type="pct"/>
            <w:tcBorders>
              <w:top w:val="nil"/>
              <w:left w:val="nil"/>
              <w:bottom w:val="single" w:sz="4" w:space="0" w:color="auto"/>
              <w:right w:val="single" w:sz="4" w:space="0" w:color="auto"/>
            </w:tcBorders>
            <w:shd w:val="clear" w:color="000000" w:fill="DDEBF7"/>
            <w:vAlign w:val="center"/>
            <w:hideMark/>
          </w:tcPr>
          <w:p w14:paraId="3B5E8D8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63" w:type="pct"/>
            <w:tcBorders>
              <w:top w:val="nil"/>
              <w:left w:val="nil"/>
              <w:bottom w:val="single" w:sz="4" w:space="0" w:color="auto"/>
              <w:right w:val="single" w:sz="4" w:space="0" w:color="auto"/>
            </w:tcBorders>
            <w:shd w:val="clear" w:color="auto" w:fill="auto"/>
            <w:vAlign w:val="center"/>
            <w:hideMark/>
          </w:tcPr>
          <w:p w14:paraId="356770B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532,046</w:t>
            </w:r>
          </w:p>
        </w:tc>
        <w:tc>
          <w:tcPr>
            <w:tcW w:w="155" w:type="pct"/>
            <w:tcBorders>
              <w:top w:val="nil"/>
              <w:left w:val="nil"/>
              <w:bottom w:val="single" w:sz="4" w:space="0" w:color="auto"/>
              <w:right w:val="single" w:sz="4" w:space="0" w:color="auto"/>
            </w:tcBorders>
            <w:shd w:val="clear" w:color="auto" w:fill="auto"/>
            <w:vAlign w:val="center"/>
            <w:hideMark/>
          </w:tcPr>
          <w:p w14:paraId="5C5B268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noWrap/>
            <w:vAlign w:val="center"/>
            <w:hideMark/>
          </w:tcPr>
          <w:p w14:paraId="2FE2801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532,046</w:t>
            </w:r>
          </w:p>
        </w:tc>
        <w:tc>
          <w:tcPr>
            <w:tcW w:w="165" w:type="pct"/>
            <w:tcBorders>
              <w:top w:val="nil"/>
              <w:left w:val="nil"/>
              <w:bottom w:val="single" w:sz="4" w:space="0" w:color="auto"/>
              <w:right w:val="single" w:sz="4" w:space="0" w:color="auto"/>
            </w:tcBorders>
            <w:shd w:val="clear" w:color="auto" w:fill="auto"/>
            <w:vAlign w:val="center"/>
            <w:hideMark/>
          </w:tcPr>
          <w:p w14:paraId="1F587A7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532,046</w:t>
            </w:r>
          </w:p>
        </w:tc>
        <w:tc>
          <w:tcPr>
            <w:tcW w:w="163" w:type="pct"/>
            <w:tcBorders>
              <w:top w:val="nil"/>
              <w:left w:val="nil"/>
              <w:bottom w:val="single" w:sz="4" w:space="0" w:color="auto"/>
              <w:right w:val="single" w:sz="4" w:space="0" w:color="auto"/>
            </w:tcBorders>
            <w:shd w:val="clear" w:color="auto" w:fill="auto"/>
            <w:vAlign w:val="center"/>
            <w:hideMark/>
          </w:tcPr>
          <w:p w14:paraId="205E58E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noWrap/>
            <w:vAlign w:val="center"/>
            <w:hideMark/>
          </w:tcPr>
          <w:p w14:paraId="5E86836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532,046</w:t>
            </w:r>
          </w:p>
        </w:tc>
        <w:tc>
          <w:tcPr>
            <w:tcW w:w="163" w:type="pct"/>
            <w:tcBorders>
              <w:top w:val="nil"/>
              <w:left w:val="nil"/>
              <w:bottom w:val="single" w:sz="4" w:space="0" w:color="auto"/>
              <w:right w:val="single" w:sz="4" w:space="0" w:color="auto"/>
            </w:tcBorders>
            <w:shd w:val="clear" w:color="auto" w:fill="auto"/>
            <w:vAlign w:val="center"/>
            <w:hideMark/>
          </w:tcPr>
          <w:p w14:paraId="696C7B5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532,046</w:t>
            </w:r>
          </w:p>
        </w:tc>
        <w:tc>
          <w:tcPr>
            <w:tcW w:w="148" w:type="pct"/>
            <w:tcBorders>
              <w:top w:val="nil"/>
              <w:left w:val="nil"/>
              <w:bottom w:val="single" w:sz="4" w:space="0" w:color="auto"/>
              <w:right w:val="single" w:sz="4" w:space="0" w:color="auto"/>
            </w:tcBorders>
            <w:shd w:val="clear" w:color="auto" w:fill="auto"/>
            <w:vAlign w:val="center"/>
            <w:hideMark/>
          </w:tcPr>
          <w:p w14:paraId="01C549F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noWrap/>
            <w:vAlign w:val="center"/>
            <w:hideMark/>
          </w:tcPr>
          <w:p w14:paraId="08B2945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532,046</w:t>
            </w:r>
          </w:p>
        </w:tc>
        <w:tc>
          <w:tcPr>
            <w:tcW w:w="165" w:type="pct"/>
            <w:tcBorders>
              <w:top w:val="nil"/>
              <w:left w:val="nil"/>
              <w:bottom w:val="single" w:sz="4" w:space="0" w:color="auto"/>
              <w:right w:val="single" w:sz="4" w:space="0" w:color="auto"/>
            </w:tcBorders>
            <w:shd w:val="clear" w:color="auto" w:fill="auto"/>
            <w:noWrap/>
            <w:vAlign w:val="center"/>
            <w:hideMark/>
          </w:tcPr>
          <w:p w14:paraId="45F2B09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1,596,138</w:t>
            </w:r>
          </w:p>
        </w:tc>
        <w:tc>
          <w:tcPr>
            <w:tcW w:w="163" w:type="pct"/>
            <w:tcBorders>
              <w:top w:val="nil"/>
              <w:left w:val="nil"/>
              <w:bottom w:val="single" w:sz="4" w:space="0" w:color="auto"/>
              <w:right w:val="single" w:sz="4" w:space="0" w:color="auto"/>
            </w:tcBorders>
            <w:shd w:val="clear" w:color="auto" w:fill="auto"/>
            <w:noWrap/>
            <w:vAlign w:val="center"/>
            <w:hideMark/>
          </w:tcPr>
          <w:p w14:paraId="0A6E7F6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noWrap/>
            <w:vAlign w:val="center"/>
            <w:hideMark/>
          </w:tcPr>
          <w:p w14:paraId="4C1A26B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1,596,138</w:t>
            </w:r>
          </w:p>
        </w:tc>
        <w:tc>
          <w:tcPr>
            <w:tcW w:w="163" w:type="pct"/>
            <w:tcBorders>
              <w:top w:val="nil"/>
              <w:left w:val="nil"/>
              <w:bottom w:val="single" w:sz="4" w:space="0" w:color="auto"/>
              <w:right w:val="single" w:sz="4" w:space="0" w:color="auto"/>
            </w:tcBorders>
            <w:shd w:val="clear" w:color="auto" w:fill="auto"/>
            <w:noWrap/>
            <w:vAlign w:val="center"/>
            <w:hideMark/>
          </w:tcPr>
          <w:p w14:paraId="224C69A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696,138</w:t>
            </w:r>
          </w:p>
        </w:tc>
        <w:tc>
          <w:tcPr>
            <w:tcW w:w="155" w:type="pct"/>
            <w:tcBorders>
              <w:top w:val="nil"/>
              <w:left w:val="nil"/>
              <w:bottom w:val="single" w:sz="4" w:space="0" w:color="auto"/>
              <w:right w:val="single" w:sz="4" w:space="0" w:color="auto"/>
            </w:tcBorders>
            <w:shd w:val="clear" w:color="auto" w:fill="auto"/>
            <w:vAlign w:val="center"/>
            <w:hideMark/>
          </w:tcPr>
          <w:p w14:paraId="687E6C2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noWrap/>
            <w:vAlign w:val="center"/>
            <w:hideMark/>
          </w:tcPr>
          <w:p w14:paraId="55082CB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696,138</w:t>
            </w:r>
          </w:p>
        </w:tc>
        <w:tc>
          <w:tcPr>
            <w:tcW w:w="162" w:type="pct"/>
            <w:tcBorders>
              <w:top w:val="nil"/>
              <w:left w:val="nil"/>
              <w:bottom w:val="single" w:sz="4" w:space="0" w:color="auto"/>
              <w:right w:val="single" w:sz="4" w:space="0" w:color="auto"/>
            </w:tcBorders>
            <w:shd w:val="clear" w:color="auto" w:fill="auto"/>
            <w:noWrap/>
            <w:vAlign w:val="center"/>
            <w:hideMark/>
          </w:tcPr>
          <w:p w14:paraId="35A8882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noWrap/>
            <w:vAlign w:val="center"/>
            <w:hideMark/>
          </w:tcPr>
          <w:p w14:paraId="1D7C1CE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3D6EAB5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noWrap/>
            <w:vAlign w:val="center"/>
            <w:hideMark/>
          </w:tcPr>
          <w:p w14:paraId="59B0942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noWrap/>
            <w:vAlign w:val="center"/>
            <w:hideMark/>
          </w:tcPr>
          <w:p w14:paraId="6631858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noWrap/>
            <w:vAlign w:val="center"/>
            <w:hideMark/>
          </w:tcPr>
          <w:p w14:paraId="14DD27B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noWrap/>
            <w:vAlign w:val="center"/>
            <w:hideMark/>
          </w:tcPr>
          <w:p w14:paraId="0349B23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3D467877" w14:textId="51379BAD"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(900,000)</w:t>
            </w:r>
          </w:p>
        </w:tc>
      </w:tr>
      <w:tr w:rsidR="00C260C3" w:rsidRPr="00B457F5" w14:paraId="69F8DEBA"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noWrap/>
            <w:vAlign w:val="center"/>
            <w:hideMark/>
          </w:tcPr>
          <w:p w14:paraId="2DE1E8CD"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2.2.3.5</w:t>
            </w:r>
          </w:p>
        </w:tc>
        <w:tc>
          <w:tcPr>
            <w:tcW w:w="281" w:type="pct"/>
            <w:tcBorders>
              <w:top w:val="nil"/>
              <w:left w:val="nil"/>
              <w:bottom w:val="single" w:sz="4" w:space="0" w:color="auto"/>
              <w:right w:val="nil"/>
            </w:tcBorders>
            <w:shd w:val="clear" w:color="auto" w:fill="auto"/>
            <w:vAlign w:val="center"/>
            <w:hideMark/>
          </w:tcPr>
          <w:p w14:paraId="4EACD67D" w14:textId="617D29B6"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2.2.3.5 Konsultime me organizatat e punëdhënësve dhe punëmarrësve për diskutimin e nevojave për fuqi punëtore</w:t>
            </w:r>
            <w:r w:rsidR="00FC441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si vjetore dhe sezonale</w:t>
            </w:r>
            <w:r w:rsidR="00FC441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sipas sektorëve ekonomikë</w:t>
            </w:r>
            <w:r w:rsidR="00FC441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me synim zbatimin e politikave migratore të përditësuara bazuar në standardet ndërkombëtare</w:t>
            </w:r>
          </w:p>
        </w:tc>
        <w:tc>
          <w:tcPr>
            <w:tcW w:w="186" w:type="pct"/>
            <w:tcBorders>
              <w:top w:val="nil"/>
              <w:left w:val="nil"/>
              <w:bottom w:val="single" w:sz="4" w:space="0" w:color="auto"/>
              <w:right w:val="single" w:sz="4" w:space="0" w:color="auto"/>
            </w:tcBorders>
            <w:shd w:val="clear" w:color="auto" w:fill="auto"/>
            <w:vAlign w:val="center"/>
            <w:hideMark/>
          </w:tcPr>
          <w:p w14:paraId="57AD6754" w14:textId="2D7B8468" w:rsidR="00C260C3" w:rsidRPr="00B457F5" w:rsidRDefault="00C260C3" w:rsidP="008E5BAD">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8E5BAD" w:rsidRPr="00B457F5">
              <w:rPr>
                <w:rFonts w:ascii="Garamond" w:eastAsia="Times New Roman" w:hAnsi="Garamond" w:cs="Times New Roman"/>
                <w:color w:val="FF0000"/>
                <w:sz w:val="4"/>
                <w:szCs w:val="10"/>
              </w:rPr>
              <w:t>Punës</w:t>
            </w:r>
          </w:p>
        </w:tc>
        <w:tc>
          <w:tcPr>
            <w:tcW w:w="169" w:type="pct"/>
            <w:tcBorders>
              <w:top w:val="nil"/>
              <w:left w:val="nil"/>
              <w:bottom w:val="single" w:sz="4" w:space="0" w:color="auto"/>
              <w:right w:val="single" w:sz="4" w:space="0" w:color="auto"/>
            </w:tcBorders>
            <w:shd w:val="clear" w:color="auto" w:fill="auto"/>
            <w:vAlign w:val="center"/>
            <w:hideMark/>
          </w:tcPr>
          <w:p w14:paraId="3261ED4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AKPA</w:t>
            </w:r>
          </w:p>
        </w:tc>
        <w:tc>
          <w:tcPr>
            <w:tcW w:w="244" w:type="pct"/>
            <w:tcBorders>
              <w:top w:val="nil"/>
              <w:left w:val="nil"/>
              <w:bottom w:val="single" w:sz="4" w:space="0" w:color="auto"/>
              <w:right w:val="single" w:sz="4" w:space="0" w:color="auto"/>
            </w:tcBorders>
            <w:shd w:val="clear" w:color="auto" w:fill="auto"/>
            <w:vAlign w:val="center"/>
            <w:hideMark/>
          </w:tcPr>
          <w:p w14:paraId="71D804D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MEKI, ISSHP, ISSH, AIDA</w:t>
            </w:r>
          </w:p>
        </w:tc>
        <w:tc>
          <w:tcPr>
            <w:tcW w:w="135" w:type="pct"/>
            <w:tcBorders>
              <w:top w:val="nil"/>
              <w:left w:val="nil"/>
              <w:bottom w:val="single" w:sz="4" w:space="0" w:color="auto"/>
              <w:right w:val="nil"/>
            </w:tcBorders>
            <w:shd w:val="clear" w:color="000000" w:fill="DDEBF7"/>
            <w:vAlign w:val="center"/>
            <w:hideMark/>
          </w:tcPr>
          <w:p w14:paraId="073DD232"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single" w:sz="4" w:space="0" w:color="auto"/>
              <w:bottom w:val="single" w:sz="4" w:space="0" w:color="auto"/>
              <w:right w:val="single" w:sz="4" w:space="0" w:color="auto"/>
            </w:tcBorders>
            <w:shd w:val="clear" w:color="000000" w:fill="DDEBF7"/>
            <w:vAlign w:val="center"/>
            <w:hideMark/>
          </w:tcPr>
          <w:p w14:paraId="69B57CD6"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7283122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341,390</w:t>
            </w:r>
          </w:p>
        </w:tc>
        <w:tc>
          <w:tcPr>
            <w:tcW w:w="155" w:type="pct"/>
            <w:tcBorders>
              <w:top w:val="nil"/>
              <w:left w:val="nil"/>
              <w:bottom w:val="single" w:sz="4" w:space="0" w:color="auto"/>
              <w:right w:val="single" w:sz="4" w:space="0" w:color="auto"/>
            </w:tcBorders>
            <w:shd w:val="clear" w:color="auto" w:fill="auto"/>
            <w:vAlign w:val="center"/>
            <w:hideMark/>
          </w:tcPr>
          <w:p w14:paraId="295D52E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noWrap/>
            <w:vAlign w:val="center"/>
            <w:hideMark/>
          </w:tcPr>
          <w:p w14:paraId="7C41C91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341,390</w:t>
            </w:r>
          </w:p>
        </w:tc>
        <w:tc>
          <w:tcPr>
            <w:tcW w:w="165" w:type="pct"/>
            <w:tcBorders>
              <w:top w:val="nil"/>
              <w:left w:val="nil"/>
              <w:bottom w:val="single" w:sz="4" w:space="0" w:color="auto"/>
              <w:right w:val="single" w:sz="4" w:space="0" w:color="auto"/>
            </w:tcBorders>
            <w:shd w:val="clear" w:color="auto" w:fill="auto"/>
            <w:vAlign w:val="center"/>
            <w:hideMark/>
          </w:tcPr>
          <w:p w14:paraId="02CD915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341,390</w:t>
            </w:r>
          </w:p>
        </w:tc>
        <w:tc>
          <w:tcPr>
            <w:tcW w:w="163" w:type="pct"/>
            <w:tcBorders>
              <w:top w:val="nil"/>
              <w:left w:val="nil"/>
              <w:bottom w:val="single" w:sz="4" w:space="0" w:color="auto"/>
              <w:right w:val="single" w:sz="4" w:space="0" w:color="auto"/>
            </w:tcBorders>
            <w:shd w:val="clear" w:color="auto" w:fill="auto"/>
            <w:vAlign w:val="center"/>
            <w:hideMark/>
          </w:tcPr>
          <w:p w14:paraId="234E743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noWrap/>
            <w:vAlign w:val="center"/>
            <w:hideMark/>
          </w:tcPr>
          <w:p w14:paraId="13CDADF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341,390</w:t>
            </w:r>
          </w:p>
        </w:tc>
        <w:tc>
          <w:tcPr>
            <w:tcW w:w="163" w:type="pct"/>
            <w:tcBorders>
              <w:top w:val="nil"/>
              <w:left w:val="nil"/>
              <w:bottom w:val="single" w:sz="4" w:space="0" w:color="auto"/>
              <w:right w:val="single" w:sz="4" w:space="0" w:color="auto"/>
            </w:tcBorders>
            <w:shd w:val="clear" w:color="auto" w:fill="auto"/>
            <w:vAlign w:val="center"/>
            <w:hideMark/>
          </w:tcPr>
          <w:p w14:paraId="5496AB0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341,390</w:t>
            </w:r>
          </w:p>
        </w:tc>
        <w:tc>
          <w:tcPr>
            <w:tcW w:w="148" w:type="pct"/>
            <w:tcBorders>
              <w:top w:val="nil"/>
              <w:left w:val="nil"/>
              <w:bottom w:val="single" w:sz="4" w:space="0" w:color="auto"/>
              <w:right w:val="single" w:sz="4" w:space="0" w:color="auto"/>
            </w:tcBorders>
            <w:shd w:val="clear" w:color="auto" w:fill="auto"/>
            <w:vAlign w:val="center"/>
            <w:hideMark/>
          </w:tcPr>
          <w:p w14:paraId="332AFE8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noWrap/>
            <w:vAlign w:val="center"/>
            <w:hideMark/>
          </w:tcPr>
          <w:p w14:paraId="137397F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341,390</w:t>
            </w:r>
          </w:p>
        </w:tc>
        <w:tc>
          <w:tcPr>
            <w:tcW w:w="165" w:type="pct"/>
            <w:tcBorders>
              <w:top w:val="nil"/>
              <w:left w:val="nil"/>
              <w:bottom w:val="single" w:sz="4" w:space="0" w:color="auto"/>
              <w:right w:val="single" w:sz="4" w:space="0" w:color="auto"/>
            </w:tcBorders>
            <w:shd w:val="clear" w:color="auto" w:fill="auto"/>
            <w:noWrap/>
            <w:vAlign w:val="center"/>
            <w:hideMark/>
          </w:tcPr>
          <w:p w14:paraId="5499185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1,024,170</w:t>
            </w:r>
          </w:p>
        </w:tc>
        <w:tc>
          <w:tcPr>
            <w:tcW w:w="163" w:type="pct"/>
            <w:tcBorders>
              <w:top w:val="nil"/>
              <w:left w:val="nil"/>
              <w:bottom w:val="single" w:sz="4" w:space="0" w:color="auto"/>
              <w:right w:val="single" w:sz="4" w:space="0" w:color="auto"/>
            </w:tcBorders>
            <w:shd w:val="clear" w:color="auto" w:fill="auto"/>
            <w:noWrap/>
            <w:vAlign w:val="center"/>
            <w:hideMark/>
          </w:tcPr>
          <w:p w14:paraId="1048DF3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noWrap/>
            <w:vAlign w:val="center"/>
            <w:hideMark/>
          </w:tcPr>
          <w:p w14:paraId="56A7E74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1,024,170</w:t>
            </w:r>
          </w:p>
        </w:tc>
        <w:tc>
          <w:tcPr>
            <w:tcW w:w="163" w:type="pct"/>
            <w:tcBorders>
              <w:top w:val="nil"/>
              <w:left w:val="nil"/>
              <w:bottom w:val="single" w:sz="4" w:space="0" w:color="auto"/>
              <w:right w:val="single" w:sz="4" w:space="0" w:color="auto"/>
            </w:tcBorders>
            <w:shd w:val="clear" w:color="auto" w:fill="auto"/>
            <w:noWrap/>
            <w:vAlign w:val="center"/>
            <w:hideMark/>
          </w:tcPr>
          <w:p w14:paraId="026014F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1,024,170</w:t>
            </w:r>
          </w:p>
        </w:tc>
        <w:tc>
          <w:tcPr>
            <w:tcW w:w="155" w:type="pct"/>
            <w:tcBorders>
              <w:top w:val="nil"/>
              <w:left w:val="nil"/>
              <w:bottom w:val="single" w:sz="4" w:space="0" w:color="auto"/>
              <w:right w:val="single" w:sz="4" w:space="0" w:color="auto"/>
            </w:tcBorders>
            <w:shd w:val="clear" w:color="auto" w:fill="auto"/>
            <w:vAlign w:val="center"/>
            <w:hideMark/>
          </w:tcPr>
          <w:p w14:paraId="3B1010F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noWrap/>
            <w:vAlign w:val="center"/>
            <w:hideMark/>
          </w:tcPr>
          <w:p w14:paraId="7268463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1,024,170</w:t>
            </w:r>
          </w:p>
        </w:tc>
        <w:tc>
          <w:tcPr>
            <w:tcW w:w="162" w:type="pct"/>
            <w:tcBorders>
              <w:top w:val="nil"/>
              <w:left w:val="nil"/>
              <w:bottom w:val="single" w:sz="4" w:space="0" w:color="auto"/>
              <w:right w:val="single" w:sz="4" w:space="0" w:color="auto"/>
            </w:tcBorders>
            <w:shd w:val="clear" w:color="auto" w:fill="auto"/>
            <w:noWrap/>
            <w:vAlign w:val="center"/>
            <w:hideMark/>
          </w:tcPr>
          <w:p w14:paraId="2559FB4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noWrap/>
            <w:vAlign w:val="center"/>
            <w:hideMark/>
          </w:tcPr>
          <w:p w14:paraId="0809AA3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75D498A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noWrap/>
            <w:vAlign w:val="center"/>
            <w:hideMark/>
          </w:tcPr>
          <w:p w14:paraId="77F1759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noWrap/>
            <w:vAlign w:val="center"/>
            <w:hideMark/>
          </w:tcPr>
          <w:p w14:paraId="0538245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noWrap/>
            <w:vAlign w:val="center"/>
            <w:hideMark/>
          </w:tcPr>
          <w:p w14:paraId="55D7611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noWrap/>
            <w:vAlign w:val="center"/>
            <w:hideMark/>
          </w:tcPr>
          <w:p w14:paraId="42B4ABB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282D3938" w14:textId="5B498249"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47D30FED"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noWrap/>
            <w:vAlign w:val="center"/>
            <w:hideMark/>
          </w:tcPr>
          <w:p w14:paraId="0B85670E"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2.2.3.6</w:t>
            </w:r>
          </w:p>
        </w:tc>
        <w:tc>
          <w:tcPr>
            <w:tcW w:w="281" w:type="pct"/>
            <w:tcBorders>
              <w:top w:val="nil"/>
              <w:left w:val="nil"/>
              <w:bottom w:val="single" w:sz="4" w:space="0" w:color="auto"/>
              <w:right w:val="single" w:sz="4" w:space="0" w:color="auto"/>
            </w:tcBorders>
            <w:shd w:val="clear" w:color="auto" w:fill="auto"/>
            <w:vAlign w:val="center"/>
            <w:hideMark/>
          </w:tcPr>
          <w:p w14:paraId="17CF43A1"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2.2.3.6 Identifikimi i kapaciteteve intelektuale dhe profesionale të emigrantëve shqiptarë</w:t>
            </w:r>
          </w:p>
        </w:tc>
        <w:tc>
          <w:tcPr>
            <w:tcW w:w="186" w:type="pct"/>
            <w:tcBorders>
              <w:top w:val="nil"/>
              <w:left w:val="nil"/>
              <w:bottom w:val="single" w:sz="4" w:space="0" w:color="auto"/>
              <w:right w:val="single" w:sz="4" w:space="0" w:color="auto"/>
            </w:tcBorders>
            <w:shd w:val="clear" w:color="auto" w:fill="auto"/>
            <w:vAlign w:val="center"/>
            <w:hideMark/>
          </w:tcPr>
          <w:p w14:paraId="05622C2B"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(15)</w:t>
            </w:r>
          </w:p>
        </w:tc>
        <w:tc>
          <w:tcPr>
            <w:tcW w:w="169" w:type="pct"/>
            <w:tcBorders>
              <w:top w:val="nil"/>
              <w:left w:val="nil"/>
              <w:bottom w:val="single" w:sz="4" w:space="0" w:color="auto"/>
              <w:right w:val="single" w:sz="4" w:space="0" w:color="auto"/>
            </w:tcBorders>
            <w:shd w:val="clear" w:color="auto" w:fill="auto"/>
            <w:vAlign w:val="center"/>
            <w:hideMark/>
          </w:tcPr>
          <w:p w14:paraId="2245155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MEPJ</w:t>
            </w:r>
          </w:p>
        </w:tc>
        <w:tc>
          <w:tcPr>
            <w:tcW w:w="244" w:type="pct"/>
            <w:tcBorders>
              <w:top w:val="nil"/>
              <w:left w:val="nil"/>
              <w:bottom w:val="single" w:sz="4" w:space="0" w:color="auto"/>
              <w:right w:val="single" w:sz="4" w:space="0" w:color="auto"/>
            </w:tcBorders>
            <w:shd w:val="clear" w:color="auto" w:fill="auto"/>
            <w:vAlign w:val="center"/>
            <w:hideMark/>
          </w:tcPr>
          <w:p w14:paraId="4F50420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NJVV, MEKI</w:t>
            </w:r>
          </w:p>
        </w:tc>
        <w:tc>
          <w:tcPr>
            <w:tcW w:w="135" w:type="pct"/>
            <w:tcBorders>
              <w:top w:val="nil"/>
              <w:left w:val="nil"/>
              <w:bottom w:val="single" w:sz="4" w:space="0" w:color="auto"/>
              <w:right w:val="single" w:sz="4" w:space="0" w:color="auto"/>
            </w:tcBorders>
            <w:shd w:val="clear" w:color="000000" w:fill="DDEBF7"/>
            <w:vAlign w:val="center"/>
            <w:hideMark/>
          </w:tcPr>
          <w:p w14:paraId="55030DAB"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2024</w:t>
            </w:r>
          </w:p>
        </w:tc>
        <w:tc>
          <w:tcPr>
            <w:tcW w:w="152" w:type="pct"/>
            <w:tcBorders>
              <w:top w:val="nil"/>
              <w:left w:val="nil"/>
              <w:bottom w:val="single" w:sz="4" w:space="0" w:color="auto"/>
              <w:right w:val="single" w:sz="4" w:space="0" w:color="auto"/>
            </w:tcBorders>
            <w:shd w:val="clear" w:color="000000" w:fill="DDEBF7"/>
            <w:vAlign w:val="center"/>
            <w:hideMark/>
          </w:tcPr>
          <w:p w14:paraId="71303940"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63" w:type="pct"/>
            <w:tcBorders>
              <w:top w:val="nil"/>
              <w:left w:val="nil"/>
              <w:bottom w:val="single" w:sz="4" w:space="0" w:color="auto"/>
              <w:right w:val="single" w:sz="4" w:space="0" w:color="auto"/>
            </w:tcBorders>
            <w:shd w:val="clear" w:color="auto" w:fill="auto"/>
            <w:vAlign w:val="center"/>
            <w:hideMark/>
          </w:tcPr>
          <w:p w14:paraId="62114E2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1,716,000</w:t>
            </w:r>
          </w:p>
        </w:tc>
        <w:tc>
          <w:tcPr>
            <w:tcW w:w="155" w:type="pct"/>
            <w:tcBorders>
              <w:top w:val="nil"/>
              <w:left w:val="nil"/>
              <w:bottom w:val="single" w:sz="4" w:space="0" w:color="auto"/>
              <w:right w:val="single" w:sz="4" w:space="0" w:color="auto"/>
            </w:tcBorders>
            <w:shd w:val="clear" w:color="auto" w:fill="auto"/>
            <w:vAlign w:val="center"/>
            <w:hideMark/>
          </w:tcPr>
          <w:p w14:paraId="4CF0ECF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noWrap/>
            <w:vAlign w:val="center"/>
            <w:hideMark/>
          </w:tcPr>
          <w:p w14:paraId="51C07B2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1,716,000</w:t>
            </w:r>
          </w:p>
        </w:tc>
        <w:tc>
          <w:tcPr>
            <w:tcW w:w="165" w:type="pct"/>
            <w:tcBorders>
              <w:top w:val="nil"/>
              <w:left w:val="nil"/>
              <w:bottom w:val="single" w:sz="4" w:space="0" w:color="auto"/>
              <w:right w:val="single" w:sz="4" w:space="0" w:color="auto"/>
            </w:tcBorders>
            <w:shd w:val="clear" w:color="auto" w:fill="auto"/>
            <w:vAlign w:val="center"/>
            <w:hideMark/>
          </w:tcPr>
          <w:p w14:paraId="6042624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1,716,000</w:t>
            </w:r>
          </w:p>
        </w:tc>
        <w:tc>
          <w:tcPr>
            <w:tcW w:w="163" w:type="pct"/>
            <w:tcBorders>
              <w:top w:val="nil"/>
              <w:left w:val="nil"/>
              <w:bottom w:val="single" w:sz="4" w:space="0" w:color="auto"/>
              <w:right w:val="single" w:sz="4" w:space="0" w:color="auto"/>
            </w:tcBorders>
            <w:shd w:val="clear" w:color="auto" w:fill="auto"/>
            <w:vAlign w:val="center"/>
            <w:hideMark/>
          </w:tcPr>
          <w:p w14:paraId="6DC25F4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noWrap/>
            <w:vAlign w:val="center"/>
            <w:hideMark/>
          </w:tcPr>
          <w:p w14:paraId="54CE9DF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1,716,000</w:t>
            </w:r>
          </w:p>
        </w:tc>
        <w:tc>
          <w:tcPr>
            <w:tcW w:w="163" w:type="pct"/>
            <w:tcBorders>
              <w:top w:val="nil"/>
              <w:left w:val="nil"/>
              <w:bottom w:val="single" w:sz="4" w:space="0" w:color="auto"/>
              <w:right w:val="single" w:sz="4" w:space="0" w:color="auto"/>
            </w:tcBorders>
            <w:shd w:val="clear" w:color="auto" w:fill="auto"/>
            <w:vAlign w:val="center"/>
            <w:hideMark/>
          </w:tcPr>
          <w:p w14:paraId="158F890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1,716,000</w:t>
            </w:r>
          </w:p>
        </w:tc>
        <w:tc>
          <w:tcPr>
            <w:tcW w:w="148" w:type="pct"/>
            <w:tcBorders>
              <w:top w:val="nil"/>
              <w:left w:val="nil"/>
              <w:bottom w:val="single" w:sz="4" w:space="0" w:color="auto"/>
              <w:right w:val="single" w:sz="4" w:space="0" w:color="auto"/>
            </w:tcBorders>
            <w:shd w:val="clear" w:color="auto" w:fill="auto"/>
            <w:vAlign w:val="center"/>
            <w:hideMark/>
          </w:tcPr>
          <w:p w14:paraId="3E88285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noWrap/>
            <w:vAlign w:val="center"/>
            <w:hideMark/>
          </w:tcPr>
          <w:p w14:paraId="0880227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1,716,000</w:t>
            </w:r>
          </w:p>
        </w:tc>
        <w:tc>
          <w:tcPr>
            <w:tcW w:w="165" w:type="pct"/>
            <w:tcBorders>
              <w:top w:val="nil"/>
              <w:left w:val="nil"/>
              <w:bottom w:val="single" w:sz="4" w:space="0" w:color="auto"/>
              <w:right w:val="single" w:sz="4" w:space="0" w:color="auto"/>
            </w:tcBorders>
            <w:shd w:val="clear" w:color="auto" w:fill="auto"/>
            <w:noWrap/>
            <w:vAlign w:val="center"/>
            <w:hideMark/>
          </w:tcPr>
          <w:p w14:paraId="36B7040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5,148,000</w:t>
            </w:r>
          </w:p>
        </w:tc>
        <w:tc>
          <w:tcPr>
            <w:tcW w:w="163" w:type="pct"/>
            <w:tcBorders>
              <w:top w:val="nil"/>
              <w:left w:val="nil"/>
              <w:bottom w:val="single" w:sz="4" w:space="0" w:color="auto"/>
              <w:right w:val="single" w:sz="4" w:space="0" w:color="auto"/>
            </w:tcBorders>
            <w:shd w:val="clear" w:color="auto" w:fill="auto"/>
            <w:noWrap/>
            <w:vAlign w:val="center"/>
            <w:hideMark/>
          </w:tcPr>
          <w:p w14:paraId="262331E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noWrap/>
            <w:vAlign w:val="center"/>
            <w:hideMark/>
          </w:tcPr>
          <w:p w14:paraId="2F3D3F5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5,148,000</w:t>
            </w:r>
          </w:p>
        </w:tc>
        <w:tc>
          <w:tcPr>
            <w:tcW w:w="163" w:type="pct"/>
            <w:tcBorders>
              <w:top w:val="nil"/>
              <w:left w:val="nil"/>
              <w:bottom w:val="single" w:sz="4" w:space="0" w:color="auto"/>
              <w:right w:val="single" w:sz="4" w:space="0" w:color="auto"/>
            </w:tcBorders>
            <w:shd w:val="clear" w:color="auto" w:fill="auto"/>
            <w:noWrap/>
            <w:vAlign w:val="center"/>
            <w:hideMark/>
          </w:tcPr>
          <w:p w14:paraId="5BB37B5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0F9096A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noWrap/>
            <w:vAlign w:val="center"/>
            <w:hideMark/>
          </w:tcPr>
          <w:p w14:paraId="38F10FF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auto" w:fill="auto"/>
            <w:noWrap/>
            <w:vAlign w:val="center"/>
            <w:hideMark/>
          </w:tcPr>
          <w:p w14:paraId="12FD40A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noWrap/>
            <w:vAlign w:val="center"/>
            <w:hideMark/>
          </w:tcPr>
          <w:p w14:paraId="18A6380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3BC0844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FFF2CC"/>
            <w:noWrap/>
            <w:vAlign w:val="center"/>
            <w:hideMark/>
          </w:tcPr>
          <w:p w14:paraId="639FEE9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noWrap/>
            <w:vAlign w:val="center"/>
            <w:hideMark/>
          </w:tcPr>
          <w:p w14:paraId="0991CDD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noWrap/>
            <w:vAlign w:val="center"/>
            <w:hideMark/>
          </w:tcPr>
          <w:p w14:paraId="399150B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noWrap/>
            <w:vAlign w:val="center"/>
            <w:hideMark/>
          </w:tcPr>
          <w:p w14:paraId="16D195F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01738572" w14:textId="70A32F4B"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(5,148,000)</w:t>
            </w:r>
          </w:p>
        </w:tc>
      </w:tr>
      <w:tr w:rsidR="00C260C3" w:rsidRPr="00B457F5" w14:paraId="26D0EE27"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noWrap/>
            <w:vAlign w:val="center"/>
            <w:hideMark/>
          </w:tcPr>
          <w:p w14:paraId="0716C2B5"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2.2.3.7</w:t>
            </w:r>
          </w:p>
        </w:tc>
        <w:tc>
          <w:tcPr>
            <w:tcW w:w="281" w:type="pct"/>
            <w:tcBorders>
              <w:top w:val="nil"/>
              <w:left w:val="nil"/>
              <w:bottom w:val="single" w:sz="4" w:space="0" w:color="auto"/>
              <w:right w:val="single" w:sz="4" w:space="0" w:color="auto"/>
            </w:tcBorders>
            <w:shd w:val="clear" w:color="auto" w:fill="auto"/>
            <w:vAlign w:val="center"/>
            <w:hideMark/>
          </w:tcPr>
          <w:p w14:paraId="0F383CE6" w14:textId="44FD6AA8"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2.2.3.7 Krijimi i stimujve për të promovuar kthimin e emigrantëve përkohësisht ose përgjithmonë</w:t>
            </w:r>
            <w:r w:rsidR="00FC441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me qëllim transferimin e aftësive të reja të fituara jashtë dhe për të sjellë vlera të reja kulturore</w:t>
            </w:r>
          </w:p>
        </w:tc>
        <w:tc>
          <w:tcPr>
            <w:tcW w:w="186" w:type="pct"/>
            <w:tcBorders>
              <w:top w:val="nil"/>
              <w:left w:val="nil"/>
              <w:bottom w:val="single" w:sz="4" w:space="0" w:color="auto"/>
              <w:right w:val="single" w:sz="4" w:space="0" w:color="auto"/>
            </w:tcBorders>
            <w:shd w:val="clear" w:color="auto" w:fill="auto"/>
            <w:vAlign w:val="center"/>
            <w:hideMark/>
          </w:tcPr>
          <w:p w14:paraId="7B84FE4C" w14:textId="02F08DB5"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8E5BAD" w:rsidRPr="00B457F5">
              <w:rPr>
                <w:rFonts w:ascii="Garamond" w:eastAsia="Times New Roman" w:hAnsi="Garamond" w:cs="Times New Roman"/>
                <w:color w:val="FF0000"/>
                <w:sz w:val="4"/>
                <w:szCs w:val="10"/>
              </w:rPr>
              <w:t>Punës</w:t>
            </w:r>
          </w:p>
        </w:tc>
        <w:tc>
          <w:tcPr>
            <w:tcW w:w="169" w:type="pct"/>
            <w:tcBorders>
              <w:top w:val="nil"/>
              <w:left w:val="nil"/>
              <w:bottom w:val="single" w:sz="4" w:space="0" w:color="auto"/>
              <w:right w:val="single" w:sz="4" w:space="0" w:color="auto"/>
            </w:tcBorders>
            <w:shd w:val="clear" w:color="auto" w:fill="auto"/>
            <w:vAlign w:val="center"/>
            <w:hideMark/>
          </w:tcPr>
          <w:p w14:paraId="381C930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MEKI</w:t>
            </w:r>
          </w:p>
        </w:tc>
        <w:tc>
          <w:tcPr>
            <w:tcW w:w="244" w:type="pct"/>
            <w:tcBorders>
              <w:top w:val="nil"/>
              <w:left w:val="nil"/>
              <w:bottom w:val="single" w:sz="4" w:space="0" w:color="auto"/>
              <w:right w:val="single" w:sz="4" w:space="0" w:color="auto"/>
            </w:tcBorders>
            <w:shd w:val="clear" w:color="auto" w:fill="auto"/>
            <w:vAlign w:val="center"/>
            <w:hideMark/>
          </w:tcPr>
          <w:p w14:paraId="3B4189A0" w14:textId="0A93039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MEPJ, MAS, MSHMS, </w:t>
            </w:r>
            <w:r w:rsidR="00FC441E" w:rsidRPr="00B457F5">
              <w:rPr>
                <w:rFonts w:ascii="Garamond" w:eastAsia="Times New Roman" w:hAnsi="Garamond" w:cs="Times New Roman"/>
                <w:color w:val="000000"/>
                <w:sz w:val="4"/>
                <w:szCs w:val="10"/>
              </w:rPr>
              <w:t xml:space="preserve">Ambasada e Mbretërisë së Bashkuar </w:t>
            </w:r>
          </w:p>
        </w:tc>
        <w:tc>
          <w:tcPr>
            <w:tcW w:w="135" w:type="pct"/>
            <w:tcBorders>
              <w:top w:val="nil"/>
              <w:left w:val="nil"/>
              <w:bottom w:val="single" w:sz="4" w:space="0" w:color="auto"/>
              <w:right w:val="single" w:sz="4" w:space="0" w:color="auto"/>
            </w:tcBorders>
            <w:shd w:val="clear" w:color="000000" w:fill="DDEBF7"/>
            <w:vAlign w:val="center"/>
            <w:hideMark/>
          </w:tcPr>
          <w:p w14:paraId="5C49924B"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0D7E38EA"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3E5A318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18,797,936</w:t>
            </w:r>
          </w:p>
        </w:tc>
        <w:tc>
          <w:tcPr>
            <w:tcW w:w="155" w:type="pct"/>
            <w:tcBorders>
              <w:top w:val="nil"/>
              <w:left w:val="nil"/>
              <w:bottom w:val="single" w:sz="4" w:space="0" w:color="auto"/>
              <w:right w:val="single" w:sz="4" w:space="0" w:color="auto"/>
            </w:tcBorders>
            <w:shd w:val="clear" w:color="auto" w:fill="auto"/>
            <w:vAlign w:val="center"/>
            <w:hideMark/>
          </w:tcPr>
          <w:p w14:paraId="252B4E6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noWrap/>
            <w:vAlign w:val="center"/>
            <w:hideMark/>
          </w:tcPr>
          <w:p w14:paraId="096AB18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18,797,936</w:t>
            </w:r>
          </w:p>
        </w:tc>
        <w:tc>
          <w:tcPr>
            <w:tcW w:w="165" w:type="pct"/>
            <w:tcBorders>
              <w:top w:val="nil"/>
              <w:left w:val="nil"/>
              <w:bottom w:val="single" w:sz="4" w:space="0" w:color="auto"/>
              <w:right w:val="single" w:sz="4" w:space="0" w:color="auto"/>
            </w:tcBorders>
            <w:shd w:val="clear" w:color="auto" w:fill="auto"/>
            <w:vAlign w:val="center"/>
            <w:hideMark/>
          </w:tcPr>
          <w:p w14:paraId="5D28B2F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18,797,936</w:t>
            </w:r>
          </w:p>
        </w:tc>
        <w:tc>
          <w:tcPr>
            <w:tcW w:w="163" w:type="pct"/>
            <w:tcBorders>
              <w:top w:val="nil"/>
              <w:left w:val="nil"/>
              <w:bottom w:val="single" w:sz="4" w:space="0" w:color="auto"/>
              <w:right w:val="single" w:sz="4" w:space="0" w:color="auto"/>
            </w:tcBorders>
            <w:shd w:val="clear" w:color="auto" w:fill="auto"/>
            <w:vAlign w:val="center"/>
            <w:hideMark/>
          </w:tcPr>
          <w:p w14:paraId="7D67DA9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noWrap/>
            <w:vAlign w:val="center"/>
            <w:hideMark/>
          </w:tcPr>
          <w:p w14:paraId="143AD48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18,797,936</w:t>
            </w:r>
          </w:p>
        </w:tc>
        <w:tc>
          <w:tcPr>
            <w:tcW w:w="163" w:type="pct"/>
            <w:tcBorders>
              <w:top w:val="nil"/>
              <w:left w:val="nil"/>
              <w:bottom w:val="single" w:sz="4" w:space="0" w:color="auto"/>
              <w:right w:val="single" w:sz="4" w:space="0" w:color="auto"/>
            </w:tcBorders>
            <w:shd w:val="clear" w:color="auto" w:fill="auto"/>
            <w:vAlign w:val="center"/>
            <w:hideMark/>
          </w:tcPr>
          <w:p w14:paraId="2FF77BD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18,797,936</w:t>
            </w:r>
          </w:p>
        </w:tc>
        <w:tc>
          <w:tcPr>
            <w:tcW w:w="148" w:type="pct"/>
            <w:tcBorders>
              <w:top w:val="nil"/>
              <w:left w:val="nil"/>
              <w:bottom w:val="single" w:sz="4" w:space="0" w:color="auto"/>
              <w:right w:val="single" w:sz="4" w:space="0" w:color="auto"/>
            </w:tcBorders>
            <w:shd w:val="clear" w:color="auto" w:fill="auto"/>
            <w:vAlign w:val="center"/>
            <w:hideMark/>
          </w:tcPr>
          <w:p w14:paraId="445676D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noWrap/>
            <w:vAlign w:val="center"/>
            <w:hideMark/>
          </w:tcPr>
          <w:p w14:paraId="4419F57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18,797,936</w:t>
            </w:r>
          </w:p>
        </w:tc>
        <w:tc>
          <w:tcPr>
            <w:tcW w:w="165" w:type="pct"/>
            <w:tcBorders>
              <w:top w:val="nil"/>
              <w:left w:val="nil"/>
              <w:bottom w:val="single" w:sz="4" w:space="0" w:color="auto"/>
              <w:right w:val="single" w:sz="4" w:space="0" w:color="auto"/>
            </w:tcBorders>
            <w:shd w:val="clear" w:color="auto" w:fill="auto"/>
            <w:noWrap/>
            <w:vAlign w:val="center"/>
            <w:hideMark/>
          </w:tcPr>
          <w:p w14:paraId="32EB9F0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56,393,808</w:t>
            </w:r>
          </w:p>
        </w:tc>
        <w:tc>
          <w:tcPr>
            <w:tcW w:w="163" w:type="pct"/>
            <w:tcBorders>
              <w:top w:val="nil"/>
              <w:left w:val="nil"/>
              <w:bottom w:val="single" w:sz="4" w:space="0" w:color="auto"/>
              <w:right w:val="single" w:sz="4" w:space="0" w:color="auto"/>
            </w:tcBorders>
            <w:shd w:val="clear" w:color="auto" w:fill="auto"/>
            <w:noWrap/>
            <w:vAlign w:val="center"/>
            <w:hideMark/>
          </w:tcPr>
          <w:p w14:paraId="144037C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noWrap/>
            <w:vAlign w:val="center"/>
            <w:hideMark/>
          </w:tcPr>
          <w:p w14:paraId="7EA92A5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56,393,808</w:t>
            </w:r>
          </w:p>
        </w:tc>
        <w:tc>
          <w:tcPr>
            <w:tcW w:w="163" w:type="pct"/>
            <w:tcBorders>
              <w:top w:val="nil"/>
              <w:left w:val="nil"/>
              <w:bottom w:val="single" w:sz="4" w:space="0" w:color="auto"/>
              <w:right w:val="single" w:sz="4" w:space="0" w:color="auto"/>
            </w:tcBorders>
            <w:shd w:val="clear" w:color="auto" w:fill="auto"/>
            <w:noWrap/>
            <w:vAlign w:val="center"/>
            <w:hideMark/>
          </w:tcPr>
          <w:p w14:paraId="3AC9D29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2,393,808</w:t>
            </w:r>
          </w:p>
        </w:tc>
        <w:tc>
          <w:tcPr>
            <w:tcW w:w="155" w:type="pct"/>
            <w:tcBorders>
              <w:top w:val="nil"/>
              <w:left w:val="nil"/>
              <w:bottom w:val="single" w:sz="4" w:space="0" w:color="auto"/>
              <w:right w:val="single" w:sz="4" w:space="0" w:color="auto"/>
            </w:tcBorders>
            <w:shd w:val="clear" w:color="auto" w:fill="auto"/>
            <w:vAlign w:val="center"/>
            <w:hideMark/>
          </w:tcPr>
          <w:p w14:paraId="6BA0273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noWrap/>
            <w:vAlign w:val="center"/>
            <w:hideMark/>
          </w:tcPr>
          <w:p w14:paraId="7A0C822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2,393,808</w:t>
            </w:r>
          </w:p>
        </w:tc>
        <w:tc>
          <w:tcPr>
            <w:tcW w:w="162" w:type="pct"/>
            <w:tcBorders>
              <w:top w:val="nil"/>
              <w:left w:val="nil"/>
              <w:bottom w:val="single" w:sz="4" w:space="0" w:color="auto"/>
              <w:right w:val="single" w:sz="4" w:space="0" w:color="auto"/>
            </w:tcBorders>
            <w:shd w:val="clear" w:color="auto" w:fill="auto"/>
            <w:noWrap/>
            <w:vAlign w:val="center"/>
            <w:hideMark/>
          </w:tcPr>
          <w:p w14:paraId="4CEAF07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54,000,000</w:t>
            </w:r>
          </w:p>
        </w:tc>
        <w:tc>
          <w:tcPr>
            <w:tcW w:w="155" w:type="pct"/>
            <w:tcBorders>
              <w:top w:val="nil"/>
              <w:left w:val="nil"/>
              <w:bottom w:val="single" w:sz="4" w:space="0" w:color="auto"/>
              <w:right w:val="single" w:sz="4" w:space="0" w:color="auto"/>
            </w:tcBorders>
            <w:shd w:val="clear" w:color="auto" w:fill="auto"/>
            <w:noWrap/>
            <w:vAlign w:val="center"/>
            <w:hideMark/>
          </w:tcPr>
          <w:p w14:paraId="6C1798E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60530042" w14:textId="4FC3BEDC"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AMBASADA E MBRETERISE SE BASHKUAR</w:t>
            </w:r>
            <w:r w:rsidR="0006016F" w:rsidRPr="00B457F5">
              <w:rPr>
                <w:rFonts w:ascii="Garamond" w:eastAsia="Times New Roman" w:hAnsi="Garamond" w:cs="Times New Roman"/>
                <w:color w:val="000000"/>
                <w:sz w:val="4"/>
                <w:szCs w:val="10"/>
              </w:rPr>
              <w:t xml:space="preserve"> </w:t>
            </w:r>
          </w:p>
        </w:tc>
        <w:tc>
          <w:tcPr>
            <w:tcW w:w="163" w:type="pct"/>
            <w:tcBorders>
              <w:top w:val="nil"/>
              <w:left w:val="nil"/>
              <w:bottom w:val="single" w:sz="4" w:space="0" w:color="auto"/>
              <w:right w:val="single" w:sz="4" w:space="0" w:color="auto"/>
            </w:tcBorders>
            <w:shd w:val="clear" w:color="000000" w:fill="FFF2CC"/>
            <w:noWrap/>
            <w:vAlign w:val="center"/>
            <w:hideMark/>
          </w:tcPr>
          <w:p w14:paraId="6B3DD27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54,000,000</w:t>
            </w:r>
          </w:p>
        </w:tc>
        <w:tc>
          <w:tcPr>
            <w:tcW w:w="139" w:type="pct"/>
            <w:tcBorders>
              <w:top w:val="nil"/>
              <w:left w:val="nil"/>
              <w:bottom w:val="single" w:sz="4" w:space="0" w:color="auto"/>
              <w:right w:val="single" w:sz="4" w:space="0" w:color="auto"/>
            </w:tcBorders>
            <w:shd w:val="clear" w:color="auto" w:fill="auto"/>
            <w:noWrap/>
            <w:vAlign w:val="center"/>
            <w:hideMark/>
          </w:tcPr>
          <w:p w14:paraId="3DC128E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noWrap/>
            <w:vAlign w:val="center"/>
            <w:hideMark/>
          </w:tcPr>
          <w:p w14:paraId="364B0CF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noWrap/>
            <w:vAlign w:val="center"/>
            <w:hideMark/>
          </w:tcPr>
          <w:p w14:paraId="783C706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41B062F3" w14:textId="2E180123"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3786FD0E" w14:textId="77777777" w:rsidTr="00C260C3">
        <w:trPr>
          <w:trHeight w:val="20"/>
        </w:trPr>
        <w:tc>
          <w:tcPr>
            <w:tcW w:w="131" w:type="pct"/>
            <w:tcBorders>
              <w:top w:val="nil"/>
              <w:left w:val="single" w:sz="4" w:space="0" w:color="auto"/>
              <w:bottom w:val="single" w:sz="4" w:space="0" w:color="auto"/>
              <w:right w:val="single" w:sz="4" w:space="0" w:color="auto"/>
            </w:tcBorders>
            <w:shd w:val="clear" w:color="000000" w:fill="D9D9D9"/>
            <w:noWrap/>
            <w:vAlign w:val="center"/>
            <w:hideMark/>
          </w:tcPr>
          <w:p w14:paraId="384D1AE5"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2.2.4</w:t>
            </w:r>
          </w:p>
        </w:tc>
        <w:tc>
          <w:tcPr>
            <w:tcW w:w="281" w:type="pct"/>
            <w:tcBorders>
              <w:top w:val="nil"/>
              <w:left w:val="nil"/>
              <w:bottom w:val="single" w:sz="4" w:space="0" w:color="auto"/>
              <w:right w:val="single" w:sz="4" w:space="0" w:color="auto"/>
            </w:tcBorders>
            <w:shd w:val="clear" w:color="000000" w:fill="D9D9D9"/>
            <w:vAlign w:val="center"/>
            <w:hideMark/>
          </w:tcPr>
          <w:p w14:paraId="010D9D09" w14:textId="2D8348BF"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2.2.4</w:t>
            </w:r>
            <w:r w:rsidR="0006016F" w:rsidRPr="00B457F5">
              <w:rPr>
                <w:rFonts w:ascii="Garamond" w:eastAsia="Times New Roman" w:hAnsi="Garamond" w:cs="Times New Roman"/>
                <w:b/>
                <w:bCs/>
                <w:color w:val="000000"/>
                <w:sz w:val="4"/>
                <w:szCs w:val="10"/>
              </w:rPr>
              <w:t xml:space="preserve"> </w:t>
            </w:r>
            <w:r w:rsidRPr="00B457F5">
              <w:rPr>
                <w:rFonts w:ascii="Garamond" w:eastAsia="Times New Roman" w:hAnsi="Garamond" w:cs="Times New Roman"/>
                <w:b/>
                <w:bCs/>
                <w:color w:val="000000"/>
                <w:sz w:val="4"/>
                <w:szCs w:val="10"/>
              </w:rPr>
              <w:t>Promovimi i investimeve</w:t>
            </w:r>
          </w:p>
        </w:tc>
        <w:tc>
          <w:tcPr>
            <w:tcW w:w="186" w:type="pct"/>
            <w:tcBorders>
              <w:top w:val="nil"/>
              <w:left w:val="nil"/>
              <w:bottom w:val="single" w:sz="4" w:space="0" w:color="auto"/>
              <w:right w:val="single" w:sz="4" w:space="0" w:color="auto"/>
            </w:tcBorders>
            <w:shd w:val="clear" w:color="000000" w:fill="D9D9D9"/>
            <w:vAlign w:val="center"/>
            <w:hideMark/>
          </w:tcPr>
          <w:p w14:paraId="024E0D95" w14:textId="056A8399"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04130 </w:t>
            </w:r>
            <w:r w:rsidR="008E5BAD" w:rsidRPr="00B457F5">
              <w:rPr>
                <w:rFonts w:ascii="Garamond" w:eastAsia="Times New Roman" w:hAnsi="Garamond" w:cs="Times New Roman"/>
                <w:color w:val="FF0000"/>
                <w:sz w:val="4"/>
                <w:szCs w:val="10"/>
              </w:rPr>
              <w:t>Mbështetje</w:t>
            </w:r>
            <w:r w:rsidRPr="00B457F5">
              <w:rPr>
                <w:rFonts w:ascii="Garamond" w:eastAsia="Times New Roman" w:hAnsi="Garamond" w:cs="Times New Roman"/>
                <w:color w:val="FF0000"/>
                <w:sz w:val="4"/>
                <w:szCs w:val="10"/>
              </w:rPr>
              <w:t xml:space="preserve"> </w:t>
            </w:r>
            <w:r w:rsidR="008E5BAD" w:rsidRPr="00B457F5">
              <w:rPr>
                <w:rFonts w:ascii="Garamond" w:eastAsia="Times New Roman" w:hAnsi="Garamond" w:cs="Times New Roman"/>
                <w:color w:val="FF0000"/>
                <w:sz w:val="4"/>
                <w:szCs w:val="10"/>
              </w:rPr>
              <w:t>për</w:t>
            </w:r>
            <w:r w:rsidRPr="00B457F5">
              <w:rPr>
                <w:rFonts w:ascii="Garamond" w:eastAsia="Times New Roman" w:hAnsi="Garamond" w:cs="Times New Roman"/>
                <w:color w:val="FF0000"/>
                <w:sz w:val="4"/>
                <w:szCs w:val="10"/>
              </w:rPr>
              <w:t xml:space="preserve"> Zhvillim Ekonomik</w:t>
            </w:r>
          </w:p>
        </w:tc>
        <w:tc>
          <w:tcPr>
            <w:tcW w:w="169" w:type="pct"/>
            <w:tcBorders>
              <w:top w:val="nil"/>
              <w:left w:val="nil"/>
              <w:bottom w:val="single" w:sz="4" w:space="0" w:color="auto"/>
              <w:right w:val="single" w:sz="4" w:space="0" w:color="auto"/>
            </w:tcBorders>
            <w:shd w:val="clear" w:color="000000" w:fill="D9D9D9"/>
            <w:vAlign w:val="center"/>
            <w:hideMark/>
          </w:tcPr>
          <w:p w14:paraId="076BC02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AIDA, AKD</w:t>
            </w:r>
          </w:p>
        </w:tc>
        <w:tc>
          <w:tcPr>
            <w:tcW w:w="244" w:type="pct"/>
            <w:tcBorders>
              <w:top w:val="nil"/>
              <w:left w:val="nil"/>
              <w:bottom w:val="single" w:sz="4" w:space="0" w:color="auto"/>
              <w:right w:val="single" w:sz="4" w:space="0" w:color="auto"/>
            </w:tcBorders>
            <w:shd w:val="clear" w:color="000000" w:fill="D9D9D9"/>
            <w:vAlign w:val="center"/>
            <w:hideMark/>
          </w:tcPr>
          <w:p w14:paraId="4BB79841" w14:textId="3F755BB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MEKI/AKPA dhe MB/NJVV, MEPJ, </w:t>
            </w:r>
            <w:r w:rsidR="008E5BAD" w:rsidRPr="00B457F5">
              <w:rPr>
                <w:rFonts w:ascii="Garamond" w:eastAsia="Times New Roman" w:hAnsi="Garamond" w:cs="Times New Roman"/>
                <w:color w:val="000000"/>
                <w:sz w:val="4"/>
                <w:szCs w:val="10"/>
              </w:rPr>
              <w:t>ministri i shtetit për pushtetin vendor</w:t>
            </w:r>
            <w:r w:rsidRPr="00B457F5">
              <w:rPr>
                <w:rFonts w:ascii="Garamond" w:eastAsia="Times New Roman" w:hAnsi="Garamond" w:cs="Times New Roman"/>
                <w:color w:val="000000"/>
                <w:sz w:val="4"/>
                <w:szCs w:val="10"/>
              </w:rPr>
              <w:t>, AIDA, AKD, IOM</w:t>
            </w:r>
          </w:p>
        </w:tc>
        <w:tc>
          <w:tcPr>
            <w:tcW w:w="135" w:type="pct"/>
            <w:tcBorders>
              <w:top w:val="nil"/>
              <w:left w:val="nil"/>
              <w:bottom w:val="single" w:sz="4" w:space="0" w:color="auto"/>
              <w:right w:val="single" w:sz="4" w:space="0" w:color="auto"/>
            </w:tcBorders>
            <w:shd w:val="clear" w:color="000000" w:fill="D9D9D9"/>
            <w:vAlign w:val="center"/>
            <w:hideMark/>
          </w:tcPr>
          <w:p w14:paraId="5D58DF6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2024</w:t>
            </w:r>
          </w:p>
        </w:tc>
        <w:tc>
          <w:tcPr>
            <w:tcW w:w="152" w:type="pct"/>
            <w:tcBorders>
              <w:top w:val="nil"/>
              <w:left w:val="nil"/>
              <w:bottom w:val="single" w:sz="4" w:space="0" w:color="auto"/>
              <w:right w:val="single" w:sz="4" w:space="0" w:color="auto"/>
            </w:tcBorders>
            <w:shd w:val="clear" w:color="000000" w:fill="D9D9D9"/>
            <w:vAlign w:val="center"/>
            <w:hideMark/>
          </w:tcPr>
          <w:p w14:paraId="357E974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2026</w:t>
            </w:r>
          </w:p>
        </w:tc>
        <w:tc>
          <w:tcPr>
            <w:tcW w:w="163" w:type="pct"/>
            <w:tcBorders>
              <w:top w:val="nil"/>
              <w:left w:val="nil"/>
              <w:bottom w:val="single" w:sz="4" w:space="0" w:color="auto"/>
              <w:right w:val="single" w:sz="4" w:space="0" w:color="auto"/>
            </w:tcBorders>
            <w:shd w:val="clear" w:color="000000" w:fill="D9D9D9"/>
            <w:vAlign w:val="center"/>
            <w:hideMark/>
          </w:tcPr>
          <w:p w14:paraId="547F69F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3,848,956</w:t>
            </w:r>
          </w:p>
        </w:tc>
        <w:tc>
          <w:tcPr>
            <w:tcW w:w="155" w:type="pct"/>
            <w:tcBorders>
              <w:top w:val="nil"/>
              <w:left w:val="nil"/>
              <w:bottom w:val="single" w:sz="4" w:space="0" w:color="auto"/>
              <w:right w:val="single" w:sz="4" w:space="0" w:color="auto"/>
            </w:tcBorders>
            <w:shd w:val="clear" w:color="000000" w:fill="D9D9D9"/>
            <w:vAlign w:val="center"/>
            <w:hideMark/>
          </w:tcPr>
          <w:p w14:paraId="371138B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D9D9D9"/>
            <w:noWrap/>
            <w:vAlign w:val="center"/>
            <w:hideMark/>
          </w:tcPr>
          <w:p w14:paraId="2ABAAF3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3,848,956</w:t>
            </w:r>
          </w:p>
        </w:tc>
        <w:tc>
          <w:tcPr>
            <w:tcW w:w="165" w:type="pct"/>
            <w:tcBorders>
              <w:top w:val="nil"/>
              <w:left w:val="nil"/>
              <w:bottom w:val="single" w:sz="4" w:space="0" w:color="auto"/>
              <w:right w:val="single" w:sz="4" w:space="0" w:color="auto"/>
            </w:tcBorders>
            <w:shd w:val="clear" w:color="000000" w:fill="D9D9D9"/>
            <w:vAlign w:val="center"/>
            <w:hideMark/>
          </w:tcPr>
          <w:p w14:paraId="56E06A7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3,848,956</w:t>
            </w:r>
          </w:p>
        </w:tc>
        <w:tc>
          <w:tcPr>
            <w:tcW w:w="163" w:type="pct"/>
            <w:tcBorders>
              <w:top w:val="nil"/>
              <w:left w:val="nil"/>
              <w:bottom w:val="single" w:sz="4" w:space="0" w:color="auto"/>
              <w:right w:val="single" w:sz="4" w:space="0" w:color="auto"/>
            </w:tcBorders>
            <w:shd w:val="clear" w:color="000000" w:fill="D9D9D9"/>
            <w:vAlign w:val="center"/>
            <w:hideMark/>
          </w:tcPr>
          <w:p w14:paraId="7A60DB0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D9D9D9"/>
            <w:noWrap/>
            <w:vAlign w:val="center"/>
            <w:hideMark/>
          </w:tcPr>
          <w:p w14:paraId="70C065A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3,848,956</w:t>
            </w:r>
          </w:p>
        </w:tc>
        <w:tc>
          <w:tcPr>
            <w:tcW w:w="163" w:type="pct"/>
            <w:tcBorders>
              <w:top w:val="nil"/>
              <w:left w:val="nil"/>
              <w:bottom w:val="single" w:sz="4" w:space="0" w:color="auto"/>
              <w:right w:val="single" w:sz="4" w:space="0" w:color="auto"/>
            </w:tcBorders>
            <w:shd w:val="clear" w:color="000000" w:fill="D9D9D9"/>
            <w:vAlign w:val="center"/>
            <w:hideMark/>
          </w:tcPr>
          <w:p w14:paraId="200983A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3,848,956</w:t>
            </w:r>
          </w:p>
        </w:tc>
        <w:tc>
          <w:tcPr>
            <w:tcW w:w="148" w:type="pct"/>
            <w:tcBorders>
              <w:top w:val="nil"/>
              <w:left w:val="nil"/>
              <w:bottom w:val="single" w:sz="4" w:space="0" w:color="auto"/>
              <w:right w:val="single" w:sz="4" w:space="0" w:color="auto"/>
            </w:tcBorders>
            <w:shd w:val="clear" w:color="000000" w:fill="D9D9D9"/>
            <w:vAlign w:val="center"/>
            <w:hideMark/>
          </w:tcPr>
          <w:p w14:paraId="280D57F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D9D9D9"/>
            <w:noWrap/>
            <w:vAlign w:val="center"/>
            <w:hideMark/>
          </w:tcPr>
          <w:p w14:paraId="22F5847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3,848,956</w:t>
            </w:r>
          </w:p>
        </w:tc>
        <w:tc>
          <w:tcPr>
            <w:tcW w:w="165" w:type="pct"/>
            <w:tcBorders>
              <w:top w:val="nil"/>
              <w:left w:val="nil"/>
              <w:bottom w:val="single" w:sz="4" w:space="0" w:color="auto"/>
              <w:right w:val="single" w:sz="4" w:space="0" w:color="auto"/>
            </w:tcBorders>
            <w:shd w:val="clear" w:color="000000" w:fill="D9D9D9"/>
            <w:noWrap/>
            <w:vAlign w:val="center"/>
            <w:hideMark/>
          </w:tcPr>
          <w:p w14:paraId="3FE69C5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11,546,868</w:t>
            </w:r>
          </w:p>
        </w:tc>
        <w:tc>
          <w:tcPr>
            <w:tcW w:w="163" w:type="pct"/>
            <w:tcBorders>
              <w:top w:val="nil"/>
              <w:left w:val="nil"/>
              <w:bottom w:val="single" w:sz="4" w:space="0" w:color="auto"/>
              <w:right w:val="single" w:sz="4" w:space="0" w:color="auto"/>
            </w:tcBorders>
            <w:shd w:val="clear" w:color="000000" w:fill="D9D9D9"/>
            <w:noWrap/>
            <w:vAlign w:val="center"/>
            <w:hideMark/>
          </w:tcPr>
          <w:p w14:paraId="0D09C0A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D9D9D9"/>
            <w:noWrap/>
            <w:vAlign w:val="center"/>
            <w:hideMark/>
          </w:tcPr>
          <w:p w14:paraId="4A2FAB5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11,546,868</w:t>
            </w:r>
          </w:p>
        </w:tc>
        <w:tc>
          <w:tcPr>
            <w:tcW w:w="163" w:type="pct"/>
            <w:tcBorders>
              <w:top w:val="nil"/>
              <w:left w:val="nil"/>
              <w:bottom w:val="single" w:sz="4" w:space="0" w:color="auto"/>
              <w:right w:val="single" w:sz="4" w:space="0" w:color="auto"/>
            </w:tcBorders>
            <w:shd w:val="clear" w:color="000000" w:fill="D9D9D9"/>
            <w:vAlign w:val="center"/>
            <w:hideMark/>
          </w:tcPr>
          <w:p w14:paraId="21CD140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11,024,868</w:t>
            </w:r>
          </w:p>
        </w:tc>
        <w:tc>
          <w:tcPr>
            <w:tcW w:w="155" w:type="pct"/>
            <w:tcBorders>
              <w:top w:val="nil"/>
              <w:left w:val="nil"/>
              <w:bottom w:val="single" w:sz="4" w:space="0" w:color="auto"/>
              <w:right w:val="single" w:sz="4" w:space="0" w:color="auto"/>
            </w:tcBorders>
            <w:shd w:val="clear" w:color="000000" w:fill="D9D9D9"/>
            <w:vAlign w:val="center"/>
            <w:hideMark/>
          </w:tcPr>
          <w:p w14:paraId="538722B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D9D9D9"/>
            <w:noWrap/>
            <w:vAlign w:val="center"/>
            <w:hideMark/>
          </w:tcPr>
          <w:p w14:paraId="024AD6B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11,024,868</w:t>
            </w:r>
          </w:p>
        </w:tc>
        <w:tc>
          <w:tcPr>
            <w:tcW w:w="162" w:type="pct"/>
            <w:tcBorders>
              <w:top w:val="nil"/>
              <w:left w:val="nil"/>
              <w:bottom w:val="single" w:sz="4" w:space="0" w:color="auto"/>
              <w:right w:val="single" w:sz="4" w:space="0" w:color="auto"/>
            </w:tcBorders>
            <w:shd w:val="clear" w:color="000000" w:fill="D9D9D9"/>
            <w:vAlign w:val="center"/>
            <w:hideMark/>
          </w:tcPr>
          <w:p w14:paraId="0C1AF77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000000" w:fill="D9D9D9"/>
            <w:vAlign w:val="center"/>
            <w:hideMark/>
          </w:tcPr>
          <w:p w14:paraId="0194DF7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000000" w:fill="D9D9D9"/>
            <w:noWrap/>
            <w:vAlign w:val="center"/>
            <w:hideMark/>
          </w:tcPr>
          <w:p w14:paraId="474E728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000000" w:fill="D9D9D9"/>
            <w:noWrap/>
            <w:vAlign w:val="center"/>
            <w:hideMark/>
          </w:tcPr>
          <w:p w14:paraId="278D65F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000000" w:fill="D9D9D9"/>
            <w:vAlign w:val="center"/>
            <w:hideMark/>
          </w:tcPr>
          <w:p w14:paraId="768E865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000000" w:fill="D9D9D9"/>
            <w:vAlign w:val="center"/>
            <w:hideMark/>
          </w:tcPr>
          <w:p w14:paraId="54C53D0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D9D9D9"/>
            <w:noWrap/>
            <w:vAlign w:val="center"/>
            <w:hideMark/>
          </w:tcPr>
          <w:p w14:paraId="2DC32C0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4" w:space="0" w:color="auto"/>
            </w:tcBorders>
            <w:shd w:val="clear" w:color="000000" w:fill="D9D9D9"/>
            <w:vAlign w:val="center"/>
            <w:hideMark/>
          </w:tcPr>
          <w:p w14:paraId="337C02DF" w14:textId="5D5C23EC"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(522,000)</w:t>
            </w:r>
          </w:p>
        </w:tc>
      </w:tr>
      <w:tr w:rsidR="00C260C3" w:rsidRPr="00B457F5" w14:paraId="6B1FDE07" w14:textId="77777777" w:rsidTr="00C260C3">
        <w:trPr>
          <w:trHeight w:val="20"/>
        </w:trPr>
        <w:tc>
          <w:tcPr>
            <w:tcW w:w="131" w:type="pct"/>
            <w:tcBorders>
              <w:top w:val="nil"/>
              <w:left w:val="single" w:sz="8" w:space="0" w:color="auto"/>
              <w:bottom w:val="nil"/>
              <w:right w:val="single" w:sz="4" w:space="0" w:color="auto"/>
            </w:tcBorders>
            <w:shd w:val="clear" w:color="auto" w:fill="auto"/>
            <w:noWrap/>
            <w:vAlign w:val="center"/>
            <w:hideMark/>
          </w:tcPr>
          <w:p w14:paraId="50A6C5F8"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2.2.4.1</w:t>
            </w:r>
          </w:p>
        </w:tc>
        <w:tc>
          <w:tcPr>
            <w:tcW w:w="281" w:type="pct"/>
            <w:tcBorders>
              <w:top w:val="nil"/>
              <w:left w:val="nil"/>
              <w:bottom w:val="single" w:sz="4" w:space="0" w:color="auto"/>
              <w:right w:val="nil"/>
            </w:tcBorders>
            <w:shd w:val="clear" w:color="auto" w:fill="auto"/>
            <w:hideMark/>
          </w:tcPr>
          <w:p w14:paraId="2905AAAA" w14:textId="48F18EB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2.2.4.1 Të zhvillohen dhe të përditësohen vazhdimisht materialet </w:t>
            </w:r>
            <w:r w:rsidRPr="00B457F5">
              <w:rPr>
                <w:rFonts w:ascii="Garamond" w:eastAsia="Times New Roman" w:hAnsi="Garamond" w:cs="Times New Roman"/>
                <w:i/>
                <w:color w:val="000000"/>
                <w:sz w:val="4"/>
                <w:szCs w:val="10"/>
              </w:rPr>
              <w:t>online</w:t>
            </w:r>
            <w:r w:rsidRPr="00B457F5">
              <w:rPr>
                <w:rFonts w:ascii="Garamond" w:eastAsia="Times New Roman" w:hAnsi="Garamond" w:cs="Times New Roman"/>
                <w:color w:val="000000"/>
                <w:sz w:val="4"/>
                <w:szCs w:val="10"/>
              </w:rPr>
              <w:t xml:space="preserve"> dhe </w:t>
            </w:r>
            <w:r w:rsidRPr="00B457F5">
              <w:rPr>
                <w:rFonts w:ascii="Garamond" w:eastAsia="Times New Roman" w:hAnsi="Garamond" w:cs="Times New Roman"/>
                <w:i/>
                <w:color w:val="000000"/>
                <w:sz w:val="4"/>
                <w:szCs w:val="10"/>
              </w:rPr>
              <w:t>offline</w:t>
            </w:r>
            <w:r w:rsidRPr="00B457F5">
              <w:rPr>
                <w:rFonts w:ascii="Garamond" w:eastAsia="Times New Roman" w:hAnsi="Garamond" w:cs="Times New Roman"/>
                <w:color w:val="000000"/>
                <w:sz w:val="4"/>
                <w:szCs w:val="10"/>
              </w:rPr>
              <w:t xml:space="preserve"> për mundësitë aktuale të investimit në Shqipëri</w:t>
            </w:r>
            <w:r w:rsidR="00FC441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në bazë të informacionit të mbledhur nga autoritetet vendore</w:t>
            </w:r>
          </w:p>
        </w:tc>
        <w:tc>
          <w:tcPr>
            <w:tcW w:w="186" w:type="pct"/>
            <w:tcBorders>
              <w:top w:val="nil"/>
              <w:left w:val="nil"/>
              <w:bottom w:val="single" w:sz="4" w:space="0" w:color="auto"/>
              <w:right w:val="single" w:sz="4" w:space="0" w:color="auto"/>
            </w:tcBorders>
            <w:shd w:val="clear" w:color="auto" w:fill="auto"/>
            <w:vAlign w:val="center"/>
            <w:hideMark/>
          </w:tcPr>
          <w:p w14:paraId="597100FE" w14:textId="7E1F767D"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04130 </w:t>
            </w:r>
            <w:r w:rsidR="008E5BAD" w:rsidRPr="00B457F5">
              <w:rPr>
                <w:rFonts w:ascii="Garamond" w:eastAsia="Times New Roman" w:hAnsi="Garamond" w:cs="Times New Roman"/>
                <w:color w:val="FF0000"/>
                <w:sz w:val="4"/>
                <w:szCs w:val="10"/>
              </w:rPr>
              <w:t>Mbështetje</w:t>
            </w:r>
            <w:r w:rsidRPr="00B457F5">
              <w:rPr>
                <w:rFonts w:ascii="Garamond" w:eastAsia="Times New Roman" w:hAnsi="Garamond" w:cs="Times New Roman"/>
                <w:color w:val="FF0000"/>
                <w:sz w:val="4"/>
                <w:szCs w:val="10"/>
              </w:rPr>
              <w:t xml:space="preserve"> </w:t>
            </w:r>
            <w:r w:rsidR="008E5BAD" w:rsidRPr="00B457F5">
              <w:rPr>
                <w:rFonts w:ascii="Garamond" w:eastAsia="Times New Roman" w:hAnsi="Garamond" w:cs="Times New Roman"/>
                <w:color w:val="FF0000"/>
                <w:sz w:val="4"/>
                <w:szCs w:val="10"/>
              </w:rPr>
              <w:t>për</w:t>
            </w:r>
            <w:r w:rsidRPr="00B457F5">
              <w:rPr>
                <w:rFonts w:ascii="Garamond" w:eastAsia="Times New Roman" w:hAnsi="Garamond" w:cs="Times New Roman"/>
                <w:color w:val="FF0000"/>
                <w:sz w:val="4"/>
                <w:szCs w:val="10"/>
              </w:rPr>
              <w:t xml:space="preserve"> Zhvillim Ekonomik</w:t>
            </w:r>
          </w:p>
        </w:tc>
        <w:tc>
          <w:tcPr>
            <w:tcW w:w="169" w:type="pct"/>
            <w:tcBorders>
              <w:top w:val="nil"/>
              <w:left w:val="nil"/>
              <w:bottom w:val="single" w:sz="4" w:space="0" w:color="auto"/>
              <w:right w:val="single" w:sz="4" w:space="0" w:color="auto"/>
            </w:tcBorders>
            <w:shd w:val="clear" w:color="auto" w:fill="auto"/>
            <w:vAlign w:val="center"/>
            <w:hideMark/>
          </w:tcPr>
          <w:p w14:paraId="5F3FE3D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AIDA</w:t>
            </w:r>
          </w:p>
        </w:tc>
        <w:tc>
          <w:tcPr>
            <w:tcW w:w="244" w:type="pct"/>
            <w:tcBorders>
              <w:top w:val="nil"/>
              <w:left w:val="nil"/>
              <w:bottom w:val="single" w:sz="4" w:space="0" w:color="auto"/>
              <w:right w:val="single" w:sz="4" w:space="0" w:color="auto"/>
            </w:tcBorders>
            <w:shd w:val="clear" w:color="auto" w:fill="auto"/>
            <w:vAlign w:val="center"/>
            <w:hideMark/>
          </w:tcPr>
          <w:p w14:paraId="3113B712" w14:textId="7F77F556"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MEKI/AKPA</w:t>
            </w:r>
            <w:r w:rsidR="0006016F" w:rsidRPr="00B457F5">
              <w:rPr>
                <w:rFonts w:ascii="Garamond" w:eastAsia="Times New Roman" w:hAnsi="Garamond" w:cs="Times New Roman"/>
                <w:color w:val="000000"/>
                <w:sz w:val="4"/>
                <w:szCs w:val="10"/>
              </w:rPr>
              <w:t xml:space="preserve"> </w:t>
            </w:r>
            <w:r w:rsidRPr="00B457F5">
              <w:rPr>
                <w:rFonts w:ascii="Garamond" w:eastAsia="Times New Roman" w:hAnsi="Garamond" w:cs="Times New Roman"/>
                <w:color w:val="000000"/>
                <w:sz w:val="4"/>
                <w:szCs w:val="10"/>
              </w:rPr>
              <w:t>dhe MB/NJVV/</w:t>
            </w:r>
            <w:r w:rsidR="008E5BAD" w:rsidRPr="00B457F5">
              <w:rPr>
                <w:rFonts w:ascii="Garamond" w:eastAsia="Times New Roman" w:hAnsi="Garamond" w:cs="Times New Roman"/>
                <w:color w:val="000000"/>
                <w:sz w:val="4"/>
                <w:szCs w:val="10"/>
              </w:rPr>
              <w:t>ministri i shtetit për pushtetin vendor</w:t>
            </w:r>
          </w:p>
        </w:tc>
        <w:tc>
          <w:tcPr>
            <w:tcW w:w="135" w:type="pct"/>
            <w:tcBorders>
              <w:top w:val="nil"/>
              <w:left w:val="nil"/>
              <w:bottom w:val="single" w:sz="4" w:space="0" w:color="auto"/>
              <w:right w:val="single" w:sz="4" w:space="0" w:color="auto"/>
            </w:tcBorders>
            <w:shd w:val="clear" w:color="000000" w:fill="DDEBF7"/>
            <w:vAlign w:val="center"/>
            <w:hideMark/>
          </w:tcPr>
          <w:p w14:paraId="5C6307D4"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5E302522"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780D706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603,434</w:t>
            </w:r>
          </w:p>
        </w:tc>
        <w:tc>
          <w:tcPr>
            <w:tcW w:w="155" w:type="pct"/>
            <w:tcBorders>
              <w:top w:val="nil"/>
              <w:left w:val="nil"/>
              <w:bottom w:val="single" w:sz="4" w:space="0" w:color="auto"/>
              <w:right w:val="single" w:sz="4" w:space="0" w:color="auto"/>
            </w:tcBorders>
            <w:shd w:val="clear" w:color="auto" w:fill="auto"/>
            <w:vAlign w:val="center"/>
            <w:hideMark/>
          </w:tcPr>
          <w:p w14:paraId="369D09B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noWrap/>
            <w:vAlign w:val="center"/>
            <w:hideMark/>
          </w:tcPr>
          <w:p w14:paraId="418A684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603,434</w:t>
            </w:r>
          </w:p>
        </w:tc>
        <w:tc>
          <w:tcPr>
            <w:tcW w:w="165" w:type="pct"/>
            <w:tcBorders>
              <w:top w:val="nil"/>
              <w:left w:val="nil"/>
              <w:bottom w:val="single" w:sz="4" w:space="0" w:color="auto"/>
              <w:right w:val="single" w:sz="4" w:space="0" w:color="auto"/>
            </w:tcBorders>
            <w:shd w:val="clear" w:color="auto" w:fill="auto"/>
            <w:vAlign w:val="center"/>
            <w:hideMark/>
          </w:tcPr>
          <w:p w14:paraId="75CE56F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603,434</w:t>
            </w:r>
          </w:p>
        </w:tc>
        <w:tc>
          <w:tcPr>
            <w:tcW w:w="163" w:type="pct"/>
            <w:tcBorders>
              <w:top w:val="nil"/>
              <w:left w:val="nil"/>
              <w:bottom w:val="single" w:sz="4" w:space="0" w:color="auto"/>
              <w:right w:val="single" w:sz="4" w:space="0" w:color="auto"/>
            </w:tcBorders>
            <w:shd w:val="clear" w:color="auto" w:fill="auto"/>
            <w:vAlign w:val="center"/>
            <w:hideMark/>
          </w:tcPr>
          <w:p w14:paraId="07EBE56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nil"/>
              <w:right w:val="single" w:sz="4" w:space="0" w:color="auto"/>
            </w:tcBorders>
            <w:shd w:val="clear" w:color="000000" w:fill="FFF2CC"/>
            <w:noWrap/>
            <w:vAlign w:val="center"/>
            <w:hideMark/>
          </w:tcPr>
          <w:p w14:paraId="7FCD656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603,434</w:t>
            </w:r>
          </w:p>
        </w:tc>
        <w:tc>
          <w:tcPr>
            <w:tcW w:w="163" w:type="pct"/>
            <w:tcBorders>
              <w:top w:val="nil"/>
              <w:left w:val="nil"/>
              <w:bottom w:val="single" w:sz="4" w:space="0" w:color="auto"/>
              <w:right w:val="single" w:sz="4" w:space="0" w:color="auto"/>
            </w:tcBorders>
            <w:shd w:val="clear" w:color="auto" w:fill="auto"/>
            <w:vAlign w:val="center"/>
            <w:hideMark/>
          </w:tcPr>
          <w:p w14:paraId="05B731D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603,434</w:t>
            </w:r>
          </w:p>
        </w:tc>
        <w:tc>
          <w:tcPr>
            <w:tcW w:w="148" w:type="pct"/>
            <w:tcBorders>
              <w:top w:val="nil"/>
              <w:left w:val="nil"/>
              <w:bottom w:val="single" w:sz="4" w:space="0" w:color="auto"/>
              <w:right w:val="single" w:sz="4" w:space="0" w:color="auto"/>
            </w:tcBorders>
            <w:shd w:val="clear" w:color="auto" w:fill="auto"/>
            <w:vAlign w:val="center"/>
            <w:hideMark/>
          </w:tcPr>
          <w:p w14:paraId="5FFF419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nil"/>
              <w:right w:val="single" w:sz="4" w:space="0" w:color="auto"/>
            </w:tcBorders>
            <w:shd w:val="clear" w:color="000000" w:fill="FFF2CC"/>
            <w:noWrap/>
            <w:vAlign w:val="center"/>
            <w:hideMark/>
          </w:tcPr>
          <w:p w14:paraId="5E844B2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603,434</w:t>
            </w:r>
          </w:p>
        </w:tc>
        <w:tc>
          <w:tcPr>
            <w:tcW w:w="165" w:type="pct"/>
            <w:tcBorders>
              <w:top w:val="nil"/>
              <w:left w:val="nil"/>
              <w:bottom w:val="nil"/>
              <w:right w:val="single" w:sz="4" w:space="0" w:color="auto"/>
            </w:tcBorders>
            <w:shd w:val="clear" w:color="auto" w:fill="auto"/>
            <w:noWrap/>
            <w:vAlign w:val="center"/>
            <w:hideMark/>
          </w:tcPr>
          <w:p w14:paraId="1444A07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1,810,302</w:t>
            </w:r>
          </w:p>
        </w:tc>
        <w:tc>
          <w:tcPr>
            <w:tcW w:w="163" w:type="pct"/>
            <w:tcBorders>
              <w:top w:val="nil"/>
              <w:left w:val="nil"/>
              <w:bottom w:val="nil"/>
              <w:right w:val="single" w:sz="4" w:space="0" w:color="auto"/>
            </w:tcBorders>
            <w:shd w:val="clear" w:color="auto" w:fill="auto"/>
            <w:noWrap/>
            <w:vAlign w:val="center"/>
            <w:hideMark/>
          </w:tcPr>
          <w:p w14:paraId="27CDBC8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nil"/>
              <w:right w:val="single" w:sz="4" w:space="0" w:color="auto"/>
            </w:tcBorders>
            <w:shd w:val="clear" w:color="000000" w:fill="FFF2CC"/>
            <w:noWrap/>
            <w:vAlign w:val="center"/>
            <w:hideMark/>
          </w:tcPr>
          <w:p w14:paraId="1AC5FD6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1,810,302</w:t>
            </w:r>
          </w:p>
        </w:tc>
        <w:tc>
          <w:tcPr>
            <w:tcW w:w="163" w:type="pct"/>
            <w:tcBorders>
              <w:top w:val="nil"/>
              <w:left w:val="nil"/>
              <w:bottom w:val="nil"/>
              <w:right w:val="single" w:sz="4" w:space="0" w:color="auto"/>
            </w:tcBorders>
            <w:shd w:val="clear" w:color="auto" w:fill="auto"/>
            <w:noWrap/>
            <w:vAlign w:val="center"/>
            <w:hideMark/>
          </w:tcPr>
          <w:p w14:paraId="38963B8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1,810,302</w:t>
            </w:r>
          </w:p>
        </w:tc>
        <w:tc>
          <w:tcPr>
            <w:tcW w:w="155" w:type="pct"/>
            <w:tcBorders>
              <w:top w:val="nil"/>
              <w:left w:val="nil"/>
              <w:bottom w:val="single" w:sz="4" w:space="0" w:color="auto"/>
              <w:right w:val="single" w:sz="4" w:space="0" w:color="auto"/>
            </w:tcBorders>
            <w:shd w:val="clear" w:color="auto" w:fill="auto"/>
            <w:vAlign w:val="center"/>
            <w:hideMark/>
          </w:tcPr>
          <w:p w14:paraId="7676298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nil"/>
              <w:right w:val="single" w:sz="4" w:space="0" w:color="auto"/>
            </w:tcBorders>
            <w:shd w:val="clear" w:color="000000" w:fill="FFF2CC"/>
            <w:noWrap/>
            <w:vAlign w:val="center"/>
            <w:hideMark/>
          </w:tcPr>
          <w:p w14:paraId="2E23A2B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1,810,302</w:t>
            </w:r>
          </w:p>
        </w:tc>
        <w:tc>
          <w:tcPr>
            <w:tcW w:w="162" w:type="pct"/>
            <w:tcBorders>
              <w:top w:val="nil"/>
              <w:left w:val="nil"/>
              <w:bottom w:val="single" w:sz="4" w:space="0" w:color="auto"/>
              <w:right w:val="single" w:sz="4" w:space="0" w:color="auto"/>
            </w:tcBorders>
            <w:shd w:val="clear" w:color="auto" w:fill="auto"/>
            <w:vAlign w:val="center"/>
            <w:hideMark/>
          </w:tcPr>
          <w:p w14:paraId="28271B2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7F4A8A7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nil"/>
              <w:right w:val="single" w:sz="4" w:space="0" w:color="auto"/>
            </w:tcBorders>
            <w:shd w:val="clear" w:color="auto" w:fill="auto"/>
            <w:noWrap/>
            <w:vAlign w:val="center"/>
            <w:hideMark/>
          </w:tcPr>
          <w:p w14:paraId="69AF513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nil"/>
              <w:right w:val="single" w:sz="4" w:space="0" w:color="auto"/>
            </w:tcBorders>
            <w:shd w:val="clear" w:color="000000" w:fill="FFF2CC"/>
            <w:noWrap/>
            <w:vAlign w:val="center"/>
            <w:hideMark/>
          </w:tcPr>
          <w:p w14:paraId="05CAD42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nil"/>
              <w:right w:val="single" w:sz="4" w:space="0" w:color="auto"/>
            </w:tcBorders>
            <w:shd w:val="clear" w:color="auto" w:fill="auto"/>
            <w:noWrap/>
            <w:vAlign w:val="center"/>
            <w:hideMark/>
          </w:tcPr>
          <w:p w14:paraId="51392EE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19C9859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noWrap/>
            <w:vAlign w:val="center"/>
            <w:hideMark/>
          </w:tcPr>
          <w:p w14:paraId="6316259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63AC7C0D" w14:textId="69F074A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4C50BD67" w14:textId="77777777" w:rsidTr="00C260C3">
        <w:trPr>
          <w:trHeight w:val="20"/>
        </w:trPr>
        <w:tc>
          <w:tcPr>
            <w:tcW w:w="131" w:type="pct"/>
            <w:tcBorders>
              <w:top w:val="single" w:sz="4" w:space="0" w:color="auto"/>
              <w:left w:val="single" w:sz="8" w:space="0" w:color="auto"/>
              <w:bottom w:val="nil"/>
              <w:right w:val="single" w:sz="4" w:space="0" w:color="auto"/>
            </w:tcBorders>
            <w:shd w:val="clear" w:color="auto" w:fill="auto"/>
            <w:noWrap/>
            <w:vAlign w:val="center"/>
            <w:hideMark/>
          </w:tcPr>
          <w:p w14:paraId="4095B48B"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2.2.4.2</w:t>
            </w:r>
          </w:p>
        </w:tc>
        <w:tc>
          <w:tcPr>
            <w:tcW w:w="281" w:type="pct"/>
            <w:tcBorders>
              <w:top w:val="nil"/>
              <w:left w:val="nil"/>
              <w:bottom w:val="single" w:sz="4" w:space="0" w:color="auto"/>
              <w:right w:val="nil"/>
            </w:tcBorders>
            <w:shd w:val="clear" w:color="auto" w:fill="auto"/>
            <w:vAlign w:val="center"/>
            <w:hideMark/>
          </w:tcPr>
          <w:p w14:paraId="4A3C1808" w14:textId="005AEA71"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2.2.4.2 Të kryhen anketa dhe konsultime vjetore</w:t>
            </w:r>
            <w:r w:rsidR="0006016F" w:rsidRPr="00B457F5">
              <w:rPr>
                <w:rFonts w:ascii="Garamond" w:eastAsia="Times New Roman" w:hAnsi="Garamond" w:cs="Times New Roman"/>
                <w:color w:val="000000"/>
                <w:sz w:val="4"/>
                <w:szCs w:val="10"/>
              </w:rPr>
              <w:t xml:space="preserve"> </w:t>
            </w:r>
            <w:r w:rsidRPr="00B457F5">
              <w:rPr>
                <w:rFonts w:ascii="Garamond" w:eastAsia="Times New Roman" w:hAnsi="Garamond" w:cs="Times New Roman"/>
                <w:color w:val="000000"/>
                <w:sz w:val="4"/>
                <w:szCs w:val="10"/>
              </w:rPr>
              <w:t>me sipërmarrësit shqiptarë që qëndrojnë jashtë vendit</w:t>
            </w:r>
            <w:r w:rsidR="00FC441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në vendet kryesore të destinacionit</w:t>
            </w:r>
            <w:r w:rsidR="00FC441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për të matur nivelin e interesit të tyre për investime në Shqipëri dhe për të identifikuar pengesat kryesore</w:t>
            </w:r>
          </w:p>
        </w:tc>
        <w:tc>
          <w:tcPr>
            <w:tcW w:w="186" w:type="pct"/>
            <w:tcBorders>
              <w:top w:val="nil"/>
              <w:left w:val="nil"/>
              <w:bottom w:val="single" w:sz="4" w:space="0" w:color="auto"/>
              <w:right w:val="single" w:sz="4" w:space="0" w:color="auto"/>
            </w:tcBorders>
            <w:shd w:val="clear" w:color="auto" w:fill="auto"/>
            <w:vAlign w:val="center"/>
            <w:hideMark/>
          </w:tcPr>
          <w:p w14:paraId="7E72B515" w14:textId="76FCA53E"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04130 </w:t>
            </w:r>
            <w:r w:rsidR="008E5BAD" w:rsidRPr="00B457F5">
              <w:rPr>
                <w:rFonts w:ascii="Garamond" w:eastAsia="Times New Roman" w:hAnsi="Garamond" w:cs="Times New Roman"/>
                <w:color w:val="FF0000"/>
                <w:sz w:val="4"/>
                <w:szCs w:val="10"/>
              </w:rPr>
              <w:t>Mbështetje</w:t>
            </w:r>
            <w:r w:rsidRPr="00B457F5">
              <w:rPr>
                <w:rFonts w:ascii="Garamond" w:eastAsia="Times New Roman" w:hAnsi="Garamond" w:cs="Times New Roman"/>
                <w:color w:val="FF0000"/>
                <w:sz w:val="4"/>
                <w:szCs w:val="10"/>
              </w:rPr>
              <w:t xml:space="preserve"> </w:t>
            </w:r>
            <w:r w:rsidR="008E5BAD" w:rsidRPr="00B457F5">
              <w:rPr>
                <w:rFonts w:ascii="Garamond" w:eastAsia="Times New Roman" w:hAnsi="Garamond" w:cs="Times New Roman"/>
                <w:color w:val="FF0000"/>
                <w:sz w:val="4"/>
                <w:szCs w:val="10"/>
              </w:rPr>
              <w:t>për</w:t>
            </w:r>
            <w:r w:rsidRPr="00B457F5">
              <w:rPr>
                <w:rFonts w:ascii="Garamond" w:eastAsia="Times New Roman" w:hAnsi="Garamond" w:cs="Times New Roman"/>
                <w:color w:val="FF0000"/>
                <w:sz w:val="4"/>
                <w:szCs w:val="10"/>
              </w:rPr>
              <w:t xml:space="preserve"> Zhvillim Ekonomik</w:t>
            </w:r>
          </w:p>
        </w:tc>
        <w:tc>
          <w:tcPr>
            <w:tcW w:w="169" w:type="pct"/>
            <w:tcBorders>
              <w:top w:val="nil"/>
              <w:left w:val="nil"/>
              <w:bottom w:val="single" w:sz="4" w:space="0" w:color="auto"/>
              <w:right w:val="single" w:sz="4" w:space="0" w:color="auto"/>
            </w:tcBorders>
            <w:shd w:val="clear" w:color="auto" w:fill="auto"/>
            <w:vAlign w:val="center"/>
            <w:hideMark/>
          </w:tcPr>
          <w:p w14:paraId="1199E01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AIDA</w:t>
            </w:r>
          </w:p>
        </w:tc>
        <w:tc>
          <w:tcPr>
            <w:tcW w:w="244" w:type="pct"/>
            <w:tcBorders>
              <w:top w:val="nil"/>
              <w:left w:val="nil"/>
              <w:bottom w:val="single" w:sz="4" w:space="0" w:color="auto"/>
              <w:right w:val="single" w:sz="4" w:space="0" w:color="auto"/>
            </w:tcBorders>
            <w:shd w:val="clear" w:color="auto" w:fill="auto"/>
            <w:vAlign w:val="center"/>
            <w:hideMark/>
          </w:tcPr>
          <w:p w14:paraId="573696C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MEPJ/AKD</w:t>
            </w:r>
          </w:p>
        </w:tc>
        <w:tc>
          <w:tcPr>
            <w:tcW w:w="135" w:type="pct"/>
            <w:tcBorders>
              <w:top w:val="nil"/>
              <w:left w:val="nil"/>
              <w:bottom w:val="single" w:sz="4" w:space="0" w:color="auto"/>
              <w:right w:val="single" w:sz="4" w:space="0" w:color="auto"/>
            </w:tcBorders>
            <w:shd w:val="clear" w:color="000000" w:fill="DDEBF7"/>
            <w:vAlign w:val="center"/>
            <w:hideMark/>
          </w:tcPr>
          <w:p w14:paraId="6442B0D2"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6D865D66"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56BA0E9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2,166,000</w:t>
            </w:r>
          </w:p>
        </w:tc>
        <w:tc>
          <w:tcPr>
            <w:tcW w:w="155" w:type="pct"/>
            <w:tcBorders>
              <w:top w:val="nil"/>
              <w:left w:val="nil"/>
              <w:bottom w:val="single" w:sz="4" w:space="0" w:color="auto"/>
              <w:right w:val="single" w:sz="4" w:space="0" w:color="auto"/>
            </w:tcBorders>
            <w:shd w:val="clear" w:color="auto" w:fill="auto"/>
            <w:vAlign w:val="center"/>
            <w:hideMark/>
          </w:tcPr>
          <w:p w14:paraId="3ACE662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noWrap/>
            <w:vAlign w:val="center"/>
            <w:hideMark/>
          </w:tcPr>
          <w:p w14:paraId="1B3117C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2,166,000</w:t>
            </w:r>
          </w:p>
        </w:tc>
        <w:tc>
          <w:tcPr>
            <w:tcW w:w="165" w:type="pct"/>
            <w:tcBorders>
              <w:top w:val="nil"/>
              <w:left w:val="nil"/>
              <w:bottom w:val="single" w:sz="4" w:space="0" w:color="auto"/>
              <w:right w:val="single" w:sz="4" w:space="0" w:color="auto"/>
            </w:tcBorders>
            <w:shd w:val="clear" w:color="auto" w:fill="auto"/>
            <w:vAlign w:val="center"/>
            <w:hideMark/>
          </w:tcPr>
          <w:p w14:paraId="456AA0B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2,166,000</w:t>
            </w:r>
          </w:p>
        </w:tc>
        <w:tc>
          <w:tcPr>
            <w:tcW w:w="163" w:type="pct"/>
            <w:tcBorders>
              <w:top w:val="nil"/>
              <w:left w:val="nil"/>
              <w:bottom w:val="single" w:sz="4" w:space="0" w:color="auto"/>
              <w:right w:val="single" w:sz="4" w:space="0" w:color="auto"/>
            </w:tcBorders>
            <w:shd w:val="clear" w:color="auto" w:fill="auto"/>
            <w:vAlign w:val="center"/>
            <w:hideMark/>
          </w:tcPr>
          <w:p w14:paraId="26A52BE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single" w:sz="4" w:space="0" w:color="auto"/>
              <w:left w:val="nil"/>
              <w:bottom w:val="nil"/>
              <w:right w:val="single" w:sz="4" w:space="0" w:color="auto"/>
            </w:tcBorders>
            <w:shd w:val="clear" w:color="000000" w:fill="FFF2CC"/>
            <w:noWrap/>
            <w:vAlign w:val="center"/>
            <w:hideMark/>
          </w:tcPr>
          <w:p w14:paraId="2992346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2,166,000</w:t>
            </w:r>
          </w:p>
        </w:tc>
        <w:tc>
          <w:tcPr>
            <w:tcW w:w="163" w:type="pct"/>
            <w:tcBorders>
              <w:top w:val="nil"/>
              <w:left w:val="nil"/>
              <w:bottom w:val="single" w:sz="4" w:space="0" w:color="auto"/>
              <w:right w:val="single" w:sz="4" w:space="0" w:color="auto"/>
            </w:tcBorders>
            <w:shd w:val="clear" w:color="auto" w:fill="auto"/>
            <w:vAlign w:val="center"/>
            <w:hideMark/>
          </w:tcPr>
          <w:p w14:paraId="68F22EE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2,166,000</w:t>
            </w:r>
          </w:p>
        </w:tc>
        <w:tc>
          <w:tcPr>
            <w:tcW w:w="148" w:type="pct"/>
            <w:tcBorders>
              <w:top w:val="nil"/>
              <w:left w:val="nil"/>
              <w:bottom w:val="single" w:sz="4" w:space="0" w:color="auto"/>
              <w:right w:val="single" w:sz="4" w:space="0" w:color="auto"/>
            </w:tcBorders>
            <w:shd w:val="clear" w:color="auto" w:fill="auto"/>
            <w:vAlign w:val="center"/>
            <w:hideMark/>
          </w:tcPr>
          <w:p w14:paraId="2DFF71E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single" w:sz="4" w:space="0" w:color="auto"/>
              <w:left w:val="nil"/>
              <w:bottom w:val="nil"/>
              <w:right w:val="single" w:sz="4" w:space="0" w:color="auto"/>
            </w:tcBorders>
            <w:shd w:val="clear" w:color="000000" w:fill="FFF2CC"/>
            <w:noWrap/>
            <w:vAlign w:val="center"/>
            <w:hideMark/>
          </w:tcPr>
          <w:p w14:paraId="3BC14DA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2,166,000</w:t>
            </w:r>
          </w:p>
        </w:tc>
        <w:tc>
          <w:tcPr>
            <w:tcW w:w="165" w:type="pct"/>
            <w:tcBorders>
              <w:top w:val="single" w:sz="4" w:space="0" w:color="auto"/>
              <w:left w:val="nil"/>
              <w:bottom w:val="nil"/>
              <w:right w:val="single" w:sz="4" w:space="0" w:color="auto"/>
            </w:tcBorders>
            <w:shd w:val="clear" w:color="auto" w:fill="auto"/>
            <w:noWrap/>
            <w:vAlign w:val="center"/>
            <w:hideMark/>
          </w:tcPr>
          <w:p w14:paraId="01CE173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6,498,000</w:t>
            </w:r>
          </w:p>
        </w:tc>
        <w:tc>
          <w:tcPr>
            <w:tcW w:w="163" w:type="pct"/>
            <w:tcBorders>
              <w:top w:val="single" w:sz="4" w:space="0" w:color="auto"/>
              <w:left w:val="nil"/>
              <w:bottom w:val="nil"/>
              <w:right w:val="single" w:sz="4" w:space="0" w:color="auto"/>
            </w:tcBorders>
            <w:shd w:val="clear" w:color="auto" w:fill="auto"/>
            <w:noWrap/>
            <w:vAlign w:val="center"/>
            <w:hideMark/>
          </w:tcPr>
          <w:p w14:paraId="5A5CFD8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single" w:sz="4" w:space="0" w:color="auto"/>
              <w:left w:val="nil"/>
              <w:bottom w:val="nil"/>
              <w:right w:val="single" w:sz="4" w:space="0" w:color="auto"/>
            </w:tcBorders>
            <w:shd w:val="clear" w:color="000000" w:fill="FFF2CC"/>
            <w:noWrap/>
            <w:vAlign w:val="center"/>
            <w:hideMark/>
          </w:tcPr>
          <w:p w14:paraId="3C781E5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6,498,000</w:t>
            </w:r>
          </w:p>
        </w:tc>
        <w:tc>
          <w:tcPr>
            <w:tcW w:w="163" w:type="pct"/>
            <w:tcBorders>
              <w:top w:val="single" w:sz="4" w:space="0" w:color="auto"/>
              <w:left w:val="nil"/>
              <w:bottom w:val="nil"/>
              <w:right w:val="single" w:sz="4" w:space="0" w:color="auto"/>
            </w:tcBorders>
            <w:shd w:val="clear" w:color="auto" w:fill="auto"/>
            <w:noWrap/>
            <w:vAlign w:val="center"/>
            <w:hideMark/>
          </w:tcPr>
          <w:p w14:paraId="67317DD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6,498,000</w:t>
            </w:r>
          </w:p>
        </w:tc>
        <w:tc>
          <w:tcPr>
            <w:tcW w:w="155" w:type="pct"/>
            <w:tcBorders>
              <w:top w:val="nil"/>
              <w:left w:val="nil"/>
              <w:bottom w:val="single" w:sz="4" w:space="0" w:color="auto"/>
              <w:right w:val="single" w:sz="4" w:space="0" w:color="auto"/>
            </w:tcBorders>
            <w:shd w:val="clear" w:color="auto" w:fill="auto"/>
            <w:vAlign w:val="center"/>
            <w:hideMark/>
          </w:tcPr>
          <w:p w14:paraId="70B6B4A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single" w:sz="4" w:space="0" w:color="auto"/>
              <w:left w:val="nil"/>
              <w:bottom w:val="nil"/>
              <w:right w:val="single" w:sz="4" w:space="0" w:color="auto"/>
            </w:tcBorders>
            <w:shd w:val="clear" w:color="000000" w:fill="FFF2CC"/>
            <w:noWrap/>
            <w:vAlign w:val="center"/>
            <w:hideMark/>
          </w:tcPr>
          <w:p w14:paraId="2C3DEA1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6,498,000</w:t>
            </w:r>
          </w:p>
        </w:tc>
        <w:tc>
          <w:tcPr>
            <w:tcW w:w="162" w:type="pct"/>
            <w:tcBorders>
              <w:top w:val="nil"/>
              <w:left w:val="nil"/>
              <w:bottom w:val="single" w:sz="4" w:space="0" w:color="auto"/>
              <w:right w:val="single" w:sz="4" w:space="0" w:color="auto"/>
            </w:tcBorders>
            <w:shd w:val="clear" w:color="auto" w:fill="auto"/>
            <w:vAlign w:val="center"/>
            <w:hideMark/>
          </w:tcPr>
          <w:p w14:paraId="5E4AA32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7062532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single" w:sz="4" w:space="0" w:color="auto"/>
              <w:left w:val="nil"/>
              <w:bottom w:val="nil"/>
              <w:right w:val="single" w:sz="4" w:space="0" w:color="auto"/>
            </w:tcBorders>
            <w:shd w:val="clear" w:color="auto" w:fill="auto"/>
            <w:noWrap/>
            <w:vAlign w:val="center"/>
            <w:hideMark/>
          </w:tcPr>
          <w:p w14:paraId="071DEC2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single" w:sz="4" w:space="0" w:color="auto"/>
              <w:left w:val="nil"/>
              <w:bottom w:val="nil"/>
              <w:right w:val="single" w:sz="4" w:space="0" w:color="auto"/>
            </w:tcBorders>
            <w:shd w:val="clear" w:color="000000" w:fill="FFF2CC"/>
            <w:noWrap/>
            <w:vAlign w:val="center"/>
            <w:hideMark/>
          </w:tcPr>
          <w:p w14:paraId="21F9189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single" w:sz="4" w:space="0" w:color="auto"/>
              <w:left w:val="nil"/>
              <w:bottom w:val="nil"/>
              <w:right w:val="single" w:sz="4" w:space="0" w:color="auto"/>
            </w:tcBorders>
            <w:shd w:val="clear" w:color="auto" w:fill="auto"/>
            <w:noWrap/>
            <w:vAlign w:val="center"/>
            <w:hideMark/>
          </w:tcPr>
          <w:p w14:paraId="6C3127D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34D1DB1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noWrap/>
            <w:vAlign w:val="center"/>
            <w:hideMark/>
          </w:tcPr>
          <w:p w14:paraId="71CECA8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253DBB8C" w14:textId="48B81BCF"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6108A699" w14:textId="77777777" w:rsidTr="00C260C3">
        <w:trPr>
          <w:trHeight w:val="20"/>
        </w:trPr>
        <w:tc>
          <w:tcPr>
            <w:tcW w:w="131" w:type="pct"/>
            <w:tcBorders>
              <w:top w:val="single" w:sz="4" w:space="0" w:color="auto"/>
              <w:left w:val="single" w:sz="8" w:space="0" w:color="auto"/>
              <w:bottom w:val="nil"/>
              <w:right w:val="single" w:sz="4" w:space="0" w:color="auto"/>
            </w:tcBorders>
            <w:shd w:val="clear" w:color="auto" w:fill="auto"/>
            <w:noWrap/>
            <w:vAlign w:val="center"/>
            <w:hideMark/>
          </w:tcPr>
          <w:p w14:paraId="507F0690"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2.2.4.3</w:t>
            </w:r>
          </w:p>
        </w:tc>
        <w:tc>
          <w:tcPr>
            <w:tcW w:w="281" w:type="pct"/>
            <w:tcBorders>
              <w:top w:val="nil"/>
              <w:left w:val="nil"/>
              <w:bottom w:val="single" w:sz="4" w:space="0" w:color="auto"/>
              <w:right w:val="nil"/>
            </w:tcBorders>
            <w:shd w:val="clear" w:color="auto" w:fill="auto"/>
            <w:vAlign w:val="center"/>
            <w:hideMark/>
          </w:tcPr>
          <w:p w14:paraId="342B9C9A"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2.2.4.3 Të ofrohen kushte të lehtësuara për të vendosur kontakte mes bizneseve me sipërmarrësit shqiptarë (dhomat e biznesit të diasporës, regjistrat e biznesit të diasporës) </w:t>
            </w:r>
          </w:p>
        </w:tc>
        <w:tc>
          <w:tcPr>
            <w:tcW w:w="186" w:type="pct"/>
            <w:tcBorders>
              <w:top w:val="nil"/>
              <w:left w:val="nil"/>
              <w:bottom w:val="single" w:sz="4" w:space="0" w:color="auto"/>
              <w:right w:val="single" w:sz="4" w:space="0" w:color="auto"/>
            </w:tcBorders>
            <w:shd w:val="clear" w:color="auto" w:fill="auto"/>
            <w:vAlign w:val="center"/>
            <w:hideMark/>
          </w:tcPr>
          <w:p w14:paraId="08239511" w14:textId="3E4A7A01"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04130 </w:t>
            </w:r>
            <w:r w:rsidR="008E5BAD" w:rsidRPr="00B457F5">
              <w:rPr>
                <w:rFonts w:ascii="Garamond" w:eastAsia="Times New Roman" w:hAnsi="Garamond" w:cs="Times New Roman"/>
                <w:color w:val="FF0000"/>
                <w:sz w:val="4"/>
                <w:szCs w:val="10"/>
              </w:rPr>
              <w:t>Mbështetje</w:t>
            </w:r>
            <w:r w:rsidRPr="00B457F5">
              <w:rPr>
                <w:rFonts w:ascii="Garamond" w:eastAsia="Times New Roman" w:hAnsi="Garamond" w:cs="Times New Roman"/>
                <w:color w:val="FF0000"/>
                <w:sz w:val="4"/>
                <w:szCs w:val="10"/>
              </w:rPr>
              <w:t xml:space="preserve"> </w:t>
            </w:r>
            <w:r w:rsidR="008E5BAD" w:rsidRPr="00B457F5">
              <w:rPr>
                <w:rFonts w:ascii="Garamond" w:eastAsia="Times New Roman" w:hAnsi="Garamond" w:cs="Times New Roman"/>
                <w:color w:val="FF0000"/>
                <w:sz w:val="4"/>
                <w:szCs w:val="10"/>
              </w:rPr>
              <w:t>për</w:t>
            </w:r>
            <w:r w:rsidRPr="00B457F5">
              <w:rPr>
                <w:rFonts w:ascii="Garamond" w:eastAsia="Times New Roman" w:hAnsi="Garamond" w:cs="Times New Roman"/>
                <w:color w:val="FF0000"/>
                <w:sz w:val="4"/>
                <w:szCs w:val="10"/>
              </w:rPr>
              <w:t xml:space="preserve"> Zhvillim Ekonomik</w:t>
            </w:r>
          </w:p>
        </w:tc>
        <w:tc>
          <w:tcPr>
            <w:tcW w:w="169" w:type="pct"/>
            <w:tcBorders>
              <w:top w:val="nil"/>
              <w:left w:val="nil"/>
              <w:bottom w:val="single" w:sz="4" w:space="0" w:color="auto"/>
              <w:right w:val="single" w:sz="4" w:space="0" w:color="auto"/>
            </w:tcBorders>
            <w:shd w:val="clear" w:color="auto" w:fill="auto"/>
            <w:vAlign w:val="center"/>
            <w:hideMark/>
          </w:tcPr>
          <w:p w14:paraId="581A6DD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AIDA</w:t>
            </w:r>
          </w:p>
        </w:tc>
        <w:tc>
          <w:tcPr>
            <w:tcW w:w="244" w:type="pct"/>
            <w:tcBorders>
              <w:top w:val="nil"/>
              <w:left w:val="nil"/>
              <w:bottom w:val="single" w:sz="4" w:space="0" w:color="auto"/>
              <w:right w:val="single" w:sz="4" w:space="0" w:color="auto"/>
            </w:tcBorders>
            <w:shd w:val="clear" w:color="auto" w:fill="auto"/>
            <w:vAlign w:val="center"/>
            <w:hideMark/>
          </w:tcPr>
          <w:p w14:paraId="08F4A19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MEPJ/AKD</w:t>
            </w:r>
          </w:p>
        </w:tc>
        <w:tc>
          <w:tcPr>
            <w:tcW w:w="135" w:type="pct"/>
            <w:tcBorders>
              <w:top w:val="nil"/>
              <w:left w:val="nil"/>
              <w:bottom w:val="single" w:sz="4" w:space="0" w:color="auto"/>
              <w:right w:val="single" w:sz="4" w:space="0" w:color="auto"/>
            </w:tcBorders>
            <w:shd w:val="clear" w:color="000000" w:fill="DDEBF7"/>
            <w:vAlign w:val="center"/>
            <w:hideMark/>
          </w:tcPr>
          <w:p w14:paraId="2BE787C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6C4FBA8C"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49B478F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232,046</w:t>
            </w:r>
          </w:p>
        </w:tc>
        <w:tc>
          <w:tcPr>
            <w:tcW w:w="155" w:type="pct"/>
            <w:tcBorders>
              <w:top w:val="nil"/>
              <w:left w:val="nil"/>
              <w:bottom w:val="single" w:sz="4" w:space="0" w:color="auto"/>
              <w:right w:val="single" w:sz="4" w:space="0" w:color="auto"/>
            </w:tcBorders>
            <w:shd w:val="clear" w:color="auto" w:fill="auto"/>
            <w:vAlign w:val="center"/>
            <w:hideMark/>
          </w:tcPr>
          <w:p w14:paraId="2B92133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noWrap/>
            <w:vAlign w:val="center"/>
            <w:hideMark/>
          </w:tcPr>
          <w:p w14:paraId="1DF8239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232,046</w:t>
            </w:r>
          </w:p>
        </w:tc>
        <w:tc>
          <w:tcPr>
            <w:tcW w:w="165" w:type="pct"/>
            <w:tcBorders>
              <w:top w:val="nil"/>
              <w:left w:val="nil"/>
              <w:bottom w:val="single" w:sz="4" w:space="0" w:color="auto"/>
              <w:right w:val="single" w:sz="4" w:space="0" w:color="auto"/>
            </w:tcBorders>
            <w:shd w:val="clear" w:color="auto" w:fill="auto"/>
            <w:vAlign w:val="center"/>
            <w:hideMark/>
          </w:tcPr>
          <w:p w14:paraId="537AF07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232,046</w:t>
            </w:r>
          </w:p>
        </w:tc>
        <w:tc>
          <w:tcPr>
            <w:tcW w:w="163" w:type="pct"/>
            <w:tcBorders>
              <w:top w:val="nil"/>
              <w:left w:val="nil"/>
              <w:bottom w:val="single" w:sz="4" w:space="0" w:color="auto"/>
              <w:right w:val="single" w:sz="4" w:space="0" w:color="auto"/>
            </w:tcBorders>
            <w:shd w:val="clear" w:color="auto" w:fill="auto"/>
            <w:vAlign w:val="center"/>
            <w:hideMark/>
          </w:tcPr>
          <w:p w14:paraId="2E67C21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single" w:sz="4" w:space="0" w:color="auto"/>
              <w:left w:val="nil"/>
              <w:bottom w:val="nil"/>
              <w:right w:val="single" w:sz="4" w:space="0" w:color="auto"/>
            </w:tcBorders>
            <w:shd w:val="clear" w:color="000000" w:fill="FFF2CC"/>
            <w:noWrap/>
            <w:vAlign w:val="center"/>
            <w:hideMark/>
          </w:tcPr>
          <w:p w14:paraId="5D8D194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232,046</w:t>
            </w:r>
          </w:p>
        </w:tc>
        <w:tc>
          <w:tcPr>
            <w:tcW w:w="163" w:type="pct"/>
            <w:tcBorders>
              <w:top w:val="nil"/>
              <w:left w:val="nil"/>
              <w:bottom w:val="single" w:sz="4" w:space="0" w:color="auto"/>
              <w:right w:val="single" w:sz="4" w:space="0" w:color="auto"/>
            </w:tcBorders>
            <w:shd w:val="clear" w:color="auto" w:fill="auto"/>
            <w:vAlign w:val="center"/>
            <w:hideMark/>
          </w:tcPr>
          <w:p w14:paraId="090EE85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232,046</w:t>
            </w:r>
          </w:p>
        </w:tc>
        <w:tc>
          <w:tcPr>
            <w:tcW w:w="148" w:type="pct"/>
            <w:tcBorders>
              <w:top w:val="nil"/>
              <w:left w:val="nil"/>
              <w:bottom w:val="single" w:sz="4" w:space="0" w:color="auto"/>
              <w:right w:val="single" w:sz="4" w:space="0" w:color="auto"/>
            </w:tcBorders>
            <w:shd w:val="clear" w:color="auto" w:fill="auto"/>
            <w:vAlign w:val="center"/>
            <w:hideMark/>
          </w:tcPr>
          <w:p w14:paraId="1BF3687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single" w:sz="4" w:space="0" w:color="auto"/>
              <w:left w:val="nil"/>
              <w:bottom w:val="nil"/>
              <w:right w:val="single" w:sz="4" w:space="0" w:color="auto"/>
            </w:tcBorders>
            <w:shd w:val="clear" w:color="000000" w:fill="FFF2CC"/>
            <w:noWrap/>
            <w:vAlign w:val="center"/>
            <w:hideMark/>
          </w:tcPr>
          <w:p w14:paraId="63FC169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232,046</w:t>
            </w:r>
          </w:p>
        </w:tc>
        <w:tc>
          <w:tcPr>
            <w:tcW w:w="165" w:type="pct"/>
            <w:tcBorders>
              <w:top w:val="single" w:sz="4" w:space="0" w:color="auto"/>
              <w:left w:val="nil"/>
              <w:bottom w:val="nil"/>
              <w:right w:val="single" w:sz="4" w:space="0" w:color="auto"/>
            </w:tcBorders>
            <w:shd w:val="clear" w:color="auto" w:fill="auto"/>
            <w:noWrap/>
            <w:vAlign w:val="center"/>
            <w:hideMark/>
          </w:tcPr>
          <w:p w14:paraId="58FB8BE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696,138</w:t>
            </w:r>
          </w:p>
        </w:tc>
        <w:tc>
          <w:tcPr>
            <w:tcW w:w="163" w:type="pct"/>
            <w:tcBorders>
              <w:top w:val="single" w:sz="4" w:space="0" w:color="auto"/>
              <w:left w:val="nil"/>
              <w:bottom w:val="nil"/>
              <w:right w:val="single" w:sz="4" w:space="0" w:color="auto"/>
            </w:tcBorders>
            <w:shd w:val="clear" w:color="auto" w:fill="auto"/>
            <w:noWrap/>
            <w:vAlign w:val="center"/>
            <w:hideMark/>
          </w:tcPr>
          <w:p w14:paraId="4531F53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single" w:sz="4" w:space="0" w:color="auto"/>
              <w:left w:val="nil"/>
              <w:bottom w:val="nil"/>
              <w:right w:val="single" w:sz="4" w:space="0" w:color="auto"/>
            </w:tcBorders>
            <w:shd w:val="clear" w:color="000000" w:fill="FFF2CC"/>
            <w:noWrap/>
            <w:vAlign w:val="center"/>
            <w:hideMark/>
          </w:tcPr>
          <w:p w14:paraId="28999EA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696,138</w:t>
            </w:r>
          </w:p>
        </w:tc>
        <w:tc>
          <w:tcPr>
            <w:tcW w:w="163" w:type="pct"/>
            <w:tcBorders>
              <w:top w:val="single" w:sz="4" w:space="0" w:color="auto"/>
              <w:left w:val="nil"/>
              <w:bottom w:val="nil"/>
              <w:right w:val="single" w:sz="4" w:space="0" w:color="auto"/>
            </w:tcBorders>
            <w:shd w:val="clear" w:color="auto" w:fill="auto"/>
            <w:noWrap/>
            <w:vAlign w:val="center"/>
            <w:hideMark/>
          </w:tcPr>
          <w:p w14:paraId="2867DAF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696,138</w:t>
            </w:r>
          </w:p>
        </w:tc>
        <w:tc>
          <w:tcPr>
            <w:tcW w:w="155" w:type="pct"/>
            <w:tcBorders>
              <w:top w:val="nil"/>
              <w:left w:val="nil"/>
              <w:bottom w:val="single" w:sz="4" w:space="0" w:color="auto"/>
              <w:right w:val="single" w:sz="4" w:space="0" w:color="auto"/>
            </w:tcBorders>
            <w:shd w:val="clear" w:color="auto" w:fill="auto"/>
            <w:vAlign w:val="center"/>
            <w:hideMark/>
          </w:tcPr>
          <w:p w14:paraId="3348D47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single" w:sz="4" w:space="0" w:color="auto"/>
              <w:left w:val="nil"/>
              <w:bottom w:val="nil"/>
              <w:right w:val="single" w:sz="4" w:space="0" w:color="auto"/>
            </w:tcBorders>
            <w:shd w:val="clear" w:color="000000" w:fill="FFF2CC"/>
            <w:noWrap/>
            <w:vAlign w:val="center"/>
            <w:hideMark/>
          </w:tcPr>
          <w:p w14:paraId="0C0C51D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696,138</w:t>
            </w:r>
          </w:p>
        </w:tc>
        <w:tc>
          <w:tcPr>
            <w:tcW w:w="162" w:type="pct"/>
            <w:tcBorders>
              <w:top w:val="nil"/>
              <w:left w:val="nil"/>
              <w:bottom w:val="single" w:sz="4" w:space="0" w:color="auto"/>
              <w:right w:val="single" w:sz="4" w:space="0" w:color="auto"/>
            </w:tcBorders>
            <w:shd w:val="clear" w:color="auto" w:fill="auto"/>
            <w:vAlign w:val="center"/>
            <w:hideMark/>
          </w:tcPr>
          <w:p w14:paraId="4FAC992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2B7CEE5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single" w:sz="4" w:space="0" w:color="auto"/>
              <w:left w:val="nil"/>
              <w:bottom w:val="nil"/>
              <w:right w:val="single" w:sz="4" w:space="0" w:color="auto"/>
            </w:tcBorders>
            <w:shd w:val="clear" w:color="auto" w:fill="auto"/>
            <w:noWrap/>
            <w:vAlign w:val="center"/>
            <w:hideMark/>
          </w:tcPr>
          <w:p w14:paraId="72CFA89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single" w:sz="4" w:space="0" w:color="auto"/>
              <w:left w:val="nil"/>
              <w:bottom w:val="nil"/>
              <w:right w:val="single" w:sz="4" w:space="0" w:color="auto"/>
            </w:tcBorders>
            <w:shd w:val="clear" w:color="000000" w:fill="FFF2CC"/>
            <w:noWrap/>
            <w:vAlign w:val="center"/>
            <w:hideMark/>
          </w:tcPr>
          <w:p w14:paraId="23846D4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single" w:sz="4" w:space="0" w:color="auto"/>
              <w:left w:val="nil"/>
              <w:bottom w:val="nil"/>
              <w:right w:val="single" w:sz="4" w:space="0" w:color="auto"/>
            </w:tcBorders>
            <w:shd w:val="clear" w:color="auto" w:fill="auto"/>
            <w:noWrap/>
            <w:vAlign w:val="center"/>
            <w:hideMark/>
          </w:tcPr>
          <w:p w14:paraId="2A61C39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03986C0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noWrap/>
            <w:vAlign w:val="center"/>
            <w:hideMark/>
          </w:tcPr>
          <w:p w14:paraId="097597B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7F4A50BF" w14:textId="5A0FB8AD"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2C2DBCC5" w14:textId="77777777" w:rsidTr="00C260C3">
        <w:trPr>
          <w:trHeight w:val="20"/>
        </w:trPr>
        <w:tc>
          <w:tcPr>
            <w:tcW w:w="131" w:type="pct"/>
            <w:tcBorders>
              <w:top w:val="single" w:sz="4" w:space="0" w:color="auto"/>
              <w:left w:val="single" w:sz="8" w:space="0" w:color="auto"/>
              <w:bottom w:val="nil"/>
              <w:right w:val="single" w:sz="4" w:space="0" w:color="auto"/>
            </w:tcBorders>
            <w:shd w:val="clear" w:color="auto" w:fill="auto"/>
            <w:noWrap/>
            <w:vAlign w:val="center"/>
            <w:hideMark/>
          </w:tcPr>
          <w:p w14:paraId="23EC1520"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2.2.4.4</w:t>
            </w:r>
          </w:p>
        </w:tc>
        <w:tc>
          <w:tcPr>
            <w:tcW w:w="281" w:type="pct"/>
            <w:tcBorders>
              <w:top w:val="nil"/>
              <w:left w:val="nil"/>
              <w:bottom w:val="single" w:sz="4" w:space="0" w:color="auto"/>
              <w:right w:val="nil"/>
            </w:tcBorders>
            <w:shd w:val="clear" w:color="auto" w:fill="auto"/>
            <w:hideMark/>
          </w:tcPr>
          <w:p w14:paraId="32F3226D"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2.2.4.4 Të angazhohen grupet e ndryshme të diasporës në zhvillimin kombëtar dhe vendor, përmes projekteve të hartuara posaçërisht për këtë qëllim</w:t>
            </w:r>
          </w:p>
        </w:tc>
        <w:tc>
          <w:tcPr>
            <w:tcW w:w="186" w:type="pct"/>
            <w:tcBorders>
              <w:top w:val="nil"/>
              <w:left w:val="nil"/>
              <w:bottom w:val="single" w:sz="4" w:space="0" w:color="auto"/>
              <w:right w:val="single" w:sz="4" w:space="0" w:color="auto"/>
            </w:tcBorders>
            <w:shd w:val="clear" w:color="auto" w:fill="auto"/>
            <w:vAlign w:val="center"/>
            <w:hideMark/>
          </w:tcPr>
          <w:p w14:paraId="347C731C" w14:textId="092A8E8D"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04130 </w:t>
            </w:r>
            <w:r w:rsidR="008E5BAD" w:rsidRPr="00B457F5">
              <w:rPr>
                <w:rFonts w:ascii="Garamond" w:eastAsia="Times New Roman" w:hAnsi="Garamond" w:cs="Times New Roman"/>
                <w:color w:val="FF0000"/>
                <w:sz w:val="4"/>
                <w:szCs w:val="10"/>
              </w:rPr>
              <w:t>Mbështetje</w:t>
            </w:r>
            <w:r w:rsidRPr="00B457F5">
              <w:rPr>
                <w:rFonts w:ascii="Garamond" w:eastAsia="Times New Roman" w:hAnsi="Garamond" w:cs="Times New Roman"/>
                <w:color w:val="FF0000"/>
                <w:sz w:val="4"/>
                <w:szCs w:val="10"/>
              </w:rPr>
              <w:t xml:space="preserve"> </w:t>
            </w:r>
            <w:r w:rsidR="008E5BAD" w:rsidRPr="00B457F5">
              <w:rPr>
                <w:rFonts w:ascii="Garamond" w:eastAsia="Times New Roman" w:hAnsi="Garamond" w:cs="Times New Roman"/>
                <w:color w:val="FF0000"/>
                <w:sz w:val="4"/>
                <w:szCs w:val="10"/>
              </w:rPr>
              <w:t>për</w:t>
            </w:r>
            <w:r w:rsidRPr="00B457F5">
              <w:rPr>
                <w:rFonts w:ascii="Garamond" w:eastAsia="Times New Roman" w:hAnsi="Garamond" w:cs="Times New Roman"/>
                <w:color w:val="FF0000"/>
                <w:sz w:val="4"/>
                <w:szCs w:val="10"/>
              </w:rPr>
              <w:t xml:space="preserve"> Zhvillim Ekonomik</w:t>
            </w:r>
          </w:p>
        </w:tc>
        <w:tc>
          <w:tcPr>
            <w:tcW w:w="169" w:type="pct"/>
            <w:tcBorders>
              <w:top w:val="nil"/>
              <w:left w:val="nil"/>
              <w:bottom w:val="single" w:sz="4" w:space="0" w:color="auto"/>
              <w:right w:val="single" w:sz="4" w:space="0" w:color="auto"/>
            </w:tcBorders>
            <w:shd w:val="clear" w:color="auto" w:fill="auto"/>
            <w:vAlign w:val="center"/>
            <w:hideMark/>
          </w:tcPr>
          <w:p w14:paraId="2558C5E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AKD</w:t>
            </w:r>
          </w:p>
        </w:tc>
        <w:tc>
          <w:tcPr>
            <w:tcW w:w="244" w:type="pct"/>
            <w:tcBorders>
              <w:top w:val="nil"/>
              <w:left w:val="nil"/>
              <w:bottom w:val="single" w:sz="4" w:space="0" w:color="auto"/>
              <w:right w:val="single" w:sz="4" w:space="0" w:color="auto"/>
            </w:tcBorders>
            <w:shd w:val="clear" w:color="auto" w:fill="auto"/>
            <w:vAlign w:val="center"/>
            <w:hideMark/>
          </w:tcPr>
          <w:p w14:paraId="59ACE26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MEPJ/AIDA, MB/NJVV, IOM</w:t>
            </w:r>
          </w:p>
        </w:tc>
        <w:tc>
          <w:tcPr>
            <w:tcW w:w="135" w:type="pct"/>
            <w:tcBorders>
              <w:top w:val="nil"/>
              <w:left w:val="nil"/>
              <w:bottom w:val="single" w:sz="4" w:space="0" w:color="auto"/>
              <w:right w:val="single" w:sz="4" w:space="0" w:color="auto"/>
            </w:tcBorders>
            <w:shd w:val="clear" w:color="000000" w:fill="DDEBF7"/>
            <w:vAlign w:val="center"/>
            <w:hideMark/>
          </w:tcPr>
          <w:p w14:paraId="58760E5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4411DF2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7CAB8F9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847,476</w:t>
            </w:r>
          </w:p>
        </w:tc>
        <w:tc>
          <w:tcPr>
            <w:tcW w:w="155" w:type="pct"/>
            <w:tcBorders>
              <w:top w:val="nil"/>
              <w:left w:val="nil"/>
              <w:bottom w:val="single" w:sz="4" w:space="0" w:color="auto"/>
              <w:right w:val="single" w:sz="4" w:space="0" w:color="auto"/>
            </w:tcBorders>
            <w:shd w:val="clear" w:color="auto" w:fill="auto"/>
            <w:vAlign w:val="center"/>
            <w:hideMark/>
          </w:tcPr>
          <w:p w14:paraId="5CAFC62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noWrap/>
            <w:vAlign w:val="center"/>
            <w:hideMark/>
          </w:tcPr>
          <w:p w14:paraId="5E51B89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847,476</w:t>
            </w:r>
          </w:p>
        </w:tc>
        <w:tc>
          <w:tcPr>
            <w:tcW w:w="165" w:type="pct"/>
            <w:tcBorders>
              <w:top w:val="nil"/>
              <w:left w:val="nil"/>
              <w:bottom w:val="single" w:sz="4" w:space="0" w:color="auto"/>
              <w:right w:val="single" w:sz="4" w:space="0" w:color="auto"/>
            </w:tcBorders>
            <w:shd w:val="clear" w:color="auto" w:fill="auto"/>
            <w:vAlign w:val="center"/>
            <w:hideMark/>
          </w:tcPr>
          <w:p w14:paraId="002313F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847,476</w:t>
            </w:r>
          </w:p>
        </w:tc>
        <w:tc>
          <w:tcPr>
            <w:tcW w:w="163" w:type="pct"/>
            <w:tcBorders>
              <w:top w:val="nil"/>
              <w:left w:val="nil"/>
              <w:bottom w:val="single" w:sz="4" w:space="0" w:color="auto"/>
              <w:right w:val="single" w:sz="4" w:space="0" w:color="auto"/>
            </w:tcBorders>
            <w:shd w:val="clear" w:color="auto" w:fill="auto"/>
            <w:vAlign w:val="center"/>
            <w:hideMark/>
          </w:tcPr>
          <w:p w14:paraId="5CC2549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single" w:sz="4" w:space="0" w:color="auto"/>
              <w:left w:val="nil"/>
              <w:bottom w:val="nil"/>
              <w:right w:val="single" w:sz="4" w:space="0" w:color="auto"/>
            </w:tcBorders>
            <w:shd w:val="clear" w:color="000000" w:fill="FFF2CC"/>
            <w:noWrap/>
            <w:vAlign w:val="center"/>
            <w:hideMark/>
          </w:tcPr>
          <w:p w14:paraId="2633AE2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847,476</w:t>
            </w:r>
          </w:p>
        </w:tc>
        <w:tc>
          <w:tcPr>
            <w:tcW w:w="163" w:type="pct"/>
            <w:tcBorders>
              <w:top w:val="nil"/>
              <w:left w:val="nil"/>
              <w:bottom w:val="single" w:sz="4" w:space="0" w:color="auto"/>
              <w:right w:val="single" w:sz="4" w:space="0" w:color="auto"/>
            </w:tcBorders>
            <w:shd w:val="clear" w:color="auto" w:fill="auto"/>
            <w:vAlign w:val="center"/>
            <w:hideMark/>
          </w:tcPr>
          <w:p w14:paraId="27ACBDC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847,476</w:t>
            </w:r>
          </w:p>
        </w:tc>
        <w:tc>
          <w:tcPr>
            <w:tcW w:w="148" w:type="pct"/>
            <w:tcBorders>
              <w:top w:val="nil"/>
              <w:left w:val="nil"/>
              <w:bottom w:val="single" w:sz="4" w:space="0" w:color="auto"/>
              <w:right w:val="single" w:sz="4" w:space="0" w:color="auto"/>
            </w:tcBorders>
            <w:shd w:val="clear" w:color="auto" w:fill="auto"/>
            <w:vAlign w:val="center"/>
            <w:hideMark/>
          </w:tcPr>
          <w:p w14:paraId="28F82F5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single" w:sz="4" w:space="0" w:color="auto"/>
              <w:left w:val="nil"/>
              <w:bottom w:val="nil"/>
              <w:right w:val="single" w:sz="4" w:space="0" w:color="auto"/>
            </w:tcBorders>
            <w:shd w:val="clear" w:color="000000" w:fill="FFF2CC"/>
            <w:noWrap/>
            <w:vAlign w:val="center"/>
            <w:hideMark/>
          </w:tcPr>
          <w:p w14:paraId="543CE61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847,476</w:t>
            </w:r>
          </w:p>
        </w:tc>
        <w:tc>
          <w:tcPr>
            <w:tcW w:w="165" w:type="pct"/>
            <w:tcBorders>
              <w:top w:val="single" w:sz="4" w:space="0" w:color="auto"/>
              <w:left w:val="nil"/>
              <w:bottom w:val="nil"/>
              <w:right w:val="single" w:sz="4" w:space="0" w:color="auto"/>
            </w:tcBorders>
            <w:shd w:val="clear" w:color="auto" w:fill="auto"/>
            <w:noWrap/>
            <w:vAlign w:val="center"/>
            <w:hideMark/>
          </w:tcPr>
          <w:p w14:paraId="3F54A14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2,542,428</w:t>
            </w:r>
          </w:p>
        </w:tc>
        <w:tc>
          <w:tcPr>
            <w:tcW w:w="163" w:type="pct"/>
            <w:tcBorders>
              <w:top w:val="single" w:sz="4" w:space="0" w:color="auto"/>
              <w:left w:val="nil"/>
              <w:bottom w:val="nil"/>
              <w:right w:val="single" w:sz="4" w:space="0" w:color="auto"/>
            </w:tcBorders>
            <w:shd w:val="clear" w:color="auto" w:fill="auto"/>
            <w:noWrap/>
            <w:vAlign w:val="center"/>
            <w:hideMark/>
          </w:tcPr>
          <w:p w14:paraId="2CBC0A3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single" w:sz="4" w:space="0" w:color="auto"/>
              <w:left w:val="nil"/>
              <w:bottom w:val="nil"/>
              <w:right w:val="single" w:sz="4" w:space="0" w:color="auto"/>
            </w:tcBorders>
            <w:shd w:val="clear" w:color="000000" w:fill="FFF2CC"/>
            <w:noWrap/>
            <w:vAlign w:val="center"/>
            <w:hideMark/>
          </w:tcPr>
          <w:p w14:paraId="44E0CFA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2,542,428</w:t>
            </w:r>
          </w:p>
        </w:tc>
        <w:tc>
          <w:tcPr>
            <w:tcW w:w="163" w:type="pct"/>
            <w:tcBorders>
              <w:top w:val="single" w:sz="4" w:space="0" w:color="auto"/>
              <w:left w:val="nil"/>
              <w:bottom w:val="nil"/>
              <w:right w:val="single" w:sz="4" w:space="0" w:color="auto"/>
            </w:tcBorders>
            <w:shd w:val="clear" w:color="auto" w:fill="auto"/>
            <w:noWrap/>
            <w:vAlign w:val="center"/>
            <w:hideMark/>
          </w:tcPr>
          <w:p w14:paraId="7F89F95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2,020,428</w:t>
            </w:r>
          </w:p>
        </w:tc>
        <w:tc>
          <w:tcPr>
            <w:tcW w:w="155" w:type="pct"/>
            <w:tcBorders>
              <w:top w:val="nil"/>
              <w:left w:val="nil"/>
              <w:bottom w:val="single" w:sz="4" w:space="0" w:color="auto"/>
              <w:right w:val="single" w:sz="4" w:space="0" w:color="auto"/>
            </w:tcBorders>
            <w:shd w:val="clear" w:color="auto" w:fill="auto"/>
            <w:vAlign w:val="center"/>
            <w:hideMark/>
          </w:tcPr>
          <w:p w14:paraId="6B2EDAF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single" w:sz="4" w:space="0" w:color="auto"/>
              <w:left w:val="nil"/>
              <w:bottom w:val="nil"/>
              <w:right w:val="single" w:sz="4" w:space="0" w:color="auto"/>
            </w:tcBorders>
            <w:shd w:val="clear" w:color="000000" w:fill="FFF2CC"/>
            <w:noWrap/>
            <w:vAlign w:val="center"/>
            <w:hideMark/>
          </w:tcPr>
          <w:p w14:paraId="7F9217B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2,020,428</w:t>
            </w:r>
          </w:p>
        </w:tc>
        <w:tc>
          <w:tcPr>
            <w:tcW w:w="162" w:type="pct"/>
            <w:tcBorders>
              <w:top w:val="nil"/>
              <w:left w:val="nil"/>
              <w:bottom w:val="single" w:sz="4" w:space="0" w:color="auto"/>
              <w:right w:val="single" w:sz="4" w:space="0" w:color="auto"/>
            </w:tcBorders>
            <w:shd w:val="clear" w:color="auto" w:fill="auto"/>
            <w:vAlign w:val="center"/>
            <w:hideMark/>
          </w:tcPr>
          <w:p w14:paraId="22A4519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14DB222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single" w:sz="4" w:space="0" w:color="auto"/>
              <w:left w:val="nil"/>
              <w:bottom w:val="nil"/>
              <w:right w:val="single" w:sz="4" w:space="0" w:color="auto"/>
            </w:tcBorders>
            <w:shd w:val="clear" w:color="auto" w:fill="auto"/>
            <w:noWrap/>
            <w:vAlign w:val="center"/>
            <w:hideMark/>
          </w:tcPr>
          <w:p w14:paraId="35B9847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single" w:sz="4" w:space="0" w:color="auto"/>
              <w:left w:val="nil"/>
              <w:bottom w:val="nil"/>
              <w:right w:val="single" w:sz="4" w:space="0" w:color="auto"/>
            </w:tcBorders>
            <w:shd w:val="clear" w:color="000000" w:fill="FFF2CC"/>
            <w:noWrap/>
            <w:vAlign w:val="center"/>
            <w:hideMark/>
          </w:tcPr>
          <w:p w14:paraId="291B845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single" w:sz="4" w:space="0" w:color="auto"/>
              <w:left w:val="nil"/>
              <w:bottom w:val="nil"/>
              <w:right w:val="single" w:sz="4" w:space="0" w:color="auto"/>
            </w:tcBorders>
            <w:shd w:val="clear" w:color="auto" w:fill="auto"/>
            <w:noWrap/>
            <w:vAlign w:val="center"/>
            <w:hideMark/>
          </w:tcPr>
          <w:p w14:paraId="1FB1303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6B9448D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noWrap/>
            <w:vAlign w:val="center"/>
            <w:hideMark/>
          </w:tcPr>
          <w:p w14:paraId="32BB07D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4C27C141" w14:textId="32DAFA0A"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(522,000)</w:t>
            </w:r>
          </w:p>
        </w:tc>
      </w:tr>
      <w:tr w:rsidR="00C260C3" w:rsidRPr="00B457F5" w14:paraId="305C2E76" w14:textId="77777777" w:rsidTr="00C260C3">
        <w:trPr>
          <w:trHeight w:val="20"/>
        </w:trPr>
        <w:tc>
          <w:tcPr>
            <w:tcW w:w="131"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71AFA974"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81" w:type="pct"/>
            <w:tcBorders>
              <w:top w:val="single" w:sz="8" w:space="0" w:color="auto"/>
              <w:left w:val="nil"/>
              <w:bottom w:val="single" w:sz="8" w:space="0" w:color="auto"/>
              <w:right w:val="single" w:sz="4" w:space="0" w:color="auto"/>
            </w:tcBorders>
            <w:shd w:val="clear" w:color="000000" w:fill="D9D9D9"/>
            <w:vAlign w:val="center"/>
            <w:hideMark/>
          </w:tcPr>
          <w:p w14:paraId="7B04C9D0" w14:textId="0C399342" w:rsidR="00C260C3" w:rsidRPr="00B457F5" w:rsidRDefault="00C260C3" w:rsidP="00C260C3">
            <w:pPr>
              <w:spacing w:before="0" w:after="0"/>
              <w:jc w:val="lef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Kosto</w:t>
            </w:r>
            <w:r w:rsidR="008E5BAD" w:rsidRPr="00B457F5">
              <w:rPr>
                <w:rFonts w:ascii="Garamond" w:eastAsia="Times New Roman" w:hAnsi="Garamond" w:cs="Times New Roman"/>
                <w:b/>
                <w:bCs/>
                <w:color w:val="FF0000"/>
                <w:sz w:val="4"/>
                <w:szCs w:val="10"/>
              </w:rPr>
              <w:t>ja e</w:t>
            </w:r>
            <w:r w:rsidRPr="00B457F5">
              <w:rPr>
                <w:rFonts w:ascii="Garamond" w:eastAsia="Times New Roman" w:hAnsi="Garamond" w:cs="Times New Roman"/>
                <w:b/>
                <w:bCs/>
                <w:color w:val="FF0000"/>
                <w:sz w:val="4"/>
                <w:szCs w:val="10"/>
              </w:rPr>
              <w:t xml:space="preserve"> </w:t>
            </w:r>
            <w:r w:rsidR="008E5BAD" w:rsidRPr="00B457F5">
              <w:rPr>
                <w:rFonts w:ascii="Garamond" w:eastAsia="Times New Roman" w:hAnsi="Garamond" w:cs="Times New Roman"/>
                <w:b/>
                <w:bCs/>
                <w:color w:val="FF0000"/>
                <w:sz w:val="4"/>
                <w:szCs w:val="10"/>
              </w:rPr>
              <w:t>o</w:t>
            </w:r>
            <w:r w:rsidRPr="00B457F5">
              <w:rPr>
                <w:rFonts w:ascii="Garamond" w:eastAsia="Times New Roman" w:hAnsi="Garamond" w:cs="Times New Roman"/>
                <w:b/>
                <w:bCs/>
                <w:color w:val="FF0000"/>
                <w:sz w:val="4"/>
                <w:szCs w:val="10"/>
              </w:rPr>
              <w:t>bjektivi</w:t>
            </w:r>
            <w:r w:rsidR="008E5BAD" w:rsidRPr="00B457F5">
              <w:rPr>
                <w:rFonts w:ascii="Garamond" w:eastAsia="Times New Roman" w:hAnsi="Garamond" w:cs="Times New Roman"/>
                <w:b/>
                <w:bCs/>
                <w:color w:val="FF0000"/>
                <w:sz w:val="4"/>
                <w:szCs w:val="10"/>
              </w:rPr>
              <w:t>t</w:t>
            </w:r>
            <w:r w:rsidRPr="00B457F5">
              <w:rPr>
                <w:rFonts w:ascii="Garamond" w:eastAsia="Times New Roman" w:hAnsi="Garamond" w:cs="Times New Roman"/>
                <w:b/>
                <w:bCs/>
                <w:color w:val="FF0000"/>
                <w:sz w:val="4"/>
                <w:szCs w:val="10"/>
              </w:rPr>
              <w:t xml:space="preserve"> specifik 2.2</w:t>
            </w:r>
          </w:p>
        </w:tc>
        <w:tc>
          <w:tcPr>
            <w:tcW w:w="186" w:type="pct"/>
            <w:tcBorders>
              <w:top w:val="nil"/>
              <w:left w:val="nil"/>
              <w:bottom w:val="single" w:sz="8" w:space="0" w:color="auto"/>
              <w:right w:val="single" w:sz="4" w:space="0" w:color="auto"/>
            </w:tcBorders>
            <w:shd w:val="clear" w:color="000000" w:fill="D9D9D9"/>
            <w:vAlign w:val="center"/>
            <w:hideMark/>
          </w:tcPr>
          <w:p w14:paraId="01BF2861"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9" w:type="pct"/>
            <w:tcBorders>
              <w:top w:val="nil"/>
              <w:left w:val="nil"/>
              <w:bottom w:val="single" w:sz="8" w:space="0" w:color="auto"/>
              <w:right w:val="single" w:sz="4" w:space="0" w:color="auto"/>
            </w:tcBorders>
            <w:shd w:val="clear" w:color="000000" w:fill="D9D9D9"/>
            <w:vAlign w:val="center"/>
            <w:hideMark/>
          </w:tcPr>
          <w:p w14:paraId="1D7CAF70"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44" w:type="pct"/>
            <w:tcBorders>
              <w:top w:val="nil"/>
              <w:left w:val="nil"/>
              <w:bottom w:val="single" w:sz="8" w:space="0" w:color="auto"/>
              <w:right w:val="single" w:sz="4" w:space="0" w:color="auto"/>
            </w:tcBorders>
            <w:shd w:val="clear" w:color="000000" w:fill="D9D9D9"/>
            <w:vAlign w:val="center"/>
            <w:hideMark/>
          </w:tcPr>
          <w:p w14:paraId="536316E2"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35" w:type="pct"/>
            <w:tcBorders>
              <w:top w:val="nil"/>
              <w:left w:val="nil"/>
              <w:bottom w:val="single" w:sz="8" w:space="0" w:color="auto"/>
              <w:right w:val="single" w:sz="4" w:space="0" w:color="auto"/>
            </w:tcBorders>
            <w:shd w:val="clear" w:color="000000" w:fill="D9D9D9"/>
            <w:vAlign w:val="center"/>
            <w:hideMark/>
          </w:tcPr>
          <w:p w14:paraId="1B71B99D"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2" w:type="pct"/>
            <w:tcBorders>
              <w:top w:val="single" w:sz="8" w:space="0" w:color="auto"/>
              <w:left w:val="nil"/>
              <w:bottom w:val="single" w:sz="8" w:space="0" w:color="auto"/>
              <w:right w:val="single" w:sz="4" w:space="0" w:color="auto"/>
            </w:tcBorders>
            <w:shd w:val="clear" w:color="000000" w:fill="D9D9D9"/>
            <w:vAlign w:val="center"/>
            <w:hideMark/>
          </w:tcPr>
          <w:p w14:paraId="74EA89E2"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single" w:sz="8" w:space="0" w:color="auto"/>
              <w:left w:val="nil"/>
              <w:bottom w:val="single" w:sz="8" w:space="0" w:color="auto"/>
              <w:right w:val="single" w:sz="4" w:space="0" w:color="auto"/>
            </w:tcBorders>
            <w:shd w:val="clear" w:color="000000" w:fill="D9D9D9"/>
            <w:vAlign w:val="center"/>
            <w:hideMark/>
          </w:tcPr>
          <w:p w14:paraId="64B898B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34,750,458</w:t>
            </w:r>
          </w:p>
        </w:tc>
        <w:tc>
          <w:tcPr>
            <w:tcW w:w="155" w:type="pct"/>
            <w:tcBorders>
              <w:top w:val="single" w:sz="8" w:space="0" w:color="auto"/>
              <w:left w:val="nil"/>
              <w:bottom w:val="single" w:sz="8" w:space="0" w:color="auto"/>
              <w:right w:val="single" w:sz="4" w:space="0" w:color="auto"/>
            </w:tcBorders>
            <w:shd w:val="clear" w:color="000000" w:fill="D9D9D9"/>
            <w:vAlign w:val="center"/>
            <w:hideMark/>
          </w:tcPr>
          <w:p w14:paraId="18C86B65"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2" w:type="pct"/>
            <w:tcBorders>
              <w:top w:val="single" w:sz="8" w:space="0" w:color="auto"/>
              <w:left w:val="nil"/>
              <w:bottom w:val="single" w:sz="8" w:space="0" w:color="auto"/>
              <w:right w:val="single" w:sz="4" w:space="0" w:color="auto"/>
            </w:tcBorders>
            <w:shd w:val="clear" w:color="000000" w:fill="D9D9D9"/>
            <w:vAlign w:val="center"/>
            <w:hideMark/>
          </w:tcPr>
          <w:p w14:paraId="5BCCC84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34,750,458</w:t>
            </w:r>
          </w:p>
        </w:tc>
        <w:tc>
          <w:tcPr>
            <w:tcW w:w="165" w:type="pct"/>
            <w:tcBorders>
              <w:top w:val="single" w:sz="8" w:space="0" w:color="auto"/>
              <w:left w:val="nil"/>
              <w:bottom w:val="single" w:sz="8" w:space="0" w:color="auto"/>
              <w:right w:val="single" w:sz="4" w:space="0" w:color="auto"/>
            </w:tcBorders>
            <w:shd w:val="clear" w:color="000000" w:fill="D9D9D9"/>
            <w:vAlign w:val="center"/>
            <w:hideMark/>
          </w:tcPr>
          <w:p w14:paraId="5A2C0350"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31,807,834</w:t>
            </w:r>
          </w:p>
        </w:tc>
        <w:tc>
          <w:tcPr>
            <w:tcW w:w="163" w:type="pct"/>
            <w:tcBorders>
              <w:top w:val="single" w:sz="8" w:space="0" w:color="auto"/>
              <w:left w:val="nil"/>
              <w:bottom w:val="single" w:sz="8" w:space="0" w:color="auto"/>
              <w:right w:val="single" w:sz="4" w:space="0" w:color="auto"/>
            </w:tcBorders>
            <w:shd w:val="clear" w:color="000000" w:fill="D9D9D9"/>
            <w:vAlign w:val="center"/>
            <w:hideMark/>
          </w:tcPr>
          <w:p w14:paraId="658804C1"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3" w:type="pct"/>
            <w:tcBorders>
              <w:top w:val="single" w:sz="8" w:space="0" w:color="auto"/>
              <w:left w:val="nil"/>
              <w:bottom w:val="single" w:sz="8" w:space="0" w:color="auto"/>
              <w:right w:val="single" w:sz="4" w:space="0" w:color="auto"/>
            </w:tcBorders>
            <w:shd w:val="clear" w:color="000000" w:fill="D9D9D9"/>
            <w:vAlign w:val="center"/>
            <w:hideMark/>
          </w:tcPr>
          <w:p w14:paraId="2E2B412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31,807,834</w:t>
            </w:r>
          </w:p>
        </w:tc>
        <w:tc>
          <w:tcPr>
            <w:tcW w:w="163" w:type="pct"/>
            <w:tcBorders>
              <w:top w:val="single" w:sz="8" w:space="0" w:color="auto"/>
              <w:left w:val="nil"/>
              <w:bottom w:val="single" w:sz="8" w:space="0" w:color="auto"/>
              <w:right w:val="single" w:sz="4" w:space="0" w:color="auto"/>
            </w:tcBorders>
            <w:shd w:val="clear" w:color="000000" w:fill="D9D9D9"/>
            <w:vAlign w:val="center"/>
            <w:hideMark/>
          </w:tcPr>
          <w:p w14:paraId="4C6F0AE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31,807,834</w:t>
            </w:r>
          </w:p>
        </w:tc>
        <w:tc>
          <w:tcPr>
            <w:tcW w:w="148" w:type="pct"/>
            <w:tcBorders>
              <w:top w:val="single" w:sz="8" w:space="0" w:color="auto"/>
              <w:left w:val="nil"/>
              <w:bottom w:val="single" w:sz="8" w:space="0" w:color="auto"/>
              <w:right w:val="single" w:sz="4" w:space="0" w:color="auto"/>
            </w:tcBorders>
            <w:shd w:val="clear" w:color="000000" w:fill="D9D9D9"/>
            <w:vAlign w:val="center"/>
            <w:hideMark/>
          </w:tcPr>
          <w:p w14:paraId="5B01E6F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2" w:type="pct"/>
            <w:tcBorders>
              <w:top w:val="single" w:sz="8" w:space="0" w:color="auto"/>
              <w:left w:val="nil"/>
              <w:bottom w:val="single" w:sz="8" w:space="0" w:color="auto"/>
              <w:right w:val="single" w:sz="4" w:space="0" w:color="auto"/>
            </w:tcBorders>
            <w:shd w:val="clear" w:color="000000" w:fill="D9D9D9"/>
            <w:vAlign w:val="center"/>
            <w:hideMark/>
          </w:tcPr>
          <w:p w14:paraId="730610D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31,807,834</w:t>
            </w:r>
          </w:p>
        </w:tc>
        <w:tc>
          <w:tcPr>
            <w:tcW w:w="165" w:type="pct"/>
            <w:tcBorders>
              <w:top w:val="single" w:sz="8" w:space="0" w:color="auto"/>
              <w:left w:val="nil"/>
              <w:bottom w:val="single" w:sz="8" w:space="0" w:color="auto"/>
              <w:right w:val="single" w:sz="4" w:space="0" w:color="auto"/>
            </w:tcBorders>
            <w:shd w:val="clear" w:color="000000" w:fill="D9D9D9"/>
            <w:vAlign w:val="center"/>
            <w:hideMark/>
          </w:tcPr>
          <w:p w14:paraId="4AC08E53"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98,366,125</w:t>
            </w:r>
          </w:p>
        </w:tc>
        <w:tc>
          <w:tcPr>
            <w:tcW w:w="163" w:type="pct"/>
            <w:tcBorders>
              <w:top w:val="single" w:sz="8" w:space="0" w:color="auto"/>
              <w:left w:val="nil"/>
              <w:bottom w:val="single" w:sz="8" w:space="0" w:color="auto"/>
              <w:right w:val="single" w:sz="4" w:space="0" w:color="auto"/>
            </w:tcBorders>
            <w:shd w:val="clear" w:color="000000" w:fill="D9D9D9"/>
            <w:vAlign w:val="center"/>
            <w:hideMark/>
          </w:tcPr>
          <w:p w14:paraId="5820E2F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5" w:type="pct"/>
            <w:tcBorders>
              <w:top w:val="single" w:sz="8" w:space="0" w:color="auto"/>
              <w:left w:val="nil"/>
              <w:bottom w:val="single" w:sz="8" w:space="0" w:color="auto"/>
              <w:right w:val="single" w:sz="4" w:space="0" w:color="auto"/>
            </w:tcBorders>
            <w:shd w:val="clear" w:color="000000" w:fill="D9D9D9"/>
            <w:vAlign w:val="center"/>
            <w:hideMark/>
          </w:tcPr>
          <w:p w14:paraId="00B0DFC7"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98,366,125</w:t>
            </w:r>
          </w:p>
        </w:tc>
        <w:tc>
          <w:tcPr>
            <w:tcW w:w="163" w:type="pct"/>
            <w:tcBorders>
              <w:top w:val="single" w:sz="8" w:space="0" w:color="auto"/>
              <w:left w:val="nil"/>
              <w:bottom w:val="single" w:sz="8" w:space="0" w:color="auto"/>
              <w:right w:val="single" w:sz="4" w:space="0" w:color="auto"/>
            </w:tcBorders>
            <w:shd w:val="clear" w:color="000000" w:fill="D9D9D9"/>
            <w:vAlign w:val="center"/>
            <w:hideMark/>
          </w:tcPr>
          <w:p w14:paraId="1C857CEF"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26,031,935</w:t>
            </w:r>
          </w:p>
        </w:tc>
        <w:tc>
          <w:tcPr>
            <w:tcW w:w="155" w:type="pct"/>
            <w:tcBorders>
              <w:top w:val="single" w:sz="8" w:space="0" w:color="auto"/>
              <w:left w:val="nil"/>
              <w:bottom w:val="single" w:sz="8" w:space="0" w:color="auto"/>
              <w:right w:val="single" w:sz="4" w:space="0" w:color="auto"/>
            </w:tcBorders>
            <w:shd w:val="clear" w:color="000000" w:fill="D9D9D9"/>
            <w:vAlign w:val="center"/>
            <w:hideMark/>
          </w:tcPr>
          <w:p w14:paraId="481693AC"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3" w:type="pct"/>
            <w:tcBorders>
              <w:top w:val="single" w:sz="8" w:space="0" w:color="auto"/>
              <w:left w:val="nil"/>
              <w:bottom w:val="single" w:sz="8" w:space="0" w:color="auto"/>
              <w:right w:val="single" w:sz="4" w:space="0" w:color="auto"/>
            </w:tcBorders>
            <w:shd w:val="clear" w:color="000000" w:fill="D9D9D9"/>
            <w:vAlign w:val="center"/>
            <w:hideMark/>
          </w:tcPr>
          <w:p w14:paraId="252C115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26,031,935</w:t>
            </w:r>
          </w:p>
        </w:tc>
        <w:tc>
          <w:tcPr>
            <w:tcW w:w="162" w:type="pct"/>
            <w:tcBorders>
              <w:top w:val="single" w:sz="8" w:space="0" w:color="auto"/>
              <w:left w:val="nil"/>
              <w:bottom w:val="single" w:sz="8" w:space="0" w:color="auto"/>
              <w:right w:val="single" w:sz="4" w:space="0" w:color="auto"/>
            </w:tcBorders>
            <w:shd w:val="clear" w:color="000000" w:fill="D9D9D9"/>
            <w:vAlign w:val="center"/>
            <w:hideMark/>
          </w:tcPr>
          <w:p w14:paraId="26A18B99"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65,764,190</w:t>
            </w:r>
          </w:p>
        </w:tc>
        <w:tc>
          <w:tcPr>
            <w:tcW w:w="155" w:type="pct"/>
            <w:tcBorders>
              <w:top w:val="single" w:sz="8" w:space="0" w:color="auto"/>
              <w:left w:val="nil"/>
              <w:bottom w:val="single" w:sz="8" w:space="0" w:color="auto"/>
              <w:right w:val="single" w:sz="4" w:space="0" w:color="auto"/>
            </w:tcBorders>
            <w:shd w:val="clear" w:color="000000" w:fill="D9D9D9"/>
            <w:vAlign w:val="center"/>
            <w:hideMark/>
          </w:tcPr>
          <w:p w14:paraId="1E753C6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218" w:type="pct"/>
            <w:tcBorders>
              <w:top w:val="single" w:sz="8" w:space="0" w:color="auto"/>
              <w:left w:val="nil"/>
              <w:bottom w:val="single" w:sz="8" w:space="0" w:color="auto"/>
              <w:right w:val="single" w:sz="4" w:space="0" w:color="auto"/>
            </w:tcBorders>
            <w:shd w:val="clear" w:color="000000" w:fill="D9D9D9"/>
            <w:vAlign w:val="center"/>
            <w:hideMark/>
          </w:tcPr>
          <w:p w14:paraId="129A403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single" w:sz="8" w:space="0" w:color="auto"/>
              <w:left w:val="nil"/>
              <w:bottom w:val="single" w:sz="8" w:space="0" w:color="auto"/>
              <w:right w:val="single" w:sz="4" w:space="0" w:color="auto"/>
            </w:tcBorders>
            <w:shd w:val="clear" w:color="000000" w:fill="D9D9D9"/>
            <w:vAlign w:val="center"/>
            <w:hideMark/>
          </w:tcPr>
          <w:p w14:paraId="429F265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65,764,190</w:t>
            </w:r>
          </w:p>
        </w:tc>
        <w:tc>
          <w:tcPr>
            <w:tcW w:w="139" w:type="pct"/>
            <w:tcBorders>
              <w:top w:val="single" w:sz="8" w:space="0" w:color="auto"/>
              <w:left w:val="nil"/>
              <w:bottom w:val="single" w:sz="8" w:space="0" w:color="auto"/>
              <w:right w:val="single" w:sz="4" w:space="0" w:color="auto"/>
            </w:tcBorders>
            <w:shd w:val="clear" w:color="000000" w:fill="D9D9D9"/>
            <w:vAlign w:val="center"/>
            <w:hideMark/>
          </w:tcPr>
          <w:p w14:paraId="6E8E0089"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42" w:type="pct"/>
            <w:tcBorders>
              <w:top w:val="single" w:sz="8" w:space="0" w:color="auto"/>
              <w:left w:val="nil"/>
              <w:bottom w:val="single" w:sz="8" w:space="0" w:color="auto"/>
              <w:right w:val="single" w:sz="4" w:space="0" w:color="auto"/>
            </w:tcBorders>
            <w:shd w:val="clear" w:color="000000" w:fill="D9D9D9"/>
            <w:vAlign w:val="center"/>
            <w:hideMark/>
          </w:tcPr>
          <w:p w14:paraId="58B7856C"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28" w:type="pct"/>
            <w:tcBorders>
              <w:top w:val="single" w:sz="8" w:space="0" w:color="auto"/>
              <w:left w:val="nil"/>
              <w:bottom w:val="single" w:sz="8" w:space="0" w:color="auto"/>
              <w:right w:val="single" w:sz="4" w:space="0" w:color="auto"/>
            </w:tcBorders>
            <w:shd w:val="clear" w:color="000000" w:fill="D9D9D9"/>
            <w:vAlign w:val="center"/>
            <w:hideMark/>
          </w:tcPr>
          <w:p w14:paraId="1386719B"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77" w:type="pct"/>
            <w:tcBorders>
              <w:top w:val="nil"/>
              <w:left w:val="nil"/>
              <w:bottom w:val="single" w:sz="8" w:space="0" w:color="auto"/>
              <w:right w:val="single" w:sz="4" w:space="0" w:color="auto"/>
            </w:tcBorders>
            <w:shd w:val="clear" w:color="000000" w:fill="D9D9D9"/>
            <w:vAlign w:val="center"/>
            <w:hideMark/>
          </w:tcPr>
          <w:p w14:paraId="27C0F3F8" w14:textId="3F5A41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(6,570,000)</w:t>
            </w:r>
          </w:p>
        </w:tc>
      </w:tr>
      <w:tr w:rsidR="00C260C3" w:rsidRPr="00B457F5" w14:paraId="302DEC27"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noWrap/>
            <w:vAlign w:val="center"/>
            <w:hideMark/>
          </w:tcPr>
          <w:p w14:paraId="5B6F35A3"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2.3</w:t>
            </w:r>
          </w:p>
        </w:tc>
        <w:tc>
          <w:tcPr>
            <w:tcW w:w="281" w:type="pct"/>
            <w:tcBorders>
              <w:top w:val="nil"/>
              <w:left w:val="nil"/>
              <w:bottom w:val="single" w:sz="4" w:space="0" w:color="auto"/>
              <w:right w:val="single" w:sz="4" w:space="0" w:color="auto"/>
            </w:tcBorders>
            <w:shd w:val="clear" w:color="auto" w:fill="auto"/>
            <w:vAlign w:val="center"/>
            <w:hideMark/>
          </w:tcPr>
          <w:p w14:paraId="5469A713" w14:textId="3D5CFE1B"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Objektivi specifik</w:t>
            </w:r>
            <w:r w:rsidR="0006016F" w:rsidRPr="00B457F5">
              <w:rPr>
                <w:rFonts w:ascii="Garamond" w:eastAsia="Times New Roman" w:hAnsi="Garamond" w:cs="Times New Roman"/>
                <w:b/>
                <w:bCs/>
                <w:color w:val="000000"/>
                <w:sz w:val="4"/>
                <w:szCs w:val="10"/>
              </w:rPr>
              <w:t xml:space="preserve"> </w:t>
            </w:r>
            <w:r w:rsidRPr="00B457F5">
              <w:rPr>
                <w:rFonts w:ascii="Garamond" w:eastAsia="Times New Roman" w:hAnsi="Garamond" w:cs="Times New Roman"/>
                <w:b/>
                <w:bCs/>
                <w:color w:val="000000"/>
                <w:sz w:val="4"/>
                <w:szCs w:val="10"/>
              </w:rPr>
              <w:t>2.3 Garantimi i integrimit të qëndrueshëm të shtetasve shqiptarë të rikthyer nga emigracioni</w:t>
            </w:r>
          </w:p>
        </w:tc>
        <w:tc>
          <w:tcPr>
            <w:tcW w:w="186" w:type="pct"/>
            <w:tcBorders>
              <w:top w:val="nil"/>
              <w:left w:val="nil"/>
              <w:bottom w:val="single" w:sz="4" w:space="0" w:color="auto"/>
              <w:right w:val="single" w:sz="4" w:space="0" w:color="auto"/>
            </w:tcBorders>
            <w:shd w:val="clear" w:color="auto" w:fill="auto"/>
            <w:vAlign w:val="center"/>
            <w:hideMark/>
          </w:tcPr>
          <w:p w14:paraId="743B5D37"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9" w:type="pct"/>
            <w:tcBorders>
              <w:top w:val="nil"/>
              <w:left w:val="nil"/>
              <w:bottom w:val="single" w:sz="4" w:space="0" w:color="auto"/>
              <w:right w:val="single" w:sz="4" w:space="0" w:color="auto"/>
            </w:tcBorders>
            <w:shd w:val="clear" w:color="auto" w:fill="auto"/>
            <w:noWrap/>
            <w:vAlign w:val="bottom"/>
            <w:hideMark/>
          </w:tcPr>
          <w:p w14:paraId="2473F49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244" w:type="pct"/>
            <w:tcBorders>
              <w:top w:val="nil"/>
              <w:left w:val="nil"/>
              <w:bottom w:val="single" w:sz="4" w:space="0" w:color="auto"/>
              <w:right w:val="single" w:sz="4" w:space="0" w:color="auto"/>
            </w:tcBorders>
            <w:shd w:val="clear" w:color="auto" w:fill="auto"/>
            <w:noWrap/>
            <w:vAlign w:val="bottom"/>
            <w:hideMark/>
          </w:tcPr>
          <w:p w14:paraId="0F7B87E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35" w:type="pct"/>
            <w:tcBorders>
              <w:top w:val="nil"/>
              <w:left w:val="nil"/>
              <w:bottom w:val="single" w:sz="4" w:space="0" w:color="auto"/>
              <w:right w:val="single" w:sz="4" w:space="0" w:color="auto"/>
            </w:tcBorders>
            <w:shd w:val="clear" w:color="auto" w:fill="auto"/>
            <w:noWrap/>
            <w:vAlign w:val="bottom"/>
            <w:hideMark/>
          </w:tcPr>
          <w:p w14:paraId="11192EC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2" w:type="pct"/>
            <w:tcBorders>
              <w:top w:val="nil"/>
              <w:left w:val="nil"/>
              <w:bottom w:val="single" w:sz="4" w:space="0" w:color="auto"/>
              <w:right w:val="single" w:sz="4" w:space="0" w:color="auto"/>
            </w:tcBorders>
            <w:shd w:val="clear" w:color="auto" w:fill="auto"/>
            <w:noWrap/>
            <w:vAlign w:val="bottom"/>
            <w:hideMark/>
          </w:tcPr>
          <w:p w14:paraId="0E23CF2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0ECDC1C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nil"/>
              <w:left w:val="nil"/>
              <w:bottom w:val="single" w:sz="4" w:space="0" w:color="auto"/>
              <w:right w:val="single" w:sz="4" w:space="0" w:color="auto"/>
            </w:tcBorders>
            <w:shd w:val="clear" w:color="auto" w:fill="auto"/>
            <w:noWrap/>
            <w:vAlign w:val="center"/>
            <w:hideMark/>
          </w:tcPr>
          <w:p w14:paraId="068F261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nil"/>
              <w:left w:val="nil"/>
              <w:bottom w:val="single" w:sz="4" w:space="0" w:color="auto"/>
              <w:right w:val="single" w:sz="4" w:space="0" w:color="auto"/>
            </w:tcBorders>
            <w:shd w:val="clear" w:color="auto" w:fill="auto"/>
            <w:noWrap/>
            <w:vAlign w:val="center"/>
            <w:hideMark/>
          </w:tcPr>
          <w:p w14:paraId="3CB5087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nil"/>
              <w:left w:val="nil"/>
              <w:bottom w:val="single" w:sz="4" w:space="0" w:color="auto"/>
              <w:right w:val="single" w:sz="4" w:space="0" w:color="auto"/>
            </w:tcBorders>
            <w:shd w:val="clear" w:color="auto" w:fill="auto"/>
            <w:noWrap/>
            <w:vAlign w:val="center"/>
            <w:hideMark/>
          </w:tcPr>
          <w:p w14:paraId="0811807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227B000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63BD8E8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7A116D1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48" w:type="pct"/>
            <w:tcBorders>
              <w:top w:val="nil"/>
              <w:left w:val="nil"/>
              <w:bottom w:val="single" w:sz="4" w:space="0" w:color="auto"/>
              <w:right w:val="single" w:sz="4" w:space="0" w:color="auto"/>
            </w:tcBorders>
            <w:shd w:val="clear" w:color="auto" w:fill="auto"/>
            <w:noWrap/>
            <w:vAlign w:val="center"/>
            <w:hideMark/>
          </w:tcPr>
          <w:p w14:paraId="0991FC7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nil"/>
              <w:left w:val="nil"/>
              <w:bottom w:val="single" w:sz="4" w:space="0" w:color="auto"/>
              <w:right w:val="single" w:sz="4" w:space="0" w:color="auto"/>
            </w:tcBorders>
            <w:shd w:val="clear" w:color="auto" w:fill="auto"/>
            <w:noWrap/>
            <w:vAlign w:val="center"/>
            <w:hideMark/>
          </w:tcPr>
          <w:p w14:paraId="408F529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nil"/>
              <w:left w:val="nil"/>
              <w:bottom w:val="single" w:sz="4" w:space="0" w:color="auto"/>
              <w:right w:val="single" w:sz="4" w:space="0" w:color="auto"/>
            </w:tcBorders>
            <w:shd w:val="clear" w:color="auto" w:fill="auto"/>
            <w:noWrap/>
            <w:vAlign w:val="center"/>
            <w:hideMark/>
          </w:tcPr>
          <w:p w14:paraId="55608A9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73B219A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nil"/>
              <w:left w:val="nil"/>
              <w:bottom w:val="single" w:sz="4" w:space="0" w:color="auto"/>
              <w:right w:val="single" w:sz="4" w:space="0" w:color="auto"/>
            </w:tcBorders>
            <w:shd w:val="clear" w:color="auto" w:fill="auto"/>
            <w:noWrap/>
            <w:vAlign w:val="center"/>
            <w:hideMark/>
          </w:tcPr>
          <w:p w14:paraId="128FD2A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328FF06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nil"/>
              <w:left w:val="nil"/>
              <w:bottom w:val="single" w:sz="4" w:space="0" w:color="auto"/>
              <w:right w:val="single" w:sz="4" w:space="0" w:color="auto"/>
            </w:tcBorders>
            <w:shd w:val="clear" w:color="auto" w:fill="auto"/>
            <w:noWrap/>
            <w:vAlign w:val="center"/>
            <w:hideMark/>
          </w:tcPr>
          <w:p w14:paraId="5706AD0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3628F14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nil"/>
              <w:left w:val="nil"/>
              <w:bottom w:val="single" w:sz="4" w:space="0" w:color="auto"/>
              <w:right w:val="single" w:sz="4" w:space="0" w:color="auto"/>
            </w:tcBorders>
            <w:shd w:val="clear" w:color="auto" w:fill="auto"/>
            <w:noWrap/>
            <w:vAlign w:val="center"/>
            <w:hideMark/>
          </w:tcPr>
          <w:p w14:paraId="5BBD4E2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nil"/>
              <w:left w:val="nil"/>
              <w:bottom w:val="single" w:sz="4" w:space="0" w:color="auto"/>
              <w:right w:val="single" w:sz="4" w:space="0" w:color="auto"/>
            </w:tcBorders>
            <w:shd w:val="clear" w:color="auto" w:fill="auto"/>
            <w:noWrap/>
            <w:vAlign w:val="center"/>
            <w:hideMark/>
          </w:tcPr>
          <w:p w14:paraId="086BA60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218" w:type="pct"/>
            <w:tcBorders>
              <w:top w:val="nil"/>
              <w:left w:val="nil"/>
              <w:bottom w:val="single" w:sz="4" w:space="0" w:color="auto"/>
              <w:right w:val="single" w:sz="4" w:space="0" w:color="auto"/>
            </w:tcBorders>
            <w:shd w:val="clear" w:color="auto" w:fill="auto"/>
            <w:noWrap/>
            <w:vAlign w:val="center"/>
            <w:hideMark/>
          </w:tcPr>
          <w:p w14:paraId="24CC2F8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4849477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39" w:type="pct"/>
            <w:tcBorders>
              <w:top w:val="nil"/>
              <w:left w:val="nil"/>
              <w:bottom w:val="single" w:sz="4" w:space="0" w:color="auto"/>
              <w:right w:val="single" w:sz="4" w:space="0" w:color="auto"/>
            </w:tcBorders>
            <w:shd w:val="clear" w:color="auto" w:fill="auto"/>
            <w:noWrap/>
            <w:vAlign w:val="center"/>
            <w:hideMark/>
          </w:tcPr>
          <w:p w14:paraId="3E472A6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42" w:type="pct"/>
            <w:tcBorders>
              <w:top w:val="nil"/>
              <w:left w:val="nil"/>
              <w:bottom w:val="single" w:sz="4" w:space="0" w:color="auto"/>
              <w:right w:val="single" w:sz="4" w:space="0" w:color="auto"/>
            </w:tcBorders>
            <w:shd w:val="clear" w:color="auto" w:fill="auto"/>
            <w:noWrap/>
            <w:vAlign w:val="center"/>
            <w:hideMark/>
          </w:tcPr>
          <w:p w14:paraId="4B333FA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28" w:type="pct"/>
            <w:tcBorders>
              <w:top w:val="nil"/>
              <w:left w:val="nil"/>
              <w:bottom w:val="single" w:sz="4" w:space="0" w:color="auto"/>
              <w:right w:val="single" w:sz="4" w:space="0" w:color="auto"/>
            </w:tcBorders>
            <w:shd w:val="clear" w:color="auto" w:fill="auto"/>
            <w:noWrap/>
            <w:vAlign w:val="center"/>
            <w:hideMark/>
          </w:tcPr>
          <w:p w14:paraId="081EFD3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77" w:type="pct"/>
            <w:tcBorders>
              <w:top w:val="nil"/>
              <w:left w:val="nil"/>
              <w:bottom w:val="single" w:sz="4" w:space="0" w:color="auto"/>
              <w:right w:val="single" w:sz="8" w:space="0" w:color="auto"/>
            </w:tcBorders>
            <w:shd w:val="clear" w:color="auto" w:fill="auto"/>
            <w:noWrap/>
            <w:vAlign w:val="center"/>
            <w:hideMark/>
          </w:tcPr>
          <w:p w14:paraId="27E5A66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r>
      <w:tr w:rsidR="00C260C3" w:rsidRPr="00B457F5" w14:paraId="20FE0277"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noWrap/>
            <w:vAlign w:val="center"/>
            <w:hideMark/>
          </w:tcPr>
          <w:p w14:paraId="6CC95E1F"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81" w:type="pct"/>
            <w:tcBorders>
              <w:top w:val="nil"/>
              <w:left w:val="nil"/>
              <w:bottom w:val="single" w:sz="4" w:space="0" w:color="auto"/>
              <w:right w:val="single" w:sz="4" w:space="0" w:color="auto"/>
            </w:tcBorders>
            <w:shd w:val="clear" w:color="auto" w:fill="auto"/>
            <w:vAlign w:val="center"/>
            <w:hideMark/>
          </w:tcPr>
          <w:p w14:paraId="042CAFD2" w14:textId="77777777" w:rsidR="00C260C3" w:rsidRPr="00B457F5" w:rsidRDefault="00C260C3" w:rsidP="00C260C3">
            <w:pPr>
              <w:spacing w:before="0" w:after="0"/>
              <w:jc w:val="left"/>
              <w:rPr>
                <w:rFonts w:ascii="Garamond" w:eastAsia="Times New Roman" w:hAnsi="Garamond" w:cs="Times New Roman"/>
                <w:b/>
                <w:bCs/>
                <w:i/>
                <w:iCs/>
                <w:color w:val="0066CC"/>
                <w:sz w:val="4"/>
                <w:szCs w:val="10"/>
              </w:rPr>
            </w:pPr>
            <w:r w:rsidRPr="00B457F5">
              <w:rPr>
                <w:rFonts w:ascii="Garamond" w:eastAsia="Times New Roman" w:hAnsi="Garamond" w:cs="Times New Roman"/>
                <w:b/>
                <w:bCs/>
                <w:i/>
                <w:iCs/>
                <w:color w:val="0066CC"/>
                <w:sz w:val="4"/>
                <w:szCs w:val="10"/>
              </w:rPr>
              <w:t>Masat</w:t>
            </w:r>
          </w:p>
        </w:tc>
        <w:tc>
          <w:tcPr>
            <w:tcW w:w="186" w:type="pct"/>
            <w:tcBorders>
              <w:top w:val="nil"/>
              <w:left w:val="nil"/>
              <w:bottom w:val="single" w:sz="4" w:space="0" w:color="auto"/>
              <w:right w:val="single" w:sz="4" w:space="0" w:color="auto"/>
            </w:tcBorders>
            <w:shd w:val="clear" w:color="auto" w:fill="auto"/>
            <w:vAlign w:val="center"/>
            <w:hideMark/>
          </w:tcPr>
          <w:p w14:paraId="4161B5C6"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9" w:type="pct"/>
            <w:tcBorders>
              <w:top w:val="nil"/>
              <w:left w:val="nil"/>
              <w:bottom w:val="single" w:sz="4" w:space="0" w:color="auto"/>
              <w:right w:val="single" w:sz="4" w:space="0" w:color="auto"/>
            </w:tcBorders>
            <w:shd w:val="clear" w:color="auto" w:fill="auto"/>
            <w:noWrap/>
            <w:vAlign w:val="bottom"/>
            <w:hideMark/>
          </w:tcPr>
          <w:p w14:paraId="5C87466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244" w:type="pct"/>
            <w:tcBorders>
              <w:top w:val="nil"/>
              <w:left w:val="nil"/>
              <w:bottom w:val="single" w:sz="4" w:space="0" w:color="auto"/>
              <w:right w:val="single" w:sz="4" w:space="0" w:color="auto"/>
            </w:tcBorders>
            <w:shd w:val="clear" w:color="auto" w:fill="auto"/>
            <w:noWrap/>
            <w:vAlign w:val="bottom"/>
            <w:hideMark/>
          </w:tcPr>
          <w:p w14:paraId="4CA465E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35" w:type="pct"/>
            <w:tcBorders>
              <w:top w:val="nil"/>
              <w:left w:val="nil"/>
              <w:bottom w:val="single" w:sz="4" w:space="0" w:color="auto"/>
              <w:right w:val="single" w:sz="4" w:space="0" w:color="auto"/>
            </w:tcBorders>
            <w:shd w:val="clear" w:color="auto" w:fill="auto"/>
            <w:noWrap/>
            <w:vAlign w:val="bottom"/>
            <w:hideMark/>
          </w:tcPr>
          <w:p w14:paraId="59E57D1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2" w:type="pct"/>
            <w:tcBorders>
              <w:top w:val="nil"/>
              <w:left w:val="nil"/>
              <w:bottom w:val="single" w:sz="4" w:space="0" w:color="auto"/>
              <w:right w:val="single" w:sz="4" w:space="0" w:color="auto"/>
            </w:tcBorders>
            <w:shd w:val="clear" w:color="auto" w:fill="auto"/>
            <w:noWrap/>
            <w:vAlign w:val="bottom"/>
            <w:hideMark/>
          </w:tcPr>
          <w:p w14:paraId="53FCF46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2A3A23B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nil"/>
              <w:left w:val="nil"/>
              <w:bottom w:val="single" w:sz="4" w:space="0" w:color="auto"/>
              <w:right w:val="single" w:sz="4" w:space="0" w:color="auto"/>
            </w:tcBorders>
            <w:shd w:val="clear" w:color="auto" w:fill="auto"/>
            <w:noWrap/>
            <w:vAlign w:val="center"/>
            <w:hideMark/>
          </w:tcPr>
          <w:p w14:paraId="1377D6D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nil"/>
              <w:left w:val="nil"/>
              <w:bottom w:val="single" w:sz="4" w:space="0" w:color="auto"/>
              <w:right w:val="single" w:sz="4" w:space="0" w:color="auto"/>
            </w:tcBorders>
            <w:shd w:val="clear" w:color="auto" w:fill="auto"/>
            <w:noWrap/>
            <w:vAlign w:val="center"/>
            <w:hideMark/>
          </w:tcPr>
          <w:p w14:paraId="777A40B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nil"/>
              <w:left w:val="nil"/>
              <w:bottom w:val="single" w:sz="4" w:space="0" w:color="auto"/>
              <w:right w:val="single" w:sz="4" w:space="0" w:color="auto"/>
            </w:tcBorders>
            <w:shd w:val="clear" w:color="auto" w:fill="auto"/>
            <w:noWrap/>
            <w:vAlign w:val="center"/>
            <w:hideMark/>
          </w:tcPr>
          <w:p w14:paraId="281165F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3E81016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761FBC5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3A89FD7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48" w:type="pct"/>
            <w:tcBorders>
              <w:top w:val="nil"/>
              <w:left w:val="nil"/>
              <w:bottom w:val="single" w:sz="4" w:space="0" w:color="auto"/>
              <w:right w:val="single" w:sz="4" w:space="0" w:color="auto"/>
            </w:tcBorders>
            <w:shd w:val="clear" w:color="auto" w:fill="auto"/>
            <w:noWrap/>
            <w:vAlign w:val="center"/>
            <w:hideMark/>
          </w:tcPr>
          <w:p w14:paraId="5ACED68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nil"/>
              <w:left w:val="nil"/>
              <w:bottom w:val="single" w:sz="4" w:space="0" w:color="auto"/>
              <w:right w:val="single" w:sz="4" w:space="0" w:color="auto"/>
            </w:tcBorders>
            <w:shd w:val="clear" w:color="auto" w:fill="auto"/>
            <w:noWrap/>
            <w:vAlign w:val="center"/>
            <w:hideMark/>
          </w:tcPr>
          <w:p w14:paraId="4C08569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nil"/>
              <w:left w:val="nil"/>
              <w:bottom w:val="single" w:sz="4" w:space="0" w:color="auto"/>
              <w:right w:val="single" w:sz="4" w:space="0" w:color="auto"/>
            </w:tcBorders>
            <w:shd w:val="clear" w:color="auto" w:fill="auto"/>
            <w:noWrap/>
            <w:vAlign w:val="center"/>
            <w:hideMark/>
          </w:tcPr>
          <w:p w14:paraId="76EE305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2AC0C1B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nil"/>
              <w:left w:val="nil"/>
              <w:bottom w:val="single" w:sz="4" w:space="0" w:color="auto"/>
              <w:right w:val="single" w:sz="4" w:space="0" w:color="auto"/>
            </w:tcBorders>
            <w:shd w:val="clear" w:color="auto" w:fill="auto"/>
            <w:noWrap/>
            <w:vAlign w:val="center"/>
            <w:hideMark/>
          </w:tcPr>
          <w:p w14:paraId="3FD429C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495375C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nil"/>
              <w:left w:val="nil"/>
              <w:bottom w:val="single" w:sz="4" w:space="0" w:color="auto"/>
              <w:right w:val="single" w:sz="4" w:space="0" w:color="auto"/>
            </w:tcBorders>
            <w:shd w:val="clear" w:color="auto" w:fill="auto"/>
            <w:noWrap/>
            <w:vAlign w:val="center"/>
            <w:hideMark/>
          </w:tcPr>
          <w:p w14:paraId="21DA663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5290A07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nil"/>
              <w:left w:val="nil"/>
              <w:bottom w:val="single" w:sz="4" w:space="0" w:color="auto"/>
              <w:right w:val="single" w:sz="4" w:space="0" w:color="auto"/>
            </w:tcBorders>
            <w:shd w:val="clear" w:color="auto" w:fill="auto"/>
            <w:noWrap/>
            <w:vAlign w:val="center"/>
            <w:hideMark/>
          </w:tcPr>
          <w:p w14:paraId="1169474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nil"/>
              <w:left w:val="nil"/>
              <w:bottom w:val="single" w:sz="4" w:space="0" w:color="auto"/>
              <w:right w:val="single" w:sz="4" w:space="0" w:color="auto"/>
            </w:tcBorders>
            <w:shd w:val="clear" w:color="auto" w:fill="auto"/>
            <w:noWrap/>
            <w:vAlign w:val="center"/>
            <w:hideMark/>
          </w:tcPr>
          <w:p w14:paraId="0EDF67C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218" w:type="pct"/>
            <w:tcBorders>
              <w:top w:val="nil"/>
              <w:left w:val="nil"/>
              <w:bottom w:val="single" w:sz="4" w:space="0" w:color="auto"/>
              <w:right w:val="single" w:sz="4" w:space="0" w:color="auto"/>
            </w:tcBorders>
            <w:shd w:val="clear" w:color="auto" w:fill="auto"/>
            <w:noWrap/>
            <w:vAlign w:val="center"/>
            <w:hideMark/>
          </w:tcPr>
          <w:p w14:paraId="2B9CE4A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3CFBDC3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39" w:type="pct"/>
            <w:tcBorders>
              <w:top w:val="nil"/>
              <w:left w:val="nil"/>
              <w:bottom w:val="single" w:sz="4" w:space="0" w:color="auto"/>
              <w:right w:val="single" w:sz="4" w:space="0" w:color="auto"/>
            </w:tcBorders>
            <w:shd w:val="clear" w:color="auto" w:fill="auto"/>
            <w:noWrap/>
            <w:vAlign w:val="center"/>
            <w:hideMark/>
          </w:tcPr>
          <w:p w14:paraId="253B064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42" w:type="pct"/>
            <w:tcBorders>
              <w:top w:val="nil"/>
              <w:left w:val="nil"/>
              <w:bottom w:val="single" w:sz="4" w:space="0" w:color="auto"/>
              <w:right w:val="single" w:sz="4" w:space="0" w:color="auto"/>
            </w:tcBorders>
            <w:shd w:val="clear" w:color="auto" w:fill="auto"/>
            <w:noWrap/>
            <w:vAlign w:val="center"/>
            <w:hideMark/>
          </w:tcPr>
          <w:p w14:paraId="646C169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28" w:type="pct"/>
            <w:tcBorders>
              <w:top w:val="nil"/>
              <w:left w:val="nil"/>
              <w:bottom w:val="single" w:sz="4" w:space="0" w:color="auto"/>
              <w:right w:val="single" w:sz="4" w:space="0" w:color="auto"/>
            </w:tcBorders>
            <w:shd w:val="clear" w:color="auto" w:fill="auto"/>
            <w:noWrap/>
            <w:vAlign w:val="center"/>
            <w:hideMark/>
          </w:tcPr>
          <w:p w14:paraId="21ABD8C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77" w:type="pct"/>
            <w:tcBorders>
              <w:top w:val="nil"/>
              <w:left w:val="nil"/>
              <w:bottom w:val="single" w:sz="4" w:space="0" w:color="auto"/>
              <w:right w:val="single" w:sz="8" w:space="0" w:color="auto"/>
            </w:tcBorders>
            <w:shd w:val="clear" w:color="auto" w:fill="auto"/>
            <w:vAlign w:val="center"/>
            <w:hideMark/>
          </w:tcPr>
          <w:p w14:paraId="58A7308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r>
      <w:tr w:rsidR="00C260C3" w:rsidRPr="00B457F5" w14:paraId="6F9381D7" w14:textId="77777777" w:rsidTr="00C260C3">
        <w:trPr>
          <w:trHeight w:val="20"/>
        </w:trPr>
        <w:tc>
          <w:tcPr>
            <w:tcW w:w="131" w:type="pct"/>
            <w:tcBorders>
              <w:top w:val="single" w:sz="8" w:space="0" w:color="auto"/>
              <w:left w:val="single" w:sz="8" w:space="0" w:color="auto"/>
              <w:bottom w:val="nil"/>
              <w:right w:val="single" w:sz="4" w:space="0" w:color="auto"/>
            </w:tcBorders>
            <w:shd w:val="clear" w:color="000000" w:fill="D9D9D9"/>
            <w:vAlign w:val="center"/>
            <w:hideMark/>
          </w:tcPr>
          <w:p w14:paraId="4BB14B06"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2.3.1</w:t>
            </w:r>
          </w:p>
        </w:tc>
        <w:tc>
          <w:tcPr>
            <w:tcW w:w="281" w:type="pct"/>
            <w:tcBorders>
              <w:top w:val="single" w:sz="8" w:space="0" w:color="auto"/>
              <w:left w:val="nil"/>
              <w:bottom w:val="nil"/>
              <w:right w:val="single" w:sz="4" w:space="0" w:color="auto"/>
            </w:tcBorders>
            <w:shd w:val="clear" w:color="000000" w:fill="D9D9D9"/>
            <w:vAlign w:val="center"/>
            <w:hideMark/>
          </w:tcPr>
          <w:p w14:paraId="6B97FD11" w14:textId="4A182DBE"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2.3.1 Zbatimi i veprimtarive</w:t>
            </w:r>
            <w:r w:rsidR="0006016F" w:rsidRPr="00B457F5">
              <w:rPr>
                <w:rFonts w:ascii="Garamond" w:eastAsia="Times New Roman" w:hAnsi="Garamond" w:cs="Times New Roman"/>
                <w:sz w:val="4"/>
                <w:szCs w:val="10"/>
              </w:rPr>
              <w:t xml:space="preserve"> </w:t>
            </w:r>
            <w:r w:rsidRPr="00B457F5">
              <w:rPr>
                <w:rFonts w:ascii="Garamond" w:eastAsia="Times New Roman" w:hAnsi="Garamond" w:cs="Times New Roman"/>
                <w:sz w:val="4"/>
                <w:szCs w:val="10"/>
              </w:rPr>
              <w:t xml:space="preserve">për riintegrimin e të </w:t>
            </w:r>
            <w:r w:rsidR="00E92B0D" w:rsidRPr="00B457F5">
              <w:rPr>
                <w:rFonts w:ascii="Garamond" w:eastAsia="Times New Roman" w:hAnsi="Garamond" w:cs="Times New Roman"/>
                <w:sz w:val="4"/>
                <w:szCs w:val="10"/>
              </w:rPr>
              <w:t>kthyerve</w:t>
            </w:r>
            <w:r w:rsidRPr="00B457F5">
              <w:rPr>
                <w:rFonts w:ascii="Garamond" w:eastAsia="Times New Roman" w:hAnsi="Garamond" w:cs="Times New Roman"/>
                <w:sz w:val="4"/>
                <w:szCs w:val="10"/>
              </w:rPr>
              <w:t xml:space="preserve"> nga emigracioni </w:t>
            </w:r>
          </w:p>
        </w:tc>
        <w:tc>
          <w:tcPr>
            <w:tcW w:w="186" w:type="pct"/>
            <w:tcBorders>
              <w:top w:val="nil"/>
              <w:left w:val="nil"/>
              <w:bottom w:val="nil"/>
              <w:right w:val="single" w:sz="4" w:space="0" w:color="auto"/>
            </w:tcBorders>
            <w:shd w:val="clear" w:color="000000" w:fill="D9D9D9"/>
            <w:vAlign w:val="center"/>
            <w:hideMark/>
          </w:tcPr>
          <w:p w14:paraId="40D477DA" w14:textId="707104A2"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E92B0D" w:rsidRPr="00B457F5">
              <w:rPr>
                <w:rFonts w:ascii="Garamond" w:eastAsia="Times New Roman" w:hAnsi="Garamond" w:cs="Times New Roman"/>
                <w:color w:val="FF0000"/>
                <w:sz w:val="4"/>
                <w:szCs w:val="10"/>
              </w:rPr>
              <w:t>Punës</w:t>
            </w:r>
            <w:r w:rsidRPr="00B457F5">
              <w:rPr>
                <w:rFonts w:ascii="Garamond" w:eastAsia="Times New Roman" w:hAnsi="Garamond" w:cs="Times New Roman"/>
                <w:color w:val="FF0000"/>
                <w:sz w:val="4"/>
                <w:szCs w:val="10"/>
              </w:rPr>
              <w:t>, 01110 Planifikimi, Menaxhimi dhe Administrimi (16), 03140 Policia e Shtetit</w:t>
            </w:r>
          </w:p>
        </w:tc>
        <w:tc>
          <w:tcPr>
            <w:tcW w:w="169" w:type="pct"/>
            <w:tcBorders>
              <w:top w:val="nil"/>
              <w:left w:val="nil"/>
              <w:bottom w:val="nil"/>
              <w:right w:val="single" w:sz="4" w:space="0" w:color="auto"/>
            </w:tcBorders>
            <w:shd w:val="clear" w:color="000000" w:fill="D9D9D9"/>
            <w:vAlign w:val="center"/>
            <w:hideMark/>
          </w:tcPr>
          <w:p w14:paraId="3206B7A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MEKI, AKPA, MB, DKM</w:t>
            </w:r>
          </w:p>
        </w:tc>
        <w:tc>
          <w:tcPr>
            <w:tcW w:w="244" w:type="pct"/>
            <w:tcBorders>
              <w:top w:val="single" w:sz="8" w:space="0" w:color="auto"/>
              <w:left w:val="nil"/>
              <w:bottom w:val="nil"/>
              <w:right w:val="single" w:sz="4" w:space="0" w:color="auto"/>
            </w:tcBorders>
            <w:shd w:val="clear" w:color="000000" w:fill="D9D9D9"/>
            <w:vAlign w:val="center"/>
            <w:hideMark/>
          </w:tcPr>
          <w:p w14:paraId="46BFF96D" w14:textId="4852C4C1"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AKPA, MEKI, ZVMD, AMVV, MSHMS, </w:t>
            </w:r>
            <w:r w:rsidR="00E92B0D" w:rsidRPr="00B457F5">
              <w:rPr>
                <w:rFonts w:ascii="Garamond" w:eastAsia="Times New Roman" w:hAnsi="Garamond" w:cs="Times New Roman"/>
                <w:color w:val="000000"/>
                <w:sz w:val="4"/>
                <w:szCs w:val="10"/>
              </w:rPr>
              <w:t>donator</w:t>
            </w:r>
            <w:r w:rsidR="002803F2" w:rsidRPr="00B457F5">
              <w:rPr>
                <w:rFonts w:ascii="Garamond" w:eastAsia="Times New Roman" w:hAnsi="Garamond" w:cs="Times New Roman"/>
                <w:color w:val="000000"/>
                <w:sz w:val="4"/>
                <w:szCs w:val="10"/>
              </w:rPr>
              <w:t>ë</w:t>
            </w:r>
            <w:r w:rsidR="00E92B0D" w:rsidRPr="00B457F5">
              <w:rPr>
                <w:rFonts w:ascii="Garamond" w:eastAsia="Times New Roman" w:hAnsi="Garamond" w:cs="Times New Roman"/>
                <w:color w:val="000000"/>
                <w:sz w:val="4"/>
                <w:szCs w:val="10"/>
              </w:rPr>
              <w:t>, organizata</w:t>
            </w:r>
            <w:r w:rsidRPr="00B457F5">
              <w:rPr>
                <w:rFonts w:ascii="Garamond" w:eastAsia="Times New Roman" w:hAnsi="Garamond" w:cs="Times New Roman"/>
                <w:color w:val="000000"/>
                <w:sz w:val="4"/>
                <w:szCs w:val="10"/>
              </w:rPr>
              <w:t xml:space="preserve">, ISHPSHSH, NJVV, AIDA, INSTAT, </w:t>
            </w:r>
            <w:r w:rsidR="00E92B0D" w:rsidRPr="00B457F5">
              <w:rPr>
                <w:rFonts w:ascii="Garamond" w:eastAsia="Times New Roman" w:hAnsi="Garamond" w:cs="Times New Roman"/>
                <w:color w:val="000000"/>
                <w:sz w:val="4"/>
                <w:szCs w:val="10"/>
              </w:rPr>
              <w:t>t</w:t>
            </w:r>
            <w:r w:rsidRPr="00B457F5">
              <w:rPr>
                <w:rFonts w:ascii="Garamond" w:eastAsia="Times New Roman" w:hAnsi="Garamond" w:cs="Times New Roman"/>
                <w:color w:val="000000"/>
                <w:sz w:val="4"/>
                <w:szCs w:val="10"/>
              </w:rPr>
              <w:t>ë gjitha ministritë e linjës, IOM, MB</w:t>
            </w:r>
          </w:p>
        </w:tc>
        <w:tc>
          <w:tcPr>
            <w:tcW w:w="135" w:type="pct"/>
            <w:tcBorders>
              <w:top w:val="single" w:sz="8" w:space="0" w:color="auto"/>
              <w:left w:val="nil"/>
              <w:bottom w:val="nil"/>
              <w:right w:val="single" w:sz="4" w:space="0" w:color="auto"/>
            </w:tcBorders>
            <w:shd w:val="clear" w:color="000000" w:fill="D9D9D9"/>
            <w:vAlign w:val="center"/>
            <w:hideMark/>
          </w:tcPr>
          <w:p w14:paraId="4DD0A52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2024</w:t>
            </w:r>
          </w:p>
        </w:tc>
        <w:tc>
          <w:tcPr>
            <w:tcW w:w="152" w:type="pct"/>
            <w:tcBorders>
              <w:top w:val="single" w:sz="8" w:space="0" w:color="auto"/>
              <w:left w:val="nil"/>
              <w:bottom w:val="nil"/>
              <w:right w:val="single" w:sz="4" w:space="0" w:color="auto"/>
            </w:tcBorders>
            <w:shd w:val="clear" w:color="000000" w:fill="D9D9D9"/>
            <w:vAlign w:val="center"/>
            <w:hideMark/>
          </w:tcPr>
          <w:p w14:paraId="585DED1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2026</w:t>
            </w:r>
          </w:p>
        </w:tc>
        <w:tc>
          <w:tcPr>
            <w:tcW w:w="163" w:type="pct"/>
            <w:tcBorders>
              <w:top w:val="single" w:sz="8" w:space="0" w:color="auto"/>
              <w:left w:val="nil"/>
              <w:bottom w:val="nil"/>
              <w:right w:val="single" w:sz="4" w:space="0" w:color="auto"/>
            </w:tcBorders>
            <w:shd w:val="clear" w:color="000000" w:fill="D9D9D9"/>
            <w:vAlign w:val="center"/>
            <w:hideMark/>
          </w:tcPr>
          <w:p w14:paraId="265C7BB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17,456,405</w:t>
            </w:r>
          </w:p>
        </w:tc>
        <w:tc>
          <w:tcPr>
            <w:tcW w:w="155" w:type="pct"/>
            <w:tcBorders>
              <w:top w:val="single" w:sz="8" w:space="0" w:color="auto"/>
              <w:left w:val="nil"/>
              <w:bottom w:val="nil"/>
              <w:right w:val="single" w:sz="4" w:space="0" w:color="auto"/>
            </w:tcBorders>
            <w:shd w:val="clear" w:color="000000" w:fill="D9D9D9"/>
            <w:vAlign w:val="center"/>
            <w:hideMark/>
          </w:tcPr>
          <w:p w14:paraId="450313D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single" w:sz="8" w:space="0" w:color="auto"/>
              <w:left w:val="nil"/>
              <w:bottom w:val="nil"/>
              <w:right w:val="single" w:sz="4" w:space="0" w:color="auto"/>
            </w:tcBorders>
            <w:shd w:val="clear" w:color="000000" w:fill="D9D9D9"/>
            <w:vAlign w:val="center"/>
            <w:hideMark/>
          </w:tcPr>
          <w:p w14:paraId="221C07D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17,456,405</w:t>
            </w:r>
          </w:p>
        </w:tc>
        <w:tc>
          <w:tcPr>
            <w:tcW w:w="165" w:type="pct"/>
            <w:tcBorders>
              <w:top w:val="single" w:sz="8" w:space="0" w:color="auto"/>
              <w:left w:val="nil"/>
              <w:bottom w:val="nil"/>
              <w:right w:val="single" w:sz="4" w:space="0" w:color="auto"/>
            </w:tcBorders>
            <w:shd w:val="clear" w:color="000000" w:fill="D9D9D9"/>
            <w:vAlign w:val="center"/>
            <w:hideMark/>
          </w:tcPr>
          <w:p w14:paraId="28650DC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16,676,729</w:t>
            </w:r>
          </w:p>
        </w:tc>
        <w:tc>
          <w:tcPr>
            <w:tcW w:w="163" w:type="pct"/>
            <w:tcBorders>
              <w:top w:val="single" w:sz="8" w:space="0" w:color="auto"/>
              <w:left w:val="nil"/>
              <w:bottom w:val="nil"/>
              <w:right w:val="single" w:sz="4" w:space="0" w:color="auto"/>
            </w:tcBorders>
            <w:shd w:val="clear" w:color="000000" w:fill="D9D9D9"/>
            <w:vAlign w:val="center"/>
            <w:hideMark/>
          </w:tcPr>
          <w:p w14:paraId="47CD98B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single" w:sz="8" w:space="0" w:color="auto"/>
              <w:left w:val="nil"/>
              <w:bottom w:val="nil"/>
              <w:right w:val="single" w:sz="4" w:space="0" w:color="auto"/>
            </w:tcBorders>
            <w:shd w:val="clear" w:color="000000" w:fill="D9D9D9"/>
            <w:vAlign w:val="center"/>
            <w:hideMark/>
          </w:tcPr>
          <w:p w14:paraId="3568FBD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16,676,729</w:t>
            </w:r>
          </w:p>
        </w:tc>
        <w:tc>
          <w:tcPr>
            <w:tcW w:w="163" w:type="pct"/>
            <w:tcBorders>
              <w:top w:val="single" w:sz="8" w:space="0" w:color="auto"/>
              <w:left w:val="nil"/>
              <w:bottom w:val="nil"/>
              <w:right w:val="single" w:sz="4" w:space="0" w:color="auto"/>
            </w:tcBorders>
            <w:shd w:val="clear" w:color="000000" w:fill="D9D9D9"/>
            <w:vAlign w:val="center"/>
            <w:hideMark/>
          </w:tcPr>
          <w:p w14:paraId="1791A8D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16,676,729</w:t>
            </w:r>
          </w:p>
        </w:tc>
        <w:tc>
          <w:tcPr>
            <w:tcW w:w="148" w:type="pct"/>
            <w:tcBorders>
              <w:top w:val="single" w:sz="8" w:space="0" w:color="auto"/>
              <w:left w:val="nil"/>
              <w:bottom w:val="nil"/>
              <w:right w:val="single" w:sz="4" w:space="0" w:color="auto"/>
            </w:tcBorders>
            <w:shd w:val="clear" w:color="000000" w:fill="D9D9D9"/>
            <w:vAlign w:val="center"/>
            <w:hideMark/>
          </w:tcPr>
          <w:p w14:paraId="4A071C1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single" w:sz="8" w:space="0" w:color="auto"/>
              <w:left w:val="nil"/>
              <w:bottom w:val="nil"/>
              <w:right w:val="single" w:sz="4" w:space="0" w:color="auto"/>
            </w:tcBorders>
            <w:shd w:val="clear" w:color="000000" w:fill="D9D9D9"/>
            <w:vAlign w:val="center"/>
            <w:hideMark/>
          </w:tcPr>
          <w:p w14:paraId="0DCE86D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16,676,729</w:t>
            </w:r>
          </w:p>
        </w:tc>
        <w:tc>
          <w:tcPr>
            <w:tcW w:w="165" w:type="pct"/>
            <w:tcBorders>
              <w:top w:val="nil"/>
              <w:left w:val="nil"/>
              <w:bottom w:val="nil"/>
              <w:right w:val="single" w:sz="4" w:space="0" w:color="auto"/>
            </w:tcBorders>
            <w:shd w:val="clear" w:color="000000" w:fill="D9D9D9"/>
            <w:noWrap/>
            <w:vAlign w:val="center"/>
            <w:hideMark/>
          </w:tcPr>
          <w:p w14:paraId="471794B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50,809,863</w:t>
            </w:r>
          </w:p>
        </w:tc>
        <w:tc>
          <w:tcPr>
            <w:tcW w:w="163" w:type="pct"/>
            <w:tcBorders>
              <w:top w:val="nil"/>
              <w:left w:val="nil"/>
              <w:bottom w:val="single" w:sz="8" w:space="0" w:color="auto"/>
              <w:right w:val="single" w:sz="4" w:space="0" w:color="auto"/>
            </w:tcBorders>
            <w:shd w:val="clear" w:color="000000" w:fill="D9D9D9"/>
            <w:noWrap/>
            <w:vAlign w:val="center"/>
            <w:hideMark/>
          </w:tcPr>
          <w:p w14:paraId="6EB0E33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single" w:sz="8" w:space="0" w:color="auto"/>
              <w:left w:val="nil"/>
              <w:bottom w:val="nil"/>
              <w:right w:val="single" w:sz="4" w:space="0" w:color="auto"/>
            </w:tcBorders>
            <w:shd w:val="clear" w:color="000000" w:fill="D9D9D9"/>
            <w:vAlign w:val="center"/>
            <w:hideMark/>
          </w:tcPr>
          <w:p w14:paraId="130940F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50,809,863</w:t>
            </w:r>
          </w:p>
        </w:tc>
        <w:tc>
          <w:tcPr>
            <w:tcW w:w="163" w:type="pct"/>
            <w:tcBorders>
              <w:top w:val="single" w:sz="8" w:space="0" w:color="auto"/>
              <w:left w:val="nil"/>
              <w:bottom w:val="nil"/>
              <w:right w:val="single" w:sz="4" w:space="0" w:color="auto"/>
            </w:tcBorders>
            <w:shd w:val="clear" w:color="000000" w:fill="D9D9D9"/>
            <w:vAlign w:val="center"/>
            <w:hideMark/>
          </w:tcPr>
          <w:p w14:paraId="650E465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40,731,810</w:t>
            </w:r>
          </w:p>
        </w:tc>
        <w:tc>
          <w:tcPr>
            <w:tcW w:w="155" w:type="pct"/>
            <w:tcBorders>
              <w:top w:val="single" w:sz="8" w:space="0" w:color="auto"/>
              <w:left w:val="nil"/>
              <w:bottom w:val="nil"/>
              <w:right w:val="single" w:sz="4" w:space="0" w:color="auto"/>
            </w:tcBorders>
            <w:shd w:val="clear" w:color="000000" w:fill="D9D9D9"/>
            <w:vAlign w:val="center"/>
            <w:hideMark/>
          </w:tcPr>
          <w:p w14:paraId="6FACF55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single" w:sz="8" w:space="0" w:color="auto"/>
              <w:left w:val="nil"/>
              <w:bottom w:val="nil"/>
              <w:right w:val="single" w:sz="4" w:space="0" w:color="auto"/>
            </w:tcBorders>
            <w:shd w:val="clear" w:color="000000" w:fill="D9D9D9"/>
            <w:vAlign w:val="center"/>
            <w:hideMark/>
          </w:tcPr>
          <w:p w14:paraId="594D930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40,731,810</w:t>
            </w:r>
          </w:p>
        </w:tc>
        <w:tc>
          <w:tcPr>
            <w:tcW w:w="162" w:type="pct"/>
            <w:tcBorders>
              <w:top w:val="single" w:sz="8" w:space="0" w:color="auto"/>
              <w:left w:val="nil"/>
              <w:bottom w:val="nil"/>
              <w:right w:val="single" w:sz="4" w:space="0" w:color="auto"/>
            </w:tcBorders>
            <w:shd w:val="clear" w:color="000000" w:fill="D9D9D9"/>
            <w:vAlign w:val="center"/>
            <w:hideMark/>
          </w:tcPr>
          <w:p w14:paraId="100E4DD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single" w:sz="8" w:space="0" w:color="auto"/>
              <w:left w:val="nil"/>
              <w:bottom w:val="nil"/>
              <w:right w:val="single" w:sz="4" w:space="0" w:color="auto"/>
            </w:tcBorders>
            <w:shd w:val="clear" w:color="000000" w:fill="D9D9D9"/>
            <w:vAlign w:val="center"/>
            <w:hideMark/>
          </w:tcPr>
          <w:p w14:paraId="0FCCB98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single" w:sz="8" w:space="0" w:color="auto"/>
              <w:left w:val="nil"/>
              <w:bottom w:val="nil"/>
              <w:right w:val="single" w:sz="4" w:space="0" w:color="auto"/>
            </w:tcBorders>
            <w:shd w:val="clear" w:color="000000" w:fill="D9D9D9"/>
            <w:vAlign w:val="center"/>
            <w:hideMark/>
          </w:tcPr>
          <w:p w14:paraId="3BF5242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nil"/>
              <w:right w:val="single" w:sz="4" w:space="0" w:color="auto"/>
            </w:tcBorders>
            <w:shd w:val="clear" w:color="000000" w:fill="D9D9D9"/>
            <w:noWrap/>
            <w:vAlign w:val="center"/>
            <w:hideMark/>
          </w:tcPr>
          <w:p w14:paraId="46792FB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single" w:sz="8" w:space="0" w:color="auto"/>
              <w:left w:val="nil"/>
              <w:bottom w:val="nil"/>
              <w:right w:val="single" w:sz="4" w:space="0" w:color="auto"/>
            </w:tcBorders>
            <w:shd w:val="clear" w:color="000000" w:fill="D9D9D9"/>
            <w:vAlign w:val="center"/>
            <w:hideMark/>
          </w:tcPr>
          <w:p w14:paraId="3228F5E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single" w:sz="8" w:space="0" w:color="auto"/>
              <w:left w:val="nil"/>
              <w:bottom w:val="nil"/>
              <w:right w:val="single" w:sz="4" w:space="0" w:color="auto"/>
            </w:tcBorders>
            <w:shd w:val="clear" w:color="000000" w:fill="D9D9D9"/>
            <w:vAlign w:val="center"/>
            <w:hideMark/>
          </w:tcPr>
          <w:p w14:paraId="686F222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single" w:sz="8" w:space="0" w:color="auto"/>
              <w:left w:val="nil"/>
              <w:bottom w:val="nil"/>
              <w:right w:val="single" w:sz="4" w:space="0" w:color="auto"/>
            </w:tcBorders>
            <w:shd w:val="clear" w:color="000000" w:fill="D9D9D9"/>
            <w:vAlign w:val="center"/>
            <w:hideMark/>
          </w:tcPr>
          <w:p w14:paraId="0A7EB7B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single" w:sz="8" w:space="0" w:color="auto"/>
              <w:left w:val="nil"/>
              <w:bottom w:val="nil"/>
              <w:right w:val="single" w:sz="4" w:space="0" w:color="auto"/>
            </w:tcBorders>
            <w:shd w:val="clear" w:color="000000" w:fill="D9D9D9"/>
            <w:vAlign w:val="center"/>
            <w:hideMark/>
          </w:tcPr>
          <w:p w14:paraId="3A5BD1FC" w14:textId="72BDF5AD"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 (10,078,053)</w:t>
            </w:r>
          </w:p>
        </w:tc>
      </w:tr>
      <w:tr w:rsidR="00C260C3" w:rsidRPr="00B457F5" w14:paraId="4ABBA572" w14:textId="77777777" w:rsidTr="00C260C3">
        <w:trPr>
          <w:trHeight w:val="20"/>
        </w:trPr>
        <w:tc>
          <w:tcPr>
            <w:tcW w:w="1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E91862"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2.3.1.1 </w:t>
            </w:r>
          </w:p>
        </w:tc>
        <w:tc>
          <w:tcPr>
            <w:tcW w:w="281" w:type="pct"/>
            <w:tcBorders>
              <w:top w:val="single" w:sz="4" w:space="0" w:color="auto"/>
              <w:left w:val="nil"/>
              <w:bottom w:val="single" w:sz="4" w:space="0" w:color="auto"/>
              <w:right w:val="single" w:sz="4" w:space="0" w:color="auto"/>
            </w:tcBorders>
            <w:shd w:val="clear" w:color="auto" w:fill="auto"/>
            <w:vAlign w:val="center"/>
            <w:hideMark/>
          </w:tcPr>
          <w:p w14:paraId="71592411" w14:textId="77777777"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2.3.1.1 Kryerja e një vlerësimi të ndjeshëm gjinor të nevojave dhe sfidave që hasin burrat dhe gratë emigrantë/e të rikthyer me qëllim adresimin e tyre në mënyrë efektive</w:t>
            </w:r>
          </w:p>
        </w:tc>
        <w:tc>
          <w:tcPr>
            <w:tcW w:w="186" w:type="pct"/>
            <w:tcBorders>
              <w:top w:val="single" w:sz="4" w:space="0" w:color="auto"/>
              <w:left w:val="nil"/>
              <w:bottom w:val="single" w:sz="4" w:space="0" w:color="auto"/>
              <w:right w:val="single" w:sz="4" w:space="0" w:color="auto"/>
            </w:tcBorders>
            <w:shd w:val="clear" w:color="auto" w:fill="auto"/>
            <w:vAlign w:val="center"/>
            <w:hideMark/>
          </w:tcPr>
          <w:p w14:paraId="03C9906C" w14:textId="09ADFC2D"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E92B0D" w:rsidRPr="00B457F5">
              <w:rPr>
                <w:rFonts w:ascii="Garamond" w:eastAsia="Times New Roman" w:hAnsi="Garamond" w:cs="Times New Roman"/>
                <w:color w:val="FF0000"/>
                <w:sz w:val="4"/>
                <w:szCs w:val="10"/>
              </w:rPr>
              <w:t>Punës</w:t>
            </w:r>
          </w:p>
        </w:tc>
        <w:tc>
          <w:tcPr>
            <w:tcW w:w="169" w:type="pct"/>
            <w:tcBorders>
              <w:top w:val="single" w:sz="4" w:space="0" w:color="auto"/>
              <w:left w:val="nil"/>
              <w:bottom w:val="single" w:sz="4" w:space="0" w:color="auto"/>
              <w:right w:val="single" w:sz="4" w:space="0" w:color="auto"/>
            </w:tcBorders>
            <w:shd w:val="clear" w:color="auto" w:fill="auto"/>
            <w:vAlign w:val="center"/>
            <w:hideMark/>
          </w:tcPr>
          <w:p w14:paraId="66B6369B" w14:textId="364E9AEA" w:rsidR="00C260C3" w:rsidRPr="00B457F5" w:rsidRDefault="0006016F"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 </w:t>
            </w:r>
            <w:r w:rsidR="00C260C3" w:rsidRPr="00B457F5">
              <w:rPr>
                <w:rFonts w:ascii="Garamond" w:eastAsia="Times New Roman" w:hAnsi="Garamond" w:cs="Times New Roman"/>
                <w:sz w:val="4"/>
                <w:szCs w:val="10"/>
              </w:rPr>
              <w:t>MEKI</w:t>
            </w:r>
          </w:p>
        </w:tc>
        <w:tc>
          <w:tcPr>
            <w:tcW w:w="244" w:type="pct"/>
            <w:tcBorders>
              <w:top w:val="single" w:sz="4" w:space="0" w:color="auto"/>
              <w:left w:val="nil"/>
              <w:bottom w:val="single" w:sz="4" w:space="0" w:color="auto"/>
              <w:right w:val="single" w:sz="4" w:space="0" w:color="auto"/>
            </w:tcBorders>
            <w:shd w:val="clear" w:color="auto" w:fill="auto"/>
            <w:vAlign w:val="center"/>
            <w:hideMark/>
          </w:tcPr>
          <w:p w14:paraId="7759BB1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NJVV, INSTAT, DKM </w:t>
            </w:r>
          </w:p>
        </w:tc>
        <w:tc>
          <w:tcPr>
            <w:tcW w:w="135" w:type="pct"/>
            <w:tcBorders>
              <w:top w:val="single" w:sz="4" w:space="0" w:color="auto"/>
              <w:left w:val="nil"/>
              <w:bottom w:val="single" w:sz="4" w:space="0" w:color="auto"/>
              <w:right w:val="single" w:sz="4" w:space="0" w:color="auto"/>
            </w:tcBorders>
            <w:shd w:val="clear" w:color="000000" w:fill="DDEBF7"/>
            <w:vAlign w:val="center"/>
            <w:hideMark/>
          </w:tcPr>
          <w:p w14:paraId="486A3E16"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2024 </w:t>
            </w:r>
          </w:p>
        </w:tc>
        <w:tc>
          <w:tcPr>
            <w:tcW w:w="152" w:type="pct"/>
            <w:tcBorders>
              <w:top w:val="single" w:sz="4" w:space="0" w:color="auto"/>
              <w:left w:val="nil"/>
              <w:bottom w:val="single" w:sz="4" w:space="0" w:color="auto"/>
              <w:right w:val="single" w:sz="4" w:space="0" w:color="auto"/>
            </w:tcBorders>
            <w:shd w:val="clear" w:color="000000" w:fill="DDEBF7"/>
            <w:vAlign w:val="center"/>
            <w:hideMark/>
          </w:tcPr>
          <w:p w14:paraId="2EDCB3C6"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2026 </w:t>
            </w:r>
          </w:p>
        </w:tc>
        <w:tc>
          <w:tcPr>
            <w:tcW w:w="163" w:type="pct"/>
            <w:tcBorders>
              <w:top w:val="single" w:sz="4" w:space="0" w:color="auto"/>
              <w:left w:val="nil"/>
              <w:bottom w:val="single" w:sz="4" w:space="0" w:color="auto"/>
              <w:right w:val="single" w:sz="4" w:space="0" w:color="auto"/>
            </w:tcBorders>
            <w:shd w:val="clear" w:color="auto" w:fill="auto"/>
            <w:vAlign w:val="center"/>
            <w:hideMark/>
          </w:tcPr>
          <w:p w14:paraId="63E98E5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1,800,000</w:t>
            </w:r>
          </w:p>
        </w:tc>
        <w:tc>
          <w:tcPr>
            <w:tcW w:w="155" w:type="pct"/>
            <w:tcBorders>
              <w:top w:val="single" w:sz="4" w:space="0" w:color="auto"/>
              <w:left w:val="nil"/>
              <w:bottom w:val="single" w:sz="4" w:space="0" w:color="auto"/>
              <w:right w:val="single" w:sz="4" w:space="0" w:color="auto"/>
            </w:tcBorders>
            <w:shd w:val="clear" w:color="auto" w:fill="auto"/>
            <w:vAlign w:val="center"/>
            <w:hideMark/>
          </w:tcPr>
          <w:p w14:paraId="1206908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single" w:sz="4" w:space="0" w:color="auto"/>
              <w:left w:val="nil"/>
              <w:bottom w:val="single" w:sz="4" w:space="0" w:color="auto"/>
              <w:right w:val="single" w:sz="4" w:space="0" w:color="auto"/>
            </w:tcBorders>
            <w:shd w:val="clear" w:color="000000" w:fill="FFF2CC"/>
            <w:vAlign w:val="center"/>
            <w:hideMark/>
          </w:tcPr>
          <w:p w14:paraId="20E3344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1,800,000</w:t>
            </w:r>
          </w:p>
        </w:tc>
        <w:tc>
          <w:tcPr>
            <w:tcW w:w="165" w:type="pct"/>
            <w:tcBorders>
              <w:top w:val="single" w:sz="4" w:space="0" w:color="auto"/>
              <w:left w:val="nil"/>
              <w:bottom w:val="single" w:sz="4" w:space="0" w:color="auto"/>
              <w:right w:val="single" w:sz="4" w:space="0" w:color="auto"/>
            </w:tcBorders>
            <w:shd w:val="clear" w:color="auto" w:fill="auto"/>
            <w:vAlign w:val="center"/>
            <w:hideMark/>
          </w:tcPr>
          <w:p w14:paraId="475877B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1,800,000</w:t>
            </w:r>
          </w:p>
        </w:tc>
        <w:tc>
          <w:tcPr>
            <w:tcW w:w="163" w:type="pct"/>
            <w:tcBorders>
              <w:top w:val="single" w:sz="4" w:space="0" w:color="auto"/>
              <w:left w:val="nil"/>
              <w:bottom w:val="single" w:sz="4" w:space="0" w:color="auto"/>
              <w:right w:val="single" w:sz="4" w:space="0" w:color="auto"/>
            </w:tcBorders>
            <w:shd w:val="clear" w:color="auto" w:fill="auto"/>
            <w:vAlign w:val="center"/>
            <w:hideMark/>
          </w:tcPr>
          <w:p w14:paraId="27F5294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single" w:sz="4" w:space="0" w:color="auto"/>
              <w:left w:val="nil"/>
              <w:bottom w:val="single" w:sz="4" w:space="0" w:color="auto"/>
              <w:right w:val="single" w:sz="4" w:space="0" w:color="auto"/>
            </w:tcBorders>
            <w:shd w:val="clear" w:color="000000" w:fill="FFF2CC"/>
            <w:vAlign w:val="center"/>
            <w:hideMark/>
          </w:tcPr>
          <w:p w14:paraId="033D706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1,800,000</w:t>
            </w:r>
          </w:p>
        </w:tc>
        <w:tc>
          <w:tcPr>
            <w:tcW w:w="163" w:type="pct"/>
            <w:tcBorders>
              <w:top w:val="single" w:sz="4" w:space="0" w:color="auto"/>
              <w:left w:val="nil"/>
              <w:bottom w:val="single" w:sz="4" w:space="0" w:color="auto"/>
              <w:right w:val="single" w:sz="4" w:space="0" w:color="auto"/>
            </w:tcBorders>
            <w:shd w:val="clear" w:color="auto" w:fill="auto"/>
            <w:vAlign w:val="center"/>
            <w:hideMark/>
          </w:tcPr>
          <w:p w14:paraId="670E9AB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1,800,000</w:t>
            </w:r>
          </w:p>
        </w:tc>
        <w:tc>
          <w:tcPr>
            <w:tcW w:w="148" w:type="pct"/>
            <w:tcBorders>
              <w:top w:val="single" w:sz="4" w:space="0" w:color="auto"/>
              <w:left w:val="nil"/>
              <w:bottom w:val="single" w:sz="4" w:space="0" w:color="auto"/>
              <w:right w:val="single" w:sz="4" w:space="0" w:color="auto"/>
            </w:tcBorders>
            <w:shd w:val="clear" w:color="auto" w:fill="auto"/>
            <w:vAlign w:val="center"/>
            <w:hideMark/>
          </w:tcPr>
          <w:p w14:paraId="3652B3F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single" w:sz="4" w:space="0" w:color="auto"/>
              <w:left w:val="nil"/>
              <w:bottom w:val="single" w:sz="4" w:space="0" w:color="auto"/>
              <w:right w:val="single" w:sz="4" w:space="0" w:color="auto"/>
            </w:tcBorders>
            <w:shd w:val="clear" w:color="000000" w:fill="FFF2CC"/>
            <w:vAlign w:val="center"/>
            <w:hideMark/>
          </w:tcPr>
          <w:p w14:paraId="1DCE751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1,800,000</w:t>
            </w:r>
          </w:p>
        </w:tc>
        <w:tc>
          <w:tcPr>
            <w:tcW w:w="165" w:type="pct"/>
            <w:tcBorders>
              <w:top w:val="single" w:sz="4" w:space="0" w:color="auto"/>
              <w:left w:val="nil"/>
              <w:bottom w:val="single" w:sz="4" w:space="0" w:color="auto"/>
              <w:right w:val="single" w:sz="4" w:space="0" w:color="auto"/>
            </w:tcBorders>
            <w:shd w:val="clear" w:color="auto" w:fill="auto"/>
            <w:noWrap/>
            <w:vAlign w:val="center"/>
            <w:hideMark/>
          </w:tcPr>
          <w:p w14:paraId="146E472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5,400,000</w:t>
            </w:r>
          </w:p>
        </w:tc>
        <w:tc>
          <w:tcPr>
            <w:tcW w:w="163" w:type="pct"/>
            <w:tcBorders>
              <w:top w:val="single" w:sz="4" w:space="0" w:color="auto"/>
              <w:left w:val="nil"/>
              <w:bottom w:val="nil"/>
              <w:right w:val="single" w:sz="4" w:space="0" w:color="auto"/>
            </w:tcBorders>
            <w:shd w:val="clear" w:color="auto" w:fill="auto"/>
            <w:noWrap/>
            <w:vAlign w:val="center"/>
            <w:hideMark/>
          </w:tcPr>
          <w:p w14:paraId="65AC503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single" w:sz="4" w:space="0" w:color="auto"/>
              <w:left w:val="nil"/>
              <w:bottom w:val="single" w:sz="4" w:space="0" w:color="auto"/>
              <w:right w:val="single" w:sz="4" w:space="0" w:color="auto"/>
            </w:tcBorders>
            <w:shd w:val="clear" w:color="000000" w:fill="FFF2CC"/>
            <w:vAlign w:val="center"/>
            <w:hideMark/>
          </w:tcPr>
          <w:p w14:paraId="1E8D94B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5,400,000</w:t>
            </w:r>
          </w:p>
        </w:tc>
        <w:tc>
          <w:tcPr>
            <w:tcW w:w="163" w:type="pct"/>
            <w:tcBorders>
              <w:top w:val="single" w:sz="4" w:space="0" w:color="auto"/>
              <w:left w:val="nil"/>
              <w:bottom w:val="single" w:sz="4" w:space="0" w:color="auto"/>
              <w:right w:val="single" w:sz="4" w:space="0" w:color="auto"/>
            </w:tcBorders>
            <w:shd w:val="clear" w:color="auto" w:fill="auto"/>
            <w:vAlign w:val="center"/>
            <w:hideMark/>
          </w:tcPr>
          <w:p w14:paraId="388FD2D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single" w:sz="4" w:space="0" w:color="auto"/>
              <w:left w:val="nil"/>
              <w:bottom w:val="single" w:sz="4" w:space="0" w:color="auto"/>
              <w:right w:val="single" w:sz="4" w:space="0" w:color="auto"/>
            </w:tcBorders>
            <w:shd w:val="clear" w:color="auto" w:fill="auto"/>
            <w:vAlign w:val="center"/>
            <w:hideMark/>
          </w:tcPr>
          <w:p w14:paraId="0097E36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single" w:sz="4" w:space="0" w:color="auto"/>
              <w:left w:val="nil"/>
              <w:bottom w:val="single" w:sz="4" w:space="0" w:color="auto"/>
              <w:right w:val="single" w:sz="4" w:space="0" w:color="auto"/>
            </w:tcBorders>
            <w:shd w:val="clear" w:color="000000" w:fill="FFF2CC"/>
            <w:vAlign w:val="center"/>
            <w:hideMark/>
          </w:tcPr>
          <w:p w14:paraId="5DFB14A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single" w:sz="4" w:space="0" w:color="auto"/>
              <w:left w:val="nil"/>
              <w:bottom w:val="single" w:sz="4" w:space="0" w:color="auto"/>
              <w:right w:val="single" w:sz="4" w:space="0" w:color="auto"/>
            </w:tcBorders>
            <w:shd w:val="clear" w:color="auto" w:fill="auto"/>
            <w:vAlign w:val="center"/>
            <w:hideMark/>
          </w:tcPr>
          <w:p w14:paraId="0454DDC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single" w:sz="4" w:space="0" w:color="auto"/>
              <w:left w:val="nil"/>
              <w:bottom w:val="single" w:sz="4" w:space="0" w:color="auto"/>
              <w:right w:val="single" w:sz="4" w:space="0" w:color="auto"/>
            </w:tcBorders>
            <w:shd w:val="clear" w:color="auto" w:fill="auto"/>
            <w:vAlign w:val="center"/>
            <w:hideMark/>
          </w:tcPr>
          <w:p w14:paraId="46CE0C8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single" w:sz="4" w:space="0" w:color="auto"/>
              <w:left w:val="nil"/>
              <w:bottom w:val="single" w:sz="4" w:space="0" w:color="auto"/>
              <w:right w:val="single" w:sz="4" w:space="0" w:color="auto"/>
            </w:tcBorders>
            <w:shd w:val="clear" w:color="auto" w:fill="auto"/>
            <w:vAlign w:val="center"/>
            <w:hideMark/>
          </w:tcPr>
          <w:p w14:paraId="69C3E8C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single" w:sz="4" w:space="0" w:color="auto"/>
              <w:left w:val="nil"/>
              <w:bottom w:val="single" w:sz="4" w:space="0" w:color="auto"/>
              <w:right w:val="single" w:sz="4" w:space="0" w:color="auto"/>
            </w:tcBorders>
            <w:shd w:val="clear" w:color="000000" w:fill="FFF2CC"/>
            <w:noWrap/>
            <w:vAlign w:val="center"/>
            <w:hideMark/>
          </w:tcPr>
          <w:p w14:paraId="1BC590D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single" w:sz="4" w:space="0" w:color="auto"/>
              <w:left w:val="nil"/>
              <w:bottom w:val="single" w:sz="4" w:space="0" w:color="auto"/>
              <w:right w:val="single" w:sz="4" w:space="0" w:color="auto"/>
            </w:tcBorders>
            <w:shd w:val="clear" w:color="auto" w:fill="auto"/>
            <w:vAlign w:val="center"/>
            <w:hideMark/>
          </w:tcPr>
          <w:p w14:paraId="0552D96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single" w:sz="4" w:space="0" w:color="auto"/>
              <w:left w:val="nil"/>
              <w:bottom w:val="single" w:sz="4" w:space="0" w:color="auto"/>
              <w:right w:val="single" w:sz="4" w:space="0" w:color="auto"/>
            </w:tcBorders>
            <w:shd w:val="clear" w:color="auto" w:fill="auto"/>
            <w:vAlign w:val="center"/>
            <w:hideMark/>
          </w:tcPr>
          <w:p w14:paraId="566A447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single" w:sz="4" w:space="0" w:color="auto"/>
              <w:left w:val="nil"/>
              <w:bottom w:val="single" w:sz="4" w:space="0" w:color="auto"/>
              <w:right w:val="single" w:sz="4" w:space="0" w:color="auto"/>
            </w:tcBorders>
            <w:shd w:val="clear" w:color="000000" w:fill="FFF2CC"/>
            <w:vAlign w:val="center"/>
            <w:hideMark/>
          </w:tcPr>
          <w:p w14:paraId="45D0739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single" w:sz="4" w:space="0" w:color="auto"/>
              <w:left w:val="nil"/>
              <w:bottom w:val="single" w:sz="4" w:space="0" w:color="auto"/>
              <w:right w:val="single" w:sz="4" w:space="0" w:color="auto"/>
            </w:tcBorders>
            <w:shd w:val="clear" w:color="auto" w:fill="auto"/>
            <w:vAlign w:val="center"/>
            <w:hideMark/>
          </w:tcPr>
          <w:p w14:paraId="68EF9889" w14:textId="048E3765"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(5,400,000)</w:t>
            </w:r>
          </w:p>
        </w:tc>
      </w:tr>
      <w:tr w:rsidR="00C260C3" w:rsidRPr="00B457F5" w14:paraId="435DB507" w14:textId="77777777" w:rsidTr="00C260C3">
        <w:trPr>
          <w:trHeight w:val="20"/>
        </w:trPr>
        <w:tc>
          <w:tcPr>
            <w:tcW w:w="131" w:type="pct"/>
            <w:tcBorders>
              <w:top w:val="nil"/>
              <w:left w:val="single" w:sz="4" w:space="0" w:color="auto"/>
              <w:bottom w:val="nil"/>
              <w:right w:val="single" w:sz="4" w:space="0" w:color="auto"/>
            </w:tcBorders>
            <w:shd w:val="clear" w:color="auto" w:fill="auto"/>
            <w:vAlign w:val="center"/>
            <w:hideMark/>
          </w:tcPr>
          <w:p w14:paraId="1BC6F2EA"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2.3.1.2</w:t>
            </w:r>
          </w:p>
        </w:tc>
        <w:tc>
          <w:tcPr>
            <w:tcW w:w="281" w:type="pct"/>
            <w:tcBorders>
              <w:top w:val="nil"/>
              <w:left w:val="nil"/>
              <w:bottom w:val="single" w:sz="4" w:space="0" w:color="auto"/>
              <w:right w:val="single" w:sz="4" w:space="0" w:color="auto"/>
            </w:tcBorders>
            <w:shd w:val="clear" w:color="auto" w:fill="auto"/>
            <w:vAlign w:val="center"/>
            <w:hideMark/>
          </w:tcPr>
          <w:p w14:paraId="3A61AF15" w14:textId="19B6DFA7"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 xml:space="preserve">2.3.1.2 Hartimi i një </w:t>
            </w:r>
            <w:r w:rsidR="006E177B" w:rsidRPr="00B457F5">
              <w:rPr>
                <w:rFonts w:ascii="Garamond" w:eastAsia="Times New Roman" w:hAnsi="Garamond" w:cs="Times New Roman"/>
                <w:sz w:val="4"/>
                <w:szCs w:val="10"/>
              </w:rPr>
              <w:t>manuali për ndihmën dhe riintegrimin e të kthyerve</w:t>
            </w:r>
            <w:r w:rsidRPr="00B457F5">
              <w:rPr>
                <w:rFonts w:ascii="Garamond" w:eastAsia="Times New Roman" w:hAnsi="Garamond" w:cs="Times New Roman"/>
                <w:sz w:val="4"/>
                <w:szCs w:val="10"/>
              </w:rPr>
              <w:t>, me fokus individët vulnerabël ndaj dhunës, shfrytëzimit dhe abuzimit</w:t>
            </w:r>
          </w:p>
        </w:tc>
        <w:tc>
          <w:tcPr>
            <w:tcW w:w="186" w:type="pct"/>
            <w:tcBorders>
              <w:top w:val="nil"/>
              <w:left w:val="nil"/>
              <w:bottom w:val="nil"/>
              <w:right w:val="single" w:sz="4" w:space="0" w:color="auto"/>
            </w:tcBorders>
            <w:shd w:val="clear" w:color="auto" w:fill="auto"/>
            <w:vAlign w:val="center"/>
            <w:hideMark/>
          </w:tcPr>
          <w:p w14:paraId="50869BAF" w14:textId="6489BABF"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E92B0D" w:rsidRPr="00B457F5">
              <w:rPr>
                <w:rFonts w:ascii="Garamond" w:eastAsia="Times New Roman" w:hAnsi="Garamond" w:cs="Times New Roman"/>
                <w:color w:val="FF0000"/>
                <w:sz w:val="4"/>
                <w:szCs w:val="10"/>
              </w:rPr>
              <w:t>Punës</w:t>
            </w:r>
          </w:p>
        </w:tc>
        <w:tc>
          <w:tcPr>
            <w:tcW w:w="169" w:type="pct"/>
            <w:tcBorders>
              <w:top w:val="nil"/>
              <w:left w:val="nil"/>
              <w:bottom w:val="single" w:sz="4" w:space="0" w:color="auto"/>
              <w:right w:val="single" w:sz="4" w:space="0" w:color="auto"/>
            </w:tcBorders>
            <w:shd w:val="clear" w:color="auto" w:fill="auto"/>
            <w:vAlign w:val="center"/>
            <w:hideMark/>
          </w:tcPr>
          <w:p w14:paraId="570F675C" w14:textId="25EBCE59" w:rsidR="00C260C3" w:rsidRPr="00B457F5" w:rsidRDefault="0006016F"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 </w:t>
            </w:r>
            <w:r w:rsidR="00C260C3" w:rsidRPr="00B457F5">
              <w:rPr>
                <w:rFonts w:ascii="Garamond" w:eastAsia="Times New Roman" w:hAnsi="Garamond" w:cs="Times New Roman"/>
                <w:sz w:val="4"/>
                <w:szCs w:val="10"/>
              </w:rPr>
              <w:t>MEKI</w:t>
            </w:r>
          </w:p>
        </w:tc>
        <w:tc>
          <w:tcPr>
            <w:tcW w:w="244" w:type="pct"/>
            <w:tcBorders>
              <w:top w:val="nil"/>
              <w:left w:val="nil"/>
              <w:bottom w:val="single" w:sz="4" w:space="0" w:color="auto"/>
              <w:right w:val="single" w:sz="4" w:space="0" w:color="auto"/>
            </w:tcBorders>
            <w:shd w:val="clear" w:color="auto" w:fill="auto"/>
            <w:vAlign w:val="center"/>
            <w:hideMark/>
          </w:tcPr>
          <w:p w14:paraId="04FD05A6" w14:textId="57F089D5"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MSHMS, AIDA, ISHPSHSH, NJVV, </w:t>
            </w:r>
            <w:r w:rsidR="00E92B0D" w:rsidRPr="00B457F5">
              <w:rPr>
                <w:rFonts w:ascii="Garamond" w:eastAsia="Times New Roman" w:hAnsi="Garamond" w:cs="Times New Roman"/>
                <w:sz w:val="4"/>
                <w:szCs w:val="10"/>
              </w:rPr>
              <w:t>d</w:t>
            </w:r>
            <w:r w:rsidRPr="00B457F5">
              <w:rPr>
                <w:rFonts w:ascii="Garamond" w:eastAsia="Times New Roman" w:hAnsi="Garamond" w:cs="Times New Roman"/>
                <w:sz w:val="4"/>
                <w:szCs w:val="10"/>
              </w:rPr>
              <w:t>onatorë, IOM</w:t>
            </w:r>
          </w:p>
        </w:tc>
        <w:tc>
          <w:tcPr>
            <w:tcW w:w="135" w:type="pct"/>
            <w:tcBorders>
              <w:top w:val="nil"/>
              <w:left w:val="nil"/>
              <w:bottom w:val="single" w:sz="4" w:space="0" w:color="auto"/>
              <w:right w:val="single" w:sz="4" w:space="0" w:color="auto"/>
            </w:tcBorders>
            <w:shd w:val="clear" w:color="000000" w:fill="DDEBF7"/>
            <w:vAlign w:val="center"/>
            <w:hideMark/>
          </w:tcPr>
          <w:p w14:paraId="79CE60E2"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7D67A50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63" w:type="pct"/>
            <w:tcBorders>
              <w:top w:val="nil"/>
              <w:left w:val="nil"/>
              <w:bottom w:val="single" w:sz="4" w:space="0" w:color="auto"/>
              <w:right w:val="single" w:sz="4" w:space="0" w:color="auto"/>
            </w:tcBorders>
            <w:shd w:val="clear" w:color="auto" w:fill="auto"/>
            <w:vAlign w:val="center"/>
            <w:hideMark/>
          </w:tcPr>
          <w:p w14:paraId="0C33D3B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779,676</w:t>
            </w:r>
          </w:p>
        </w:tc>
        <w:tc>
          <w:tcPr>
            <w:tcW w:w="155" w:type="pct"/>
            <w:tcBorders>
              <w:top w:val="nil"/>
              <w:left w:val="nil"/>
              <w:bottom w:val="single" w:sz="4" w:space="0" w:color="auto"/>
              <w:right w:val="single" w:sz="4" w:space="0" w:color="auto"/>
            </w:tcBorders>
            <w:shd w:val="clear" w:color="auto" w:fill="auto"/>
            <w:vAlign w:val="center"/>
            <w:hideMark/>
          </w:tcPr>
          <w:p w14:paraId="3B4EE8C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5D45027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779,676</w:t>
            </w:r>
          </w:p>
        </w:tc>
        <w:tc>
          <w:tcPr>
            <w:tcW w:w="165" w:type="pct"/>
            <w:tcBorders>
              <w:top w:val="nil"/>
              <w:left w:val="nil"/>
              <w:bottom w:val="single" w:sz="4" w:space="0" w:color="auto"/>
              <w:right w:val="single" w:sz="4" w:space="0" w:color="auto"/>
            </w:tcBorders>
            <w:shd w:val="clear" w:color="auto" w:fill="auto"/>
            <w:vAlign w:val="center"/>
            <w:hideMark/>
          </w:tcPr>
          <w:p w14:paraId="3B7B955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0F1C56B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4D3666F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3B19FBE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8" w:type="pct"/>
            <w:tcBorders>
              <w:top w:val="nil"/>
              <w:left w:val="nil"/>
              <w:bottom w:val="single" w:sz="4" w:space="0" w:color="auto"/>
              <w:right w:val="single" w:sz="4" w:space="0" w:color="auto"/>
            </w:tcBorders>
            <w:shd w:val="clear" w:color="auto" w:fill="auto"/>
            <w:vAlign w:val="center"/>
            <w:hideMark/>
          </w:tcPr>
          <w:p w14:paraId="6EE2DB9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100FDD1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auto" w:fill="auto"/>
            <w:noWrap/>
            <w:vAlign w:val="center"/>
            <w:hideMark/>
          </w:tcPr>
          <w:p w14:paraId="4BA0B68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779,676</w:t>
            </w:r>
          </w:p>
        </w:tc>
        <w:tc>
          <w:tcPr>
            <w:tcW w:w="163" w:type="pct"/>
            <w:tcBorders>
              <w:top w:val="single" w:sz="4" w:space="0" w:color="auto"/>
              <w:left w:val="nil"/>
              <w:bottom w:val="nil"/>
              <w:right w:val="single" w:sz="4" w:space="0" w:color="auto"/>
            </w:tcBorders>
            <w:shd w:val="clear" w:color="auto" w:fill="auto"/>
            <w:noWrap/>
            <w:vAlign w:val="center"/>
            <w:hideMark/>
          </w:tcPr>
          <w:p w14:paraId="6F86713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13B1481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779,676</w:t>
            </w:r>
          </w:p>
        </w:tc>
        <w:tc>
          <w:tcPr>
            <w:tcW w:w="163" w:type="pct"/>
            <w:tcBorders>
              <w:top w:val="nil"/>
              <w:left w:val="nil"/>
              <w:bottom w:val="single" w:sz="4" w:space="0" w:color="auto"/>
              <w:right w:val="single" w:sz="4" w:space="0" w:color="auto"/>
            </w:tcBorders>
            <w:shd w:val="clear" w:color="auto" w:fill="auto"/>
            <w:vAlign w:val="center"/>
            <w:hideMark/>
          </w:tcPr>
          <w:p w14:paraId="13271B0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5E44CDB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1095783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5132BF4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22E1286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32D83CA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FFF2CC"/>
            <w:noWrap/>
            <w:vAlign w:val="center"/>
            <w:hideMark/>
          </w:tcPr>
          <w:p w14:paraId="2C9AC95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492A510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7772D47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0B4D435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77" w:type="pct"/>
            <w:tcBorders>
              <w:top w:val="nil"/>
              <w:left w:val="nil"/>
              <w:bottom w:val="single" w:sz="4" w:space="0" w:color="auto"/>
              <w:right w:val="single" w:sz="4" w:space="0" w:color="auto"/>
            </w:tcBorders>
            <w:shd w:val="clear" w:color="auto" w:fill="auto"/>
            <w:vAlign w:val="center"/>
            <w:hideMark/>
          </w:tcPr>
          <w:p w14:paraId="2E1DAC0A" w14:textId="15B71B4A"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 (779,676)</w:t>
            </w:r>
          </w:p>
        </w:tc>
      </w:tr>
      <w:tr w:rsidR="00C260C3" w:rsidRPr="00B457F5" w14:paraId="0B9C1D51" w14:textId="77777777" w:rsidTr="00C260C3">
        <w:trPr>
          <w:trHeight w:val="20"/>
        </w:trPr>
        <w:tc>
          <w:tcPr>
            <w:tcW w:w="131" w:type="pct"/>
            <w:tcBorders>
              <w:top w:val="single" w:sz="4" w:space="0" w:color="auto"/>
              <w:left w:val="single" w:sz="4" w:space="0" w:color="auto"/>
              <w:bottom w:val="nil"/>
              <w:right w:val="single" w:sz="4" w:space="0" w:color="auto"/>
            </w:tcBorders>
            <w:shd w:val="clear" w:color="auto" w:fill="auto"/>
            <w:vAlign w:val="center"/>
            <w:hideMark/>
          </w:tcPr>
          <w:p w14:paraId="7CF6ACA0"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2.3.1.3</w:t>
            </w:r>
          </w:p>
        </w:tc>
        <w:tc>
          <w:tcPr>
            <w:tcW w:w="281" w:type="pct"/>
            <w:tcBorders>
              <w:top w:val="nil"/>
              <w:left w:val="nil"/>
              <w:bottom w:val="single" w:sz="4" w:space="0" w:color="auto"/>
              <w:right w:val="single" w:sz="4" w:space="0" w:color="auto"/>
            </w:tcBorders>
            <w:shd w:val="clear" w:color="auto" w:fill="auto"/>
            <w:vAlign w:val="center"/>
            <w:hideMark/>
          </w:tcPr>
          <w:p w14:paraId="1E496339" w14:textId="17AECD2E"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2.3.1.3 Hartimi i udhëzuesve për ofrimin e shërbimeve të përgjegjshme gjinore për të kthyerit në fushën e punësimit, arsimit dhe formimit profesional, investimeve dhe strehimit</w:t>
            </w:r>
          </w:p>
        </w:tc>
        <w:tc>
          <w:tcPr>
            <w:tcW w:w="186" w:type="pct"/>
            <w:tcBorders>
              <w:top w:val="single" w:sz="4" w:space="0" w:color="auto"/>
              <w:left w:val="nil"/>
              <w:bottom w:val="nil"/>
              <w:right w:val="single" w:sz="4" w:space="0" w:color="auto"/>
            </w:tcBorders>
            <w:shd w:val="clear" w:color="auto" w:fill="auto"/>
            <w:vAlign w:val="center"/>
            <w:hideMark/>
          </w:tcPr>
          <w:p w14:paraId="0070472B" w14:textId="068E765E"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E92B0D" w:rsidRPr="00B457F5">
              <w:rPr>
                <w:rFonts w:ascii="Garamond" w:eastAsia="Times New Roman" w:hAnsi="Garamond" w:cs="Times New Roman"/>
                <w:color w:val="FF0000"/>
                <w:sz w:val="4"/>
                <w:szCs w:val="10"/>
              </w:rPr>
              <w:t>Punës</w:t>
            </w:r>
          </w:p>
        </w:tc>
        <w:tc>
          <w:tcPr>
            <w:tcW w:w="169" w:type="pct"/>
            <w:tcBorders>
              <w:top w:val="nil"/>
              <w:left w:val="nil"/>
              <w:bottom w:val="single" w:sz="4" w:space="0" w:color="auto"/>
              <w:right w:val="single" w:sz="4" w:space="0" w:color="auto"/>
            </w:tcBorders>
            <w:shd w:val="clear" w:color="auto" w:fill="auto"/>
            <w:vAlign w:val="center"/>
            <w:hideMark/>
          </w:tcPr>
          <w:p w14:paraId="6E66FEB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MEKI</w:t>
            </w:r>
          </w:p>
        </w:tc>
        <w:tc>
          <w:tcPr>
            <w:tcW w:w="244" w:type="pct"/>
            <w:tcBorders>
              <w:top w:val="nil"/>
              <w:left w:val="nil"/>
              <w:bottom w:val="single" w:sz="4" w:space="0" w:color="auto"/>
              <w:right w:val="single" w:sz="4" w:space="0" w:color="auto"/>
            </w:tcBorders>
            <w:shd w:val="clear" w:color="auto" w:fill="auto"/>
            <w:vAlign w:val="center"/>
            <w:hideMark/>
          </w:tcPr>
          <w:p w14:paraId="0046478A" w14:textId="4E0F2302"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 AKPA, </w:t>
            </w:r>
            <w:r w:rsidR="002803F2" w:rsidRPr="00B457F5">
              <w:rPr>
                <w:rFonts w:ascii="Garamond" w:eastAsia="Times New Roman" w:hAnsi="Garamond" w:cs="Times New Roman"/>
                <w:sz w:val="4"/>
                <w:szCs w:val="10"/>
              </w:rPr>
              <w:t>donatorë, organizata</w:t>
            </w:r>
          </w:p>
        </w:tc>
        <w:tc>
          <w:tcPr>
            <w:tcW w:w="135" w:type="pct"/>
            <w:tcBorders>
              <w:top w:val="nil"/>
              <w:left w:val="nil"/>
              <w:bottom w:val="single" w:sz="4" w:space="0" w:color="auto"/>
              <w:right w:val="single" w:sz="4" w:space="0" w:color="auto"/>
            </w:tcBorders>
            <w:shd w:val="clear" w:color="000000" w:fill="DDEBF7"/>
            <w:vAlign w:val="center"/>
            <w:hideMark/>
          </w:tcPr>
          <w:p w14:paraId="233339CC"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2024</w:t>
            </w:r>
          </w:p>
        </w:tc>
        <w:tc>
          <w:tcPr>
            <w:tcW w:w="152" w:type="pct"/>
            <w:tcBorders>
              <w:top w:val="nil"/>
              <w:left w:val="nil"/>
              <w:bottom w:val="single" w:sz="4" w:space="0" w:color="auto"/>
              <w:right w:val="single" w:sz="4" w:space="0" w:color="auto"/>
            </w:tcBorders>
            <w:shd w:val="clear" w:color="000000" w:fill="DDEBF7"/>
            <w:vAlign w:val="center"/>
            <w:hideMark/>
          </w:tcPr>
          <w:p w14:paraId="7F3D1795"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63" w:type="pct"/>
            <w:tcBorders>
              <w:top w:val="nil"/>
              <w:left w:val="nil"/>
              <w:bottom w:val="single" w:sz="4" w:space="0" w:color="auto"/>
              <w:right w:val="single" w:sz="4" w:space="0" w:color="auto"/>
            </w:tcBorders>
            <w:shd w:val="clear" w:color="auto" w:fill="auto"/>
            <w:vAlign w:val="center"/>
            <w:hideMark/>
          </w:tcPr>
          <w:p w14:paraId="65BE9A8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3,620,605</w:t>
            </w:r>
          </w:p>
        </w:tc>
        <w:tc>
          <w:tcPr>
            <w:tcW w:w="155" w:type="pct"/>
            <w:tcBorders>
              <w:top w:val="nil"/>
              <w:left w:val="nil"/>
              <w:bottom w:val="single" w:sz="4" w:space="0" w:color="auto"/>
              <w:right w:val="single" w:sz="4" w:space="0" w:color="auto"/>
            </w:tcBorders>
            <w:shd w:val="clear" w:color="auto" w:fill="auto"/>
            <w:vAlign w:val="center"/>
            <w:hideMark/>
          </w:tcPr>
          <w:p w14:paraId="5C3A059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38F4D9E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3,620,605</w:t>
            </w:r>
          </w:p>
        </w:tc>
        <w:tc>
          <w:tcPr>
            <w:tcW w:w="165" w:type="pct"/>
            <w:tcBorders>
              <w:top w:val="nil"/>
              <w:left w:val="nil"/>
              <w:bottom w:val="single" w:sz="4" w:space="0" w:color="auto"/>
              <w:right w:val="single" w:sz="4" w:space="0" w:color="auto"/>
            </w:tcBorders>
            <w:shd w:val="clear" w:color="auto" w:fill="auto"/>
            <w:vAlign w:val="center"/>
            <w:hideMark/>
          </w:tcPr>
          <w:p w14:paraId="245761C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3,620,605</w:t>
            </w:r>
          </w:p>
        </w:tc>
        <w:tc>
          <w:tcPr>
            <w:tcW w:w="163" w:type="pct"/>
            <w:tcBorders>
              <w:top w:val="nil"/>
              <w:left w:val="nil"/>
              <w:bottom w:val="single" w:sz="4" w:space="0" w:color="auto"/>
              <w:right w:val="single" w:sz="4" w:space="0" w:color="auto"/>
            </w:tcBorders>
            <w:shd w:val="clear" w:color="auto" w:fill="auto"/>
            <w:vAlign w:val="center"/>
            <w:hideMark/>
          </w:tcPr>
          <w:p w14:paraId="474F15B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4000E21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3,620,605</w:t>
            </w:r>
          </w:p>
        </w:tc>
        <w:tc>
          <w:tcPr>
            <w:tcW w:w="163" w:type="pct"/>
            <w:tcBorders>
              <w:top w:val="nil"/>
              <w:left w:val="nil"/>
              <w:bottom w:val="single" w:sz="4" w:space="0" w:color="auto"/>
              <w:right w:val="single" w:sz="4" w:space="0" w:color="auto"/>
            </w:tcBorders>
            <w:shd w:val="clear" w:color="auto" w:fill="auto"/>
            <w:vAlign w:val="center"/>
            <w:hideMark/>
          </w:tcPr>
          <w:p w14:paraId="7CEDCF8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3,620,605</w:t>
            </w:r>
          </w:p>
        </w:tc>
        <w:tc>
          <w:tcPr>
            <w:tcW w:w="148" w:type="pct"/>
            <w:tcBorders>
              <w:top w:val="nil"/>
              <w:left w:val="nil"/>
              <w:bottom w:val="single" w:sz="4" w:space="0" w:color="auto"/>
              <w:right w:val="single" w:sz="4" w:space="0" w:color="auto"/>
            </w:tcBorders>
            <w:shd w:val="clear" w:color="auto" w:fill="auto"/>
            <w:vAlign w:val="center"/>
            <w:hideMark/>
          </w:tcPr>
          <w:p w14:paraId="4A3EC1E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64A1E21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3,620,605</w:t>
            </w:r>
          </w:p>
        </w:tc>
        <w:tc>
          <w:tcPr>
            <w:tcW w:w="165" w:type="pct"/>
            <w:tcBorders>
              <w:top w:val="nil"/>
              <w:left w:val="nil"/>
              <w:bottom w:val="single" w:sz="4" w:space="0" w:color="auto"/>
              <w:right w:val="single" w:sz="4" w:space="0" w:color="auto"/>
            </w:tcBorders>
            <w:shd w:val="clear" w:color="auto" w:fill="auto"/>
            <w:noWrap/>
            <w:vAlign w:val="center"/>
            <w:hideMark/>
          </w:tcPr>
          <w:p w14:paraId="316B22A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10,861,815</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14:paraId="761E725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091604A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10,861,815</w:t>
            </w:r>
          </w:p>
        </w:tc>
        <w:tc>
          <w:tcPr>
            <w:tcW w:w="163" w:type="pct"/>
            <w:tcBorders>
              <w:top w:val="nil"/>
              <w:left w:val="nil"/>
              <w:bottom w:val="single" w:sz="4" w:space="0" w:color="auto"/>
              <w:right w:val="single" w:sz="4" w:space="0" w:color="auto"/>
            </w:tcBorders>
            <w:shd w:val="clear" w:color="auto" w:fill="auto"/>
            <w:vAlign w:val="center"/>
            <w:hideMark/>
          </w:tcPr>
          <w:p w14:paraId="2CBD03E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10,861,815</w:t>
            </w:r>
          </w:p>
        </w:tc>
        <w:tc>
          <w:tcPr>
            <w:tcW w:w="155" w:type="pct"/>
            <w:tcBorders>
              <w:top w:val="nil"/>
              <w:left w:val="nil"/>
              <w:bottom w:val="single" w:sz="4" w:space="0" w:color="auto"/>
              <w:right w:val="single" w:sz="4" w:space="0" w:color="auto"/>
            </w:tcBorders>
            <w:shd w:val="clear" w:color="auto" w:fill="auto"/>
            <w:vAlign w:val="center"/>
            <w:hideMark/>
          </w:tcPr>
          <w:p w14:paraId="6A4ADC0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54E8CE9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10,861,815</w:t>
            </w:r>
          </w:p>
        </w:tc>
        <w:tc>
          <w:tcPr>
            <w:tcW w:w="162" w:type="pct"/>
            <w:tcBorders>
              <w:top w:val="nil"/>
              <w:left w:val="nil"/>
              <w:bottom w:val="single" w:sz="4" w:space="0" w:color="auto"/>
              <w:right w:val="single" w:sz="4" w:space="0" w:color="auto"/>
            </w:tcBorders>
            <w:shd w:val="clear" w:color="auto" w:fill="auto"/>
            <w:vAlign w:val="center"/>
            <w:hideMark/>
          </w:tcPr>
          <w:p w14:paraId="024A57F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791D61C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773D720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FFF2CC"/>
            <w:noWrap/>
            <w:vAlign w:val="center"/>
            <w:hideMark/>
          </w:tcPr>
          <w:p w14:paraId="0B4C59D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0B1EC10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35E101E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141340F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41AFAD67" w14:textId="6284EA9A" w:rsidR="00C260C3" w:rsidRPr="00B457F5" w:rsidRDefault="0006016F"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 </w:t>
            </w:r>
            <w:r w:rsidR="00C260C3" w:rsidRPr="00B457F5">
              <w:rPr>
                <w:rFonts w:ascii="Garamond" w:eastAsia="Times New Roman" w:hAnsi="Garamond" w:cs="Times New Roman"/>
                <w:color w:val="FF0000"/>
                <w:sz w:val="4"/>
                <w:szCs w:val="10"/>
              </w:rPr>
              <w:t>-</w:t>
            </w:r>
          </w:p>
        </w:tc>
      </w:tr>
      <w:tr w:rsidR="00C260C3" w:rsidRPr="00B457F5" w14:paraId="46013B6E" w14:textId="77777777" w:rsidTr="00C260C3">
        <w:trPr>
          <w:trHeight w:val="20"/>
        </w:trPr>
        <w:tc>
          <w:tcPr>
            <w:tcW w:w="1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1D582E"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2.3.1.4</w:t>
            </w:r>
          </w:p>
        </w:tc>
        <w:tc>
          <w:tcPr>
            <w:tcW w:w="281" w:type="pct"/>
            <w:tcBorders>
              <w:top w:val="nil"/>
              <w:left w:val="nil"/>
              <w:bottom w:val="single" w:sz="4" w:space="0" w:color="auto"/>
              <w:right w:val="single" w:sz="4" w:space="0" w:color="auto"/>
            </w:tcBorders>
            <w:shd w:val="clear" w:color="auto" w:fill="auto"/>
            <w:vAlign w:val="center"/>
            <w:hideMark/>
          </w:tcPr>
          <w:p w14:paraId="23CCDFEA" w14:textId="33A5E0B7"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2.3.1.4 Ndjekje dhe monitorim i proceseve të lidhura me të kthyerit në tregun e punës, për përfituesit nga programet që zbaton AKPA</w:t>
            </w:r>
            <w:r w:rsidR="006E177B" w:rsidRPr="00B457F5">
              <w:rPr>
                <w:rFonts w:ascii="Garamond" w:eastAsia="Times New Roman" w:hAnsi="Garamond" w:cs="Times New Roman"/>
                <w:sz w:val="4"/>
                <w:szCs w:val="10"/>
              </w:rPr>
              <w:t>-ja</w:t>
            </w:r>
          </w:p>
        </w:tc>
        <w:tc>
          <w:tcPr>
            <w:tcW w:w="186" w:type="pct"/>
            <w:tcBorders>
              <w:top w:val="single" w:sz="4" w:space="0" w:color="auto"/>
              <w:left w:val="nil"/>
              <w:bottom w:val="single" w:sz="4" w:space="0" w:color="auto"/>
              <w:right w:val="single" w:sz="4" w:space="0" w:color="auto"/>
            </w:tcBorders>
            <w:shd w:val="clear" w:color="auto" w:fill="auto"/>
            <w:vAlign w:val="center"/>
            <w:hideMark/>
          </w:tcPr>
          <w:p w14:paraId="05B6C996" w14:textId="2EB17066" w:rsidR="00C260C3" w:rsidRPr="00B457F5" w:rsidRDefault="00C260C3" w:rsidP="00E92B0D">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E92B0D" w:rsidRPr="00B457F5">
              <w:rPr>
                <w:rFonts w:ascii="Garamond" w:eastAsia="Times New Roman" w:hAnsi="Garamond" w:cs="Times New Roman"/>
                <w:color w:val="FF0000"/>
                <w:sz w:val="4"/>
                <w:szCs w:val="10"/>
              </w:rPr>
              <w:t>Punës</w:t>
            </w:r>
          </w:p>
        </w:tc>
        <w:tc>
          <w:tcPr>
            <w:tcW w:w="169" w:type="pct"/>
            <w:tcBorders>
              <w:top w:val="nil"/>
              <w:left w:val="nil"/>
              <w:bottom w:val="single" w:sz="4" w:space="0" w:color="auto"/>
              <w:right w:val="single" w:sz="4" w:space="0" w:color="auto"/>
            </w:tcBorders>
            <w:shd w:val="clear" w:color="auto" w:fill="auto"/>
            <w:vAlign w:val="center"/>
            <w:hideMark/>
          </w:tcPr>
          <w:p w14:paraId="50602E1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AKPA </w:t>
            </w:r>
          </w:p>
        </w:tc>
        <w:tc>
          <w:tcPr>
            <w:tcW w:w="244" w:type="pct"/>
            <w:tcBorders>
              <w:top w:val="nil"/>
              <w:left w:val="nil"/>
              <w:bottom w:val="single" w:sz="4" w:space="0" w:color="auto"/>
              <w:right w:val="single" w:sz="4" w:space="0" w:color="auto"/>
            </w:tcBorders>
            <w:shd w:val="clear" w:color="auto" w:fill="auto"/>
            <w:vAlign w:val="center"/>
            <w:hideMark/>
          </w:tcPr>
          <w:p w14:paraId="14D54E2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MEKI</w:t>
            </w:r>
          </w:p>
        </w:tc>
        <w:tc>
          <w:tcPr>
            <w:tcW w:w="135" w:type="pct"/>
            <w:tcBorders>
              <w:top w:val="nil"/>
              <w:left w:val="nil"/>
              <w:bottom w:val="single" w:sz="4" w:space="0" w:color="auto"/>
              <w:right w:val="single" w:sz="4" w:space="0" w:color="auto"/>
            </w:tcBorders>
            <w:shd w:val="clear" w:color="000000" w:fill="DDEBF7"/>
            <w:vAlign w:val="center"/>
            <w:hideMark/>
          </w:tcPr>
          <w:p w14:paraId="5624C6B3"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2024</w:t>
            </w:r>
          </w:p>
        </w:tc>
        <w:tc>
          <w:tcPr>
            <w:tcW w:w="152" w:type="pct"/>
            <w:tcBorders>
              <w:top w:val="nil"/>
              <w:left w:val="nil"/>
              <w:bottom w:val="single" w:sz="4" w:space="0" w:color="auto"/>
              <w:right w:val="single" w:sz="4" w:space="0" w:color="auto"/>
            </w:tcBorders>
            <w:shd w:val="clear" w:color="000000" w:fill="DDEBF7"/>
            <w:vAlign w:val="center"/>
            <w:hideMark/>
          </w:tcPr>
          <w:p w14:paraId="5BE79D43"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63" w:type="pct"/>
            <w:tcBorders>
              <w:top w:val="nil"/>
              <w:left w:val="nil"/>
              <w:bottom w:val="single" w:sz="4" w:space="0" w:color="auto"/>
              <w:right w:val="single" w:sz="4" w:space="0" w:color="auto"/>
            </w:tcBorders>
            <w:shd w:val="clear" w:color="auto" w:fill="auto"/>
            <w:vAlign w:val="center"/>
            <w:hideMark/>
          </w:tcPr>
          <w:p w14:paraId="5F89042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905,151</w:t>
            </w:r>
          </w:p>
        </w:tc>
        <w:tc>
          <w:tcPr>
            <w:tcW w:w="155" w:type="pct"/>
            <w:tcBorders>
              <w:top w:val="nil"/>
              <w:left w:val="nil"/>
              <w:bottom w:val="single" w:sz="4" w:space="0" w:color="auto"/>
              <w:right w:val="single" w:sz="4" w:space="0" w:color="auto"/>
            </w:tcBorders>
            <w:shd w:val="clear" w:color="auto" w:fill="auto"/>
            <w:vAlign w:val="center"/>
            <w:hideMark/>
          </w:tcPr>
          <w:p w14:paraId="267247A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0934B86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905,151</w:t>
            </w:r>
          </w:p>
        </w:tc>
        <w:tc>
          <w:tcPr>
            <w:tcW w:w="165" w:type="pct"/>
            <w:tcBorders>
              <w:top w:val="nil"/>
              <w:left w:val="nil"/>
              <w:bottom w:val="single" w:sz="4" w:space="0" w:color="auto"/>
              <w:right w:val="single" w:sz="4" w:space="0" w:color="auto"/>
            </w:tcBorders>
            <w:shd w:val="clear" w:color="auto" w:fill="auto"/>
            <w:vAlign w:val="center"/>
            <w:hideMark/>
          </w:tcPr>
          <w:p w14:paraId="4693FBB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905,151</w:t>
            </w:r>
          </w:p>
        </w:tc>
        <w:tc>
          <w:tcPr>
            <w:tcW w:w="163" w:type="pct"/>
            <w:tcBorders>
              <w:top w:val="nil"/>
              <w:left w:val="nil"/>
              <w:bottom w:val="single" w:sz="4" w:space="0" w:color="auto"/>
              <w:right w:val="single" w:sz="4" w:space="0" w:color="auto"/>
            </w:tcBorders>
            <w:shd w:val="clear" w:color="auto" w:fill="auto"/>
            <w:vAlign w:val="center"/>
            <w:hideMark/>
          </w:tcPr>
          <w:p w14:paraId="362DB98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13338CD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905,151</w:t>
            </w:r>
          </w:p>
        </w:tc>
        <w:tc>
          <w:tcPr>
            <w:tcW w:w="163" w:type="pct"/>
            <w:tcBorders>
              <w:top w:val="nil"/>
              <w:left w:val="nil"/>
              <w:bottom w:val="single" w:sz="4" w:space="0" w:color="auto"/>
              <w:right w:val="single" w:sz="4" w:space="0" w:color="auto"/>
            </w:tcBorders>
            <w:shd w:val="clear" w:color="auto" w:fill="auto"/>
            <w:vAlign w:val="center"/>
            <w:hideMark/>
          </w:tcPr>
          <w:p w14:paraId="3BB0012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905,151</w:t>
            </w:r>
          </w:p>
        </w:tc>
        <w:tc>
          <w:tcPr>
            <w:tcW w:w="148" w:type="pct"/>
            <w:tcBorders>
              <w:top w:val="nil"/>
              <w:left w:val="nil"/>
              <w:bottom w:val="single" w:sz="4" w:space="0" w:color="auto"/>
              <w:right w:val="single" w:sz="4" w:space="0" w:color="auto"/>
            </w:tcBorders>
            <w:shd w:val="clear" w:color="auto" w:fill="auto"/>
            <w:vAlign w:val="center"/>
            <w:hideMark/>
          </w:tcPr>
          <w:p w14:paraId="6A29339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49AC524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905,151</w:t>
            </w:r>
          </w:p>
        </w:tc>
        <w:tc>
          <w:tcPr>
            <w:tcW w:w="165" w:type="pct"/>
            <w:tcBorders>
              <w:top w:val="nil"/>
              <w:left w:val="nil"/>
              <w:bottom w:val="single" w:sz="4" w:space="0" w:color="auto"/>
              <w:right w:val="single" w:sz="4" w:space="0" w:color="auto"/>
            </w:tcBorders>
            <w:shd w:val="clear" w:color="auto" w:fill="auto"/>
            <w:noWrap/>
            <w:vAlign w:val="center"/>
            <w:hideMark/>
          </w:tcPr>
          <w:p w14:paraId="72DDAA1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2,715,453</w:t>
            </w:r>
          </w:p>
        </w:tc>
        <w:tc>
          <w:tcPr>
            <w:tcW w:w="163" w:type="pct"/>
            <w:tcBorders>
              <w:top w:val="nil"/>
              <w:left w:val="nil"/>
              <w:bottom w:val="single" w:sz="4" w:space="0" w:color="auto"/>
              <w:right w:val="single" w:sz="4" w:space="0" w:color="auto"/>
            </w:tcBorders>
            <w:shd w:val="clear" w:color="auto" w:fill="auto"/>
            <w:noWrap/>
            <w:vAlign w:val="center"/>
            <w:hideMark/>
          </w:tcPr>
          <w:p w14:paraId="3CD2F99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04BDE96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2,715,453</w:t>
            </w:r>
          </w:p>
        </w:tc>
        <w:tc>
          <w:tcPr>
            <w:tcW w:w="163" w:type="pct"/>
            <w:tcBorders>
              <w:top w:val="nil"/>
              <w:left w:val="nil"/>
              <w:bottom w:val="single" w:sz="4" w:space="0" w:color="auto"/>
              <w:right w:val="single" w:sz="4" w:space="0" w:color="auto"/>
            </w:tcBorders>
            <w:shd w:val="clear" w:color="auto" w:fill="auto"/>
            <w:vAlign w:val="center"/>
            <w:hideMark/>
          </w:tcPr>
          <w:p w14:paraId="04AFDC3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2,715,453</w:t>
            </w:r>
          </w:p>
        </w:tc>
        <w:tc>
          <w:tcPr>
            <w:tcW w:w="155" w:type="pct"/>
            <w:tcBorders>
              <w:top w:val="nil"/>
              <w:left w:val="nil"/>
              <w:bottom w:val="single" w:sz="4" w:space="0" w:color="auto"/>
              <w:right w:val="single" w:sz="4" w:space="0" w:color="auto"/>
            </w:tcBorders>
            <w:shd w:val="clear" w:color="auto" w:fill="auto"/>
            <w:vAlign w:val="center"/>
            <w:hideMark/>
          </w:tcPr>
          <w:p w14:paraId="699F6AD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3D1A90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2,715,453</w:t>
            </w:r>
          </w:p>
        </w:tc>
        <w:tc>
          <w:tcPr>
            <w:tcW w:w="162" w:type="pct"/>
            <w:tcBorders>
              <w:top w:val="nil"/>
              <w:left w:val="nil"/>
              <w:bottom w:val="single" w:sz="4" w:space="0" w:color="auto"/>
              <w:right w:val="single" w:sz="4" w:space="0" w:color="auto"/>
            </w:tcBorders>
            <w:shd w:val="clear" w:color="auto" w:fill="auto"/>
            <w:vAlign w:val="center"/>
            <w:hideMark/>
          </w:tcPr>
          <w:p w14:paraId="3D4EF20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18A7A0A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71CB03A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FFF2CC"/>
            <w:noWrap/>
            <w:vAlign w:val="center"/>
            <w:hideMark/>
          </w:tcPr>
          <w:p w14:paraId="1458077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10234C5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3534F6A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4BE75C5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05CDDF6E" w14:textId="5E4A1AC4" w:rsidR="00C260C3" w:rsidRPr="00B457F5" w:rsidRDefault="0006016F"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 </w:t>
            </w:r>
            <w:r w:rsidR="00C260C3" w:rsidRPr="00B457F5">
              <w:rPr>
                <w:rFonts w:ascii="Garamond" w:eastAsia="Times New Roman" w:hAnsi="Garamond" w:cs="Times New Roman"/>
                <w:color w:val="FF0000"/>
                <w:sz w:val="4"/>
                <w:szCs w:val="10"/>
              </w:rPr>
              <w:t>-</w:t>
            </w:r>
          </w:p>
        </w:tc>
      </w:tr>
      <w:tr w:rsidR="00C260C3" w:rsidRPr="00B457F5" w14:paraId="6037A369"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3851B4D7"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2.3.1.5</w:t>
            </w:r>
          </w:p>
        </w:tc>
        <w:tc>
          <w:tcPr>
            <w:tcW w:w="281" w:type="pct"/>
            <w:tcBorders>
              <w:top w:val="nil"/>
              <w:left w:val="nil"/>
              <w:bottom w:val="single" w:sz="4" w:space="0" w:color="auto"/>
              <w:right w:val="single" w:sz="4" w:space="0" w:color="auto"/>
            </w:tcBorders>
            <w:shd w:val="clear" w:color="auto" w:fill="auto"/>
            <w:vAlign w:val="center"/>
            <w:hideMark/>
          </w:tcPr>
          <w:p w14:paraId="319379B1" w14:textId="16AFE9FB" w:rsidR="00C260C3" w:rsidRPr="00B457F5" w:rsidRDefault="00C260C3" w:rsidP="00C260C3">
            <w:pPr>
              <w:spacing w:before="0" w:after="0"/>
              <w:rPr>
                <w:rFonts w:ascii="Garamond" w:eastAsia="Times New Roman" w:hAnsi="Garamond" w:cs="Times New Roman"/>
                <w:sz w:val="4"/>
                <w:szCs w:val="10"/>
              </w:rPr>
            </w:pPr>
            <w:r w:rsidRPr="00B457F5">
              <w:rPr>
                <w:rFonts w:ascii="Garamond" w:eastAsia="Times New Roman" w:hAnsi="Garamond" w:cs="Times New Roman"/>
                <w:sz w:val="4"/>
                <w:szCs w:val="10"/>
              </w:rPr>
              <w:t>2.3.1.5 Mbledhje dhe raportim periodik</w:t>
            </w:r>
            <w:r w:rsidR="006E177B" w:rsidRPr="00B457F5">
              <w:rPr>
                <w:rFonts w:ascii="Garamond" w:eastAsia="Times New Roman" w:hAnsi="Garamond" w:cs="Times New Roman"/>
                <w:sz w:val="4"/>
                <w:szCs w:val="10"/>
              </w:rPr>
              <w:t>,</w:t>
            </w:r>
            <w:r w:rsidRPr="00B457F5">
              <w:rPr>
                <w:rFonts w:ascii="Garamond" w:eastAsia="Times New Roman" w:hAnsi="Garamond" w:cs="Times New Roman"/>
                <w:sz w:val="4"/>
                <w:szCs w:val="10"/>
              </w:rPr>
              <w:t xml:space="preserve"> në lidhje me</w:t>
            </w:r>
            <w:r w:rsidR="0006016F" w:rsidRPr="00B457F5">
              <w:rPr>
                <w:rFonts w:ascii="Garamond" w:eastAsia="Times New Roman" w:hAnsi="Garamond" w:cs="Times New Roman"/>
                <w:sz w:val="4"/>
                <w:szCs w:val="10"/>
              </w:rPr>
              <w:t xml:space="preserve"> </w:t>
            </w:r>
            <w:r w:rsidRPr="00B457F5">
              <w:rPr>
                <w:rFonts w:ascii="Garamond" w:eastAsia="Times New Roman" w:hAnsi="Garamond" w:cs="Times New Roman"/>
                <w:sz w:val="4"/>
                <w:szCs w:val="10"/>
              </w:rPr>
              <w:t xml:space="preserve">informacionin dhe nevojat e grupeve të të </w:t>
            </w:r>
            <w:r w:rsidR="00E92B0D" w:rsidRPr="00B457F5">
              <w:rPr>
                <w:rFonts w:ascii="Garamond" w:eastAsia="Times New Roman" w:hAnsi="Garamond" w:cs="Times New Roman"/>
                <w:sz w:val="4"/>
                <w:szCs w:val="10"/>
              </w:rPr>
              <w:t>rikthyerve</w:t>
            </w:r>
            <w:r w:rsidRPr="00B457F5">
              <w:rPr>
                <w:rFonts w:ascii="Garamond" w:eastAsia="Times New Roman" w:hAnsi="Garamond" w:cs="Times New Roman"/>
                <w:sz w:val="4"/>
                <w:szCs w:val="10"/>
              </w:rPr>
              <w:t xml:space="preserve"> që paraqiten në zyrat e punës, me qëllim përmirësimin e politikave dhe masave të programeve të punësimit aktiv</w:t>
            </w:r>
            <w:r w:rsidR="006E177B" w:rsidRPr="00B457F5">
              <w:rPr>
                <w:rFonts w:ascii="Garamond" w:eastAsia="Times New Roman" w:hAnsi="Garamond" w:cs="Times New Roman"/>
                <w:sz w:val="4"/>
                <w:szCs w:val="10"/>
              </w:rPr>
              <w:t>,</w:t>
            </w:r>
            <w:r w:rsidRPr="00B457F5">
              <w:rPr>
                <w:rFonts w:ascii="Garamond" w:eastAsia="Times New Roman" w:hAnsi="Garamond" w:cs="Times New Roman"/>
                <w:sz w:val="4"/>
                <w:szCs w:val="10"/>
              </w:rPr>
              <w:t xml:space="preserve"> për trajtimin dhe përfitimin e të </w:t>
            </w:r>
            <w:r w:rsidR="00E92B0D" w:rsidRPr="00B457F5">
              <w:rPr>
                <w:rFonts w:ascii="Garamond" w:eastAsia="Times New Roman" w:hAnsi="Garamond" w:cs="Times New Roman"/>
                <w:sz w:val="4"/>
                <w:szCs w:val="10"/>
              </w:rPr>
              <w:t>rikthyerve</w:t>
            </w:r>
            <w:r w:rsidRPr="00B457F5">
              <w:rPr>
                <w:rFonts w:ascii="Garamond" w:eastAsia="Times New Roman" w:hAnsi="Garamond" w:cs="Times New Roman"/>
                <w:sz w:val="4"/>
                <w:szCs w:val="10"/>
              </w:rPr>
              <w:t xml:space="preserve"> në këto masa</w:t>
            </w:r>
          </w:p>
        </w:tc>
        <w:tc>
          <w:tcPr>
            <w:tcW w:w="186" w:type="pct"/>
            <w:tcBorders>
              <w:top w:val="nil"/>
              <w:left w:val="nil"/>
              <w:bottom w:val="single" w:sz="4" w:space="0" w:color="auto"/>
              <w:right w:val="single" w:sz="4" w:space="0" w:color="auto"/>
            </w:tcBorders>
            <w:shd w:val="clear" w:color="auto" w:fill="auto"/>
            <w:vAlign w:val="center"/>
            <w:hideMark/>
          </w:tcPr>
          <w:p w14:paraId="01B05020" w14:textId="54EDF177" w:rsidR="00C260C3" w:rsidRPr="00B457F5" w:rsidRDefault="00C260C3" w:rsidP="00E92B0D">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E92B0D" w:rsidRPr="00B457F5">
              <w:rPr>
                <w:rFonts w:ascii="Garamond" w:eastAsia="Times New Roman" w:hAnsi="Garamond" w:cs="Times New Roman"/>
                <w:color w:val="FF0000"/>
                <w:sz w:val="4"/>
                <w:szCs w:val="10"/>
              </w:rPr>
              <w:t>Punës</w:t>
            </w:r>
          </w:p>
        </w:tc>
        <w:tc>
          <w:tcPr>
            <w:tcW w:w="169" w:type="pct"/>
            <w:tcBorders>
              <w:top w:val="nil"/>
              <w:left w:val="nil"/>
              <w:bottom w:val="single" w:sz="4" w:space="0" w:color="auto"/>
              <w:right w:val="single" w:sz="4" w:space="0" w:color="auto"/>
            </w:tcBorders>
            <w:shd w:val="clear" w:color="auto" w:fill="auto"/>
            <w:vAlign w:val="center"/>
            <w:hideMark/>
          </w:tcPr>
          <w:p w14:paraId="63FE806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MEKI</w:t>
            </w:r>
          </w:p>
        </w:tc>
        <w:tc>
          <w:tcPr>
            <w:tcW w:w="244" w:type="pct"/>
            <w:tcBorders>
              <w:top w:val="nil"/>
              <w:left w:val="nil"/>
              <w:bottom w:val="single" w:sz="4" w:space="0" w:color="auto"/>
              <w:right w:val="single" w:sz="4" w:space="0" w:color="auto"/>
            </w:tcBorders>
            <w:shd w:val="clear" w:color="auto" w:fill="auto"/>
            <w:vAlign w:val="center"/>
            <w:hideMark/>
          </w:tcPr>
          <w:p w14:paraId="35914378" w14:textId="77E214A6"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 AKPA, </w:t>
            </w:r>
            <w:r w:rsidR="00E92B0D" w:rsidRPr="00B457F5">
              <w:rPr>
                <w:rFonts w:ascii="Garamond" w:eastAsia="Times New Roman" w:hAnsi="Garamond" w:cs="Times New Roman"/>
                <w:sz w:val="4"/>
                <w:szCs w:val="10"/>
              </w:rPr>
              <w:t>ç</w:t>
            </w:r>
            <w:r w:rsidRPr="00B457F5">
              <w:rPr>
                <w:rFonts w:ascii="Garamond" w:eastAsia="Times New Roman" w:hAnsi="Garamond" w:cs="Times New Roman"/>
                <w:sz w:val="4"/>
                <w:szCs w:val="10"/>
              </w:rPr>
              <w:t>do institucion që ofron shërbime, IOM</w:t>
            </w:r>
          </w:p>
        </w:tc>
        <w:tc>
          <w:tcPr>
            <w:tcW w:w="135" w:type="pct"/>
            <w:tcBorders>
              <w:top w:val="nil"/>
              <w:left w:val="nil"/>
              <w:bottom w:val="single" w:sz="4" w:space="0" w:color="auto"/>
              <w:right w:val="single" w:sz="4" w:space="0" w:color="auto"/>
            </w:tcBorders>
            <w:shd w:val="clear" w:color="000000" w:fill="DDEBF7"/>
            <w:vAlign w:val="center"/>
            <w:hideMark/>
          </w:tcPr>
          <w:p w14:paraId="20D61EB9"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2024</w:t>
            </w:r>
          </w:p>
        </w:tc>
        <w:tc>
          <w:tcPr>
            <w:tcW w:w="152" w:type="pct"/>
            <w:tcBorders>
              <w:top w:val="nil"/>
              <w:left w:val="nil"/>
              <w:bottom w:val="single" w:sz="4" w:space="0" w:color="auto"/>
              <w:right w:val="single" w:sz="4" w:space="0" w:color="auto"/>
            </w:tcBorders>
            <w:shd w:val="clear" w:color="000000" w:fill="DDEBF7"/>
            <w:vAlign w:val="center"/>
            <w:hideMark/>
          </w:tcPr>
          <w:p w14:paraId="516567A9"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63" w:type="pct"/>
            <w:tcBorders>
              <w:top w:val="nil"/>
              <w:left w:val="nil"/>
              <w:bottom w:val="single" w:sz="4" w:space="0" w:color="auto"/>
              <w:right w:val="single" w:sz="4" w:space="0" w:color="auto"/>
            </w:tcBorders>
            <w:shd w:val="clear" w:color="auto" w:fill="auto"/>
            <w:vAlign w:val="center"/>
            <w:hideMark/>
          </w:tcPr>
          <w:p w14:paraId="3A46B10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3,017,171</w:t>
            </w:r>
          </w:p>
        </w:tc>
        <w:tc>
          <w:tcPr>
            <w:tcW w:w="155" w:type="pct"/>
            <w:tcBorders>
              <w:top w:val="nil"/>
              <w:left w:val="nil"/>
              <w:bottom w:val="single" w:sz="4" w:space="0" w:color="auto"/>
              <w:right w:val="single" w:sz="4" w:space="0" w:color="auto"/>
            </w:tcBorders>
            <w:shd w:val="clear" w:color="auto" w:fill="auto"/>
            <w:vAlign w:val="center"/>
            <w:hideMark/>
          </w:tcPr>
          <w:p w14:paraId="45027CA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0B7549C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3,017,171</w:t>
            </w:r>
          </w:p>
        </w:tc>
        <w:tc>
          <w:tcPr>
            <w:tcW w:w="165" w:type="pct"/>
            <w:tcBorders>
              <w:top w:val="nil"/>
              <w:left w:val="nil"/>
              <w:bottom w:val="single" w:sz="4" w:space="0" w:color="auto"/>
              <w:right w:val="single" w:sz="4" w:space="0" w:color="auto"/>
            </w:tcBorders>
            <w:shd w:val="clear" w:color="auto" w:fill="auto"/>
            <w:vAlign w:val="center"/>
            <w:hideMark/>
          </w:tcPr>
          <w:p w14:paraId="2D9CC7E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3,017,171</w:t>
            </w:r>
          </w:p>
        </w:tc>
        <w:tc>
          <w:tcPr>
            <w:tcW w:w="163" w:type="pct"/>
            <w:tcBorders>
              <w:top w:val="nil"/>
              <w:left w:val="nil"/>
              <w:bottom w:val="single" w:sz="4" w:space="0" w:color="auto"/>
              <w:right w:val="single" w:sz="4" w:space="0" w:color="auto"/>
            </w:tcBorders>
            <w:shd w:val="clear" w:color="auto" w:fill="auto"/>
            <w:vAlign w:val="center"/>
            <w:hideMark/>
          </w:tcPr>
          <w:p w14:paraId="72AD32D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7983769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3,017,171</w:t>
            </w:r>
          </w:p>
        </w:tc>
        <w:tc>
          <w:tcPr>
            <w:tcW w:w="163" w:type="pct"/>
            <w:tcBorders>
              <w:top w:val="nil"/>
              <w:left w:val="nil"/>
              <w:bottom w:val="single" w:sz="4" w:space="0" w:color="auto"/>
              <w:right w:val="single" w:sz="4" w:space="0" w:color="auto"/>
            </w:tcBorders>
            <w:shd w:val="clear" w:color="auto" w:fill="auto"/>
            <w:vAlign w:val="center"/>
            <w:hideMark/>
          </w:tcPr>
          <w:p w14:paraId="4369194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3,017,171</w:t>
            </w:r>
          </w:p>
        </w:tc>
        <w:tc>
          <w:tcPr>
            <w:tcW w:w="148" w:type="pct"/>
            <w:tcBorders>
              <w:top w:val="nil"/>
              <w:left w:val="nil"/>
              <w:bottom w:val="single" w:sz="4" w:space="0" w:color="auto"/>
              <w:right w:val="single" w:sz="4" w:space="0" w:color="auto"/>
            </w:tcBorders>
            <w:shd w:val="clear" w:color="auto" w:fill="auto"/>
            <w:vAlign w:val="center"/>
            <w:hideMark/>
          </w:tcPr>
          <w:p w14:paraId="31FCA3D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44258B0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3,017,171</w:t>
            </w:r>
          </w:p>
        </w:tc>
        <w:tc>
          <w:tcPr>
            <w:tcW w:w="165" w:type="pct"/>
            <w:tcBorders>
              <w:top w:val="nil"/>
              <w:left w:val="nil"/>
              <w:bottom w:val="single" w:sz="4" w:space="0" w:color="auto"/>
              <w:right w:val="single" w:sz="4" w:space="0" w:color="auto"/>
            </w:tcBorders>
            <w:shd w:val="clear" w:color="auto" w:fill="auto"/>
            <w:noWrap/>
            <w:vAlign w:val="center"/>
            <w:hideMark/>
          </w:tcPr>
          <w:p w14:paraId="6F52656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9,051,513</w:t>
            </w:r>
          </w:p>
        </w:tc>
        <w:tc>
          <w:tcPr>
            <w:tcW w:w="163" w:type="pct"/>
            <w:tcBorders>
              <w:top w:val="nil"/>
              <w:left w:val="nil"/>
              <w:bottom w:val="single" w:sz="4" w:space="0" w:color="auto"/>
              <w:right w:val="single" w:sz="4" w:space="0" w:color="auto"/>
            </w:tcBorders>
            <w:shd w:val="clear" w:color="auto" w:fill="auto"/>
            <w:noWrap/>
            <w:vAlign w:val="center"/>
            <w:hideMark/>
          </w:tcPr>
          <w:p w14:paraId="4709EC0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62B1867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9,051,513</w:t>
            </w:r>
          </w:p>
        </w:tc>
        <w:tc>
          <w:tcPr>
            <w:tcW w:w="163" w:type="pct"/>
            <w:tcBorders>
              <w:top w:val="nil"/>
              <w:left w:val="nil"/>
              <w:bottom w:val="single" w:sz="4" w:space="0" w:color="auto"/>
              <w:right w:val="single" w:sz="4" w:space="0" w:color="auto"/>
            </w:tcBorders>
            <w:shd w:val="clear" w:color="auto" w:fill="auto"/>
            <w:vAlign w:val="center"/>
            <w:hideMark/>
          </w:tcPr>
          <w:p w14:paraId="4F80519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9,051,513</w:t>
            </w:r>
          </w:p>
        </w:tc>
        <w:tc>
          <w:tcPr>
            <w:tcW w:w="155" w:type="pct"/>
            <w:tcBorders>
              <w:top w:val="nil"/>
              <w:left w:val="nil"/>
              <w:bottom w:val="single" w:sz="4" w:space="0" w:color="auto"/>
              <w:right w:val="single" w:sz="4" w:space="0" w:color="auto"/>
            </w:tcBorders>
            <w:shd w:val="clear" w:color="auto" w:fill="auto"/>
            <w:vAlign w:val="center"/>
            <w:hideMark/>
          </w:tcPr>
          <w:p w14:paraId="08C7810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68ACA0B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9,051,513</w:t>
            </w:r>
          </w:p>
        </w:tc>
        <w:tc>
          <w:tcPr>
            <w:tcW w:w="162" w:type="pct"/>
            <w:tcBorders>
              <w:top w:val="nil"/>
              <w:left w:val="nil"/>
              <w:bottom w:val="single" w:sz="4" w:space="0" w:color="auto"/>
              <w:right w:val="single" w:sz="4" w:space="0" w:color="auto"/>
            </w:tcBorders>
            <w:shd w:val="clear" w:color="auto" w:fill="auto"/>
            <w:vAlign w:val="center"/>
            <w:hideMark/>
          </w:tcPr>
          <w:p w14:paraId="419F2DE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12B1D0F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4AA959F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FFF2CC"/>
            <w:noWrap/>
            <w:vAlign w:val="center"/>
            <w:hideMark/>
          </w:tcPr>
          <w:p w14:paraId="5DEDE75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0AD204A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360925A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17F741B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03A15B49" w14:textId="3A8796A2" w:rsidR="00C260C3" w:rsidRPr="00B457F5" w:rsidRDefault="0006016F"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 </w:t>
            </w:r>
            <w:r w:rsidR="00C260C3" w:rsidRPr="00B457F5">
              <w:rPr>
                <w:rFonts w:ascii="Garamond" w:eastAsia="Times New Roman" w:hAnsi="Garamond" w:cs="Times New Roman"/>
                <w:color w:val="FF0000"/>
                <w:sz w:val="4"/>
                <w:szCs w:val="10"/>
              </w:rPr>
              <w:t>-</w:t>
            </w:r>
          </w:p>
        </w:tc>
      </w:tr>
      <w:tr w:rsidR="00C260C3" w:rsidRPr="00B457F5" w14:paraId="0648B0A2"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5184CD35"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2.3.1.6</w:t>
            </w:r>
          </w:p>
        </w:tc>
        <w:tc>
          <w:tcPr>
            <w:tcW w:w="281" w:type="pct"/>
            <w:tcBorders>
              <w:top w:val="nil"/>
              <w:left w:val="nil"/>
              <w:bottom w:val="single" w:sz="4" w:space="0" w:color="auto"/>
              <w:right w:val="single" w:sz="4" w:space="0" w:color="auto"/>
            </w:tcBorders>
            <w:shd w:val="clear" w:color="auto" w:fill="auto"/>
            <w:vAlign w:val="center"/>
            <w:hideMark/>
          </w:tcPr>
          <w:p w14:paraId="6EC150D4" w14:textId="46DA8C19"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2.3.1.6 Bashkëpunimi ndërinstitucional ndërmjet zyrave të punës, zyrave lokale të zhvillimit ekonomik dhe QFP</w:t>
            </w:r>
            <w:r w:rsidR="006E177B" w:rsidRPr="00B457F5">
              <w:rPr>
                <w:rFonts w:ascii="Garamond" w:eastAsia="Times New Roman" w:hAnsi="Garamond" w:cs="Times New Roman"/>
                <w:color w:val="000000"/>
                <w:sz w:val="4"/>
                <w:szCs w:val="10"/>
              </w:rPr>
              <w:t>-së,</w:t>
            </w:r>
            <w:r w:rsidRPr="00B457F5">
              <w:rPr>
                <w:rFonts w:ascii="Garamond" w:eastAsia="Times New Roman" w:hAnsi="Garamond" w:cs="Times New Roman"/>
                <w:sz w:val="4"/>
                <w:szCs w:val="10"/>
              </w:rPr>
              <w:t xml:space="preserve"> për hartimin e masave dhe programeve për mbështetjen dhe fuqizimin ekonomik të punësimit të të </w:t>
            </w:r>
            <w:r w:rsidR="00E92B0D" w:rsidRPr="00B457F5">
              <w:rPr>
                <w:rFonts w:ascii="Garamond" w:eastAsia="Times New Roman" w:hAnsi="Garamond" w:cs="Times New Roman"/>
                <w:sz w:val="4"/>
                <w:szCs w:val="10"/>
              </w:rPr>
              <w:t>rikthyerve</w:t>
            </w:r>
            <w:r w:rsidRPr="00B457F5">
              <w:rPr>
                <w:rFonts w:ascii="Garamond" w:eastAsia="Times New Roman" w:hAnsi="Garamond" w:cs="Times New Roman"/>
                <w:sz w:val="4"/>
                <w:szCs w:val="10"/>
              </w:rPr>
              <w:t xml:space="preserve"> në bazë të nevojave të tyre</w:t>
            </w:r>
          </w:p>
        </w:tc>
        <w:tc>
          <w:tcPr>
            <w:tcW w:w="186" w:type="pct"/>
            <w:tcBorders>
              <w:top w:val="nil"/>
              <w:left w:val="nil"/>
              <w:bottom w:val="single" w:sz="4" w:space="0" w:color="auto"/>
              <w:right w:val="single" w:sz="4" w:space="0" w:color="auto"/>
            </w:tcBorders>
            <w:shd w:val="clear" w:color="auto" w:fill="auto"/>
            <w:vAlign w:val="center"/>
            <w:hideMark/>
          </w:tcPr>
          <w:p w14:paraId="0946C869" w14:textId="3BB807D9" w:rsidR="00C260C3" w:rsidRPr="00B457F5" w:rsidRDefault="00C260C3" w:rsidP="00E92B0D">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E92B0D" w:rsidRPr="00B457F5">
              <w:rPr>
                <w:rFonts w:ascii="Garamond" w:eastAsia="Times New Roman" w:hAnsi="Garamond" w:cs="Times New Roman"/>
                <w:color w:val="FF0000"/>
                <w:sz w:val="4"/>
                <w:szCs w:val="10"/>
              </w:rPr>
              <w:t>Punës</w:t>
            </w:r>
          </w:p>
        </w:tc>
        <w:tc>
          <w:tcPr>
            <w:tcW w:w="169" w:type="pct"/>
            <w:tcBorders>
              <w:top w:val="nil"/>
              <w:left w:val="nil"/>
              <w:bottom w:val="single" w:sz="4" w:space="0" w:color="auto"/>
              <w:right w:val="single" w:sz="4" w:space="0" w:color="auto"/>
            </w:tcBorders>
            <w:shd w:val="clear" w:color="auto" w:fill="auto"/>
            <w:vAlign w:val="center"/>
            <w:hideMark/>
          </w:tcPr>
          <w:p w14:paraId="7B830D2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AKPA </w:t>
            </w:r>
          </w:p>
        </w:tc>
        <w:tc>
          <w:tcPr>
            <w:tcW w:w="244" w:type="pct"/>
            <w:tcBorders>
              <w:top w:val="nil"/>
              <w:left w:val="nil"/>
              <w:bottom w:val="single" w:sz="4" w:space="0" w:color="auto"/>
              <w:right w:val="single" w:sz="4" w:space="0" w:color="auto"/>
            </w:tcBorders>
            <w:shd w:val="clear" w:color="auto" w:fill="auto"/>
            <w:vAlign w:val="center"/>
            <w:hideMark/>
          </w:tcPr>
          <w:p w14:paraId="6D9B928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AKPA, ZVMD, AMVV, IOM</w:t>
            </w:r>
          </w:p>
        </w:tc>
        <w:tc>
          <w:tcPr>
            <w:tcW w:w="135" w:type="pct"/>
            <w:tcBorders>
              <w:top w:val="nil"/>
              <w:left w:val="nil"/>
              <w:bottom w:val="single" w:sz="4" w:space="0" w:color="auto"/>
              <w:right w:val="single" w:sz="4" w:space="0" w:color="auto"/>
            </w:tcBorders>
            <w:shd w:val="clear" w:color="000000" w:fill="DDEBF7"/>
            <w:vAlign w:val="center"/>
            <w:hideMark/>
          </w:tcPr>
          <w:p w14:paraId="0451932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2024</w:t>
            </w:r>
          </w:p>
        </w:tc>
        <w:tc>
          <w:tcPr>
            <w:tcW w:w="152" w:type="pct"/>
            <w:tcBorders>
              <w:top w:val="nil"/>
              <w:left w:val="nil"/>
              <w:bottom w:val="single" w:sz="4" w:space="0" w:color="auto"/>
              <w:right w:val="single" w:sz="4" w:space="0" w:color="auto"/>
            </w:tcBorders>
            <w:shd w:val="clear" w:color="000000" w:fill="DDEBF7"/>
            <w:vAlign w:val="center"/>
            <w:hideMark/>
          </w:tcPr>
          <w:p w14:paraId="4887CD22"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63" w:type="pct"/>
            <w:tcBorders>
              <w:top w:val="nil"/>
              <w:left w:val="nil"/>
              <w:bottom w:val="single" w:sz="4" w:space="0" w:color="auto"/>
              <w:right w:val="single" w:sz="4" w:space="0" w:color="auto"/>
            </w:tcBorders>
            <w:shd w:val="clear" w:color="auto" w:fill="auto"/>
            <w:vAlign w:val="center"/>
            <w:hideMark/>
          </w:tcPr>
          <w:p w14:paraId="1CD57C8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4,525,757</w:t>
            </w:r>
          </w:p>
        </w:tc>
        <w:tc>
          <w:tcPr>
            <w:tcW w:w="155" w:type="pct"/>
            <w:tcBorders>
              <w:top w:val="nil"/>
              <w:left w:val="nil"/>
              <w:bottom w:val="single" w:sz="4" w:space="0" w:color="auto"/>
              <w:right w:val="single" w:sz="4" w:space="0" w:color="auto"/>
            </w:tcBorders>
            <w:shd w:val="clear" w:color="auto" w:fill="auto"/>
            <w:vAlign w:val="center"/>
            <w:hideMark/>
          </w:tcPr>
          <w:p w14:paraId="45160A9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79A1701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4,525,757</w:t>
            </w:r>
          </w:p>
        </w:tc>
        <w:tc>
          <w:tcPr>
            <w:tcW w:w="165" w:type="pct"/>
            <w:tcBorders>
              <w:top w:val="nil"/>
              <w:left w:val="nil"/>
              <w:bottom w:val="single" w:sz="4" w:space="0" w:color="auto"/>
              <w:right w:val="single" w:sz="4" w:space="0" w:color="auto"/>
            </w:tcBorders>
            <w:shd w:val="clear" w:color="auto" w:fill="auto"/>
            <w:vAlign w:val="center"/>
            <w:hideMark/>
          </w:tcPr>
          <w:p w14:paraId="4155FA6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4,525,757</w:t>
            </w:r>
          </w:p>
        </w:tc>
        <w:tc>
          <w:tcPr>
            <w:tcW w:w="163" w:type="pct"/>
            <w:tcBorders>
              <w:top w:val="nil"/>
              <w:left w:val="nil"/>
              <w:bottom w:val="single" w:sz="4" w:space="0" w:color="auto"/>
              <w:right w:val="single" w:sz="4" w:space="0" w:color="auto"/>
            </w:tcBorders>
            <w:shd w:val="clear" w:color="auto" w:fill="auto"/>
            <w:vAlign w:val="center"/>
            <w:hideMark/>
          </w:tcPr>
          <w:p w14:paraId="1A73DF0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6A3F6CA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4,525,757</w:t>
            </w:r>
          </w:p>
        </w:tc>
        <w:tc>
          <w:tcPr>
            <w:tcW w:w="163" w:type="pct"/>
            <w:tcBorders>
              <w:top w:val="nil"/>
              <w:left w:val="nil"/>
              <w:bottom w:val="single" w:sz="4" w:space="0" w:color="auto"/>
              <w:right w:val="single" w:sz="4" w:space="0" w:color="auto"/>
            </w:tcBorders>
            <w:shd w:val="clear" w:color="auto" w:fill="auto"/>
            <w:vAlign w:val="center"/>
            <w:hideMark/>
          </w:tcPr>
          <w:p w14:paraId="1E371D9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4,525,757</w:t>
            </w:r>
          </w:p>
        </w:tc>
        <w:tc>
          <w:tcPr>
            <w:tcW w:w="148" w:type="pct"/>
            <w:tcBorders>
              <w:top w:val="nil"/>
              <w:left w:val="nil"/>
              <w:bottom w:val="single" w:sz="4" w:space="0" w:color="auto"/>
              <w:right w:val="single" w:sz="4" w:space="0" w:color="auto"/>
            </w:tcBorders>
            <w:shd w:val="clear" w:color="auto" w:fill="auto"/>
            <w:vAlign w:val="center"/>
            <w:hideMark/>
          </w:tcPr>
          <w:p w14:paraId="437770D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5831B8E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4,525,757</w:t>
            </w:r>
          </w:p>
        </w:tc>
        <w:tc>
          <w:tcPr>
            <w:tcW w:w="165" w:type="pct"/>
            <w:tcBorders>
              <w:top w:val="nil"/>
              <w:left w:val="nil"/>
              <w:bottom w:val="single" w:sz="4" w:space="0" w:color="auto"/>
              <w:right w:val="single" w:sz="4" w:space="0" w:color="auto"/>
            </w:tcBorders>
            <w:shd w:val="clear" w:color="auto" w:fill="auto"/>
            <w:noWrap/>
            <w:vAlign w:val="center"/>
            <w:hideMark/>
          </w:tcPr>
          <w:p w14:paraId="068F885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13,577,271</w:t>
            </w:r>
          </w:p>
        </w:tc>
        <w:tc>
          <w:tcPr>
            <w:tcW w:w="163" w:type="pct"/>
            <w:tcBorders>
              <w:top w:val="nil"/>
              <w:left w:val="nil"/>
              <w:bottom w:val="single" w:sz="4" w:space="0" w:color="auto"/>
              <w:right w:val="single" w:sz="4" w:space="0" w:color="auto"/>
            </w:tcBorders>
            <w:shd w:val="clear" w:color="auto" w:fill="auto"/>
            <w:noWrap/>
            <w:vAlign w:val="center"/>
            <w:hideMark/>
          </w:tcPr>
          <w:p w14:paraId="4B6DD58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4FA4B1A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13,577,271</w:t>
            </w:r>
          </w:p>
        </w:tc>
        <w:tc>
          <w:tcPr>
            <w:tcW w:w="163" w:type="pct"/>
            <w:tcBorders>
              <w:top w:val="nil"/>
              <w:left w:val="nil"/>
              <w:bottom w:val="single" w:sz="4" w:space="0" w:color="auto"/>
              <w:right w:val="single" w:sz="4" w:space="0" w:color="auto"/>
            </w:tcBorders>
            <w:shd w:val="clear" w:color="auto" w:fill="auto"/>
            <w:vAlign w:val="center"/>
            <w:hideMark/>
          </w:tcPr>
          <w:p w14:paraId="7C3FE37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13,577,271</w:t>
            </w:r>
          </w:p>
        </w:tc>
        <w:tc>
          <w:tcPr>
            <w:tcW w:w="155" w:type="pct"/>
            <w:tcBorders>
              <w:top w:val="nil"/>
              <w:left w:val="nil"/>
              <w:bottom w:val="single" w:sz="4" w:space="0" w:color="auto"/>
              <w:right w:val="single" w:sz="4" w:space="0" w:color="auto"/>
            </w:tcBorders>
            <w:shd w:val="clear" w:color="auto" w:fill="auto"/>
            <w:vAlign w:val="center"/>
            <w:hideMark/>
          </w:tcPr>
          <w:p w14:paraId="3A06A5A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C0E961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13,577,271</w:t>
            </w:r>
          </w:p>
        </w:tc>
        <w:tc>
          <w:tcPr>
            <w:tcW w:w="162" w:type="pct"/>
            <w:tcBorders>
              <w:top w:val="nil"/>
              <w:left w:val="nil"/>
              <w:bottom w:val="single" w:sz="4" w:space="0" w:color="auto"/>
              <w:right w:val="single" w:sz="4" w:space="0" w:color="auto"/>
            </w:tcBorders>
            <w:shd w:val="clear" w:color="auto" w:fill="auto"/>
            <w:vAlign w:val="center"/>
            <w:hideMark/>
          </w:tcPr>
          <w:p w14:paraId="46A1E68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4C16670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127BF73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FFF2CC"/>
            <w:noWrap/>
            <w:vAlign w:val="center"/>
            <w:hideMark/>
          </w:tcPr>
          <w:p w14:paraId="38C7301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4C8C2CD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38A1B33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2E65F14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17E6A4B0" w14:textId="70047B96" w:rsidR="00C260C3" w:rsidRPr="00B457F5" w:rsidRDefault="0006016F"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 </w:t>
            </w:r>
            <w:r w:rsidR="00C260C3" w:rsidRPr="00B457F5">
              <w:rPr>
                <w:rFonts w:ascii="Garamond" w:eastAsia="Times New Roman" w:hAnsi="Garamond" w:cs="Times New Roman"/>
                <w:color w:val="FF0000"/>
                <w:sz w:val="4"/>
                <w:szCs w:val="10"/>
              </w:rPr>
              <w:t>-</w:t>
            </w:r>
          </w:p>
        </w:tc>
      </w:tr>
      <w:tr w:rsidR="00C260C3" w:rsidRPr="00B457F5" w14:paraId="76258704"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2DACEF46"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2.3.1.7</w:t>
            </w:r>
          </w:p>
        </w:tc>
        <w:tc>
          <w:tcPr>
            <w:tcW w:w="281" w:type="pct"/>
            <w:tcBorders>
              <w:top w:val="nil"/>
              <w:left w:val="nil"/>
              <w:bottom w:val="single" w:sz="4" w:space="0" w:color="auto"/>
              <w:right w:val="single" w:sz="4" w:space="0" w:color="auto"/>
            </w:tcBorders>
            <w:shd w:val="clear" w:color="auto" w:fill="auto"/>
            <w:vAlign w:val="center"/>
            <w:hideMark/>
          </w:tcPr>
          <w:p w14:paraId="5E6421A7" w14:textId="7CDD0A21"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2.3.1.7 Nënshkrimi i marrëveshjeve të bashkëpunimit ndërmjet strukturave që zbatojnë marrëveshjet e ripranimit dhe strukturave që ofrojnë shërbime punësimi, formimi profesional, ndihmës ekonomike-sociale</w:t>
            </w:r>
            <w:r w:rsidR="006E177B" w:rsidRPr="00B457F5">
              <w:rPr>
                <w:rFonts w:ascii="Garamond" w:eastAsia="Times New Roman" w:hAnsi="Garamond" w:cs="Times New Roman"/>
                <w:sz w:val="4"/>
                <w:szCs w:val="10"/>
              </w:rPr>
              <w:t>,</w:t>
            </w:r>
            <w:r w:rsidRPr="00B457F5">
              <w:rPr>
                <w:rFonts w:ascii="Garamond" w:eastAsia="Times New Roman" w:hAnsi="Garamond" w:cs="Times New Roman"/>
                <w:sz w:val="4"/>
                <w:szCs w:val="10"/>
              </w:rPr>
              <w:t xml:space="preserve"> me qëllim orientimin e personave të ripranuar </w:t>
            </w:r>
          </w:p>
        </w:tc>
        <w:tc>
          <w:tcPr>
            <w:tcW w:w="186" w:type="pct"/>
            <w:tcBorders>
              <w:top w:val="nil"/>
              <w:left w:val="nil"/>
              <w:bottom w:val="single" w:sz="4" w:space="0" w:color="auto"/>
              <w:right w:val="single" w:sz="4" w:space="0" w:color="auto"/>
            </w:tcBorders>
            <w:shd w:val="clear" w:color="auto" w:fill="auto"/>
            <w:vAlign w:val="center"/>
            <w:hideMark/>
          </w:tcPr>
          <w:p w14:paraId="426BD99C"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3E881CA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06BEEFA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AKPA/MEKI, ZVMD, AMVV, MSHMS</w:t>
            </w:r>
          </w:p>
        </w:tc>
        <w:tc>
          <w:tcPr>
            <w:tcW w:w="135" w:type="pct"/>
            <w:tcBorders>
              <w:top w:val="nil"/>
              <w:left w:val="nil"/>
              <w:bottom w:val="single" w:sz="4" w:space="0" w:color="auto"/>
              <w:right w:val="single" w:sz="4" w:space="0" w:color="auto"/>
            </w:tcBorders>
            <w:shd w:val="clear" w:color="000000" w:fill="DDEBF7"/>
            <w:vAlign w:val="center"/>
            <w:hideMark/>
          </w:tcPr>
          <w:p w14:paraId="65FBD498"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2024</w:t>
            </w:r>
          </w:p>
        </w:tc>
        <w:tc>
          <w:tcPr>
            <w:tcW w:w="152" w:type="pct"/>
            <w:tcBorders>
              <w:top w:val="nil"/>
              <w:left w:val="nil"/>
              <w:bottom w:val="single" w:sz="4" w:space="0" w:color="auto"/>
              <w:right w:val="single" w:sz="4" w:space="0" w:color="auto"/>
            </w:tcBorders>
            <w:shd w:val="clear" w:color="000000" w:fill="DDEBF7"/>
            <w:vAlign w:val="center"/>
            <w:hideMark/>
          </w:tcPr>
          <w:p w14:paraId="0917B4A6"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63" w:type="pct"/>
            <w:tcBorders>
              <w:top w:val="nil"/>
              <w:left w:val="nil"/>
              <w:bottom w:val="single" w:sz="4" w:space="0" w:color="auto"/>
              <w:right w:val="single" w:sz="4" w:space="0" w:color="auto"/>
            </w:tcBorders>
            <w:shd w:val="clear" w:color="auto" w:fill="auto"/>
            <w:vAlign w:val="center"/>
            <w:hideMark/>
          </w:tcPr>
          <w:p w14:paraId="6D79E73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1,508,586</w:t>
            </w:r>
          </w:p>
        </w:tc>
        <w:tc>
          <w:tcPr>
            <w:tcW w:w="155" w:type="pct"/>
            <w:tcBorders>
              <w:top w:val="nil"/>
              <w:left w:val="nil"/>
              <w:bottom w:val="single" w:sz="4" w:space="0" w:color="auto"/>
              <w:right w:val="single" w:sz="4" w:space="0" w:color="auto"/>
            </w:tcBorders>
            <w:shd w:val="clear" w:color="auto" w:fill="auto"/>
            <w:vAlign w:val="center"/>
            <w:hideMark/>
          </w:tcPr>
          <w:p w14:paraId="78A841E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69F5572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1,508,586</w:t>
            </w:r>
          </w:p>
        </w:tc>
        <w:tc>
          <w:tcPr>
            <w:tcW w:w="165" w:type="pct"/>
            <w:tcBorders>
              <w:top w:val="nil"/>
              <w:left w:val="nil"/>
              <w:bottom w:val="single" w:sz="4" w:space="0" w:color="auto"/>
              <w:right w:val="single" w:sz="4" w:space="0" w:color="auto"/>
            </w:tcBorders>
            <w:shd w:val="clear" w:color="auto" w:fill="auto"/>
            <w:vAlign w:val="center"/>
            <w:hideMark/>
          </w:tcPr>
          <w:p w14:paraId="041CF5A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1,508,586</w:t>
            </w:r>
          </w:p>
        </w:tc>
        <w:tc>
          <w:tcPr>
            <w:tcW w:w="163" w:type="pct"/>
            <w:tcBorders>
              <w:top w:val="nil"/>
              <w:left w:val="nil"/>
              <w:bottom w:val="single" w:sz="4" w:space="0" w:color="auto"/>
              <w:right w:val="single" w:sz="4" w:space="0" w:color="auto"/>
            </w:tcBorders>
            <w:shd w:val="clear" w:color="auto" w:fill="auto"/>
            <w:vAlign w:val="center"/>
            <w:hideMark/>
          </w:tcPr>
          <w:p w14:paraId="66086E3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6C7830E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1,508,586</w:t>
            </w:r>
          </w:p>
        </w:tc>
        <w:tc>
          <w:tcPr>
            <w:tcW w:w="163" w:type="pct"/>
            <w:tcBorders>
              <w:top w:val="nil"/>
              <w:left w:val="nil"/>
              <w:bottom w:val="single" w:sz="4" w:space="0" w:color="auto"/>
              <w:right w:val="single" w:sz="4" w:space="0" w:color="auto"/>
            </w:tcBorders>
            <w:shd w:val="clear" w:color="auto" w:fill="auto"/>
            <w:vAlign w:val="center"/>
            <w:hideMark/>
          </w:tcPr>
          <w:p w14:paraId="59FA003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1,508,586</w:t>
            </w:r>
          </w:p>
        </w:tc>
        <w:tc>
          <w:tcPr>
            <w:tcW w:w="148" w:type="pct"/>
            <w:tcBorders>
              <w:top w:val="nil"/>
              <w:left w:val="nil"/>
              <w:bottom w:val="single" w:sz="4" w:space="0" w:color="auto"/>
              <w:right w:val="single" w:sz="4" w:space="0" w:color="auto"/>
            </w:tcBorders>
            <w:shd w:val="clear" w:color="auto" w:fill="auto"/>
            <w:vAlign w:val="center"/>
            <w:hideMark/>
          </w:tcPr>
          <w:p w14:paraId="66E70B3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48A6BAB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1,508,586</w:t>
            </w:r>
          </w:p>
        </w:tc>
        <w:tc>
          <w:tcPr>
            <w:tcW w:w="165" w:type="pct"/>
            <w:tcBorders>
              <w:top w:val="nil"/>
              <w:left w:val="nil"/>
              <w:bottom w:val="single" w:sz="4" w:space="0" w:color="auto"/>
              <w:right w:val="single" w:sz="4" w:space="0" w:color="auto"/>
            </w:tcBorders>
            <w:shd w:val="clear" w:color="auto" w:fill="auto"/>
            <w:noWrap/>
            <w:vAlign w:val="center"/>
            <w:hideMark/>
          </w:tcPr>
          <w:p w14:paraId="3F54CD2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4,525,758</w:t>
            </w:r>
          </w:p>
        </w:tc>
        <w:tc>
          <w:tcPr>
            <w:tcW w:w="163" w:type="pct"/>
            <w:tcBorders>
              <w:top w:val="nil"/>
              <w:left w:val="nil"/>
              <w:bottom w:val="single" w:sz="4" w:space="0" w:color="auto"/>
              <w:right w:val="single" w:sz="4" w:space="0" w:color="auto"/>
            </w:tcBorders>
            <w:shd w:val="clear" w:color="auto" w:fill="auto"/>
            <w:noWrap/>
            <w:vAlign w:val="center"/>
            <w:hideMark/>
          </w:tcPr>
          <w:p w14:paraId="334E20A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5746E92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4,525,758</w:t>
            </w:r>
          </w:p>
        </w:tc>
        <w:tc>
          <w:tcPr>
            <w:tcW w:w="163" w:type="pct"/>
            <w:tcBorders>
              <w:top w:val="nil"/>
              <w:left w:val="nil"/>
              <w:bottom w:val="single" w:sz="4" w:space="0" w:color="auto"/>
              <w:right w:val="single" w:sz="4" w:space="0" w:color="auto"/>
            </w:tcBorders>
            <w:shd w:val="clear" w:color="auto" w:fill="auto"/>
            <w:vAlign w:val="center"/>
            <w:hideMark/>
          </w:tcPr>
          <w:p w14:paraId="566B522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4,525,758</w:t>
            </w:r>
          </w:p>
        </w:tc>
        <w:tc>
          <w:tcPr>
            <w:tcW w:w="155" w:type="pct"/>
            <w:tcBorders>
              <w:top w:val="nil"/>
              <w:left w:val="nil"/>
              <w:bottom w:val="single" w:sz="4" w:space="0" w:color="auto"/>
              <w:right w:val="single" w:sz="4" w:space="0" w:color="auto"/>
            </w:tcBorders>
            <w:shd w:val="clear" w:color="auto" w:fill="auto"/>
            <w:vAlign w:val="center"/>
            <w:hideMark/>
          </w:tcPr>
          <w:p w14:paraId="6E3AE1C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63F5748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4,525,758</w:t>
            </w:r>
          </w:p>
        </w:tc>
        <w:tc>
          <w:tcPr>
            <w:tcW w:w="162" w:type="pct"/>
            <w:tcBorders>
              <w:top w:val="nil"/>
              <w:left w:val="nil"/>
              <w:bottom w:val="single" w:sz="4" w:space="0" w:color="auto"/>
              <w:right w:val="single" w:sz="4" w:space="0" w:color="auto"/>
            </w:tcBorders>
            <w:shd w:val="clear" w:color="auto" w:fill="auto"/>
            <w:vAlign w:val="center"/>
            <w:hideMark/>
          </w:tcPr>
          <w:p w14:paraId="5A85217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4061765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7605FCE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FFF2CC"/>
            <w:noWrap/>
            <w:vAlign w:val="center"/>
            <w:hideMark/>
          </w:tcPr>
          <w:p w14:paraId="5EC55D6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549D069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2711D3D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71F815B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55674742" w14:textId="401EBE92" w:rsidR="00C260C3" w:rsidRPr="00B457F5" w:rsidRDefault="0006016F"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 </w:t>
            </w:r>
            <w:r w:rsidR="00C260C3" w:rsidRPr="00B457F5">
              <w:rPr>
                <w:rFonts w:ascii="Garamond" w:eastAsia="Times New Roman" w:hAnsi="Garamond" w:cs="Times New Roman"/>
                <w:color w:val="FF0000"/>
                <w:sz w:val="4"/>
                <w:szCs w:val="10"/>
              </w:rPr>
              <w:t>-</w:t>
            </w:r>
          </w:p>
        </w:tc>
      </w:tr>
      <w:tr w:rsidR="00C260C3" w:rsidRPr="00B457F5" w14:paraId="557F3DAC"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18B98EB4"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2.3.1.8</w:t>
            </w:r>
          </w:p>
        </w:tc>
        <w:tc>
          <w:tcPr>
            <w:tcW w:w="281" w:type="pct"/>
            <w:tcBorders>
              <w:top w:val="nil"/>
              <w:left w:val="nil"/>
              <w:bottom w:val="single" w:sz="4" w:space="0" w:color="auto"/>
              <w:right w:val="single" w:sz="4" w:space="0" w:color="auto"/>
            </w:tcBorders>
            <w:shd w:val="clear" w:color="auto" w:fill="auto"/>
            <w:vAlign w:val="center"/>
            <w:hideMark/>
          </w:tcPr>
          <w:p w14:paraId="21A458BF" w14:textId="493D7B84"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2.3.1.8 Krijimi i një mekanizmi ndërinstitucional për kthimin dhe ri</w:t>
            </w:r>
            <w:r w:rsidR="006E177B" w:rsidRPr="00B457F5">
              <w:rPr>
                <w:rFonts w:ascii="Garamond" w:eastAsia="Times New Roman" w:hAnsi="Garamond" w:cs="Times New Roman"/>
                <w:sz w:val="4"/>
                <w:szCs w:val="10"/>
              </w:rPr>
              <w:t>i</w:t>
            </w:r>
            <w:r w:rsidRPr="00B457F5">
              <w:rPr>
                <w:rFonts w:ascii="Garamond" w:eastAsia="Times New Roman" w:hAnsi="Garamond" w:cs="Times New Roman"/>
                <w:sz w:val="4"/>
                <w:szCs w:val="10"/>
              </w:rPr>
              <w:t>ntegrimin</w:t>
            </w:r>
          </w:p>
        </w:tc>
        <w:tc>
          <w:tcPr>
            <w:tcW w:w="186" w:type="pct"/>
            <w:tcBorders>
              <w:top w:val="nil"/>
              <w:left w:val="nil"/>
              <w:bottom w:val="single" w:sz="4" w:space="0" w:color="auto"/>
              <w:right w:val="single" w:sz="4" w:space="0" w:color="auto"/>
            </w:tcBorders>
            <w:shd w:val="clear" w:color="auto" w:fill="auto"/>
            <w:vAlign w:val="center"/>
            <w:hideMark/>
          </w:tcPr>
          <w:p w14:paraId="38ED6A8F"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071DBB4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1AA57525" w14:textId="307D7A50"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 Të gjitha </w:t>
            </w:r>
            <w:r w:rsidR="00E92B0D" w:rsidRPr="00B457F5">
              <w:rPr>
                <w:rFonts w:ascii="Garamond" w:eastAsia="Times New Roman" w:hAnsi="Garamond" w:cs="Times New Roman"/>
                <w:sz w:val="4"/>
                <w:szCs w:val="10"/>
              </w:rPr>
              <w:t>ministritë</w:t>
            </w:r>
            <w:r w:rsidRPr="00B457F5">
              <w:rPr>
                <w:rFonts w:ascii="Garamond" w:eastAsia="Times New Roman" w:hAnsi="Garamond" w:cs="Times New Roman"/>
                <w:sz w:val="4"/>
                <w:szCs w:val="10"/>
              </w:rPr>
              <w:t xml:space="preserve"> e linjës </w:t>
            </w:r>
          </w:p>
        </w:tc>
        <w:tc>
          <w:tcPr>
            <w:tcW w:w="135" w:type="pct"/>
            <w:tcBorders>
              <w:top w:val="nil"/>
              <w:left w:val="nil"/>
              <w:bottom w:val="single" w:sz="4" w:space="0" w:color="auto"/>
              <w:right w:val="single" w:sz="4" w:space="0" w:color="auto"/>
            </w:tcBorders>
            <w:shd w:val="clear" w:color="000000" w:fill="DDEBF7"/>
            <w:vAlign w:val="center"/>
            <w:hideMark/>
          </w:tcPr>
          <w:p w14:paraId="588BDFB0"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2024</w:t>
            </w:r>
          </w:p>
        </w:tc>
        <w:tc>
          <w:tcPr>
            <w:tcW w:w="152" w:type="pct"/>
            <w:tcBorders>
              <w:top w:val="nil"/>
              <w:left w:val="nil"/>
              <w:bottom w:val="single" w:sz="4" w:space="0" w:color="auto"/>
              <w:right w:val="single" w:sz="4" w:space="0" w:color="auto"/>
            </w:tcBorders>
            <w:shd w:val="clear" w:color="000000" w:fill="DDEBF7"/>
            <w:vAlign w:val="center"/>
            <w:hideMark/>
          </w:tcPr>
          <w:p w14:paraId="09113536"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63" w:type="pct"/>
            <w:tcBorders>
              <w:top w:val="nil"/>
              <w:left w:val="nil"/>
              <w:bottom w:val="single" w:sz="4" w:space="0" w:color="auto"/>
              <w:right w:val="single" w:sz="4" w:space="0" w:color="auto"/>
            </w:tcBorders>
            <w:shd w:val="clear" w:color="auto" w:fill="auto"/>
            <w:vAlign w:val="center"/>
            <w:hideMark/>
          </w:tcPr>
          <w:p w14:paraId="74331D0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67ED692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19E83F0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auto" w:fill="auto"/>
            <w:vAlign w:val="center"/>
            <w:hideMark/>
          </w:tcPr>
          <w:p w14:paraId="7DC605E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30DCF7B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816D82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0F6F395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8" w:type="pct"/>
            <w:tcBorders>
              <w:top w:val="nil"/>
              <w:left w:val="nil"/>
              <w:bottom w:val="single" w:sz="4" w:space="0" w:color="auto"/>
              <w:right w:val="single" w:sz="4" w:space="0" w:color="auto"/>
            </w:tcBorders>
            <w:shd w:val="clear" w:color="auto" w:fill="auto"/>
            <w:vAlign w:val="center"/>
            <w:hideMark/>
          </w:tcPr>
          <w:p w14:paraId="38F8A5E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3600CE0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auto" w:fill="auto"/>
            <w:noWrap/>
            <w:vAlign w:val="center"/>
            <w:hideMark/>
          </w:tcPr>
          <w:p w14:paraId="57ECD73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auto" w:fill="auto"/>
            <w:noWrap/>
            <w:vAlign w:val="center"/>
            <w:hideMark/>
          </w:tcPr>
          <w:p w14:paraId="3408DEF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535EE4A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7A77A21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5A92B6C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497BE45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30F2A4F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67B01BC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6A2799E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FFF2CC"/>
            <w:noWrap/>
            <w:vAlign w:val="center"/>
            <w:hideMark/>
          </w:tcPr>
          <w:p w14:paraId="0C474A1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25F2502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5BF92B4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00FD1C9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093F1E6F" w14:textId="69449B41" w:rsidR="00C260C3" w:rsidRPr="00B457F5" w:rsidRDefault="0006016F"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 </w:t>
            </w:r>
            <w:r w:rsidR="00C260C3" w:rsidRPr="00B457F5">
              <w:rPr>
                <w:rFonts w:ascii="Garamond" w:eastAsia="Times New Roman" w:hAnsi="Garamond" w:cs="Times New Roman"/>
                <w:color w:val="FF0000"/>
                <w:sz w:val="4"/>
                <w:szCs w:val="10"/>
              </w:rPr>
              <w:t>-</w:t>
            </w:r>
          </w:p>
        </w:tc>
      </w:tr>
      <w:tr w:rsidR="00C260C3" w:rsidRPr="00B457F5" w14:paraId="0B1EC358"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0D6DE16B"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2.3.1.9</w:t>
            </w:r>
          </w:p>
        </w:tc>
        <w:tc>
          <w:tcPr>
            <w:tcW w:w="281" w:type="pct"/>
            <w:tcBorders>
              <w:top w:val="nil"/>
              <w:left w:val="nil"/>
              <w:bottom w:val="single" w:sz="4" w:space="0" w:color="auto"/>
              <w:right w:val="single" w:sz="4" w:space="0" w:color="auto"/>
            </w:tcBorders>
            <w:shd w:val="clear" w:color="auto" w:fill="auto"/>
            <w:vAlign w:val="center"/>
            <w:hideMark/>
          </w:tcPr>
          <w:p w14:paraId="4B6D6D48" w14:textId="43B58C03"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2.3.1.9 Informimi</w:t>
            </w:r>
            <w:r w:rsidR="0006016F" w:rsidRPr="00B457F5">
              <w:rPr>
                <w:rFonts w:ascii="Garamond" w:eastAsia="Times New Roman" w:hAnsi="Garamond" w:cs="Times New Roman"/>
                <w:sz w:val="4"/>
                <w:szCs w:val="10"/>
              </w:rPr>
              <w:t xml:space="preserve"> </w:t>
            </w:r>
            <w:r w:rsidRPr="00B457F5">
              <w:rPr>
                <w:rFonts w:ascii="Garamond" w:eastAsia="Times New Roman" w:hAnsi="Garamond" w:cs="Times New Roman"/>
                <w:sz w:val="4"/>
                <w:szCs w:val="10"/>
              </w:rPr>
              <w:t xml:space="preserve">i shtetasve shqiptarë të ripranuar mbi shërbimet publike dhe jopublike që lehtësojnë riintegrimin e tyre </w:t>
            </w:r>
          </w:p>
        </w:tc>
        <w:tc>
          <w:tcPr>
            <w:tcW w:w="186" w:type="pct"/>
            <w:tcBorders>
              <w:top w:val="nil"/>
              <w:left w:val="nil"/>
              <w:bottom w:val="single" w:sz="4" w:space="0" w:color="auto"/>
              <w:right w:val="single" w:sz="4" w:space="0" w:color="auto"/>
            </w:tcBorders>
            <w:shd w:val="clear" w:color="auto" w:fill="auto"/>
            <w:vAlign w:val="center"/>
            <w:hideMark/>
          </w:tcPr>
          <w:p w14:paraId="400651D3"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03140 Policia e Shtetit</w:t>
            </w:r>
          </w:p>
        </w:tc>
        <w:tc>
          <w:tcPr>
            <w:tcW w:w="169" w:type="pct"/>
            <w:tcBorders>
              <w:top w:val="nil"/>
              <w:left w:val="nil"/>
              <w:bottom w:val="single" w:sz="4" w:space="0" w:color="auto"/>
              <w:right w:val="single" w:sz="4" w:space="0" w:color="auto"/>
            </w:tcBorders>
            <w:shd w:val="clear" w:color="auto" w:fill="auto"/>
            <w:vAlign w:val="center"/>
            <w:hideMark/>
          </w:tcPr>
          <w:p w14:paraId="4D7DF05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DKM</w:t>
            </w:r>
          </w:p>
        </w:tc>
        <w:tc>
          <w:tcPr>
            <w:tcW w:w="244" w:type="pct"/>
            <w:tcBorders>
              <w:top w:val="nil"/>
              <w:left w:val="nil"/>
              <w:bottom w:val="single" w:sz="4" w:space="0" w:color="auto"/>
              <w:right w:val="single" w:sz="4" w:space="0" w:color="auto"/>
            </w:tcBorders>
            <w:shd w:val="clear" w:color="auto" w:fill="auto"/>
            <w:vAlign w:val="center"/>
            <w:hideMark/>
          </w:tcPr>
          <w:p w14:paraId="737AB1B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MB, MEKI, AKPA, NJVV, IOM </w:t>
            </w:r>
          </w:p>
        </w:tc>
        <w:tc>
          <w:tcPr>
            <w:tcW w:w="135" w:type="pct"/>
            <w:tcBorders>
              <w:top w:val="nil"/>
              <w:left w:val="nil"/>
              <w:bottom w:val="single" w:sz="4" w:space="0" w:color="auto"/>
              <w:right w:val="single" w:sz="4" w:space="0" w:color="auto"/>
            </w:tcBorders>
            <w:shd w:val="clear" w:color="000000" w:fill="DDEBF7"/>
            <w:vAlign w:val="center"/>
            <w:hideMark/>
          </w:tcPr>
          <w:p w14:paraId="44FFBCF3"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2024</w:t>
            </w:r>
          </w:p>
        </w:tc>
        <w:tc>
          <w:tcPr>
            <w:tcW w:w="152" w:type="pct"/>
            <w:tcBorders>
              <w:top w:val="nil"/>
              <w:left w:val="nil"/>
              <w:bottom w:val="single" w:sz="4" w:space="0" w:color="auto"/>
              <w:right w:val="single" w:sz="4" w:space="0" w:color="auto"/>
            </w:tcBorders>
            <w:shd w:val="clear" w:color="000000" w:fill="DDEBF7"/>
            <w:vAlign w:val="center"/>
            <w:hideMark/>
          </w:tcPr>
          <w:p w14:paraId="2200949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63" w:type="pct"/>
            <w:tcBorders>
              <w:top w:val="nil"/>
              <w:left w:val="nil"/>
              <w:bottom w:val="single" w:sz="4" w:space="0" w:color="auto"/>
              <w:right w:val="single" w:sz="4" w:space="0" w:color="auto"/>
            </w:tcBorders>
            <w:shd w:val="clear" w:color="auto" w:fill="auto"/>
            <w:vAlign w:val="center"/>
            <w:hideMark/>
          </w:tcPr>
          <w:p w14:paraId="0B5218D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1,299,459</w:t>
            </w:r>
          </w:p>
        </w:tc>
        <w:tc>
          <w:tcPr>
            <w:tcW w:w="155" w:type="pct"/>
            <w:tcBorders>
              <w:top w:val="nil"/>
              <w:left w:val="nil"/>
              <w:bottom w:val="single" w:sz="4" w:space="0" w:color="auto"/>
              <w:right w:val="single" w:sz="4" w:space="0" w:color="auto"/>
            </w:tcBorders>
            <w:shd w:val="clear" w:color="auto" w:fill="auto"/>
            <w:vAlign w:val="center"/>
            <w:hideMark/>
          </w:tcPr>
          <w:p w14:paraId="678EABD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6764485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1,299,459</w:t>
            </w:r>
          </w:p>
        </w:tc>
        <w:tc>
          <w:tcPr>
            <w:tcW w:w="165" w:type="pct"/>
            <w:tcBorders>
              <w:top w:val="nil"/>
              <w:left w:val="nil"/>
              <w:bottom w:val="single" w:sz="4" w:space="0" w:color="auto"/>
              <w:right w:val="single" w:sz="4" w:space="0" w:color="auto"/>
            </w:tcBorders>
            <w:shd w:val="clear" w:color="auto" w:fill="auto"/>
            <w:vAlign w:val="center"/>
            <w:hideMark/>
          </w:tcPr>
          <w:p w14:paraId="0D38835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1,299,459</w:t>
            </w:r>
          </w:p>
        </w:tc>
        <w:tc>
          <w:tcPr>
            <w:tcW w:w="163" w:type="pct"/>
            <w:tcBorders>
              <w:top w:val="nil"/>
              <w:left w:val="nil"/>
              <w:bottom w:val="single" w:sz="4" w:space="0" w:color="auto"/>
              <w:right w:val="single" w:sz="4" w:space="0" w:color="auto"/>
            </w:tcBorders>
            <w:shd w:val="clear" w:color="auto" w:fill="auto"/>
            <w:vAlign w:val="center"/>
            <w:hideMark/>
          </w:tcPr>
          <w:p w14:paraId="4C13172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136C847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1,299,459</w:t>
            </w:r>
          </w:p>
        </w:tc>
        <w:tc>
          <w:tcPr>
            <w:tcW w:w="163" w:type="pct"/>
            <w:tcBorders>
              <w:top w:val="nil"/>
              <w:left w:val="nil"/>
              <w:bottom w:val="single" w:sz="4" w:space="0" w:color="auto"/>
              <w:right w:val="single" w:sz="4" w:space="0" w:color="auto"/>
            </w:tcBorders>
            <w:shd w:val="clear" w:color="auto" w:fill="auto"/>
            <w:vAlign w:val="center"/>
            <w:hideMark/>
          </w:tcPr>
          <w:p w14:paraId="4521C94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1,299,459</w:t>
            </w:r>
          </w:p>
        </w:tc>
        <w:tc>
          <w:tcPr>
            <w:tcW w:w="148" w:type="pct"/>
            <w:tcBorders>
              <w:top w:val="nil"/>
              <w:left w:val="nil"/>
              <w:bottom w:val="single" w:sz="4" w:space="0" w:color="auto"/>
              <w:right w:val="single" w:sz="4" w:space="0" w:color="auto"/>
            </w:tcBorders>
            <w:shd w:val="clear" w:color="auto" w:fill="auto"/>
            <w:vAlign w:val="center"/>
            <w:hideMark/>
          </w:tcPr>
          <w:p w14:paraId="3C32932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7B446FD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1,299,459</w:t>
            </w:r>
          </w:p>
        </w:tc>
        <w:tc>
          <w:tcPr>
            <w:tcW w:w="165" w:type="pct"/>
            <w:tcBorders>
              <w:top w:val="nil"/>
              <w:left w:val="nil"/>
              <w:bottom w:val="single" w:sz="4" w:space="0" w:color="auto"/>
              <w:right w:val="single" w:sz="4" w:space="0" w:color="auto"/>
            </w:tcBorders>
            <w:shd w:val="clear" w:color="auto" w:fill="auto"/>
            <w:noWrap/>
            <w:vAlign w:val="center"/>
            <w:hideMark/>
          </w:tcPr>
          <w:p w14:paraId="0B83BD8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3,898,377</w:t>
            </w:r>
          </w:p>
        </w:tc>
        <w:tc>
          <w:tcPr>
            <w:tcW w:w="163" w:type="pct"/>
            <w:tcBorders>
              <w:top w:val="nil"/>
              <w:left w:val="nil"/>
              <w:bottom w:val="single" w:sz="4" w:space="0" w:color="auto"/>
              <w:right w:val="single" w:sz="4" w:space="0" w:color="auto"/>
            </w:tcBorders>
            <w:shd w:val="clear" w:color="auto" w:fill="auto"/>
            <w:noWrap/>
            <w:vAlign w:val="center"/>
            <w:hideMark/>
          </w:tcPr>
          <w:p w14:paraId="580A10C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1533438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3,898,377</w:t>
            </w:r>
          </w:p>
        </w:tc>
        <w:tc>
          <w:tcPr>
            <w:tcW w:w="163" w:type="pct"/>
            <w:tcBorders>
              <w:top w:val="nil"/>
              <w:left w:val="nil"/>
              <w:bottom w:val="single" w:sz="4" w:space="0" w:color="auto"/>
              <w:right w:val="single" w:sz="4" w:space="0" w:color="auto"/>
            </w:tcBorders>
            <w:shd w:val="clear" w:color="auto" w:fill="auto"/>
            <w:vAlign w:val="center"/>
            <w:hideMark/>
          </w:tcPr>
          <w:p w14:paraId="6AB1FDE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4965CCA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6167E3D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699BFD5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20534E8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36F8229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FFF2CC"/>
            <w:noWrap/>
            <w:vAlign w:val="center"/>
            <w:hideMark/>
          </w:tcPr>
          <w:p w14:paraId="68534E9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5EFA29D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3E238E5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7518A81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4DF6AB84" w14:textId="37D20B8B"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(3,898,377)</w:t>
            </w:r>
          </w:p>
        </w:tc>
      </w:tr>
      <w:tr w:rsidR="00C260C3" w:rsidRPr="00B457F5" w14:paraId="18DCBF3C" w14:textId="77777777" w:rsidTr="00C260C3">
        <w:trPr>
          <w:trHeight w:val="20"/>
        </w:trPr>
        <w:tc>
          <w:tcPr>
            <w:tcW w:w="131" w:type="pct"/>
            <w:tcBorders>
              <w:top w:val="nil"/>
              <w:left w:val="single" w:sz="4" w:space="0" w:color="auto"/>
              <w:bottom w:val="single" w:sz="4" w:space="0" w:color="auto"/>
              <w:right w:val="single" w:sz="4" w:space="0" w:color="auto"/>
            </w:tcBorders>
            <w:shd w:val="clear" w:color="000000" w:fill="D9D9D9"/>
            <w:vAlign w:val="center"/>
            <w:hideMark/>
          </w:tcPr>
          <w:p w14:paraId="3638B906"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2.3.2</w:t>
            </w:r>
          </w:p>
        </w:tc>
        <w:tc>
          <w:tcPr>
            <w:tcW w:w="281" w:type="pct"/>
            <w:tcBorders>
              <w:top w:val="nil"/>
              <w:left w:val="nil"/>
              <w:bottom w:val="single" w:sz="4" w:space="0" w:color="auto"/>
              <w:right w:val="single" w:sz="4" w:space="0" w:color="auto"/>
            </w:tcBorders>
            <w:shd w:val="clear" w:color="000000" w:fill="D9D9D9"/>
            <w:vAlign w:val="center"/>
            <w:hideMark/>
          </w:tcPr>
          <w:p w14:paraId="391EDB8B" w14:textId="76AFFC8C" w:rsidR="00C260C3" w:rsidRPr="00B457F5" w:rsidRDefault="00C260C3" w:rsidP="00C260C3">
            <w:pPr>
              <w:spacing w:before="0" w:after="0"/>
              <w:jc w:val="left"/>
              <w:rPr>
                <w:rFonts w:ascii="Garamond" w:eastAsia="Times New Roman" w:hAnsi="Garamond" w:cs="Times New Roman"/>
                <w:b/>
                <w:bCs/>
                <w:sz w:val="4"/>
                <w:szCs w:val="10"/>
              </w:rPr>
            </w:pPr>
            <w:r w:rsidRPr="00B457F5">
              <w:rPr>
                <w:rFonts w:ascii="Garamond" w:eastAsia="Times New Roman" w:hAnsi="Garamond" w:cs="Times New Roman"/>
                <w:b/>
                <w:bCs/>
                <w:sz w:val="4"/>
                <w:szCs w:val="10"/>
              </w:rPr>
              <w:t xml:space="preserve">2.3.2 Lehtësimi i transferimit, zhvillimit dhe njohjes </w:t>
            </w:r>
            <w:r w:rsidR="006E177B" w:rsidRPr="00B457F5">
              <w:rPr>
                <w:rFonts w:ascii="Garamond" w:eastAsia="Times New Roman" w:hAnsi="Garamond" w:cs="Times New Roman"/>
                <w:b/>
                <w:bCs/>
                <w:sz w:val="4"/>
                <w:szCs w:val="10"/>
              </w:rPr>
              <w:t>s</w:t>
            </w:r>
            <w:r w:rsidRPr="00B457F5">
              <w:rPr>
                <w:rFonts w:ascii="Garamond" w:eastAsia="Times New Roman" w:hAnsi="Garamond" w:cs="Times New Roman"/>
                <w:b/>
                <w:bCs/>
                <w:sz w:val="4"/>
                <w:szCs w:val="10"/>
              </w:rPr>
              <w:t xml:space="preserve">ë aftësive, kualifikimeve dhe kompetencave </w:t>
            </w:r>
          </w:p>
        </w:tc>
        <w:tc>
          <w:tcPr>
            <w:tcW w:w="186" w:type="pct"/>
            <w:tcBorders>
              <w:top w:val="nil"/>
              <w:left w:val="nil"/>
              <w:bottom w:val="single" w:sz="4" w:space="0" w:color="auto"/>
              <w:right w:val="single" w:sz="4" w:space="0" w:color="auto"/>
            </w:tcBorders>
            <w:shd w:val="clear" w:color="000000" w:fill="D9D9D9"/>
            <w:vAlign w:val="center"/>
            <w:hideMark/>
          </w:tcPr>
          <w:p w14:paraId="6FD93E75" w14:textId="47017A71" w:rsidR="00C260C3" w:rsidRPr="00B457F5" w:rsidRDefault="00C260C3" w:rsidP="00E92B0D">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E92B0D" w:rsidRPr="00B457F5">
              <w:rPr>
                <w:rFonts w:ascii="Garamond" w:eastAsia="Times New Roman" w:hAnsi="Garamond" w:cs="Times New Roman"/>
                <w:color w:val="FF0000"/>
                <w:sz w:val="4"/>
                <w:szCs w:val="10"/>
              </w:rPr>
              <w:t>Punës</w:t>
            </w:r>
          </w:p>
        </w:tc>
        <w:tc>
          <w:tcPr>
            <w:tcW w:w="169" w:type="pct"/>
            <w:tcBorders>
              <w:top w:val="nil"/>
              <w:left w:val="nil"/>
              <w:bottom w:val="single" w:sz="4" w:space="0" w:color="auto"/>
              <w:right w:val="single" w:sz="4" w:space="0" w:color="auto"/>
            </w:tcBorders>
            <w:shd w:val="clear" w:color="000000" w:fill="D9D9D9"/>
            <w:vAlign w:val="center"/>
            <w:hideMark/>
          </w:tcPr>
          <w:p w14:paraId="7C3DFBF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MEKI, AKPA</w:t>
            </w:r>
          </w:p>
        </w:tc>
        <w:tc>
          <w:tcPr>
            <w:tcW w:w="244" w:type="pct"/>
            <w:tcBorders>
              <w:top w:val="nil"/>
              <w:left w:val="nil"/>
              <w:bottom w:val="single" w:sz="4" w:space="0" w:color="auto"/>
              <w:right w:val="single" w:sz="4" w:space="0" w:color="auto"/>
            </w:tcBorders>
            <w:shd w:val="clear" w:color="000000" w:fill="D9D9D9"/>
            <w:vAlign w:val="center"/>
            <w:hideMark/>
          </w:tcPr>
          <w:p w14:paraId="70F867D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AKPA, AKPFA, MEKI, MB,</w:t>
            </w:r>
          </w:p>
        </w:tc>
        <w:tc>
          <w:tcPr>
            <w:tcW w:w="135" w:type="pct"/>
            <w:tcBorders>
              <w:top w:val="nil"/>
              <w:left w:val="nil"/>
              <w:bottom w:val="single" w:sz="4" w:space="0" w:color="auto"/>
              <w:right w:val="single" w:sz="4" w:space="0" w:color="auto"/>
            </w:tcBorders>
            <w:shd w:val="clear" w:color="000000" w:fill="D9D9D9"/>
            <w:vAlign w:val="center"/>
            <w:hideMark/>
          </w:tcPr>
          <w:p w14:paraId="04B4314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2025</w:t>
            </w:r>
          </w:p>
        </w:tc>
        <w:tc>
          <w:tcPr>
            <w:tcW w:w="152" w:type="pct"/>
            <w:tcBorders>
              <w:top w:val="nil"/>
              <w:left w:val="nil"/>
              <w:bottom w:val="single" w:sz="4" w:space="0" w:color="auto"/>
              <w:right w:val="single" w:sz="4" w:space="0" w:color="auto"/>
            </w:tcBorders>
            <w:shd w:val="clear" w:color="000000" w:fill="D9D9D9"/>
            <w:vAlign w:val="center"/>
            <w:hideMark/>
          </w:tcPr>
          <w:p w14:paraId="0FD2E44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2030</w:t>
            </w:r>
          </w:p>
        </w:tc>
        <w:tc>
          <w:tcPr>
            <w:tcW w:w="163" w:type="pct"/>
            <w:tcBorders>
              <w:top w:val="nil"/>
              <w:left w:val="nil"/>
              <w:bottom w:val="single" w:sz="4" w:space="0" w:color="auto"/>
              <w:right w:val="single" w:sz="4" w:space="0" w:color="auto"/>
            </w:tcBorders>
            <w:shd w:val="clear" w:color="000000" w:fill="D9D9D9"/>
            <w:vAlign w:val="center"/>
            <w:hideMark/>
          </w:tcPr>
          <w:p w14:paraId="288C6B2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5,853,063</w:t>
            </w:r>
          </w:p>
        </w:tc>
        <w:tc>
          <w:tcPr>
            <w:tcW w:w="155" w:type="pct"/>
            <w:tcBorders>
              <w:top w:val="nil"/>
              <w:left w:val="nil"/>
              <w:bottom w:val="single" w:sz="4" w:space="0" w:color="auto"/>
              <w:right w:val="single" w:sz="4" w:space="0" w:color="auto"/>
            </w:tcBorders>
            <w:shd w:val="clear" w:color="000000" w:fill="D9D9D9"/>
            <w:vAlign w:val="center"/>
            <w:hideMark/>
          </w:tcPr>
          <w:p w14:paraId="2DF8B96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39EE4BC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5,853,063</w:t>
            </w:r>
          </w:p>
        </w:tc>
        <w:tc>
          <w:tcPr>
            <w:tcW w:w="165" w:type="pct"/>
            <w:tcBorders>
              <w:top w:val="nil"/>
              <w:left w:val="nil"/>
              <w:bottom w:val="single" w:sz="4" w:space="0" w:color="auto"/>
              <w:right w:val="single" w:sz="4" w:space="0" w:color="auto"/>
            </w:tcBorders>
            <w:shd w:val="clear" w:color="000000" w:fill="D9D9D9"/>
            <w:vAlign w:val="center"/>
            <w:hideMark/>
          </w:tcPr>
          <w:p w14:paraId="05DE38E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5,853,063</w:t>
            </w:r>
          </w:p>
        </w:tc>
        <w:tc>
          <w:tcPr>
            <w:tcW w:w="163" w:type="pct"/>
            <w:tcBorders>
              <w:top w:val="nil"/>
              <w:left w:val="nil"/>
              <w:bottom w:val="single" w:sz="4" w:space="0" w:color="auto"/>
              <w:right w:val="single" w:sz="4" w:space="0" w:color="auto"/>
            </w:tcBorders>
            <w:shd w:val="clear" w:color="000000" w:fill="D9D9D9"/>
            <w:vAlign w:val="center"/>
            <w:hideMark/>
          </w:tcPr>
          <w:p w14:paraId="393A02C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01899F1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5,853,063</w:t>
            </w:r>
          </w:p>
        </w:tc>
        <w:tc>
          <w:tcPr>
            <w:tcW w:w="163" w:type="pct"/>
            <w:tcBorders>
              <w:top w:val="nil"/>
              <w:left w:val="nil"/>
              <w:bottom w:val="single" w:sz="4" w:space="0" w:color="auto"/>
              <w:right w:val="single" w:sz="4" w:space="0" w:color="auto"/>
            </w:tcBorders>
            <w:shd w:val="clear" w:color="000000" w:fill="D9D9D9"/>
            <w:vAlign w:val="center"/>
            <w:hideMark/>
          </w:tcPr>
          <w:p w14:paraId="17A895B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5,853,063</w:t>
            </w:r>
          </w:p>
        </w:tc>
        <w:tc>
          <w:tcPr>
            <w:tcW w:w="148" w:type="pct"/>
            <w:tcBorders>
              <w:top w:val="nil"/>
              <w:left w:val="nil"/>
              <w:bottom w:val="single" w:sz="4" w:space="0" w:color="auto"/>
              <w:right w:val="single" w:sz="4" w:space="0" w:color="auto"/>
            </w:tcBorders>
            <w:shd w:val="clear" w:color="000000" w:fill="D9D9D9"/>
            <w:vAlign w:val="center"/>
            <w:hideMark/>
          </w:tcPr>
          <w:p w14:paraId="3985347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463AEFD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5,853,063</w:t>
            </w:r>
          </w:p>
        </w:tc>
        <w:tc>
          <w:tcPr>
            <w:tcW w:w="165" w:type="pct"/>
            <w:tcBorders>
              <w:top w:val="nil"/>
              <w:left w:val="nil"/>
              <w:bottom w:val="single" w:sz="4" w:space="0" w:color="auto"/>
              <w:right w:val="single" w:sz="4" w:space="0" w:color="auto"/>
            </w:tcBorders>
            <w:shd w:val="clear" w:color="000000" w:fill="D9D9D9"/>
            <w:noWrap/>
            <w:vAlign w:val="center"/>
            <w:hideMark/>
          </w:tcPr>
          <w:p w14:paraId="5E10FB0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17,559,189</w:t>
            </w:r>
          </w:p>
        </w:tc>
        <w:tc>
          <w:tcPr>
            <w:tcW w:w="163" w:type="pct"/>
            <w:tcBorders>
              <w:top w:val="nil"/>
              <w:left w:val="nil"/>
              <w:bottom w:val="nil"/>
              <w:right w:val="single" w:sz="4" w:space="0" w:color="auto"/>
            </w:tcBorders>
            <w:shd w:val="clear" w:color="000000" w:fill="D9D9D9"/>
            <w:noWrap/>
            <w:vAlign w:val="center"/>
            <w:hideMark/>
          </w:tcPr>
          <w:p w14:paraId="4C7A29A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nil"/>
              <w:right w:val="single" w:sz="4" w:space="0" w:color="auto"/>
            </w:tcBorders>
            <w:shd w:val="clear" w:color="000000" w:fill="D9D9D9"/>
            <w:vAlign w:val="center"/>
            <w:hideMark/>
          </w:tcPr>
          <w:p w14:paraId="059CF92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17,559,189</w:t>
            </w:r>
          </w:p>
        </w:tc>
        <w:tc>
          <w:tcPr>
            <w:tcW w:w="163" w:type="pct"/>
            <w:tcBorders>
              <w:top w:val="nil"/>
              <w:left w:val="nil"/>
              <w:bottom w:val="nil"/>
              <w:right w:val="single" w:sz="4" w:space="0" w:color="auto"/>
            </w:tcBorders>
            <w:shd w:val="clear" w:color="000000" w:fill="D9D9D9"/>
            <w:vAlign w:val="center"/>
            <w:hideMark/>
          </w:tcPr>
          <w:p w14:paraId="720E64C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17,559,189</w:t>
            </w:r>
          </w:p>
        </w:tc>
        <w:tc>
          <w:tcPr>
            <w:tcW w:w="155" w:type="pct"/>
            <w:tcBorders>
              <w:top w:val="nil"/>
              <w:left w:val="nil"/>
              <w:bottom w:val="nil"/>
              <w:right w:val="single" w:sz="4" w:space="0" w:color="auto"/>
            </w:tcBorders>
            <w:shd w:val="clear" w:color="000000" w:fill="D9D9D9"/>
            <w:vAlign w:val="center"/>
            <w:hideMark/>
          </w:tcPr>
          <w:p w14:paraId="2D3D989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nil"/>
              <w:right w:val="single" w:sz="4" w:space="0" w:color="auto"/>
            </w:tcBorders>
            <w:shd w:val="clear" w:color="000000" w:fill="D9D9D9"/>
            <w:vAlign w:val="center"/>
            <w:hideMark/>
          </w:tcPr>
          <w:p w14:paraId="2F1482F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17,559,189</w:t>
            </w:r>
          </w:p>
        </w:tc>
        <w:tc>
          <w:tcPr>
            <w:tcW w:w="162" w:type="pct"/>
            <w:tcBorders>
              <w:top w:val="nil"/>
              <w:left w:val="nil"/>
              <w:bottom w:val="nil"/>
              <w:right w:val="single" w:sz="4" w:space="0" w:color="auto"/>
            </w:tcBorders>
            <w:shd w:val="clear" w:color="000000" w:fill="D9D9D9"/>
            <w:vAlign w:val="center"/>
            <w:hideMark/>
          </w:tcPr>
          <w:p w14:paraId="40F240C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nil"/>
              <w:right w:val="single" w:sz="4" w:space="0" w:color="auto"/>
            </w:tcBorders>
            <w:shd w:val="clear" w:color="000000" w:fill="D9D9D9"/>
            <w:vAlign w:val="center"/>
            <w:hideMark/>
          </w:tcPr>
          <w:p w14:paraId="28AD2CA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nil"/>
              <w:right w:val="single" w:sz="4" w:space="0" w:color="auto"/>
            </w:tcBorders>
            <w:shd w:val="clear" w:color="000000" w:fill="D9D9D9"/>
            <w:vAlign w:val="center"/>
            <w:hideMark/>
          </w:tcPr>
          <w:p w14:paraId="1697BCC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nil"/>
              <w:right w:val="single" w:sz="4" w:space="0" w:color="auto"/>
            </w:tcBorders>
            <w:shd w:val="clear" w:color="000000" w:fill="D9D9D9"/>
            <w:noWrap/>
            <w:vAlign w:val="center"/>
            <w:hideMark/>
          </w:tcPr>
          <w:p w14:paraId="563195D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nil"/>
              <w:right w:val="single" w:sz="4" w:space="0" w:color="auto"/>
            </w:tcBorders>
            <w:shd w:val="clear" w:color="000000" w:fill="D9D9D9"/>
            <w:vAlign w:val="center"/>
            <w:hideMark/>
          </w:tcPr>
          <w:p w14:paraId="474DABB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nil"/>
              <w:right w:val="single" w:sz="4" w:space="0" w:color="auto"/>
            </w:tcBorders>
            <w:shd w:val="clear" w:color="000000" w:fill="D9D9D9"/>
            <w:vAlign w:val="center"/>
            <w:hideMark/>
          </w:tcPr>
          <w:p w14:paraId="09C0C90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nil"/>
              <w:right w:val="single" w:sz="4" w:space="0" w:color="auto"/>
            </w:tcBorders>
            <w:shd w:val="clear" w:color="000000" w:fill="D9D9D9"/>
            <w:vAlign w:val="center"/>
            <w:hideMark/>
          </w:tcPr>
          <w:p w14:paraId="43EC9A3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nil"/>
              <w:right w:val="single" w:sz="4" w:space="0" w:color="auto"/>
            </w:tcBorders>
            <w:shd w:val="clear" w:color="000000" w:fill="D9D9D9"/>
            <w:vAlign w:val="center"/>
            <w:hideMark/>
          </w:tcPr>
          <w:p w14:paraId="66E5CC55" w14:textId="0FEEB038" w:rsidR="00C260C3" w:rsidRPr="00B457F5" w:rsidRDefault="0006016F"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 </w:t>
            </w:r>
            <w:r w:rsidR="00C260C3" w:rsidRPr="00B457F5">
              <w:rPr>
                <w:rFonts w:ascii="Garamond" w:eastAsia="Times New Roman" w:hAnsi="Garamond" w:cs="Times New Roman"/>
                <w:sz w:val="4"/>
                <w:szCs w:val="10"/>
              </w:rPr>
              <w:t>-</w:t>
            </w:r>
          </w:p>
        </w:tc>
      </w:tr>
      <w:tr w:rsidR="00C260C3" w:rsidRPr="00B457F5" w14:paraId="75CADBC1"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67A118EB"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2.3.2.1</w:t>
            </w:r>
          </w:p>
        </w:tc>
        <w:tc>
          <w:tcPr>
            <w:tcW w:w="281" w:type="pct"/>
            <w:tcBorders>
              <w:top w:val="nil"/>
              <w:left w:val="nil"/>
              <w:bottom w:val="single" w:sz="4" w:space="0" w:color="auto"/>
              <w:right w:val="single" w:sz="4" w:space="0" w:color="auto"/>
            </w:tcBorders>
            <w:shd w:val="clear" w:color="auto" w:fill="auto"/>
            <w:vAlign w:val="center"/>
            <w:hideMark/>
          </w:tcPr>
          <w:p w14:paraId="2A45CB16" w14:textId="5878760D"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2.3.2.1 Aplikimi i njohjes së të nxënit të mëparshëm si pjesë e vlefshmërisë së të mësuarit joformal dhe informal, njohja e dokumenteve të certifikimit të lëshuara jashtë vendit</w:t>
            </w:r>
          </w:p>
        </w:tc>
        <w:tc>
          <w:tcPr>
            <w:tcW w:w="186" w:type="pct"/>
            <w:tcBorders>
              <w:top w:val="nil"/>
              <w:left w:val="nil"/>
              <w:bottom w:val="single" w:sz="4" w:space="0" w:color="auto"/>
              <w:right w:val="single" w:sz="4" w:space="0" w:color="auto"/>
            </w:tcBorders>
            <w:shd w:val="clear" w:color="auto" w:fill="auto"/>
            <w:vAlign w:val="center"/>
            <w:hideMark/>
          </w:tcPr>
          <w:p w14:paraId="528CCB0E" w14:textId="59064D99" w:rsidR="00C260C3" w:rsidRPr="00B457F5" w:rsidRDefault="00C260C3" w:rsidP="00E92B0D">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E92B0D" w:rsidRPr="00B457F5">
              <w:rPr>
                <w:rFonts w:ascii="Garamond" w:eastAsia="Times New Roman" w:hAnsi="Garamond" w:cs="Times New Roman"/>
                <w:color w:val="FF0000"/>
                <w:sz w:val="4"/>
                <w:szCs w:val="10"/>
              </w:rPr>
              <w:t>Punës</w:t>
            </w:r>
          </w:p>
        </w:tc>
        <w:tc>
          <w:tcPr>
            <w:tcW w:w="169" w:type="pct"/>
            <w:tcBorders>
              <w:top w:val="nil"/>
              <w:left w:val="nil"/>
              <w:bottom w:val="single" w:sz="4" w:space="0" w:color="auto"/>
              <w:right w:val="single" w:sz="4" w:space="0" w:color="auto"/>
            </w:tcBorders>
            <w:shd w:val="clear" w:color="auto" w:fill="auto"/>
            <w:vAlign w:val="center"/>
            <w:hideMark/>
          </w:tcPr>
          <w:p w14:paraId="7E56BD8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MEKI </w:t>
            </w:r>
          </w:p>
        </w:tc>
        <w:tc>
          <w:tcPr>
            <w:tcW w:w="244" w:type="pct"/>
            <w:tcBorders>
              <w:top w:val="nil"/>
              <w:left w:val="nil"/>
              <w:bottom w:val="single" w:sz="4" w:space="0" w:color="auto"/>
              <w:right w:val="single" w:sz="4" w:space="0" w:color="auto"/>
            </w:tcBorders>
            <w:shd w:val="clear" w:color="auto" w:fill="auto"/>
            <w:vAlign w:val="center"/>
            <w:hideMark/>
          </w:tcPr>
          <w:p w14:paraId="60B22EB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AKPA, AKPFA</w:t>
            </w:r>
          </w:p>
        </w:tc>
        <w:tc>
          <w:tcPr>
            <w:tcW w:w="135" w:type="pct"/>
            <w:tcBorders>
              <w:top w:val="nil"/>
              <w:left w:val="nil"/>
              <w:bottom w:val="single" w:sz="4" w:space="0" w:color="auto"/>
              <w:right w:val="single" w:sz="4" w:space="0" w:color="auto"/>
            </w:tcBorders>
            <w:shd w:val="clear" w:color="000000" w:fill="DDEBF7"/>
            <w:vAlign w:val="center"/>
            <w:hideMark/>
          </w:tcPr>
          <w:p w14:paraId="2EB75616"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2024</w:t>
            </w:r>
          </w:p>
        </w:tc>
        <w:tc>
          <w:tcPr>
            <w:tcW w:w="152" w:type="pct"/>
            <w:tcBorders>
              <w:top w:val="nil"/>
              <w:left w:val="nil"/>
              <w:bottom w:val="single" w:sz="4" w:space="0" w:color="auto"/>
              <w:right w:val="single" w:sz="4" w:space="0" w:color="auto"/>
            </w:tcBorders>
            <w:shd w:val="clear" w:color="000000" w:fill="DDEBF7"/>
            <w:vAlign w:val="center"/>
            <w:hideMark/>
          </w:tcPr>
          <w:p w14:paraId="4A6E4C87"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63" w:type="pct"/>
            <w:tcBorders>
              <w:top w:val="nil"/>
              <w:left w:val="nil"/>
              <w:bottom w:val="single" w:sz="4" w:space="0" w:color="auto"/>
              <w:right w:val="single" w:sz="4" w:space="0" w:color="auto"/>
            </w:tcBorders>
            <w:shd w:val="clear" w:color="auto" w:fill="auto"/>
            <w:vAlign w:val="center"/>
            <w:hideMark/>
          </w:tcPr>
          <w:p w14:paraId="047ABC4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1,508,586</w:t>
            </w:r>
          </w:p>
        </w:tc>
        <w:tc>
          <w:tcPr>
            <w:tcW w:w="155" w:type="pct"/>
            <w:tcBorders>
              <w:top w:val="nil"/>
              <w:left w:val="nil"/>
              <w:bottom w:val="single" w:sz="4" w:space="0" w:color="auto"/>
              <w:right w:val="single" w:sz="4" w:space="0" w:color="auto"/>
            </w:tcBorders>
            <w:shd w:val="clear" w:color="auto" w:fill="auto"/>
            <w:vAlign w:val="center"/>
            <w:hideMark/>
          </w:tcPr>
          <w:p w14:paraId="73958C1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4B2D27B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1,508,586</w:t>
            </w:r>
          </w:p>
        </w:tc>
        <w:tc>
          <w:tcPr>
            <w:tcW w:w="165" w:type="pct"/>
            <w:tcBorders>
              <w:top w:val="nil"/>
              <w:left w:val="nil"/>
              <w:bottom w:val="single" w:sz="4" w:space="0" w:color="auto"/>
              <w:right w:val="single" w:sz="4" w:space="0" w:color="auto"/>
            </w:tcBorders>
            <w:shd w:val="clear" w:color="auto" w:fill="auto"/>
            <w:vAlign w:val="center"/>
            <w:hideMark/>
          </w:tcPr>
          <w:p w14:paraId="1E58DEE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1,508,586</w:t>
            </w:r>
          </w:p>
        </w:tc>
        <w:tc>
          <w:tcPr>
            <w:tcW w:w="163" w:type="pct"/>
            <w:tcBorders>
              <w:top w:val="nil"/>
              <w:left w:val="nil"/>
              <w:bottom w:val="single" w:sz="4" w:space="0" w:color="auto"/>
              <w:right w:val="single" w:sz="4" w:space="0" w:color="auto"/>
            </w:tcBorders>
            <w:shd w:val="clear" w:color="auto" w:fill="auto"/>
            <w:vAlign w:val="center"/>
            <w:hideMark/>
          </w:tcPr>
          <w:p w14:paraId="526C652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371D1E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1,508,586</w:t>
            </w:r>
          </w:p>
        </w:tc>
        <w:tc>
          <w:tcPr>
            <w:tcW w:w="163" w:type="pct"/>
            <w:tcBorders>
              <w:top w:val="nil"/>
              <w:left w:val="nil"/>
              <w:bottom w:val="single" w:sz="4" w:space="0" w:color="auto"/>
              <w:right w:val="single" w:sz="4" w:space="0" w:color="auto"/>
            </w:tcBorders>
            <w:shd w:val="clear" w:color="auto" w:fill="auto"/>
            <w:vAlign w:val="center"/>
            <w:hideMark/>
          </w:tcPr>
          <w:p w14:paraId="608E55F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1,508,586</w:t>
            </w:r>
          </w:p>
        </w:tc>
        <w:tc>
          <w:tcPr>
            <w:tcW w:w="148" w:type="pct"/>
            <w:tcBorders>
              <w:top w:val="nil"/>
              <w:left w:val="nil"/>
              <w:bottom w:val="single" w:sz="4" w:space="0" w:color="auto"/>
              <w:right w:val="single" w:sz="4" w:space="0" w:color="auto"/>
            </w:tcBorders>
            <w:shd w:val="clear" w:color="auto" w:fill="auto"/>
            <w:vAlign w:val="center"/>
            <w:hideMark/>
          </w:tcPr>
          <w:p w14:paraId="4F85F1A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609366B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1,508,586</w:t>
            </w:r>
          </w:p>
        </w:tc>
        <w:tc>
          <w:tcPr>
            <w:tcW w:w="165" w:type="pct"/>
            <w:tcBorders>
              <w:top w:val="nil"/>
              <w:left w:val="nil"/>
              <w:bottom w:val="single" w:sz="4" w:space="0" w:color="auto"/>
              <w:right w:val="single" w:sz="4" w:space="0" w:color="auto"/>
            </w:tcBorders>
            <w:shd w:val="clear" w:color="auto" w:fill="auto"/>
            <w:noWrap/>
            <w:vAlign w:val="center"/>
            <w:hideMark/>
          </w:tcPr>
          <w:p w14:paraId="11D90B7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4,525,758</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14:paraId="4E98E36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single" w:sz="4" w:space="0" w:color="auto"/>
              <w:left w:val="nil"/>
              <w:bottom w:val="single" w:sz="4" w:space="0" w:color="auto"/>
              <w:right w:val="single" w:sz="4" w:space="0" w:color="auto"/>
            </w:tcBorders>
            <w:shd w:val="clear" w:color="000000" w:fill="FFF2CC"/>
            <w:vAlign w:val="center"/>
            <w:hideMark/>
          </w:tcPr>
          <w:p w14:paraId="5A58380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4,525,758</w:t>
            </w:r>
          </w:p>
        </w:tc>
        <w:tc>
          <w:tcPr>
            <w:tcW w:w="163" w:type="pct"/>
            <w:tcBorders>
              <w:top w:val="single" w:sz="4" w:space="0" w:color="auto"/>
              <w:left w:val="nil"/>
              <w:bottom w:val="single" w:sz="4" w:space="0" w:color="auto"/>
              <w:right w:val="single" w:sz="4" w:space="0" w:color="auto"/>
            </w:tcBorders>
            <w:shd w:val="clear" w:color="auto" w:fill="auto"/>
            <w:vAlign w:val="center"/>
            <w:hideMark/>
          </w:tcPr>
          <w:p w14:paraId="056AA0C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4,525,758</w:t>
            </w:r>
          </w:p>
        </w:tc>
        <w:tc>
          <w:tcPr>
            <w:tcW w:w="155" w:type="pct"/>
            <w:tcBorders>
              <w:top w:val="single" w:sz="4" w:space="0" w:color="auto"/>
              <w:left w:val="nil"/>
              <w:bottom w:val="single" w:sz="4" w:space="0" w:color="auto"/>
              <w:right w:val="single" w:sz="4" w:space="0" w:color="auto"/>
            </w:tcBorders>
            <w:shd w:val="clear" w:color="auto" w:fill="auto"/>
            <w:vAlign w:val="center"/>
            <w:hideMark/>
          </w:tcPr>
          <w:p w14:paraId="66A63D7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single" w:sz="4" w:space="0" w:color="auto"/>
              <w:left w:val="nil"/>
              <w:bottom w:val="single" w:sz="4" w:space="0" w:color="auto"/>
              <w:right w:val="single" w:sz="4" w:space="0" w:color="auto"/>
            </w:tcBorders>
            <w:shd w:val="clear" w:color="000000" w:fill="FFF2CC"/>
            <w:vAlign w:val="center"/>
            <w:hideMark/>
          </w:tcPr>
          <w:p w14:paraId="1290FC4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4,525,758</w:t>
            </w:r>
          </w:p>
        </w:tc>
        <w:tc>
          <w:tcPr>
            <w:tcW w:w="162" w:type="pct"/>
            <w:tcBorders>
              <w:top w:val="single" w:sz="4" w:space="0" w:color="auto"/>
              <w:left w:val="nil"/>
              <w:bottom w:val="single" w:sz="4" w:space="0" w:color="auto"/>
              <w:right w:val="single" w:sz="4" w:space="0" w:color="auto"/>
            </w:tcBorders>
            <w:shd w:val="clear" w:color="auto" w:fill="auto"/>
            <w:vAlign w:val="center"/>
            <w:hideMark/>
          </w:tcPr>
          <w:p w14:paraId="5F2A5DB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single" w:sz="4" w:space="0" w:color="auto"/>
              <w:left w:val="nil"/>
              <w:bottom w:val="single" w:sz="4" w:space="0" w:color="auto"/>
              <w:right w:val="single" w:sz="4" w:space="0" w:color="auto"/>
            </w:tcBorders>
            <w:shd w:val="clear" w:color="auto" w:fill="auto"/>
            <w:vAlign w:val="center"/>
            <w:hideMark/>
          </w:tcPr>
          <w:p w14:paraId="775B463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single" w:sz="4" w:space="0" w:color="auto"/>
              <w:left w:val="nil"/>
              <w:bottom w:val="single" w:sz="4" w:space="0" w:color="auto"/>
              <w:right w:val="single" w:sz="4" w:space="0" w:color="auto"/>
            </w:tcBorders>
            <w:shd w:val="clear" w:color="auto" w:fill="auto"/>
            <w:vAlign w:val="center"/>
            <w:hideMark/>
          </w:tcPr>
          <w:p w14:paraId="03A0D5E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single" w:sz="4" w:space="0" w:color="auto"/>
              <w:left w:val="nil"/>
              <w:bottom w:val="single" w:sz="4" w:space="0" w:color="auto"/>
              <w:right w:val="single" w:sz="4" w:space="0" w:color="auto"/>
            </w:tcBorders>
            <w:shd w:val="clear" w:color="000000" w:fill="FFF2CC"/>
            <w:noWrap/>
            <w:vAlign w:val="center"/>
            <w:hideMark/>
          </w:tcPr>
          <w:p w14:paraId="4C3A4AB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single" w:sz="4" w:space="0" w:color="auto"/>
              <w:left w:val="nil"/>
              <w:bottom w:val="single" w:sz="4" w:space="0" w:color="auto"/>
              <w:right w:val="single" w:sz="4" w:space="0" w:color="auto"/>
            </w:tcBorders>
            <w:shd w:val="clear" w:color="auto" w:fill="auto"/>
            <w:vAlign w:val="center"/>
            <w:hideMark/>
          </w:tcPr>
          <w:p w14:paraId="7350515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single" w:sz="4" w:space="0" w:color="auto"/>
              <w:left w:val="nil"/>
              <w:bottom w:val="single" w:sz="4" w:space="0" w:color="auto"/>
              <w:right w:val="single" w:sz="4" w:space="0" w:color="auto"/>
            </w:tcBorders>
            <w:shd w:val="clear" w:color="auto" w:fill="auto"/>
            <w:vAlign w:val="center"/>
            <w:hideMark/>
          </w:tcPr>
          <w:p w14:paraId="6B4DB67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single" w:sz="4" w:space="0" w:color="auto"/>
              <w:left w:val="nil"/>
              <w:bottom w:val="single" w:sz="4" w:space="0" w:color="auto"/>
              <w:right w:val="single" w:sz="4" w:space="0" w:color="auto"/>
            </w:tcBorders>
            <w:shd w:val="clear" w:color="000000" w:fill="FFF2CC"/>
            <w:vAlign w:val="center"/>
            <w:hideMark/>
          </w:tcPr>
          <w:p w14:paraId="1F5F070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single" w:sz="4" w:space="0" w:color="auto"/>
              <w:left w:val="nil"/>
              <w:bottom w:val="single" w:sz="4" w:space="0" w:color="auto"/>
              <w:right w:val="single" w:sz="4" w:space="0" w:color="auto"/>
            </w:tcBorders>
            <w:shd w:val="clear" w:color="auto" w:fill="auto"/>
            <w:vAlign w:val="center"/>
            <w:hideMark/>
          </w:tcPr>
          <w:p w14:paraId="1B9D1F6A" w14:textId="2027377A" w:rsidR="00C260C3" w:rsidRPr="00B457F5" w:rsidRDefault="0006016F"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 </w:t>
            </w:r>
            <w:r w:rsidR="00C260C3" w:rsidRPr="00B457F5">
              <w:rPr>
                <w:rFonts w:ascii="Garamond" w:eastAsia="Times New Roman" w:hAnsi="Garamond" w:cs="Times New Roman"/>
                <w:sz w:val="4"/>
                <w:szCs w:val="10"/>
              </w:rPr>
              <w:t>-</w:t>
            </w:r>
          </w:p>
        </w:tc>
      </w:tr>
      <w:tr w:rsidR="00C260C3" w:rsidRPr="00B457F5" w14:paraId="71E57583"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025D6870"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2.3.2.2</w:t>
            </w:r>
          </w:p>
        </w:tc>
        <w:tc>
          <w:tcPr>
            <w:tcW w:w="281" w:type="pct"/>
            <w:tcBorders>
              <w:top w:val="nil"/>
              <w:left w:val="nil"/>
              <w:bottom w:val="single" w:sz="4" w:space="0" w:color="auto"/>
              <w:right w:val="single" w:sz="4" w:space="0" w:color="auto"/>
            </w:tcBorders>
            <w:shd w:val="clear" w:color="auto" w:fill="auto"/>
            <w:vAlign w:val="center"/>
            <w:hideMark/>
          </w:tcPr>
          <w:p w14:paraId="547C44C3"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2.3.2.2 Certifikimi i kurseve afatshkurtra për të siguruar akses të shpejtë në tregun e punës </w:t>
            </w:r>
          </w:p>
        </w:tc>
        <w:tc>
          <w:tcPr>
            <w:tcW w:w="186" w:type="pct"/>
            <w:tcBorders>
              <w:top w:val="nil"/>
              <w:left w:val="nil"/>
              <w:bottom w:val="single" w:sz="4" w:space="0" w:color="auto"/>
              <w:right w:val="single" w:sz="4" w:space="0" w:color="auto"/>
            </w:tcBorders>
            <w:shd w:val="clear" w:color="auto" w:fill="auto"/>
            <w:vAlign w:val="center"/>
            <w:hideMark/>
          </w:tcPr>
          <w:p w14:paraId="3E66CFE6" w14:textId="49B0EB1F" w:rsidR="00C260C3" w:rsidRPr="00B457F5" w:rsidRDefault="00C260C3" w:rsidP="00E92B0D">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E92B0D" w:rsidRPr="00B457F5">
              <w:rPr>
                <w:rFonts w:ascii="Garamond" w:eastAsia="Times New Roman" w:hAnsi="Garamond" w:cs="Times New Roman"/>
                <w:color w:val="FF0000"/>
                <w:sz w:val="4"/>
                <w:szCs w:val="10"/>
              </w:rPr>
              <w:t>Punës</w:t>
            </w:r>
          </w:p>
        </w:tc>
        <w:tc>
          <w:tcPr>
            <w:tcW w:w="169" w:type="pct"/>
            <w:tcBorders>
              <w:top w:val="nil"/>
              <w:left w:val="nil"/>
              <w:bottom w:val="single" w:sz="4" w:space="0" w:color="auto"/>
              <w:right w:val="single" w:sz="4" w:space="0" w:color="auto"/>
            </w:tcBorders>
            <w:shd w:val="clear" w:color="auto" w:fill="auto"/>
            <w:vAlign w:val="center"/>
            <w:hideMark/>
          </w:tcPr>
          <w:p w14:paraId="094279F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MEKI</w:t>
            </w:r>
          </w:p>
        </w:tc>
        <w:tc>
          <w:tcPr>
            <w:tcW w:w="244" w:type="pct"/>
            <w:tcBorders>
              <w:top w:val="nil"/>
              <w:left w:val="nil"/>
              <w:bottom w:val="single" w:sz="4" w:space="0" w:color="auto"/>
              <w:right w:val="single" w:sz="4" w:space="0" w:color="auto"/>
            </w:tcBorders>
            <w:shd w:val="clear" w:color="auto" w:fill="auto"/>
            <w:vAlign w:val="center"/>
            <w:hideMark/>
          </w:tcPr>
          <w:p w14:paraId="564E5A5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AKPA</w:t>
            </w:r>
          </w:p>
        </w:tc>
        <w:tc>
          <w:tcPr>
            <w:tcW w:w="135" w:type="pct"/>
            <w:tcBorders>
              <w:top w:val="nil"/>
              <w:left w:val="nil"/>
              <w:bottom w:val="single" w:sz="4" w:space="0" w:color="auto"/>
              <w:right w:val="single" w:sz="4" w:space="0" w:color="auto"/>
            </w:tcBorders>
            <w:shd w:val="clear" w:color="000000" w:fill="DDEBF7"/>
            <w:vAlign w:val="center"/>
            <w:hideMark/>
          </w:tcPr>
          <w:p w14:paraId="16EC9260"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2024</w:t>
            </w:r>
          </w:p>
        </w:tc>
        <w:tc>
          <w:tcPr>
            <w:tcW w:w="152" w:type="pct"/>
            <w:tcBorders>
              <w:top w:val="nil"/>
              <w:left w:val="nil"/>
              <w:bottom w:val="single" w:sz="4" w:space="0" w:color="auto"/>
              <w:right w:val="single" w:sz="4" w:space="0" w:color="auto"/>
            </w:tcBorders>
            <w:shd w:val="clear" w:color="000000" w:fill="DDEBF7"/>
            <w:vAlign w:val="center"/>
            <w:hideMark/>
          </w:tcPr>
          <w:p w14:paraId="0CB82D64"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63" w:type="pct"/>
            <w:tcBorders>
              <w:top w:val="nil"/>
              <w:left w:val="nil"/>
              <w:bottom w:val="single" w:sz="4" w:space="0" w:color="auto"/>
              <w:right w:val="single" w:sz="4" w:space="0" w:color="auto"/>
            </w:tcBorders>
            <w:shd w:val="clear" w:color="auto" w:fill="auto"/>
            <w:vAlign w:val="center"/>
            <w:hideMark/>
          </w:tcPr>
          <w:p w14:paraId="10B217D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1,508,586</w:t>
            </w:r>
          </w:p>
        </w:tc>
        <w:tc>
          <w:tcPr>
            <w:tcW w:w="155" w:type="pct"/>
            <w:tcBorders>
              <w:top w:val="nil"/>
              <w:left w:val="nil"/>
              <w:bottom w:val="single" w:sz="4" w:space="0" w:color="auto"/>
              <w:right w:val="single" w:sz="4" w:space="0" w:color="auto"/>
            </w:tcBorders>
            <w:shd w:val="clear" w:color="auto" w:fill="auto"/>
            <w:vAlign w:val="center"/>
            <w:hideMark/>
          </w:tcPr>
          <w:p w14:paraId="1B4A5E8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0F18B0A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1,508,586</w:t>
            </w:r>
          </w:p>
        </w:tc>
        <w:tc>
          <w:tcPr>
            <w:tcW w:w="165" w:type="pct"/>
            <w:tcBorders>
              <w:top w:val="nil"/>
              <w:left w:val="nil"/>
              <w:bottom w:val="single" w:sz="4" w:space="0" w:color="auto"/>
              <w:right w:val="single" w:sz="4" w:space="0" w:color="auto"/>
            </w:tcBorders>
            <w:shd w:val="clear" w:color="auto" w:fill="auto"/>
            <w:vAlign w:val="center"/>
            <w:hideMark/>
          </w:tcPr>
          <w:p w14:paraId="413D506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1,508,586</w:t>
            </w:r>
          </w:p>
        </w:tc>
        <w:tc>
          <w:tcPr>
            <w:tcW w:w="163" w:type="pct"/>
            <w:tcBorders>
              <w:top w:val="nil"/>
              <w:left w:val="nil"/>
              <w:bottom w:val="single" w:sz="4" w:space="0" w:color="auto"/>
              <w:right w:val="single" w:sz="4" w:space="0" w:color="auto"/>
            </w:tcBorders>
            <w:shd w:val="clear" w:color="auto" w:fill="auto"/>
            <w:vAlign w:val="center"/>
            <w:hideMark/>
          </w:tcPr>
          <w:p w14:paraId="68417A0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32F3EBE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1,508,586</w:t>
            </w:r>
          </w:p>
        </w:tc>
        <w:tc>
          <w:tcPr>
            <w:tcW w:w="163" w:type="pct"/>
            <w:tcBorders>
              <w:top w:val="nil"/>
              <w:left w:val="nil"/>
              <w:bottom w:val="single" w:sz="4" w:space="0" w:color="auto"/>
              <w:right w:val="single" w:sz="4" w:space="0" w:color="auto"/>
            </w:tcBorders>
            <w:shd w:val="clear" w:color="auto" w:fill="auto"/>
            <w:vAlign w:val="center"/>
            <w:hideMark/>
          </w:tcPr>
          <w:p w14:paraId="52AE236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1,508,586</w:t>
            </w:r>
          </w:p>
        </w:tc>
        <w:tc>
          <w:tcPr>
            <w:tcW w:w="148" w:type="pct"/>
            <w:tcBorders>
              <w:top w:val="nil"/>
              <w:left w:val="nil"/>
              <w:bottom w:val="single" w:sz="4" w:space="0" w:color="auto"/>
              <w:right w:val="single" w:sz="4" w:space="0" w:color="auto"/>
            </w:tcBorders>
            <w:shd w:val="clear" w:color="auto" w:fill="auto"/>
            <w:vAlign w:val="center"/>
            <w:hideMark/>
          </w:tcPr>
          <w:p w14:paraId="7D913DD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47FE8B5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1,508,586</w:t>
            </w:r>
          </w:p>
        </w:tc>
        <w:tc>
          <w:tcPr>
            <w:tcW w:w="165" w:type="pct"/>
            <w:tcBorders>
              <w:top w:val="nil"/>
              <w:left w:val="nil"/>
              <w:bottom w:val="single" w:sz="4" w:space="0" w:color="auto"/>
              <w:right w:val="single" w:sz="4" w:space="0" w:color="auto"/>
            </w:tcBorders>
            <w:shd w:val="clear" w:color="auto" w:fill="auto"/>
            <w:noWrap/>
            <w:vAlign w:val="center"/>
            <w:hideMark/>
          </w:tcPr>
          <w:p w14:paraId="0B347CD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4,525,758</w:t>
            </w:r>
          </w:p>
        </w:tc>
        <w:tc>
          <w:tcPr>
            <w:tcW w:w="163" w:type="pct"/>
            <w:tcBorders>
              <w:top w:val="nil"/>
              <w:left w:val="nil"/>
              <w:bottom w:val="single" w:sz="4" w:space="0" w:color="auto"/>
              <w:right w:val="single" w:sz="4" w:space="0" w:color="auto"/>
            </w:tcBorders>
            <w:shd w:val="clear" w:color="auto" w:fill="auto"/>
            <w:noWrap/>
            <w:vAlign w:val="center"/>
            <w:hideMark/>
          </w:tcPr>
          <w:p w14:paraId="77A5538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1C839BE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4,525,758</w:t>
            </w:r>
          </w:p>
        </w:tc>
        <w:tc>
          <w:tcPr>
            <w:tcW w:w="163" w:type="pct"/>
            <w:tcBorders>
              <w:top w:val="nil"/>
              <w:left w:val="nil"/>
              <w:bottom w:val="single" w:sz="4" w:space="0" w:color="auto"/>
              <w:right w:val="single" w:sz="4" w:space="0" w:color="auto"/>
            </w:tcBorders>
            <w:shd w:val="clear" w:color="auto" w:fill="auto"/>
            <w:vAlign w:val="center"/>
            <w:hideMark/>
          </w:tcPr>
          <w:p w14:paraId="00007F4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4,525,758</w:t>
            </w:r>
          </w:p>
        </w:tc>
        <w:tc>
          <w:tcPr>
            <w:tcW w:w="155" w:type="pct"/>
            <w:tcBorders>
              <w:top w:val="nil"/>
              <w:left w:val="nil"/>
              <w:bottom w:val="single" w:sz="4" w:space="0" w:color="auto"/>
              <w:right w:val="single" w:sz="4" w:space="0" w:color="auto"/>
            </w:tcBorders>
            <w:shd w:val="clear" w:color="auto" w:fill="auto"/>
            <w:vAlign w:val="center"/>
            <w:hideMark/>
          </w:tcPr>
          <w:p w14:paraId="2E1F8D8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0B85398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4,525,758</w:t>
            </w:r>
          </w:p>
        </w:tc>
        <w:tc>
          <w:tcPr>
            <w:tcW w:w="162" w:type="pct"/>
            <w:tcBorders>
              <w:top w:val="nil"/>
              <w:left w:val="nil"/>
              <w:bottom w:val="single" w:sz="4" w:space="0" w:color="auto"/>
              <w:right w:val="single" w:sz="4" w:space="0" w:color="auto"/>
            </w:tcBorders>
            <w:shd w:val="clear" w:color="auto" w:fill="auto"/>
            <w:vAlign w:val="center"/>
            <w:hideMark/>
          </w:tcPr>
          <w:p w14:paraId="10FBD9B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28DCF34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3F6D35B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FFF2CC"/>
            <w:noWrap/>
            <w:vAlign w:val="center"/>
            <w:hideMark/>
          </w:tcPr>
          <w:p w14:paraId="5BB3A32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1586BC9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6CFD301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482AB04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28B99067" w14:textId="4CEDE0EF" w:rsidR="00C260C3" w:rsidRPr="00B457F5" w:rsidRDefault="0006016F"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 </w:t>
            </w:r>
            <w:r w:rsidR="00C260C3" w:rsidRPr="00B457F5">
              <w:rPr>
                <w:rFonts w:ascii="Garamond" w:eastAsia="Times New Roman" w:hAnsi="Garamond" w:cs="Times New Roman"/>
                <w:sz w:val="4"/>
                <w:szCs w:val="10"/>
              </w:rPr>
              <w:t>-</w:t>
            </w:r>
          </w:p>
        </w:tc>
      </w:tr>
      <w:tr w:rsidR="00C260C3" w:rsidRPr="00B457F5" w14:paraId="46035934"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0ADA2857"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2.3.2.3</w:t>
            </w:r>
          </w:p>
        </w:tc>
        <w:tc>
          <w:tcPr>
            <w:tcW w:w="281" w:type="pct"/>
            <w:tcBorders>
              <w:top w:val="nil"/>
              <w:left w:val="nil"/>
              <w:bottom w:val="single" w:sz="4" w:space="0" w:color="auto"/>
              <w:right w:val="single" w:sz="4" w:space="0" w:color="auto"/>
            </w:tcBorders>
            <w:shd w:val="clear" w:color="auto" w:fill="auto"/>
            <w:vAlign w:val="center"/>
            <w:hideMark/>
          </w:tcPr>
          <w:p w14:paraId="6E4A4DEC" w14:textId="2055BFD8"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2.3.2.3 Prezantimi i programeve të trajnimit që kanë në fokus migrantë aktualë dhe potencialë</w:t>
            </w:r>
            <w:r w:rsidR="006E177B"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me qëllim përmirësimin e aftësive të tyre bazë, thelbësore dhe teknike për të rritur punësueshmërinë e tyre </w:t>
            </w:r>
          </w:p>
        </w:tc>
        <w:tc>
          <w:tcPr>
            <w:tcW w:w="186" w:type="pct"/>
            <w:tcBorders>
              <w:top w:val="nil"/>
              <w:left w:val="nil"/>
              <w:bottom w:val="single" w:sz="4" w:space="0" w:color="auto"/>
              <w:right w:val="single" w:sz="4" w:space="0" w:color="auto"/>
            </w:tcBorders>
            <w:shd w:val="clear" w:color="auto" w:fill="auto"/>
            <w:vAlign w:val="center"/>
            <w:hideMark/>
          </w:tcPr>
          <w:p w14:paraId="339C390B" w14:textId="286195CA" w:rsidR="00C260C3" w:rsidRPr="00B457F5" w:rsidRDefault="00C260C3" w:rsidP="00E92B0D">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E92B0D" w:rsidRPr="00B457F5">
              <w:rPr>
                <w:rFonts w:ascii="Garamond" w:eastAsia="Times New Roman" w:hAnsi="Garamond" w:cs="Times New Roman"/>
                <w:color w:val="FF0000"/>
                <w:sz w:val="4"/>
                <w:szCs w:val="10"/>
              </w:rPr>
              <w:t>Punës</w:t>
            </w:r>
          </w:p>
        </w:tc>
        <w:tc>
          <w:tcPr>
            <w:tcW w:w="169" w:type="pct"/>
            <w:tcBorders>
              <w:top w:val="nil"/>
              <w:left w:val="nil"/>
              <w:bottom w:val="single" w:sz="4" w:space="0" w:color="auto"/>
              <w:right w:val="single" w:sz="4" w:space="0" w:color="auto"/>
            </w:tcBorders>
            <w:shd w:val="clear" w:color="auto" w:fill="auto"/>
            <w:vAlign w:val="center"/>
            <w:hideMark/>
          </w:tcPr>
          <w:p w14:paraId="0B451A7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AKPA</w:t>
            </w:r>
          </w:p>
        </w:tc>
        <w:tc>
          <w:tcPr>
            <w:tcW w:w="244" w:type="pct"/>
            <w:tcBorders>
              <w:top w:val="nil"/>
              <w:left w:val="nil"/>
              <w:bottom w:val="single" w:sz="4" w:space="0" w:color="auto"/>
              <w:right w:val="single" w:sz="4" w:space="0" w:color="auto"/>
            </w:tcBorders>
            <w:shd w:val="clear" w:color="auto" w:fill="auto"/>
            <w:vAlign w:val="center"/>
            <w:hideMark/>
          </w:tcPr>
          <w:p w14:paraId="7514F4E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MEKI </w:t>
            </w:r>
          </w:p>
        </w:tc>
        <w:tc>
          <w:tcPr>
            <w:tcW w:w="135" w:type="pct"/>
            <w:tcBorders>
              <w:top w:val="nil"/>
              <w:left w:val="nil"/>
              <w:bottom w:val="single" w:sz="4" w:space="0" w:color="auto"/>
              <w:right w:val="single" w:sz="4" w:space="0" w:color="auto"/>
            </w:tcBorders>
            <w:shd w:val="clear" w:color="000000" w:fill="DDEBF7"/>
            <w:vAlign w:val="center"/>
            <w:hideMark/>
          </w:tcPr>
          <w:p w14:paraId="40056D62"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2024</w:t>
            </w:r>
          </w:p>
        </w:tc>
        <w:tc>
          <w:tcPr>
            <w:tcW w:w="152" w:type="pct"/>
            <w:tcBorders>
              <w:top w:val="nil"/>
              <w:left w:val="nil"/>
              <w:bottom w:val="single" w:sz="4" w:space="0" w:color="auto"/>
              <w:right w:val="single" w:sz="4" w:space="0" w:color="auto"/>
            </w:tcBorders>
            <w:shd w:val="clear" w:color="000000" w:fill="DDEBF7"/>
            <w:vAlign w:val="center"/>
            <w:hideMark/>
          </w:tcPr>
          <w:p w14:paraId="2B422C7C"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63" w:type="pct"/>
            <w:tcBorders>
              <w:top w:val="nil"/>
              <w:left w:val="nil"/>
              <w:bottom w:val="single" w:sz="4" w:space="0" w:color="auto"/>
              <w:right w:val="single" w:sz="4" w:space="0" w:color="auto"/>
            </w:tcBorders>
            <w:shd w:val="clear" w:color="auto" w:fill="auto"/>
            <w:vAlign w:val="center"/>
            <w:hideMark/>
          </w:tcPr>
          <w:p w14:paraId="24B1496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1,327,305</w:t>
            </w:r>
          </w:p>
        </w:tc>
        <w:tc>
          <w:tcPr>
            <w:tcW w:w="155" w:type="pct"/>
            <w:tcBorders>
              <w:top w:val="nil"/>
              <w:left w:val="nil"/>
              <w:bottom w:val="single" w:sz="4" w:space="0" w:color="auto"/>
              <w:right w:val="single" w:sz="4" w:space="0" w:color="auto"/>
            </w:tcBorders>
            <w:shd w:val="clear" w:color="auto" w:fill="auto"/>
            <w:vAlign w:val="center"/>
            <w:hideMark/>
          </w:tcPr>
          <w:p w14:paraId="405971F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42752AF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1,327,305</w:t>
            </w:r>
          </w:p>
        </w:tc>
        <w:tc>
          <w:tcPr>
            <w:tcW w:w="165" w:type="pct"/>
            <w:tcBorders>
              <w:top w:val="nil"/>
              <w:left w:val="nil"/>
              <w:bottom w:val="single" w:sz="4" w:space="0" w:color="auto"/>
              <w:right w:val="single" w:sz="4" w:space="0" w:color="auto"/>
            </w:tcBorders>
            <w:shd w:val="clear" w:color="auto" w:fill="auto"/>
            <w:vAlign w:val="center"/>
            <w:hideMark/>
          </w:tcPr>
          <w:p w14:paraId="23FE9F6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1,327,305</w:t>
            </w:r>
          </w:p>
        </w:tc>
        <w:tc>
          <w:tcPr>
            <w:tcW w:w="163" w:type="pct"/>
            <w:tcBorders>
              <w:top w:val="nil"/>
              <w:left w:val="nil"/>
              <w:bottom w:val="single" w:sz="4" w:space="0" w:color="auto"/>
              <w:right w:val="single" w:sz="4" w:space="0" w:color="auto"/>
            </w:tcBorders>
            <w:shd w:val="clear" w:color="auto" w:fill="auto"/>
            <w:vAlign w:val="center"/>
            <w:hideMark/>
          </w:tcPr>
          <w:p w14:paraId="7A35D91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7ED5C9F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1,327,305</w:t>
            </w:r>
          </w:p>
        </w:tc>
        <w:tc>
          <w:tcPr>
            <w:tcW w:w="163" w:type="pct"/>
            <w:tcBorders>
              <w:top w:val="nil"/>
              <w:left w:val="nil"/>
              <w:bottom w:val="single" w:sz="4" w:space="0" w:color="auto"/>
              <w:right w:val="single" w:sz="4" w:space="0" w:color="auto"/>
            </w:tcBorders>
            <w:shd w:val="clear" w:color="auto" w:fill="auto"/>
            <w:vAlign w:val="center"/>
            <w:hideMark/>
          </w:tcPr>
          <w:p w14:paraId="6AB2637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1,327,305</w:t>
            </w:r>
          </w:p>
        </w:tc>
        <w:tc>
          <w:tcPr>
            <w:tcW w:w="148" w:type="pct"/>
            <w:tcBorders>
              <w:top w:val="nil"/>
              <w:left w:val="nil"/>
              <w:bottom w:val="single" w:sz="4" w:space="0" w:color="auto"/>
              <w:right w:val="single" w:sz="4" w:space="0" w:color="auto"/>
            </w:tcBorders>
            <w:shd w:val="clear" w:color="auto" w:fill="auto"/>
            <w:vAlign w:val="center"/>
            <w:hideMark/>
          </w:tcPr>
          <w:p w14:paraId="589DEE5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3DCD8F5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1,327,305</w:t>
            </w:r>
          </w:p>
        </w:tc>
        <w:tc>
          <w:tcPr>
            <w:tcW w:w="165" w:type="pct"/>
            <w:tcBorders>
              <w:top w:val="nil"/>
              <w:left w:val="nil"/>
              <w:bottom w:val="single" w:sz="4" w:space="0" w:color="auto"/>
              <w:right w:val="single" w:sz="4" w:space="0" w:color="auto"/>
            </w:tcBorders>
            <w:shd w:val="clear" w:color="auto" w:fill="auto"/>
            <w:noWrap/>
            <w:vAlign w:val="center"/>
            <w:hideMark/>
          </w:tcPr>
          <w:p w14:paraId="11FFFF1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3,981,915</w:t>
            </w:r>
          </w:p>
        </w:tc>
        <w:tc>
          <w:tcPr>
            <w:tcW w:w="163" w:type="pct"/>
            <w:tcBorders>
              <w:top w:val="nil"/>
              <w:left w:val="nil"/>
              <w:bottom w:val="single" w:sz="4" w:space="0" w:color="auto"/>
              <w:right w:val="single" w:sz="4" w:space="0" w:color="auto"/>
            </w:tcBorders>
            <w:shd w:val="clear" w:color="auto" w:fill="auto"/>
            <w:noWrap/>
            <w:vAlign w:val="center"/>
            <w:hideMark/>
          </w:tcPr>
          <w:p w14:paraId="24EA58C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4D5C4C9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3,981,915</w:t>
            </w:r>
          </w:p>
        </w:tc>
        <w:tc>
          <w:tcPr>
            <w:tcW w:w="163" w:type="pct"/>
            <w:tcBorders>
              <w:top w:val="nil"/>
              <w:left w:val="nil"/>
              <w:bottom w:val="single" w:sz="4" w:space="0" w:color="auto"/>
              <w:right w:val="single" w:sz="4" w:space="0" w:color="auto"/>
            </w:tcBorders>
            <w:shd w:val="clear" w:color="auto" w:fill="auto"/>
            <w:vAlign w:val="center"/>
            <w:hideMark/>
          </w:tcPr>
          <w:p w14:paraId="68F4151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3,981,915</w:t>
            </w:r>
          </w:p>
        </w:tc>
        <w:tc>
          <w:tcPr>
            <w:tcW w:w="155" w:type="pct"/>
            <w:tcBorders>
              <w:top w:val="nil"/>
              <w:left w:val="nil"/>
              <w:bottom w:val="single" w:sz="4" w:space="0" w:color="auto"/>
              <w:right w:val="single" w:sz="4" w:space="0" w:color="auto"/>
            </w:tcBorders>
            <w:shd w:val="clear" w:color="auto" w:fill="auto"/>
            <w:vAlign w:val="center"/>
            <w:hideMark/>
          </w:tcPr>
          <w:p w14:paraId="76D9654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0D0F137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3,981,915</w:t>
            </w:r>
          </w:p>
        </w:tc>
        <w:tc>
          <w:tcPr>
            <w:tcW w:w="162" w:type="pct"/>
            <w:tcBorders>
              <w:top w:val="nil"/>
              <w:left w:val="nil"/>
              <w:bottom w:val="single" w:sz="4" w:space="0" w:color="auto"/>
              <w:right w:val="single" w:sz="4" w:space="0" w:color="auto"/>
            </w:tcBorders>
            <w:shd w:val="clear" w:color="auto" w:fill="auto"/>
            <w:vAlign w:val="center"/>
            <w:hideMark/>
          </w:tcPr>
          <w:p w14:paraId="16695D7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63339DC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4E37FB2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FFF2CC"/>
            <w:noWrap/>
            <w:vAlign w:val="center"/>
            <w:hideMark/>
          </w:tcPr>
          <w:p w14:paraId="54AB2C0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45C439F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13EFBE0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6F58CB9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3C87EFB2" w14:textId="58800116" w:rsidR="00C260C3" w:rsidRPr="00B457F5" w:rsidRDefault="0006016F"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 </w:t>
            </w:r>
            <w:r w:rsidR="00C260C3" w:rsidRPr="00B457F5">
              <w:rPr>
                <w:rFonts w:ascii="Garamond" w:eastAsia="Times New Roman" w:hAnsi="Garamond" w:cs="Times New Roman"/>
                <w:sz w:val="4"/>
                <w:szCs w:val="10"/>
              </w:rPr>
              <w:t>-</w:t>
            </w:r>
          </w:p>
        </w:tc>
      </w:tr>
      <w:tr w:rsidR="00C260C3" w:rsidRPr="00B457F5" w14:paraId="05E9033E"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0981FC0E"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2.3.2.4</w:t>
            </w:r>
          </w:p>
        </w:tc>
        <w:tc>
          <w:tcPr>
            <w:tcW w:w="281" w:type="pct"/>
            <w:tcBorders>
              <w:top w:val="nil"/>
              <w:left w:val="nil"/>
              <w:bottom w:val="single" w:sz="4" w:space="0" w:color="auto"/>
              <w:right w:val="single" w:sz="4" w:space="0" w:color="auto"/>
            </w:tcBorders>
            <w:shd w:val="clear" w:color="auto" w:fill="auto"/>
            <w:vAlign w:val="center"/>
            <w:hideMark/>
          </w:tcPr>
          <w:p w14:paraId="5AAF6898" w14:textId="14AD8342"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2.3.2.4 Përmirësimi i aftësive digjitale dhe përfshirja digjitale e emigrantëve dhe imigrantëve për të lehtësuar sfidat me të cilat përballen në vendet pritëse</w:t>
            </w:r>
            <w:r w:rsidR="006E177B" w:rsidRPr="00B457F5">
              <w:rPr>
                <w:rFonts w:ascii="Garamond" w:eastAsia="Times New Roman" w:hAnsi="Garamond" w:cs="Times New Roman"/>
                <w:sz w:val="4"/>
                <w:szCs w:val="10"/>
              </w:rPr>
              <w:t>,</w:t>
            </w:r>
            <w:r w:rsidRPr="00B457F5">
              <w:rPr>
                <w:rFonts w:ascii="Garamond" w:eastAsia="Times New Roman" w:hAnsi="Garamond" w:cs="Times New Roman"/>
                <w:sz w:val="4"/>
                <w:szCs w:val="10"/>
              </w:rPr>
              <w:t xml:space="preserve"> lidhur me burimet e limituara, aksesin e kufizuar, si dhe pengesat gjuhësore dhe kulturore</w:t>
            </w:r>
          </w:p>
        </w:tc>
        <w:tc>
          <w:tcPr>
            <w:tcW w:w="186" w:type="pct"/>
            <w:tcBorders>
              <w:top w:val="nil"/>
              <w:left w:val="nil"/>
              <w:bottom w:val="single" w:sz="4" w:space="0" w:color="auto"/>
              <w:right w:val="single" w:sz="4" w:space="0" w:color="auto"/>
            </w:tcBorders>
            <w:shd w:val="clear" w:color="auto" w:fill="auto"/>
            <w:vAlign w:val="center"/>
            <w:hideMark/>
          </w:tcPr>
          <w:p w14:paraId="164C8250" w14:textId="133D592F"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E92B0D" w:rsidRPr="00B457F5">
              <w:rPr>
                <w:rFonts w:ascii="Garamond" w:eastAsia="Times New Roman" w:hAnsi="Garamond" w:cs="Times New Roman"/>
                <w:color w:val="FF0000"/>
                <w:sz w:val="4"/>
                <w:szCs w:val="10"/>
              </w:rPr>
              <w:t>Punës</w:t>
            </w:r>
          </w:p>
        </w:tc>
        <w:tc>
          <w:tcPr>
            <w:tcW w:w="169" w:type="pct"/>
            <w:tcBorders>
              <w:top w:val="nil"/>
              <w:left w:val="nil"/>
              <w:bottom w:val="single" w:sz="4" w:space="0" w:color="auto"/>
              <w:right w:val="single" w:sz="4" w:space="0" w:color="auto"/>
            </w:tcBorders>
            <w:shd w:val="clear" w:color="auto" w:fill="auto"/>
            <w:vAlign w:val="center"/>
            <w:hideMark/>
          </w:tcPr>
          <w:p w14:paraId="102FEA8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AKPA</w:t>
            </w:r>
          </w:p>
        </w:tc>
        <w:tc>
          <w:tcPr>
            <w:tcW w:w="244" w:type="pct"/>
            <w:tcBorders>
              <w:top w:val="nil"/>
              <w:left w:val="nil"/>
              <w:bottom w:val="single" w:sz="4" w:space="0" w:color="auto"/>
              <w:right w:val="single" w:sz="4" w:space="0" w:color="auto"/>
            </w:tcBorders>
            <w:shd w:val="clear" w:color="auto" w:fill="auto"/>
            <w:vAlign w:val="center"/>
            <w:hideMark/>
          </w:tcPr>
          <w:p w14:paraId="194581C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MEKI, MB</w:t>
            </w:r>
          </w:p>
        </w:tc>
        <w:tc>
          <w:tcPr>
            <w:tcW w:w="135" w:type="pct"/>
            <w:tcBorders>
              <w:top w:val="nil"/>
              <w:left w:val="nil"/>
              <w:bottom w:val="single" w:sz="4" w:space="0" w:color="auto"/>
              <w:right w:val="single" w:sz="4" w:space="0" w:color="auto"/>
            </w:tcBorders>
            <w:shd w:val="clear" w:color="000000" w:fill="DDEBF7"/>
            <w:vAlign w:val="center"/>
            <w:hideMark/>
          </w:tcPr>
          <w:p w14:paraId="1A91953A"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5E16A04B"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25104F5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1,508,586</w:t>
            </w:r>
          </w:p>
        </w:tc>
        <w:tc>
          <w:tcPr>
            <w:tcW w:w="155" w:type="pct"/>
            <w:tcBorders>
              <w:top w:val="nil"/>
              <w:left w:val="nil"/>
              <w:bottom w:val="single" w:sz="4" w:space="0" w:color="auto"/>
              <w:right w:val="single" w:sz="4" w:space="0" w:color="auto"/>
            </w:tcBorders>
            <w:shd w:val="clear" w:color="auto" w:fill="auto"/>
            <w:vAlign w:val="center"/>
            <w:hideMark/>
          </w:tcPr>
          <w:p w14:paraId="7DC16EC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00C30FB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1,508,586</w:t>
            </w:r>
          </w:p>
        </w:tc>
        <w:tc>
          <w:tcPr>
            <w:tcW w:w="165" w:type="pct"/>
            <w:tcBorders>
              <w:top w:val="nil"/>
              <w:left w:val="nil"/>
              <w:bottom w:val="single" w:sz="4" w:space="0" w:color="auto"/>
              <w:right w:val="single" w:sz="4" w:space="0" w:color="auto"/>
            </w:tcBorders>
            <w:shd w:val="clear" w:color="auto" w:fill="auto"/>
            <w:vAlign w:val="center"/>
            <w:hideMark/>
          </w:tcPr>
          <w:p w14:paraId="563F00C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1,508,586</w:t>
            </w:r>
          </w:p>
        </w:tc>
        <w:tc>
          <w:tcPr>
            <w:tcW w:w="163" w:type="pct"/>
            <w:tcBorders>
              <w:top w:val="nil"/>
              <w:left w:val="nil"/>
              <w:bottom w:val="single" w:sz="4" w:space="0" w:color="auto"/>
              <w:right w:val="single" w:sz="4" w:space="0" w:color="auto"/>
            </w:tcBorders>
            <w:shd w:val="clear" w:color="auto" w:fill="auto"/>
            <w:vAlign w:val="center"/>
            <w:hideMark/>
          </w:tcPr>
          <w:p w14:paraId="4A0E951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C7A3F6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1,508,586</w:t>
            </w:r>
          </w:p>
        </w:tc>
        <w:tc>
          <w:tcPr>
            <w:tcW w:w="163" w:type="pct"/>
            <w:tcBorders>
              <w:top w:val="nil"/>
              <w:left w:val="nil"/>
              <w:bottom w:val="single" w:sz="4" w:space="0" w:color="auto"/>
              <w:right w:val="single" w:sz="4" w:space="0" w:color="auto"/>
            </w:tcBorders>
            <w:shd w:val="clear" w:color="auto" w:fill="auto"/>
            <w:vAlign w:val="center"/>
            <w:hideMark/>
          </w:tcPr>
          <w:p w14:paraId="68DF97D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1,508,586</w:t>
            </w:r>
          </w:p>
        </w:tc>
        <w:tc>
          <w:tcPr>
            <w:tcW w:w="148" w:type="pct"/>
            <w:tcBorders>
              <w:top w:val="nil"/>
              <w:left w:val="nil"/>
              <w:bottom w:val="single" w:sz="4" w:space="0" w:color="auto"/>
              <w:right w:val="single" w:sz="4" w:space="0" w:color="auto"/>
            </w:tcBorders>
            <w:shd w:val="clear" w:color="auto" w:fill="auto"/>
            <w:vAlign w:val="center"/>
            <w:hideMark/>
          </w:tcPr>
          <w:p w14:paraId="64D177E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52F301B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1,508,586</w:t>
            </w:r>
          </w:p>
        </w:tc>
        <w:tc>
          <w:tcPr>
            <w:tcW w:w="165" w:type="pct"/>
            <w:tcBorders>
              <w:top w:val="nil"/>
              <w:left w:val="nil"/>
              <w:bottom w:val="single" w:sz="4" w:space="0" w:color="auto"/>
              <w:right w:val="single" w:sz="4" w:space="0" w:color="auto"/>
            </w:tcBorders>
            <w:shd w:val="clear" w:color="auto" w:fill="auto"/>
            <w:noWrap/>
            <w:vAlign w:val="center"/>
            <w:hideMark/>
          </w:tcPr>
          <w:p w14:paraId="4F948C1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4,525,758</w:t>
            </w:r>
          </w:p>
        </w:tc>
        <w:tc>
          <w:tcPr>
            <w:tcW w:w="163" w:type="pct"/>
            <w:tcBorders>
              <w:top w:val="nil"/>
              <w:left w:val="nil"/>
              <w:bottom w:val="single" w:sz="4" w:space="0" w:color="auto"/>
              <w:right w:val="single" w:sz="4" w:space="0" w:color="auto"/>
            </w:tcBorders>
            <w:shd w:val="clear" w:color="auto" w:fill="auto"/>
            <w:noWrap/>
            <w:vAlign w:val="center"/>
            <w:hideMark/>
          </w:tcPr>
          <w:p w14:paraId="10CE147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4CF3B3C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4,525,758</w:t>
            </w:r>
          </w:p>
        </w:tc>
        <w:tc>
          <w:tcPr>
            <w:tcW w:w="163" w:type="pct"/>
            <w:tcBorders>
              <w:top w:val="nil"/>
              <w:left w:val="nil"/>
              <w:bottom w:val="single" w:sz="4" w:space="0" w:color="auto"/>
              <w:right w:val="single" w:sz="4" w:space="0" w:color="auto"/>
            </w:tcBorders>
            <w:shd w:val="clear" w:color="auto" w:fill="auto"/>
            <w:vAlign w:val="center"/>
            <w:hideMark/>
          </w:tcPr>
          <w:p w14:paraId="3C43D87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4,525,758</w:t>
            </w:r>
          </w:p>
        </w:tc>
        <w:tc>
          <w:tcPr>
            <w:tcW w:w="155" w:type="pct"/>
            <w:tcBorders>
              <w:top w:val="nil"/>
              <w:left w:val="nil"/>
              <w:bottom w:val="single" w:sz="4" w:space="0" w:color="auto"/>
              <w:right w:val="single" w:sz="4" w:space="0" w:color="auto"/>
            </w:tcBorders>
            <w:shd w:val="clear" w:color="auto" w:fill="auto"/>
            <w:vAlign w:val="center"/>
            <w:hideMark/>
          </w:tcPr>
          <w:p w14:paraId="11D52A6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39C84F9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4,525,758</w:t>
            </w:r>
          </w:p>
        </w:tc>
        <w:tc>
          <w:tcPr>
            <w:tcW w:w="162" w:type="pct"/>
            <w:tcBorders>
              <w:top w:val="nil"/>
              <w:left w:val="nil"/>
              <w:bottom w:val="single" w:sz="4" w:space="0" w:color="auto"/>
              <w:right w:val="single" w:sz="4" w:space="0" w:color="auto"/>
            </w:tcBorders>
            <w:shd w:val="clear" w:color="auto" w:fill="auto"/>
            <w:vAlign w:val="center"/>
            <w:hideMark/>
          </w:tcPr>
          <w:p w14:paraId="54A31B9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10665CB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4200227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FFF2CC"/>
            <w:noWrap/>
            <w:vAlign w:val="center"/>
            <w:hideMark/>
          </w:tcPr>
          <w:p w14:paraId="1A37E3D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6D2D4F9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7E52C6B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489F491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21C461CF" w14:textId="1397A21A" w:rsidR="00C260C3" w:rsidRPr="00B457F5" w:rsidRDefault="0006016F"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 </w:t>
            </w:r>
            <w:r w:rsidR="00C260C3" w:rsidRPr="00B457F5">
              <w:rPr>
                <w:rFonts w:ascii="Garamond" w:eastAsia="Times New Roman" w:hAnsi="Garamond" w:cs="Times New Roman"/>
                <w:sz w:val="4"/>
                <w:szCs w:val="10"/>
              </w:rPr>
              <w:t>-</w:t>
            </w:r>
          </w:p>
        </w:tc>
      </w:tr>
      <w:tr w:rsidR="00C260C3" w:rsidRPr="00B457F5" w14:paraId="77C41344" w14:textId="77777777" w:rsidTr="00C260C3">
        <w:trPr>
          <w:trHeight w:val="20"/>
        </w:trPr>
        <w:tc>
          <w:tcPr>
            <w:tcW w:w="131" w:type="pct"/>
            <w:tcBorders>
              <w:top w:val="nil"/>
              <w:left w:val="single" w:sz="4" w:space="0" w:color="auto"/>
              <w:bottom w:val="single" w:sz="4" w:space="0" w:color="auto"/>
              <w:right w:val="single" w:sz="4" w:space="0" w:color="auto"/>
            </w:tcBorders>
            <w:shd w:val="clear" w:color="000000" w:fill="D9D9D9"/>
            <w:vAlign w:val="center"/>
            <w:hideMark/>
          </w:tcPr>
          <w:p w14:paraId="572E081C"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2.3.3</w:t>
            </w:r>
          </w:p>
        </w:tc>
        <w:tc>
          <w:tcPr>
            <w:tcW w:w="281" w:type="pct"/>
            <w:tcBorders>
              <w:top w:val="nil"/>
              <w:left w:val="nil"/>
              <w:bottom w:val="single" w:sz="4" w:space="0" w:color="auto"/>
              <w:right w:val="single" w:sz="4" w:space="0" w:color="auto"/>
            </w:tcBorders>
            <w:shd w:val="clear" w:color="000000" w:fill="D9D9D9"/>
            <w:vAlign w:val="center"/>
            <w:hideMark/>
          </w:tcPr>
          <w:p w14:paraId="1BFA08EB" w14:textId="77777777" w:rsidR="00C260C3" w:rsidRPr="00B457F5" w:rsidRDefault="00C260C3" w:rsidP="00C260C3">
            <w:pPr>
              <w:spacing w:before="0" w:after="0"/>
              <w:jc w:val="left"/>
              <w:rPr>
                <w:rFonts w:ascii="Garamond" w:eastAsia="Times New Roman" w:hAnsi="Garamond" w:cs="Times New Roman"/>
                <w:b/>
                <w:bCs/>
                <w:sz w:val="4"/>
                <w:szCs w:val="10"/>
              </w:rPr>
            </w:pPr>
            <w:r w:rsidRPr="00B457F5">
              <w:rPr>
                <w:rFonts w:ascii="Garamond" w:eastAsia="Times New Roman" w:hAnsi="Garamond" w:cs="Times New Roman"/>
                <w:b/>
                <w:bCs/>
                <w:sz w:val="4"/>
                <w:szCs w:val="10"/>
              </w:rPr>
              <w:t xml:space="preserve">2.3.3 Krijimi i mekanizmave për transportueshmërinë e të drejtave të sigurimeve shoqërore dhe përfitimeve të fituara </w:t>
            </w:r>
          </w:p>
        </w:tc>
        <w:tc>
          <w:tcPr>
            <w:tcW w:w="186" w:type="pct"/>
            <w:tcBorders>
              <w:top w:val="nil"/>
              <w:left w:val="nil"/>
              <w:bottom w:val="single" w:sz="4" w:space="0" w:color="auto"/>
              <w:right w:val="single" w:sz="4" w:space="0" w:color="auto"/>
            </w:tcBorders>
            <w:shd w:val="clear" w:color="000000" w:fill="D9D9D9"/>
            <w:vAlign w:val="center"/>
            <w:hideMark/>
          </w:tcPr>
          <w:p w14:paraId="6234E4AE" w14:textId="2DDD48D3"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10220 Sigurimi </w:t>
            </w:r>
            <w:r w:rsidR="00E92B0D" w:rsidRPr="00B457F5">
              <w:rPr>
                <w:rFonts w:ascii="Garamond" w:eastAsia="Times New Roman" w:hAnsi="Garamond" w:cs="Times New Roman"/>
                <w:color w:val="FF0000"/>
                <w:sz w:val="4"/>
                <w:szCs w:val="10"/>
              </w:rPr>
              <w:t>Shoqëror</w:t>
            </w:r>
            <w:r w:rsidRPr="00B457F5">
              <w:rPr>
                <w:rFonts w:ascii="Garamond" w:eastAsia="Times New Roman" w:hAnsi="Garamond" w:cs="Times New Roman"/>
                <w:color w:val="FF0000"/>
                <w:sz w:val="4"/>
                <w:szCs w:val="10"/>
              </w:rPr>
              <w:t>, 01110 Planifikimi, Menaxhimi dhe Administrimi (15)</w:t>
            </w:r>
          </w:p>
        </w:tc>
        <w:tc>
          <w:tcPr>
            <w:tcW w:w="169" w:type="pct"/>
            <w:tcBorders>
              <w:top w:val="nil"/>
              <w:left w:val="nil"/>
              <w:bottom w:val="single" w:sz="4" w:space="0" w:color="auto"/>
              <w:right w:val="single" w:sz="4" w:space="0" w:color="auto"/>
            </w:tcBorders>
            <w:shd w:val="clear" w:color="000000" w:fill="D9D9D9"/>
            <w:vAlign w:val="center"/>
            <w:hideMark/>
          </w:tcPr>
          <w:p w14:paraId="2235C1B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ISSH, MEKI, MEPJ</w:t>
            </w:r>
          </w:p>
        </w:tc>
        <w:tc>
          <w:tcPr>
            <w:tcW w:w="244" w:type="pct"/>
            <w:tcBorders>
              <w:top w:val="nil"/>
              <w:left w:val="nil"/>
              <w:bottom w:val="single" w:sz="4" w:space="0" w:color="auto"/>
              <w:right w:val="single" w:sz="4" w:space="0" w:color="auto"/>
            </w:tcBorders>
            <w:shd w:val="clear" w:color="000000" w:fill="D9D9D9"/>
            <w:vAlign w:val="center"/>
            <w:hideMark/>
          </w:tcPr>
          <w:p w14:paraId="0355C03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ISSH, MEPJ</w:t>
            </w:r>
          </w:p>
        </w:tc>
        <w:tc>
          <w:tcPr>
            <w:tcW w:w="135" w:type="pct"/>
            <w:tcBorders>
              <w:top w:val="nil"/>
              <w:left w:val="nil"/>
              <w:bottom w:val="single" w:sz="4" w:space="0" w:color="auto"/>
              <w:right w:val="single" w:sz="4" w:space="0" w:color="auto"/>
            </w:tcBorders>
            <w:shd w:val="clear" w:color="000000" w:fill="D9D9D9"/>
            <w:vAlign w:val="center"/>
            <w:hideMark/>
          </w:tcPr>
          <w:p w14:paraId="0BBC721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2024</w:t>
            </w:r>
          </w:p>
        </w:tc>
        <w:tc>
          <w:tcPr>
            <w:tcW w:w="152" w:type="pct"/>
            <w:tcBorders>
              <w:top w:val="nil"/>
              <w:left w:val="nil"/>
              <w:bottom w:val="single" w:sz="4" w:space="0" w:color="auto"/>
              <w:right w:val="single" w:sz="4" w:space="0" w:color="auto"/>
            </w:tcBorders>
            <w:shd w:val="clear" w:color="000000" w:fill="D9D9D9"/>
            <w:vAlign w:val="center"/>
            <w:hideMark/>
          </w:tcPr>
          <w:p w14:paraId="5771FAA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2026</w:t>
            </w:r>
          </w:p>
        </w:tc>
        <w:tc>
          <w:tcPr>
            <w:tcW w:w="163" w:type="pct"/>
            <w:tcBorders>
              <w:top w:val="nil"/>
              <w:left w:val="nil"/>
              <w:bottom w:val="single" w:sz="4" w:space="0" w:color="auto"/>
              <w:right w:val="single" w:sz="4" w:space="0" w:color="auto"/>
            </w:tcBorders>
            <w:shd w:val="clear" w:color="000000" w:fill="D9D9D9"/>
            <w:vAlign w:val="center"/>
            <w:hideMark/>
          </w:tcPr>
          <w:p w14:paraId="4AAAB7A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5,809,754</w:t>
            </w:r>
          </w:p>
        </w:tc>
        <w:tc>
          <w:tcPr>
            <w:tcW w:w="155" w:type="pct"/>
            <w:tcBorders>
              <w:top w:val="nil"/>
              <w:left w:val="nil"/>
              <w:bottom w:val="single" w:sz="4" w:space="0" w:color="auto"/>
              <w:right w:val="single" w:sz="4" w:space="0" w:color="auto"/>
            </w:tcBorders>
            <w:shd w:val="clear" w:color="000000" w:fill="D9D9D9"/>
            <w:vAlign w:val="center"/>
            <w:hideMark/>
          </w:tcPr>
          <w:p w14:paraId="1253943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2B6933E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5,809,754</w:t>
            </w:r>
          </w:p>
        </w:tc>
        <w:tc>
          <w:tcPr>
            <w:tcW w:w="165" w:type="pct"/>
            <w:tcBorders>
              <w:top w:val="nil"/>
              <w:left w:val="nil"/>
              <w:bottom w:val="single" w:sz="4" w:space="0" w:color="auto"/>
              <w:right w:val="single" w:sz="4" w:space="0" w:color="auto"/>
            </w:tcBorders>
            <w:shd w:val="clear" w:color="000000" w:fill="D9D9D9"/>
            <w:vAlign w:val="center"/>
            <w:hideMark/>
          </w:tcPr>
          <w:p w14:paraId="7DF91AC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5,809,754</w:t>
            </w:r>
          </w:p>
        </w:tc>
        <w:tc>
          <w:tcPr>
            <w:tcW w:w="163" w:type="pct"/>
            <w:tcBorders>
              <w:top w:val="nil"/>
              <w:left w:val="nil"/>
              <w:bottom w:val="single" w:sz="4" w:space="0" w:color="auto"/>
              <w:right w:val="single" w:sz="4" w:space="0" w:color="auto"/>
            </w:tcBorders>
            <w:shd w:val="clear" w:color="000000" w:fill="D9D9D9"/>
            <w:vAlign w:val="center"/>
            <w:hideMark/>
          </w:tcPr>
          <w:p w14:paraId="588539C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0A06804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5,809,754</w:t>
            </w:r>
          </w:p>
        </w:tc>
        <w:tc>
          <w:tcPr>
            <w:tcW w:w="163" w:type="pct"/>
            <w:tcBorders>
              <w:top w:val="nil"/>
              <w:left w:val="nil"/>
              <w:bottom w:val="single" w:sz="4" w:space="0" w:color="auto"/>
              <w:right w:val="single" w:sz="4" w:space="0" w:color="auto"/>
            </w:tcBorders>
            <w:shd w:val="clear" w:color="000000" w:fill="D9D9D9"/>
            <w:vAlign w:val="center"/>
            <w:hideMark/>
          </w:tcPr>
          <w:p w14:paraId="3674F13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5,809,754</w:t>
            </w:r>
          </w:p>
        </w:tc>
        <w:tc>
          <w:tcPr>
            <w:tcW w:w="148" w:type="pct"/>
            <w:tcBorders>
              <w:top w:val="nil"/>
              <w:left w:val="nil"/>
              <w:bottom w:val="single" w:sz="4" w:space="0" w:color="auto"/>
              <w:right w:val="single" w:sz="4" w:space="0" w:color="auto"/>
            </w:tcBorders>
            <w:shd w:val="clear" w:color="000000" w:fill="D9D9D9"/>
            <w:vAlign w:val="center"/>
            <w:hideMark/>
          </w:tcPr>
          <w:p w14:paraId="3F56FD1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0738059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5,809,754</w:t>
            </w:r>
          </w:p>
        </w:tc>
        <w:tc>
          <w:tcPr>
            <w:tcW w:w="165" w:type="pct"/>
            <w:tcBorders>
              <w:top w:val="nil"/>
              <w:left w:val="nil"/>
              <w:bottom w:val="nil"/>
              <w:right w:val="single" w:sz="4" w:space="0" w:color="auto"/>
            </w:tcBorders>
            <w:shd w:val="clear" w:color="000000" w:fill="D9D9D9"/>
            <w:noWrap/>
            <w:vAlign w:val="center"/>
            <w:hideMark/>
          </w:tcPr>
          <w:p w14:paraId="0B3C42F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17,429,262</w:t>
            </w:r>
          </w:p>
        </w:tc>
        <w:tc>
          <w:tcPr>
            <w:tcW w:w="163" w:type="pct"/>
            <w:tcBorders>
              <w:top w:val="nil"/>
              <w:left w:val="nil"/>
              <w:bottom w:val="nil"/>
              <w:right w:val="single" w:sz="4" w:space="0" w:color="auto"/>
            </w:tcBorders>
            <w:shd w:val="clear" w:color="000000" w:fill="D9D9D9"/>
            <w:noWrap/>
            <w:vAlign w:val="center"/>
            <w:hideMark/>
          </w:tcPr>
          <w:p w14:paraId="21E1929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nil"/>
              <w:right w:val="single" w:sz="4" w:space="0" w:color="auto"/>
            </w:tcBorders>
            <w:shd w:val="clear" w:color="000000" w:fill="D9D9D9"/>
            <w:vAlign w:val="center"/>
            <w:hideMark/>
          </w:tcPr>
          <w:p w14:paraId="65C064D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17,429,262</w:t>
            </w:r>
          </w:p>
        </w:tc>
        <w:tc>
          <w:tcPr>
            <w:tcW w:w="163" w:type="pct"/>
            <w:tcBorders>
              <w:top w:val="nil"/>
              <w:left w:val="nil"/>
              <w:bottom w:val="nil"/>
              <w:right w:val="single" w:sz="4" w:space="0" w:color="auto"/>
            </w:tcBorders>
            <w:shd w:val="clear" w:color="000000" w:fill="D9D9D9"/>
            <w:vAlign w:val="center"/>
            <w:hideMark/>
          </w:tcPr>
          <w:p w14:paraId="20E8A33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17,429,262</w:t>
            </w:r>
          </w:p>
        </w:tc>
        <w:tc>
          <w:tcPr>
            <w:tcW w:w="155" w:type="pct"/>
            <w:tcBorders>
              <w:top w:val="nil"/>
              <w:left w:val="nil"/>
              <w:bottom w:val="nil"/>
              <w:right w:val="single" w:sz="4" w:space="0" w:color="auto"/>
            </w:tcBorders>
            <w:shd w:val="clear" w:color="000000" w:fill="D9D9D9"/>
            <w:vAlign w:val="center"/>
            <w:hideMark/>
          </w:tcPr>
          <w:p w14:paraId="17C9F6B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nil"/>
              <w:right w:val="single" w:sz="4" w:space="0" w:color="auto"/>
            </w:tcBorders>
            <w:shd w:val="clear" w:color="000000" w:fill="D9D9D9"/>
            <w:vAlign w:val="center"/>
            <w:hideMark/>
          </w:tcPr>
          <w:p w14:paraId="3A0A380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17,429,262</w:t>
            </w:r>
          </w:p>
        </w:tc>
        <w:tc>
          <w:tcPr>
            <w:tcW w:w="162" w:type="pct"/>
            <w:tcBorders>
              <w:top w:val="nil"/>
              <w:left w:val="nil"/>
              <w:bottom w:val="nil"/>
              <w:right w:val="single" w:sz="4" w:space="0" w:color="auto"/>
            </w:tcBorders>
            <w:shd w:val="clear" w:color="000000" w:fill="D9D9D9"/>
            <w:vAlign w:val="center"/>
            <w:hideMark/>
          </w:tcPr>
          <w:p w14:paraId="35150A5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nil"/>
              <w:right w:val="single" w:sz="4" w:space="0" w:color="auto"/>
            </w:tcBorders>
            <w:shd w:val="clear" w:color="000000" w:fill="D9D9D9"/>
            <w:vAlign w:val="center"/>
            <w:hideMark/>
          </w:tcPr>
          <w:p w14:paraId="033A674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nil"/>
              <w:right w:val="single" w:sz="4" w:space="0" w:color="auto"/>
            </w:tcBorders>
            <w:shd w:val="clear" w:color="000000" w:fill="D9D9D9"/>
            <w:vAlign w:val="center"/>
            <w:hideMark/>
          </w:tcPr>
          <w:p w14:paraId="7297CC3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nil"/>
              <w:right w:val="single" w:sz="4" w:space="0" w:color="auto"/>
            </w:tcBorders>
            <w:shd w:val="clear" w:color="000000" w:fill="D9D9D9"/>
            <w:noWrap/>
            <w:vAlign w:val="center"/>
            <w:hideMark/>
          </w:tcPr>
          <w:p w14:paraId="4481CB7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nil"/>
              <w:right w:val="single" w:sz="4" w:space="0" w:color="auto"/>
            </w:tcBorders>
            <w:shd w:val="clear" w:color="000000" w:fill="D9D9D9"/>
            <w:vAlign w:val="center"/>
            <w:hideMark/>
          </w:tcPr>
          <w:p w14:paraId="4266BC3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nil"/>
              <w:right w:val="single" w:sz="4" w:space="0" w:color="auto"/>
            </w:tcBorders>
            <w:shd w:val="clear" w:color="000000" w:fill="D9D9D9"/>
            <w:vAlign w:val="center"/>
            <w:hideMark/>
          </w:tcPr>
          <w:p w14:paraId="7A4E6D3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nil"/>
              <w:right w:val="single" w:sz="4" w:space="0" w:color="auto"/>
            </w:tcBorders>
            <w:shd w:val="clear" w:color="000000" w:fill="D9D9D9"/>
            <w:vAlign w:val="center"/>
            <w:hideMark/>
          </w:tcPr>
          <w:p w14:paraId="2DC14A9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nil"/>
              <w:right w:val="single" w:sz="4" w:space="0" w:color="auto"/>
            </w:tcBorders>
            <w:shd w:val="clear" w:color="000000" w:fill="D9D9D9"/>
            <w:vAlign w:val="center"/>
            <w:hideMark/>
          </w:tcPr>
          <w:p w14:paraId="6B56B0A8" w14:textId="1CCDF29C" w:rsidR="00C260C3" w:rsidRPr="00B457F5" w:rsidRDefault="0006016F"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 </w:t>
            </w:r>
            <w:r w:rsidR="00C260C3" w:rsidRPr="00B457F5">
              <w:rPr>
                <w:rFonts w:ascii="Garamond" w:eastAsia="Times New Roman" w:hAnsi="Garamond" w:cs="Times New Roman"/>
                <w:sz w:val="4"/>
                <w:szCs w:val="10"/>
              </w:rPr>
              <w:t>-</w:t>
            </w:r>
          </w:p>
        </w:tc>
      </w:tr>
      <w:tr w:rsidR="00C260C3" w:rsidRPr="00B457F5" w14:paraId="6A633E81"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382409D2"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2.3.3.1</w:t>
            </w:r>
          </w:p>
        </w:tc>
        <w:tc>
          <w:tcPr>
            <w:tcW w:w="281" w:type="pct"/>
            <w:tcBorders>
              <w:top w:val="nil"/>
              <w:left w:val="nil"/>
              <w:bottom w:val="single" w:sz="4" w:space="0" w:color="auto"/>
              <w:right w:val="single" w:sz="4" w:space="0" w:color="auto"/>
            </w:tcBorders>
            <w:shd w:val="clear" w:color="auto" w:fill="auto"/>
            <w:vAlign w:val="center"/>
            <w:hideMark/>
          </w:tcPr>
          <w:p w14:paraId="59998957" w14:textId="5F9140E2"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2.3.3.1 Zbatimi efektiv i marrëveshjeve aktuale bilaterale për njohjen e periudhave kontributive</w:t>
            </w:r>
          </w:p>
        </w:tc>
        <w:tc>
          <w:tcPr>
            <w:tcW w:w="186" w:type="pct"/>
            <w:tcBorders>
              <w:top w:val="nil"/>
              <w:left w:val="nil"/>
              <w:bottom w:val="single" w:sz="4" w:space="0" w:color="auto"/>
              <w:right w:val="single" w:sz="4" w:space="0" w:color="auto"/>
            </w:tcBorders>
            <w:shd w:val="clear" w:color="auto" w:fill="auto"/>
            <w:vAlign w:val="center"/>
            <w:hideMark/>
          </w:tcPr>
          <w:p w14:paraId="7236B674" w14:textId="2BE3201F"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10220 Sigurimi </w:t>
            </w:r>
            <w:r w:rsidR="00E92B0D" w:rsidRPr="00B457F5">
              <w:rPr>
                <w:rFonts w:ascii="Garamond" w:eastAsia="Times New Roman" w:hAnsi="Garamond" w:cs="Times New Roman"/>
                <w:color w:val="FF0000"/>
                <w:sz w:val="4"/>
                <w:szCs w:val="10"/>
              </w:rPr>
              <w:t>Shoqëror</w:t>
            </w:r>
          </w:p>
        </w:tc>
        <w:tc>
          <w:tcPr>
            <w:tcW w:w="169" w:type="pct"/>
            <w:tcBorders>
              <w:top w:val="nil"/>
              <w:left w:val="nil"/>
              <w:bottom w:val="single" w:sz="4" w:space="0" w:color="auto"/>
              <w:right w:val="single" w:sz="4" w:space="0" w:color="auto"/>
            </w:tcBorders>
            <w:shd w:val="clear" w:color="auto" w:fill="auto"/>
            <w:vAlign w:val="center"/>
            <w:hideMark/>
          </w:tcPr>
          <w:p w14:paraId="380276E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ISSH</w:t>
            </w:r>
          </w:p>
        </w:tc>
        <w:tc>
          <w:tcPr>
            <w:tcW w:w="244" w:type="pct"/>
            <w:tcBorders>
              <w:top w:val="nil"/>
              <w:left w:val="nil"/>
              <w:bottom w:val="single" w:sz="4" w:space="0" w:color="auto"/>
              <w:right w:val="single" w:sz="4" w:space="0" w:color="auto"/>
            </w:tcBorders>
            <w:shd w:val="clear" w:color="auto" w:fill="auto"/>
            <w:vAlign w:val="center"/>
            <w:hideMark/>
          </w:tcPr>
          <w:p w14:paraId="5198520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ISSH, MEPJ</w:t>
            </w:r>
          </w:p>
        </w:tc>
        <w:tc>
          <w:tcPr>
            <w:tcW w:w="135" w:type="pct"/>
            <w:tcBorders>
              <w:top w:val="nil"/>
              <w:left w:val="nil"/>
              <w:bottom w:val="single" w:sz="4" w:space="0" w:color="auto"/>
              <w:right w:val="single" w:sz="4" w:space="0" w:color="auto"/>
            </w:tcBorders>
            <w:shd w:val="clear" w:color="000000" w:fill="DDEBF7"/>
            <w:vAlign w:val="center"/>
            <w:hideMark/>
          </w:tcPr>
          <w:p w14:paraId="5B8F0B9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2024</w:t>
            </w:r>
          </w:p>
        </w:tc>
        <w:tc>
          <w:tcPr>
            <w:tcW w:w="152" w:type="pct"/>
            <w:tcBorders>
              <w:top w:val="nil"/>
              <w:left w:val="nil"/>
              <w:bottom w:val="single" w:sz="4" w:space="0" w:color="auto"/>
              <w:right w:val="single" w:sz="4" w:space="0" w:color="auto"/>
            </w:tcBorders>
            <w:shd w:val="clear" w:color="000000" w:fill="DDEBF7"/>
            <w:vAlign w:val="center"/>
            <w:hideMark/>
          </w:tcPr>
          <w:p w14:paraId="19BD6DAA"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63" w:type="pct"/>
            <w:tcBorders>
              <w:top w:val="nil"/>
              <w:left w:val="nil"/>
              <w:bottom w:val="single" w:sz="4" w:space="0" w:color="auto"/>
              <w:right w:val="single" w:sz="4" w:space="0" w:color="auto"/>
            </w:tcBorders>
            <w:shd w:val="clear" w:color="auto" w:fill="auto"/>
            <w:vAlign w:val="center"/>
            <w:hideMark/>
          </w:tcPr>
          <w:p w14:paraId="1324CE4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2,413,737</w:t>
            </w:r>
          </w:p>
        </w:tc>
        <w:tc>
          <w:tcPr>
            <w:tcW w:w="155" w:type="pct"/>
            <w:tcBorders>
              <w:top w:val="nil"/>
              <w:left w:val="nil"/>
              <w:bottom w:val="single" w:sz="4" w:space="0" w:color="auto"/>
              <w:right w:val="single" w:sz="4" w:space="0" w:color="auto"/>
            </w:tcBorders>
            <w:shd w:val="clear" w:color="auto" w:fill="auto"/>
            <w:vAlign w:val="center"/>
            <w:hideMark/>
          </w:tcPr>
          <w:p w14:paraId="06094FA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2E40C04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2,413,737</w:t>
            </w:r>
          </w:p>
        </w:tc>
        <w:tc>
          <w:tcPr>
            <w:tcW w:w="165" w:type="pct"/>
            <w:tcBorders>
              <w:top w:val="nil"/>
              <w:left w:val="nil"/>
              <w:bottom w:val="single" w:sz="4" w:space="0" w:color="auto"/>
              <w:right w:val="single" w:sz="4" w:space="0" w:color="auto"/>
            </w:tcBorders>
            <w:shd w:val="clear" w:color="auto" w:fill="auto"/>
            <w:vAlign w:val="center"/>
            <w:hideMark/>
          </w:tcPr>
          <w:p w14:paraId="051D807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2,413,737</w:t>
            </w:r>
          </w:p>
        </w:tc>
        <w:tc>
          <w:tcPr>
            <w:tcW w:w="163" w:type="pct"/>
            <w:tcBorders>
              <w:top w:val="nil"/>
              <w:left w:val="nil"/>
              <w:bottom w:val="single" w:sz="4" w:space="0" w:color="auto"/>
              <w:right w:val="single" w:sz="4" w:space="0" w:color="auto"/>
            </w:tcBorders>
            <w:shd w:val="clear" w:color="auto" w:fill="auto"/>
            <w:vAlign w:val="center"/>
            <w:hideMark/>
          </w:tcPr>
          <w:p w14:paraId="57D64E2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5381818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2,413,737</w:t>
            </w:r>
          </w:p>
        </w:tc>
        <w:tc>
          <w:tcPr>
            <w:tcW w:w="163" w:type="pct"/>
            <w:tcBorders>
              <w:top w:val="nil"/>
              <w:left w:val="nil"/>
              <w:bottom w:val="single" w:sz="4" w:space="0" w:color="auto"/>
              <w:right w:val="single" w:sz="4" w:space="0" w:color="auto"/>
            </w:tcBorders>
            <w:shd w:val="clear" w:color="auto" w:fill="auto"/>
            <w:vAlign w:val="center"/>
            <w:hideMark/>
          </w:tcPr>
          <w:p w14:paraId="2A5374A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2,413,737</w:t>
            </w:r>
          </w:p>
        </w:tc>
        <w:tc>
          <w:tcPr>
            <w:tcW w:w="148" w:type="pct"/>
            <w:tcBorders>
              <w:top w:val="nil"/>
              <w:left w:val="nil"/>
              <w:bottom w:val="single" w:sz="4" w:space="0" w:color="auto"/>
              <w:right w:val="single" w:sz="4" w:space="0" w:color="auto"/>
            </w:tcBorders>
            <w:shd w:val="clear" w:color="auto" w:fill="auto"/>
            <w:vAlign w:val="center"/>
            <w:hideMark/>
          </w:tcPr>
          <w:p w14:paraId="5EAE3B1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5D1E1C8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2,413,737</w:t>
            </w:r>
          </w:p>
        </w:tc>
        <w:tc>
          <w:tcPr>
            <w:tcW w:w="165" w:type="pct"/>
            <w:tcBorders>
              <w:top w:val="single" w:sz="4" w:space="0" w:color="auto"/>
              <w:left w:val="nil"/>
              <w:bottom w:val="single" w:sz="4" w:space="0" w:color="auto"/>
              <w:right w:val="single" w:sz="4" w:space="0" w:color="auto"/>
            </w:tcBorders>
            <w:shd w:val="clear" w:color="auto" w:fill="auto"/>
            <w:noWrap/>
            <w:vAlign w:val="center"/>
            <w:hideMark/>
          </w:tcPr>
          <w:p w14:paraId="673936D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7,241,211</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14:paraId="18F9C11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single" w:sz="4" w:space="0" w:color="auto"/>
              <w:left w:val="nil"/>
              <w:bottom w:val="single" w:sz="4" w:space="0" w:color="auto"/>
              <w:right w:val="single" w:sz="4" w:space="0" w:color="auto"/>
            </w:tcBorders>
            <w:shd w:val="clear" w:color="000000" w:fill="FFF2CC"/>
            <w:vAlign w:val="center"/>
            <w:hideMark/>
          </w:tcPr>
          <w:p w14:paraId="4071EAF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7,241,211</w:t>
            </w:r>
          </w:p>
        </w:tc>
        <w:tc>
          <w:tcPr>
            <w:tcW w:w="163" w:type="pct"/>
            <w:tcBorders>
              <w:top w:val="single" w:sz="4" w:space="0" w:color="auto"/>
              <w:left w:val="nil"/>
              <w:bottom w:val="single" w:sz="4" w:space="0" w:color="auto"/>
              <w:right w:val="single" w:sz="4" w:space="0" w:color="auto"/>
            </w:tcBorders>
            <w:shd w:val="clear" w:color="auto" w:fill="auto"/>
            <w:vAlign w:val="center"/>
            <w:hideMark/>
          </w:tcPr>
          <w:p w14:paraId="6D5014D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7,241,211</w:t>
            </w:r>
          </w:p>
        </w:tc>
        <w:tc>
          <w:tcPr>
            <w:tcW w:w="155" w:type="pct"/>
            <w:tcBorders>
              <w:top w:val="single" w:sz="4" w:space="0" w:color="auto"/>
              <w:left w:val="nil"/>
              <w:bottom w:val="single" w:sz="4" w:space="0" w:color="auto"/>
              <w:right w:val="single" w:sz="4" w:space="0" w:color="auto"/>
            </w:tcBorders>
            <w:shd w:val="clear" w:color="auto" w:fill="auto"/>
            <w:vAlign w:val="center"/>
            <w:hideMark/>
          </w:tcPr>
          <w:p w14:paraId="343C79C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single" w:sz="4" w:space="0" w:color="auto"/>
              <w:left w:val="nil"/>
              <w:bottom w:val="single" w:sz="4" w:space="0" w:color="auto"/>
              <w:right w:val="single" w:sz="4" w:space="0" w:color="auto"/>
            </w:tcBorders>
            <w:shd w:val="clear" w:color="000000" w:fill="FFF2CC"/>
            <w:vAlign w:val="center"/>
            <w:hideMark/>
          </w:tcPr>
          <w:p w14:paraId="0F17F8D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7,241,211</w:t>
            </w:r>
          </w:p>
        </w:tc>
        <w:tc>
          <w:tcPr>
            <w:tcW w:w="162" w:type="pct"/>
            <w:tcBorders>
              <w:top w:val="single" w:sz="4" w:space="0" w:color="auto"/>
              <w:left w:val="nil"/>
              <w:bottom w:val="single" w:sz="4" w:space="0" w:color="auto"/>
              <w:right w:val="single" w:sz="4" w:space="0" w:color="auto"/>
            </w:tcBorders>
            <w:shd w:val="clear" w:color="auto" w:fill="auto"/>
            <w:vAlign w:val="center"/>
            <w:hideMark/>
          </w:tcPr>
          <w:p w14:paraId="25B2497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single" w:sz="4" w:space="0" w:color="auto"/>
              <w:left w:val="nil"/>
              <w:bottom w:val="single" w:sz="4" w:space="0" w:color="auto"/>
              <w:right w:val="single" w:sz="4" w:space="0" w:color="auto"/>
            </w:tcBorders>
            <w:shd w:val="clear" w:color="auto" w:fill="auto"/>
            <w:vAlign w:val="center"/>
            <w:hideMark/>
          </w:tcPr>
          <w:p w14:paraId="43BA242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single" w:sz="4" w:space="0" w:color="auto"/>
              <w:left w:val="nil"/>
              <w:bottom w:val="single" w:sz="4" w:space="0" w:color="auto"/>
              <w:right w:val="single" w:sz="4" w:space="0" w:color="auto"/>
            </w:tcBorders>
            <w:shd w:val="clear" w:color="auto" w:fill="auto"/>
            <w:vAlign w:val="center"/>
            <w:hideMark/>
          </w:tcPr>
          <w:p w14:paraId="570949D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single" w:sz="4" w:space="0" w:color="auto"/>
              <w:left w:val="nil"/>
              <w:bottom w:val="single" w:sz="4" w:space="0" w:color="auto"/>
              <w:right w:val="single" w:sz="4" w:space="0" w:color="auto"/>
            </w:tcBorders>
            <w:shd w:val="clear" w:color="000000" w:fill="FFF2CC"/>
            <w:noWrap/>
            <w:vAlign w:val="center"/>
            <w:hideMark/>
          </w:tcPr>
          <w:p w14:paraId="1A6302B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single" w:sz="4" w:space="0" w:color="auto"/>
              <w:left w:val="nil"/>
              <w:bottom w:val="single" w:sz="4" w:space="0" w:color="auto"/>
              <w:right w:val="single" w:sz="4" w:space="0" w:color="auto"/>
            </w:tcBorders>
            <w:shd w:val="clear" w:color="auto" w:fill="auto"/>
            <w:vAlign w:val="center"/>
            <w:hideMark/>
          </w:tcPr>
          <w:p w14:paraId="636B199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single" w:sz="4" w:space="0" w:color="auto"/>
              <w:left w:val="nil"/>
              <w:bottom w:val="single" w:sz="4" w:space="0" w:color="auto"/>
              <w:right w:val="single" w:sz="4" w:space="0" w:color="auto"/>
            </w:tcBorders>
            <w:shd w:val="clear" w:color="auto" w:fill="auto"/>
            <w:vAlign w:val="center"/>
            <w:hideMark/>
          </w:tcPr>
          <w:p w14:paraId="1EC289A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single" w:sz="4" w:space="0" w:color="auto"/>
              <w:left w:val="nil"/>
              <w:bottom w:val="single" w:sz="4" w:space="0" w:color="auto"/>
              <w:right w:val="single" w:sz="4" w:space="0" w:color="auto"/>
            </w:tcBorders>
            <w:shd w:val="clear" w:color="000000" w:fill="FFF2CC"/>
            <w:vAlign w:val="center"/>
            <w:hideMark/>
          </w:tcPr>
          <w:p w14:paraId="2827C1E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single" w:sz="4" w:space="0" w:color="auto"/>
              <w:left w:val="nil"/>
              <w:bottom w:val="single" w:sz="4" w:space="0" w:color="auto"/>
              <w:right w:val="single" w:sz="4" w:space="0" w:color="auto"/>
            </w:tcBorders>
            <w:shd w:val="clear" w:color="auto" w:fill="auto"/>
            <w:vAlign w:val="center"/>
            <w:hideMark/>
          </w:tcPr>
          <w:p w14:paraId="1846ACE3" w14:textId="0DE3D70B" w:rsidR="00C260C3" w:rsidRPr="00B457F5" w:rsidRDefault="0006016F"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 </w:t>
            </w:r>
            <w:r w:rsidR="00C260C3" w:rsidRPr="00B457F5">
              <w:rPr>
                <w:rFonts w:ascii="Garamond" w:eastAsia="Times New Roman" w:hAnsi="Garamond" w:cs="Times New Roman"/>
                <w:sz w:val="4"/>
                <w:szCs w:val="10"/>
              </w:rPr>
              <w:t>-</w:t>
            </w:r>
          </w:p>
        </w:tc>
      </w:tr>
      <w:tr w:rsidR="00C260C3" w:rsidRPr="00B457F5" w14:paraId="6282BB43"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7C61C3FC"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2.3.3.2</w:t>
            </w:r>
          </w:p>
        </w:tc>
        <w:tc>
          <w:tcPr>
            <w:tcW w:w="281" w:type="pct"/>
            <w:tcBorders>
              <w:top w:val="nil"/>
              <w:left w:val="nil"/>
              <w:bottom w:val="single" w:sz="4" w:space="0" w:color="auto"/>
              <w:right w:val="single" w:sz="4" w:space="0" w:color="auto"/>
            </w:tcBorders>
            <w:shd w:val="clear" w:color="auto" w:fill="auto"/>
            <w:vAlign w:val="center"/>
            <w:hideMark/>
          </w:tcPr>
          <w:p w14:paraId="4DA894AE" w14:textId="627309FF"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2.3.3.2 Vlerësimi i nevojave për hartimin/</w:t>
            </w:r>
            <w:r w:rsidR="005C6C49" w:rsidRPr="00B457F5">
              <w:rPr>
                <w:rFonts w:ascii="Garamond" w:eastAsia="Times New Roman" w:hAnsi="Garamond" w:cs="Times New Roman"/>
                <w:color w:val="000000"/>
                <w:sz w:val="4"/>
                <w:szCs w:val="10"/>
              </w:rPr>
              <w:t xml:space="preserve"> </w:t>
            </w:r>
            <w:r w:rsidRPr="00B457F5">
              <w:rPr>
                <w:rFonts w:ascii="Garamond" w:eastAsia="Times New Roman" w:hAnsi="Garamond" w:cs="Times New Roman"/>
                <w:color w:val="000000"/>
                <w:sz w:val="4"/>
                <w:szCs w:val="10"/>
              </w:rPr>
              <w:t>nënshkrimin e marrëveshjeve të reja për njohjen e kontributeve, me qëllim zgjerimin e partneriteteve me shtete të tjera</w:t>
            </w:r>
          </w:p>
        </w:tc>
        <w:tc>
          <w:tcPr>
            <w:tcW w:w="186" w:type="pct"/>
            <w:tcBorders>
              <w:top w:val="nil"/>
              <w:left w:val="nil"/>
              <w:bottom w:val="single" w:sz="4" w:space="0" w:color="auto"/>
              <w:right w:val="single" w:sz="4" w:space="0" w:color="auto"/>
            </w:tcBorders>
            <w:shd w:val="clear" w:color="auto" w:fill="auto"/>
            <w:vAlign w:val="center"/>
            <w:hideMark/>
          </w:tcPr>
          <w:p w14:paraId="575CB40C" w14:textId="0A711A32"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10220 Sigurimi </w:t>
            </w:r>
            <w:r w:rsidR="00E92B0D" w:rsidRPr="00B457F5">
              <w:rPr>
                <w:rFonts w:ascii="Garamond" w:eastAsia="Times New Roman" w:hAnsi="Garamond" w:cs="Times New Roman"/>
                <w:color w:val="FF0000"/>
                <w:sz w:val="4"/>
                <w:szCs w:val="10"/>
              </w:rPr>
              <w:t>Shoqëror</w:t>
            </w:r>
          </w:p>
        </w:tc>
        <w:tc>
          <w:tcPr>
            <w:tcW w:w="169" w:type="pct"/>
            <w:tcBorders>
              <w:top w:val="nil"/>
              <w:left w:val="nil"/>
              <w:bottom w:val="single" w:sz="4" w:space="0" w:color="auto"/>
              <w:right w:val="single" w:sz="4" w:space="0" w:color="auto"/>
            </w:tcBorders>
            <w:shd w:val="clear" w:color="auto" w:fill="auto"/>
            <w:vAlign w:val="center"/>
            <w:hideMark/>
          </w:tcPr>
          <w:p w14:paraId="1A740C39" w14:textId="17B4116D" w:rsidR="00C260C3" w:rsidRPr="00B457F5" w:rsidRDefault="0006016F"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w:t>
            </w:r>
            <w:r w:rsidR="00C260C3" w:rsidRPr="00B457F5">
              <w:rPr>
                <w:rFonts w:ascii="Garamond" w:eastAsia="Times New Roman" w:hAnsi="Garamond" w:cs="Times New Roman"/>
                <w:color w:val="000000"/>
                <w:sz w:val="4"/>
                <w:szCs w:val="10"/>
              </w:rPr>
              <w:t>MEKI</w:t>
            </w:r>
          </w:p>
        </w:tc>
        <w:tc>
          <w:tcPr>
            <w:tcW w:w="244" w:type="pct"/>
            <w:tcBorders>
              <w:top w:val="nil"/>
              <w:left w:val="nil"/>
              <w:bottom w:val="single" w:sz="4" w:space="0" w:color="auto"/>
              <w:right w:val="single" w:sz="4" w:space="0" w:color="auto"/>
            </w:tcBorders>
            <w:shd w:val="clear" w:color="auto" w:fill="auto"/>
            <w:vAlign w:val="center"/>
            <w:hideMark/>
          </w:tcPr>
          <w:p w14:paraId="7105B4B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ISSH, MEPJ</w:t>
            </w:r>
          </w:p>
        </w:tc>
        <w:tc>
          <w:tcPr>
            <w:tcW w:w="135" w:type="pct"/>
            <w:tcBorders>
              <w:top w:val="nil"/>
              <w:left w:val="nil"/>
              <w:bottom w:val="single" w:sz="4" w:space="0" w:color="auto"/>
              <w:right w:val="single" w:sz="4" w:space="0" w:color="auto"/>
            </w:tcBorders>
            <w:shd w:val="clear" w:color="000000" w:fill="DDEBF7"/>
            <w:vAlign w:val="center"/>
            <w:hideMark/>
          </w:tcPr>
          <w:p w14:paraId="02F260F8"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2024</w:t>
            </w:r>
          </w:p>
        </w:tc>
        <w:tc>
          <w:tcPr>
            <w:tcW w:w="152" w:type="pct"/>
            <w:tcBorders>
              <w:top w:val="nil"/>
              <w:left w:val="nil"/>
              <w:bottom w:val="single" w:sz="4" w:space="0" w:color="auto"/>
              <w:right w:val="single" w:sz="4" w:space="0" w:color="auto"/>
            </w:tcBorders>
            <w:shd w:val="clear" w:color="000000" w:fill="DDEBF7"/>
            <w:vAlign w:val="center"/>
            <w:hideMark/>
          </w:tcPr>
          <w:p w14:paraId="277EBC13"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63" w:type="pct"/>
            <w:tcBorders>
              <w:top w:val="nil"/>
              <w:left w:val="nil"/>
              <w:bottom w:val="single" w:sz="4" w:space="0" w:color="auto"/>
              <w:right w:val="single" w:sz="4" w:space="0" w:color="auto"/>
            </w:tcBorders>
            <w:shd w:val="clear" w:color="auto" w:fill="auto"/>
            <w:vAlign w:val="center"/>
            <w:hideMark/>
          </w:tcPr>
          <w:p w14:paraId="4401DE4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2,681,066</w:t>
            </w:r>
          </w:p>
        </w:tc>
        <w:tc>
          <w:tcPr>
            <w:tcW w:w="155" w:type="pct"/>
            <w:tcBorders>
              <w:top w:val="nil"/>
              <w:left w:val="nil"/>
              <w:bottom w:val="single" w:sz="4" w:space="0" w:color="auto"/>
              <w:right w:val="single" w:sz="4" w:space="0" w:color="auto"/>
            </w:tcBorders>
            <w:shd w:val="clear" w:color="auto" w:fill="auto"/>
            <w:vAlign w:val="center"/>
            <w:hideMark/>
          </w:tcPr>
          <w:p w14:paraId="16B9FFB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789333B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2,681,066</w:t>
            </w:r>
          </w:p>
        </w:tc>
        <w:tc>
          <w:tcPr>
            <w:tcW w:w="165" w:type="pct"/>
            <w:tcBorders>
              <w:top w:val="nil"/>
              <w:left w:val="nil"/>
              <w:bottom w:val="single" w:sz="4" w:space="0" w:color="auto"/>
              <w:right w:val="single" w:sz="4" w:space="0" w:color="auto"/>
            </w:tcBorders>
            <w:shd w:val="clear" w:color="auto" w:fill="auto"/>
            <w:vAlign w:val="center"/>
            <w:hideMark/>
          </w:tcPr>
          <w:p w14:paraId="4232F9F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2,681,066</w:t>
            </w:r>
          </w:p>
        </w:tc>
        <w:tc>
          <w:tcPr>
            <w:tcW w:w="163" w:type="pct"/>
            <w:tcBorders>
              <w:top w:val="nil"/>
              <w:left w:val="nil"/>
              <w:bottom w:val="single" w:sz="4" w:space="0" w:color="auto"/>
              <w:right w:val="single" w:sz="4" w:space="0" w:color="auto"/>
            </w:tcBorders>
            <w:shd w:val="clear" w:color="auto" w:fill="auto"/>
            <w:vAlign w:val="center"/>
            <w:hideMark/>
          </w:tcPr>
          <w:p w14:paraId="38ABA17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B5D2E7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2,681,066</w:t>
            </w:r>
          </w:p>
        </w:tc>
        <w:tc>
          <w:tcPr>
            <w:tcW w:w="163" w:type="pct"/>
            <w:tcBorders>
              <w:top w:val="nil"/>
              <w:left w:val="nil"/>
              <w:bottom w:val="single" w:sz="4" w:space="0" w:color="auto"/>
              <w:right w:val="single" w:sz="4" w:space="0" w:color="auto"/>
            </w:tcBorders>
            <w:shd w:val="clear" w:color="auto" w:fill="auto"/>
            <w:vAlign w:val="center"/>
            <w:hideMark/>
          </w:tcPr>
          <w:p w14:paraId="30CB55F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2,681,066</w:t>
            </w:r>
          </w:p>
        </w:tc>
        <w:tc>
          <w:tcPr>
            <w:tcW w:w="148" w:type="pct"/>
            <w:tcBorders>
              <w:top w:val="nil"/>
              <w:left w:val="nil"/>
              <w:bottom w:val="single" w:sz="4" w:space="0" w:color="auto"/>
              <w:right w:val="single" w:sz="4" w:space="0" w:color="auto"/>
            </w:tcBorders>
            <w:shd w:val="clear" w:color="auto" w:fill="auto"/>
            <w:vAlign w:val="center"/>
            <w:hideMark/>
          </w:tcPr>
          <w:p w14:paraId="03AE491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5037A99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2,681,066</w:t>
            </w:r>
          </w:p>
        </w:tc>
        <w:tc>
          <w:tcPr>
            <w:tcW w:w="165" w:type="pct"/>
            <w:tcBorders>
              <w:top w:val="nil"/>
              <w:left w:val="nil"/>
              <w:bottom w:val="single" w:sz="4" w:space="0" w:color="auto"/>
              <w:right w:val="single" w:sz="4" w:space="0" w:color="auto"/>
            </w:tcBorders>
            <w:shd w:val="clear" w:color="auto" w:fill="auto"/>
            <w:noWrap/>
            <w:vAlign w:val="center"/>
            <w:hideMark/>
          </w:tcPr>
          <w:p w14:paraId="0271C75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8,043,198</w:t>
            </w:r>
          </w:p>
        </w:tc>
        <w:tc>
          <w:tcPr>
            <w:tcW w:w="163" w:type="pct"/>
            <w:tcBorders>
              <w:top w:val="nil"/>
              <w:left w:val="nil"/>
              <w:bottom w:val="single" w:sz="4" w:space="0" w:color="auto"/>
              <w:right w:val="single" w:sz="4" w:space="0" w:color="auto"/>
            </w:tcBorders>
            <w:shd w:val="clear" w:color="auto" w:fill="auto"/>
            <w:noWrap/>
            <w:vAlign w:val="center"/>
            <w:hideMark/>
          </w:tcPr>
          <w:p w14:paraId="61F94B5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33CD2B2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8,043,198</w:t>
            </w:r>
          </w:p>
        </w:tc>
        <w:tc>
          <w:tcPr>
            <w:tcW w:w="163" w:type="pct"/>
            <w:tcBorders>
              <w:top w:val="nil"/>
              <w:left w:val="nil"/>
              <w:bottom w:val="single" w:sz="4" w:space="0" w:color="auto"/>
              <w:right w:val="single" w:sz="4" w:space="0" w:color="auto"/>
            </w:tcBorders>
            <w:shd w:val="clear" w:color="auto" w:fill="auto"/>
            <w:vAlign w:val="center"/>
            <w:hideMark/>
          </w:tcPr>
          <w:p w14:paraId="60FDEF2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8,043,198</w:t>
            </w:r>
          </w:p>
        </w:tc>
        <w:tc>
          <w:tcPr>
            <w:tcW w:w="155" w:type="pct"/>
            <w:tcBorders>
              <w:top w:val="nil"/>
              <w:left w:val="nil"/>
              <w:bottom w:val="single" w:sz="4" w:space="0" w:color="auto"/>
              <w:right w:val="single" w:sz="4" w:space="0" w:color="auto"/>
            </w:tcBorders>
            <w:shd w:val="clear" w:color="auto" w:fill="auto"/>
            <w:vAlign w:val="center"/>
            <w:hideMark/>
          </w:tcPr>
          <w:p w14:paraId="08CD9A6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52A8D0A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8,043,198</w:t>
            </w:r>
          </w:p>
        </w:tc>
        <w:tc>
          <w:tcPr>
            <w:tcW w:w="162" w:type="pct"/>
            <w:tcBorders>
              <w:top w:val="nil"/>
              <w:left w:val="nil"/>
              <w:bottom w:val="single" w:sz="4" w:space="0" w:color="auto"/>
              <w:right w:val="single" w:sz="4" w:space="0" w:color="auto"/>
            </w:tcBorders>
            <w:shd w:val="clear" w:color="auto" w:fill="auto"/>
            <w:vAlign w:val="center"/>
            <w:hideMark/>
          </w:tcPr>
          <w:p w14:paraId="3158BCA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344B334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43FB235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FFF2CC"/>
            <w:noWrap/>
            <w:vAlign w:val="center"/>
            <w:hideMark/>
          </w:tcPr>
          <w:p w14:paraId="1488178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43FA613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777155E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51F9323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60095EB2" w14:textId="7EEED36F" w:rsidR="00C260C3" w:rsidRPr="00B457F5" w:rsidRDefault="0006016F"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 </w:t>
            </w:r>
            <w:r w:rsidR="00C260C3" w:rsidRPr="00B457F5">
              <w:rPr>
                <w:rFonts w:ascii="Garamond" w:eastAsia="Times New Roman" w:hAnsi="Garamond" w:cs="Times New Roman"/>
                <w:sz w:val="4"/>
                <w:szCs w:val="10"/>
              </w:rPr>
              <w:t>-</w:t>
            </w:r>
          </w:p>
        </w:tc>
      </w:tr>
      <w:tr w:rsidR="00C260C3" w:rsidRPr="00B457F5" w14:paraId="078A148A"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4C56E90F"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lastRenderedPageBreak/>
              <w:t>2.3.3.3</w:t>
            </w:r>
          </w:p>
        </w:tc>
        <w:tc>
          <w:tcPr>
            <w:tcW w:w="281" w:type="pct"/>
            <w:tcBorders>
              <w:top w:val="nil"/>
              <w:left w:val="nil"/>
              <w:bottom w:val="single" w:sz="8" w:space="0" w:color="auto"/>
              <w:right w:val="single" w:sz="4" w:space="0" w:color="auto"/>
            </w:tcBorders>
            <w:shd w:val="clear" w:color="auto" w:fill="auto"/>
            <w:vAlign w:val="center"/>
            <w:hideMark/>
          </w:tcPr>
          <w:p w14:paraId="3D37B79F"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2.3.3.3 Zhvillimi i takimeve konsultative me shoqatat e emigrantëve</w:t>
            </w:r>
          </w:p>
        </w:tc>
        <w:tc>
          <w:tcPr>
            <w:tcW w:w="186" w:type="pct"/>
            <w:tcBorders>
              <w:top w:val="nil"/>
              <w:left w:val="nil"/>
              <w:bottom w:val="single" w:sz="4" w:space="0" w:color="auto"/>
              <w:right w:val="single" w:sz="4" w:space="0" w:color="auto"/>
            </w:tcBorders>
            <w:shd w:val="clear" w:color="auto" w:fill="auto"/>
            <w:vAlign w:val="center"/>
            <w:hideMark/>
          </w:tcPr>
          <w:p w14:paraId="1D8C1A1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(15)</w:t>
            </w:r>
          </w:p>
        </w:tc>
        <w:tc>
          <w:tcPr>
            <w:tcW w:w="169" w:type="pct"/>
            <w:tcBorders>
              <w:top w:val="nil"/>
              <w:left w:val="nil"/>
              <w:bottom w:val="single" w:sz="8" w:space="0" w:color="auto"/>
              <w:right w:val="single" w:sz="4" w:space="0" w:color="auto"/>
            </w:tcBorders>
            <w:shd w:val="clear" w:color="auto" w:fill="auto"/>
            <w:vAlign w:val="center"/>
            <w:hideMark/>
          </w:tcPr>
          <w:p w14:paraId="22D0C6B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MEPJ</w:t>
            </w:r>
          </w:p>
        </w:tc>
        <w:tc>
          <w:tcPr>
            <w:tcW w:w="244" w:type="pct"/>
            <w:tcBorders>
              <w:top w:val="nil"/>
              <w:left w:val="nil"/>
              <w:bottom w:val="single" w:sz="8" w:space="0" w:color="auto"/>
              <w:right w:val="single" w:sz="4" w:space="0" w:color="auto"/>
            </w:tcBorders>
            <w:shd w:val="clear" w:color="auto" w:fill="auto"/>
            <w:vAlign w:val="center"/>
            <w:hideMark/>
          </w:tcPr>
          <w:p w14:paraId="3E63E10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ISSH</w:t>
            </w:r>
          </w:p>
        </w:tc>
        <w:tc>
          <w:tcPr>
            <w:tcW w:w="135" w:type="pct"/>
            <w:tcBorders>
              <w:top w:val="nil"/>
              <w:left w:val="nil"/>
              <w:bottom w:val="single" w:sz="8" w:space="0" w:color="auto"/>
              <w:right w:val="single" w:sz="4" w:space="0" w:color="auto"/>
            </w:tcBorders>
            <w:shd w:val="clear" w:color="000000" w:fill="DDEBF7"/>
            <w:vAlign w:val="center"/>
            <w:hideMark/>
          </w:tcPr>
          <w:p w14:paraId="18BB8F46"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2024</w:t>
            </w:r>
          </w:p>
        </w:tc>
        <w:tc>
          <w:tcPr>
            <w:tcW w:w="152" w:type="pct"/>
            <w:tcBorders>
              <w:top w:val="nil"/>
              <w:left w:val="nil"/>
              <w:bottom w:val="single" w:sz="8" w:space="0" w:color="auto"/>
              <w:right w:val="single" w:sz="4" w:space="0" w:color="auto"/>
            </w:tcBorders>
            <w:shd w:val="clear" w:color="000000" w:fill="DDEBF7"/>
            <w:vAlign w:val="center"/>
            <w:hideMark/>
          </w:tcPr>
          <w:p w14:paraId="6E7434D6"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63" w:type="pct"/>
            <w:tcBorders>
              <w:top w:val="nil"/>
              <w:left w:val="nil"/>
              <w:bottom w:val="single" w:sz="4" w:space="0" w:color="auto"/>
              <w:right w:val="single" w:sz="4" w:space="0" w:color="auto"/>
            </w:tcBorders>
            <w:shd w:val="clear" w:color="auto" w:fill="auto"/>
            <w:vAlign w:val="center"/>
            <w:hideMark/>
          </w:tcPr>
          <w:p w14:paraId="7B1BEFB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714,951</w:t>
            </w:r>
          </w:p>
        </w:tc>
        <w:tc>
          <w:tcPr>
            <w:tcW w:w="155" w:type="pct"/>
            <w:tcBorders>
              <w:top w:val="nil"/>
              <w:left w:val="nil"/>
              <w:bottom w:val="single" w:sz="4" w:space="0" w:color="auto"/>
              <w:right w:val="single" w:sz="4" w:space="0" w:color="auto"/>
            </w:tcBorders>
            <w:shd w:val="clear" w:color="auto" w:fill="auto"/>
            <w:vAlign w:val="center"/>
            <w:hideMark/>
          </w:tcPr>
          <w:p w14:paraId="79C8815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1C15FD0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714,951</w:t>
            </w:r>
          </w:p>
        </w:tc>
        <w:tc>
          <w:tcPr>
            <w:tcW w:w="165" w:type="pct"/>
            <w:tcBorders>
              <w:top w:val="nil"/>
              <w:left w:val="nil"/>
              <w:bottom w:val="single" w:sz="4" w:space="0" w:color="auto"/>
              <w:right w:val="single" w:sz="4" w:space="0" w:color="auto"/>
            </w:tcBorders>
            <w:shd w:val="clear" w:color="auto" w:fill="auto"/>
            <w:vAlign w:val="center"/>
            <w:hideMark/>
          </w:tcPr>
          <w:p w14:paraId="1298F87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714,951</w:t>
            </w:r>
          </w:p>
        </w:tc>
        <w:tc>
          <w:tcPr>
            <w:tcW w:w="163" w:type="pct"/>
            <w:tcBorders>
              <w:top w:val="nil"/>
              <w:left w:val="nil"/>
              <w:bottom w:val="single" w:sz="4" w:space="0" w:color="auto"/>
              <w:right w:val="single" w:sz="4" w:space="0" w:color="auto"/>
            </w:tcBorders>
            <w:shd w:val="clear" w:color="auto" w:fill="auto"/>
            <w:vAlign w:val="center"/>
            <w:hideMark/>
          </w:tcPr>
          <w:p w14:paraId="117FED6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73C366E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714,951</w:t>
            </w:r>
          </w:p>
        </w:tc>
        <w:tc>
          <w:tcPr>
            <w:tcW w:w="163" w:type="pct"/>
            <w:tcBorders>
              <w:top w:val="nil"/>
              <w:left w:val="nil"/>
              <w:bottom w:val="single" w:sz="4" w:space="0" w:color="auto"/>
              <w:right w:val="single" w:sz="4" w:space="0" w:color="auto"/>
            </w:tcBorders>
            <w:shd w:val="clear" w:color="auto" w:fill="auto"/>
            <w:vAlign w:val="center"/>
            <w:hideMark/>
          </w:tcPr>
          <w:p w14:paraId="2A4F87A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714,951</w:t>
            </w:r>
          </w:p>
        </w:tc>
        <w:tc>
          <w:tcPr>
            <w:tcW w:w="148" w:type="pct"/>
            <w:tcBorders>
              <w:top w:val="nil"/>
              <w:left w:val="nil"/>
              <w:bottom w:val="single" w:sz="4" w:space="0" w:color="auto"/>
              <w:right w:val="single" w:sz="4" w:space="0" w:color="auto"/>
            </w:tcBorders>
            <w:shd w:val="clear" w:color="auto" w:fill="auto"/>
            <w:vAlign w:val="center"/>
            <w:hideMark/>
          </w:tcPr>
          <w:p w14:paraId="481311E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1EA3237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714,951</w:t>
            </w:r>
          </w:p>
        </w:tc>
        <w:tc>
          <w:tcPr>
            <w:tcW w:w="165" w:type="pct"/>
            <w:tcBorders>
              <w:top w:val="nil"/>
              <w:left w:val="nil"/>
              <w:bottom w:val="single" w:sz="4" w:space="0" w:color="auto"/>
              <w:right w:val="single" w:sz="4" w:space="0" w:color="auto"/>
            </w:tcBorders>
            <w:shd w:val="clear" w:color="auto" w:fill="auto"/>
            <w:noWrap/>
            <w:vAlign w:val="center"/>
            <w:hideMark/>
          </w:tcPr>
          <w:p w14:paraId="73943D7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2,144,853</w:t>
            </w:r>
          </w:p>
        </w:tc>
        <w:tc>
          <w:tcPr>
            <w:tcW w:w="163" w:type="pct"/>
            <w:tcBorders>
              <w:top w:val="nil"/>
              <w:left w:val="nil"/>
              <w:bottom w:val="single" w:sz="4" w:space="0" w:color="auto"/>
              <w:right w:val="single" w:sz="4" w:space="0" w:color="auto"/>
            </w:tcBorders>
            <w:shd w:val="clear" w:color="auto" w:fill="auto"/>
            <w:noWrap/>
            <w:vAlign w:val="center"/>
            <w:hideMark/>
          </w:tcPr>
          <w:p w14:paraId="1906984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2D0DCA4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2,144,853</w:t>
            </w:r>
          </w:p>
        </w:tc>
        <w:tc>
          <w:tcPr>
            <w:tcW w:w="163" w:type="pct"/>
            <w:tcBorders>
              <w:top w:val="nil"/>
              <w:left w:val="nil"/>
              <w:bottom w:val="single" w:sz="4" w:space="0" w:color="auto"/>
              <w:right w:val="single" w:sz="4" w:space="0" w:color="auto"/>
            </w:tcBorders>
            <w:shd w:val="clear" w:color="auto" w:fill="auto"/>
            <w:vAlign w:val="center"/>
            <w:hideMark/>
          </w:tcPr>
          <w:p w14:paraId="05157C0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2,144,853</w:t>
            </w:r>
          </w:p>
        </w:tc>
        <w:tc>
          <w:tcPr>
            <w:tcW w:w="155" w:type="pct"/>
            <w:tcBorders>
              <w:top w:val="nil"/>
              <w:left w:val="nil"/>
              <w:bottom w:val="single" w:sz="4" w:space="0" w:color="auto"/>
              <w:right w:val="single" w:sz="4" w:space="0" w:color="auto"/>
            </w:tcBorders>
            <w:shd w:val="clear" w:color="auto" w:fill="auto"/>
            <w:vAlign w:val="center"/>
            <w:hideMark/>
          </w:tcPr>
          <w:p w14:paraId="2444E76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026E046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2,144,853</w:t>
            </w:r>
          </w:p>
        </w:tc>
        <w:tc>
          <w:tcPr>
            <w:tcW w:w="162" w:type="pct"/>
            <w:tcBorders>
              <w:top w:val="nil"/>
              <w:left w:val="nil"/>
              <w:bottom w:val="single" w:sz="4" w:space="0" w:color="auto"/>
              <w:right w:val="single" w:sz="4" w:space="0" w:color="auto"/>
            </w:tcBorders>
            <w:shd w:val="clear" w:color="auto" w:fill="auto"/>
            <w:vAlign w:val="center"/>
            <w:hideMark/>
          </w:tcPr>
          <w:p w14:paraId="51AACC4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206BFE9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6A11B65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FFF2CC"/>
            <w:noWrap/>
            <w:vAlign w:val="center"/>
            <w:hideMark/>
          </w:tcPr>
          <w:p w14:paraId="448C6A1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59CEC95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6D0E4E3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58DC793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1D23F566" w14:textId="435290C1" w:rsidR="00C260C3" w:rsidRPr="00B457F5" w:rsidRDefault="0006016F"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 </w:t>
            </w:r>
            <w:r w:rsidR="00C260C3" w:rsidRPr="00B457F5">
              <w:rPr>
                <w:rFonts w:ascii="Garamond" w:eastAsia="Times New Roman" w:hAnsi="Garamond" w:cs="Times New Roman"/>
                <w:sz w:val="4"/>
                <w:szCs w:val="10"/>
              </w:rPr>
              <w:t>-</w:t>
            </w:r>
          </w:p>
        </w:tc>
      </w:tr>
      <w:tr w:rsidR="00C260C3" w:rsidRPr="00B457F5" w14:paraId="3B2D4031" w14:textId="77777777" w:rsidTr="00C260C3">
        <w:trPr>
          <w:trHeight w:val="20"/>
        </w:trPr>
        <w:tc>
          <w:tcPr>
            <w:tcW w:w="131" w:type="pct"/>
            <w:tcBorders>
              <w:top w:val="nil"/>
              <w:left w:val="single" w:sz="8" w:space="0" w:color="auto"/>
              <w:bottom w:val="single" w:sz="8" w:space="0" w:color="auto"/>
              <w:right w:val="single" w:sz="4" w:space="0" w:color="auto"/>
            </w:tcBorders>
            <w:shd w:val="clear" w:color="000000" w:fill="D9D9D9"/>
            <w:vAlign w:val="center"/>
            <w:hideMark/>
          </w:tcPr>
          <w:p w14:paraId="57429460"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81" w:type="pct"/>
            <w:tcBorders>
              <w:top w:val="nil"/>
              <w:left w:val="nil"/>
              <w:bottom w:val="single" w:sz="8" w:space="0" w:color="auto"/>
              <w:right w:val="single" w:sz="4" w:space="0" w:color="auto"/>
            </w:tcBorders>
            <w:shd w:val="clear" w:color="000000" w:fill="D9D9D9"/>
            <w:vAlign w:val="center"/>
            <w:hideMark/>
          </w:tcPr>
          <w:p w14:paraId="30430117" w14:textId="1C3BA5EB" w:rsidR="00C260C3" w:rsidRPr="00B457F5" w:rsidRDefault="00C260C3" w:rsidP="00C260C3">
            <w:pPr>
              <w:spacing w:before="0" w:after="0"/>
              <w:jc w:val="lef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Kosto</w:t>
            </w:r>
            <w:r w:rsidR="00E92B0D" w:rsidRPr="00B457F5">
              <w:rPr>
                <w:rFonts w:ascii="Garamond" w:eastAsia="Times New Roman" w:hAnsi="Garamond" w:cs="Times New Roman"/>
                <w:b/>
                <w:bCs/>
                <w:color w:val="FF0000"/>
                <w:sz w:val="4"/>
                <w:szCs w:val="10"/>
              </w:rPr>
              <w:t>ja e</w:t>
            </w:r>
            <w:r w:rsidRPr="00B457F5">
              <w:rPr>
                <w:rFonts w:ascii="Garamond" w:eastAsia="Times New Roman" w:hAnsi="Garamond" w:cs="Times New Roman"/>
                <w:b/>
                <w:bCs/>
                <w:color w:val="FF0000"/>
                <w:sz w:val="4"/>
                <w:szCs w:val="10"/>
              </w:rPr>
              <w:t xml:space="preserve"> </w:t>
            </w:r>
            <w:r w:rsidR="00E92B0D" w:rsidRPr="00B457F5">
              <w:rPr>
                <w:rFonts w:ascii="Garamond" w:eastAsia="Times New Roman" w:hAnsi="Garamond" w:cs="Times New Roman"/>
                <w:b/>
                <w:bCs/>
                <w:color w:val="FF0000"/>
                <w:sz w:val="4"/>
                <w:szCs w:val="10"/>
              </w:rPr>
              <w:t>o</w:t>
            </w:r>
            <w:r w:rsidRPr="00B457F5">
              <w:rPr>
                <w:rFonts w:ascii="Garamond" w:eastAsia="Times New Roman" w:hAnsi="Garamond" w:cs="Times New Roman"/>
                <w:b/>
                <w:bCs/>
                <w:color w:val="FF0000"/>
                <w:sz w:val="4"/>
                <w:szCs w:val="10"/>
              </w:rPr>
              <w:t>bjektivi</w:t>
            </w:r>
            <w:r w:rsidR="00E92B0D" w:rsidRPr="00B457F5">
              <w:rPr>
                <w:rFonts w:ascii="Garamond" w:eastAsia="Times New Roman" w:hAnsi="Garamond" w:cs="Times New Roman"/>
                <w:b/>
                <w:bCs/>
                <w:color w:val="FF0000"/>
                <w:sz w:val="4"/>
                <w:szCs w:val="10"/>
              </w:rPr>
              <w:t>t</w:t>
            </w:r>
            <w:r w:rsidRPr="00B457F5">
              <w:rPr>
                <w:rFonts w:ascii="Garamond" w:eastAsia="Times New Roman" w:hAnsi="Garamond" w:cs="Times New Roman"/>
                <w:b/>
                <w:bCs/>
                <w:color w:val="FF0000"/>
                <w:sz w:val="4"/>
                <w:szCs w:val="10"/>
              </w:rPr>
              <w:t xml:space="preserve"> specifik 2.3</w:t>
            </w:r>
          </w:p>
        </w:tc>
        <w:tc>
          <w:tcPr>
            <w:tcW w:w="186" w:type="pct"/>
            <w:tcBorders>
              <w:top w:val="nil"/>
              <w:left w:val="nil"/>
              <w:bottom w:val="single" w:sz="8" w:space="0" w:color="auto"/>
              <w:right w:val="single" w:sz="4" w:space="0" w:color="auto"/>
            </w:tcBorders>
            <w:shd w:val="clear" w:color="000000" w:fill="D9D9D9"/>
            <w:vAlign w:val="center"/>
            <w:hideMark/>
          </w:tcPr>
          <w:p w14:paraId="158D9D82"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9" w:type="pct"/>
            <w:tcBorders>
              <w:top w:val="nil"/>
              <w:left w:val="nil"/>
              <w:bottom w:val="single" w:sz="8" w:space="0" w:color="auto"/>
              <w:right w:val="single" w:sz="4" w:space="0" w:color="auto"/>
            </w:tcBorders>
            <w:shd w:val="clear" w:color="000000" w:fill="D9D9D9"/>
            <w:vAlign w:val="center"/>
            <w:hideMark/>
          </w:tcPr>
          <w:p w14:paraId="74E04902"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44" w:type="pct"/>
            <w:tcBorders>
              <w:top w:val="nil"/>
              <w:left w:val="nil"/>
              <w:bottom w:val="single" w:sz="8" w:space="0" w:color="auto"/>
              <w:right w:val="single" w:sz="4" w:space="0" w:color="auto"/>
            </w:tcBorders>
            <w:shd w:val="clear" w:color="000000" w:fill="D9D9D9"/>
            <w:vAlign w:val="center"/>
            <w:hideMark/>
          </w:tcPr>
          <w:p w14:paraId="5B5DC830"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35" w:type="pct"/>
            <w:tcBorders>
              <w:top w:val="nil"/>
              <w:left w:val="nil"/>
              <w:bottom w:val="single" w:sz="8" w:space="0" w:color="auto"/>
              <w:right w:val="single" w:sz="4" w:space="0" w:color="auto"/>
            </w:tcBorders>
            <w:shd w:val="clear" w:color="000000" w:fill="D9D9D9"/>
            <w:vAlign w:val="center"/>
            <w:hideMark/>
          </w:tcPr>
          <w:p w14:paraId="37D5BA05"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2" w:type="pct"/>
            <w:tcBorders>
              <w:top w:val="nil"/>
              <w:left w:val="nil"/>
              <w:bottom w:val="single" w:sz="8" w:space="0" w:color="auto"/>
              <w:right w:val="single" w:sz="4" w:space="0" w:color="auto"/>
            </w:tcBorders>
            <w:shd w:val="clear" w:color="000000" w:fill="D9D9D9"/>
            <w:vAlign w:val="center"/>
            <w:hideMark/>
          </w:tcPr>
          <w:p w14:paraId="1D4E30D4"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8" w:space="0" w:color="auto"/>
              <w:right w:val="single" w:sz="4" w:space="0" w:color="auto"/>
            </w:tcBorders>
            <w:shd w:val="clear" w:color="000000" w:fill="D9D9D9"/>
            <w:vAlign w:val="center"/>
            <w:hideMark/>
          </w:tcPr>
          <w:p w14:paraId="5BB3F4C7" w14:textId="15D67984"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29,119,222 </w:t>
            </w:r>
          </w:p>
        </w:tc>
        <w:tc>
          <w:tcPr>
            <w:tcW w:w="155" w:type="pct"/>
            <w:tcBorders>
              <w:top w:val="nil"/>
              <w:left w:val="nil"/>
              <w:bottom w:val="single" w:sz="8" w:space="0" w:color="auto"/>
              <w:right w:val="single" w:sz="4" w:space="0" w:color="auto"/>
            </w:tcBorders>
            <w:shd w:val="clear" w:color="000000" w:fill="D9D9D9"/>
            <w:vAlign w:val="center"/>
            <w:hideMark/>
          </w:tcPr>
          <w:p w14:paraId="21C2663D" w14:textId="6E880EBF" w:rsidR="00C260C3" w:rsidRPr="00B457F5" w:rsidRDefault="0006016F"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w:t>
            </w:r>
            <w:r w:rsidR="00C260C3" w:rsidRPr="00B457F5">
              <w:rPr>
                <w:rFonts w:ascii="Garamond" w:eastAsia="Times New Roman" w:hAnsi="Garamond" w:cs="Times New Roman"/>
                <w:b/>
                <w:bCs/>
                <w:color w:val="FF0000"/>
                <w:sz w:val="4"/>
                <w:szCs w:val="10"/>
              </w:rPr>
              <w:t xml:space="preserve">- </w:t>
            </w:r>
          </w:p>
        </w:tc>
        <w:tc>
          <w:tcPr>
            <w:tcW w:w="162" w:type="pct"/>
            <w:tcBorders>
              <w:top w:val="nil"/>
              <w:left w:val="nil"/>
              <w:bottom w:val="single" w:sz="8" w:space="0" w:color="auto"/>
              <w:right w:val="single" w:sz="4" w:space="0" w:color="auto"/>
            </w:tcBorders>
            <w:shd w:val="clear" w:color="000000" w:fill="D9D9D9"/>
            <w:vAlign w:val="center"/>
            <w:hideMark/>
          </w:tcPr>
          <w:p w14:paraId="39D8F3DF" w14:textId="4A091464"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29,119,222 </w:t>
            </w:r>
          </w:p>
        </w:tc>
        <w:tc>
          <w:tcPr>
            <w:tcW w:w="165" w:type="pct"/>
            <w:tcBorders>
              <w:top w:val="nil"/>
              <w:left w:val="nil"/>
              <w:bottom w:val="single" w:sz="8" w:space="0" w:color="auto"/>
              <w:right w:val="single" w:sz="4" w:space="0" w:color="auto"/>
            </w:tcBorders>
            <w:shd w:val="clear" w:color="000000" w:fill="D9D9D9"/>
            <w:vAlign w:val="center"/>
            <w:hideMark/>
          </w:tcPr>
          <w:p w14:paraId="53109750" w14:textId="7338CF26"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28,339,546 </w:t>
            </w:r>
          </w:p>
        </w:tc>
        <w:tc>
          <w:tcPr>
            <w:tcW w:w="163" w:type="pct"/>
            <w:tcBorders>
              <w:top w:val="nil"/>
              <w:left w:val="nil"/>
              <w:bottom w:val="single" w:sz="8" w:space="0" w:color="auto"/>
              <w:right w:val="single" w:sz="4" w:space="0" w:color="auto"/>
            </w:tcBorders>
            <w:shd w:val="clear" w:color="000000" w:fill="D9D9D9"/>
            <w:vAlign w:val="center"/>
            <w:hideMark/>
          </w:tcPr>
          <w:p w14:paraId="3E89C815" w14:textId="0C5601A8"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c>
          <w:tcPr>
            <w:tcW w:w="163" w:type="pct"/>
            <w:tcBorders>
              <w:top w:val="nil"/>
              <w:left w:val="nil"/>
              <w:bottom w:val="single" w:sz="8" w:space="0" w:color="auto"/>
              <w:right w:val="single" w:sz="4" w:space="0" w:color="auto"/>
            </w:tcBorders>
            <w:shd w:val="clear" w:color="000000" w:fill="D9D9D9"/>
            <w:vAlign w:val="center"/>
            <w:hideMark/>
          </w:tcPr>
          <w:p w14:paraId="46CD964F" w14:textId="3DD8B10D"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28,339,546 </w:t>
            </w:r>
          </w:p>
        </w:tc>
        <w:tc>
          <w:tcPr>
            <w:tcW w:w="163" w:type="pct"/>
            <w:tcBorders>
              <w:top w:val="nil"/>
              <w:left w:val="nil"/>
              <w:bottom w:val="single" w:sz="8" w:space="0" w:color="auto"/>
              <w:right w:val="single" w:sz="4" w:space="0" w:color="auto"/>
            </w:tcBorders>
            <w:shd w:val="clear" w:color="000000" w:fill="D9D9D9"/>
            <w:vAlign w:val="center"/>
            <w:hideMark/>
          </w:tcPr>
          <w:p w14:paraId="580C35E1" w14:textId="537E199B" w:rsidR="00C260C3" w:rsidRPr="00B457F5" w:rsidRDefault="0006016F"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w:t>
            </w:r>
            <w:r w:rsidR="00C260C3" w:rsidRPr="00B457F5">
              <w:rPr>
                <w:rFonts w:ascii="Garamond" w:eastAsia="Times New Roman" w:hAnsi="Garamond" w:cs="Times New Roman"/>
                <w:b/>
                <w:bCs/>
                <w:color w:val="FF0000"/>
                <w:sz w:val="4"/>
                <w:szCs w:val="10"/>
              </w:rPr>
              <w:t xml:space="preserve">28,339,546 </w:t>
            </w:r>
          </w:p>
        </w:tc>
        <w:tc>
          <w:tcPr>
            <w:tcW w:w="148" w:type="pct"/>
            <w:tcBorders>
              <w:top w:val="nil"/>
              <w:left w:val="nil"/>
              <w:bottom w:val="single" w:sz="8" w:space="0" w:color="auto"/>
              <w:right w:val="single" w:sz="4" w:space="0" w:color="auto"/>
            </w:tcBorders>
            <w:shd w:val="clear" w:color="000000" w:fill="D9D9D9"/>
            <w:vAlign w:val="center"/>
            <w:hideMark/>
          </w:tcPr>
          <w:p w14:paraId="677BE921" w14:textId="596024A8"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w:t>
            </w:r>
          </w:p>
        </w:tc>
        <w:tc>
          <w:tcPr>
            <w:tcW w:w="162" w:type="pct"/>
            <w:tcBorders>
              <w:top w:val="nil"/>
              <w:left w:val="nil"/>
              <w:bottom w:val="single" w:sz="8" w:space="0" w:color="auto"/>
              <w:right w:val="single" w:sz="4" w:space="0" w:color="auto"/>
            </w:tcBorders>
            <w:shd w:val="clear" w:color="000000" w:fill="D9D9D9"/>
            <w:vAlign w:val="center"/>
            <w:hideMark/>
          </w:tcPr>
          <w:p w14:paraId="17AB8283" w14:textId="586B2330"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28,339,546 </w:t>
            </w:r>
          </w:p>
        </w:tc>
        <w:tc>
          <w:tcPr>
            <w:tcW w:w="165" w:type="pct"/>
            <w:tcBorders>
              <w:top w:val="nil"/>
              <w:left w:val="nil"/>
              <w:bottom w:val="single" w:sz="8" w:space="0" w:color="auto"/>
              <w:right w:val="single" w:sz="4" w:space="0" w:color="auto"/>
            </w:tcBorders>
            <w:shd w:val="clear" w:color="000000" w:fill="D9D9D9"/>
            <w:vAlign w:val="center"/>
            <w:hideMark/>
          </w:tcPr>
          <w:p w14:paraId="29BAA82B" w14:textId="3D0D0D80"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85,798,314 </w:t>
            </w:r>
          </w:p>
        </w:tc>
        <w:tc>
          <w:tcPr>
            <w:tcW w:w="163" w:type="pct"/>
            <w:tcBorders>
              <w:top w:val="nil"/>
              <w:left w:val="nil"/>
              <w:bottom w:val="single" w:sz="8" w:space="0" w:color="auto"/>
              <w:right w:val="single" w:sz="4" w:space="0" w:color="auto"/>
            </w:tcBorders>
            <w:shd w:val="clear" w:color="000000" w:fill="D9D9D9"/>
            <w:vAlign w:val="center"/>
            <w:hideMark/>
          </w:tcPr>
          <w:p w14:paraId="78D24585" w14:textId="671D0CB2"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w:t>
            </w:r>
          </w:p>
        </w:tc>
        <w:tc>
          <w:tcPr>
            <w:tcW w:w="165" w:type="pct"/>
            <w:tcBorders>
              <w:top w:val="nil"/>
              <w:left w:val="nil"/>
              <w:bottom w:val="single" w:sz="8" w:space="0" w:color="auto"/>
              <w:right w:val="single" w:sz="4" w:space="0" w:color="auto"/>
            </w:tcBorders>
            <w:shd w:val="clear" w:color="000000" w:fill="D9D9D9"/>
            <w:vAlign w:val="center"/>
            <w:hideMark/>
          </w:tcPr>
          <w:p w14:paraId="35C1FF98" w14:textId="1179F15F"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85,798,314 </w:t>
            </w:r>
          </w:p>
        </w:tc>
        <w:tc>
          <w:tcPr>
            <w:tcW w:w="163" w:type="pct"/>
            <w:tcBorders>
              <w:top w:val="nil"/>
              <w:left w:val="nil"/>
              <w:bottom w:val="single" w:sz="8" w:space="0" w:color="auto"/>
              <w:right w:val="single" w:sz="4" w:space="0" w:color="auto"/>
            </w:tcBorders>
            <w:shd w:val="clear" w:color="000000" w:fill="D9D9D9"/>
            <w:vAlign w:val="center"/>
            <w:hideMark/>
          </w:tcPr>
          <w:p w14:paraId="6E7742DB" w14:textId="1B14C2E6"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75,720,261 </w:t>
            </w:r>
          </w:p>
        </w:tc>
        <w:tc>
          <w:tcPr>
            <w:tcW w:w="155" w:type="pct"/>
            <w:tcBorders>
              <w:top w:val="nil"/>
              <w:left w:val="nil"/>
              <w:bottom w:val="single" w:sz="8" w:space="0" w:color="auto"/>
              <w:right w:val="single" w:sz="4" w:space="0" w:color="auto"/>
            </w:tcBorders>
            <w:shd w:val="clear" w:color="000000" w:fill="D9D9D9"/>
            <w:vAlign w:val="center"/>
            <w:hideMark/>
          </w:tcPr>
          <w:p w14:paraId="704CC730" w14:textId="1FD5E5E4" w:rsidR="00C260C3" w:rsidRPr="00B457F5" w:rsidRDefault="0006016F"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w:t>
            </w:r>
            <w:r w:rsidR="00C260C3" w:rsidRPr="00B457F5">
              <w:rPr>
                <w:rFonts w:ascii="Garamond" w:eastAsia="Times New Roman" w:hAnsi="Garamond" w:cs="Times New Roman"/>
                <w:b/>
                <w:bCs/>
                <w:color w:val="FF0000"/>
                <w:sz w:val="4"/>
                <w:szCs w:val="10"/>
              </w:rPr>
              <w:t xml:space="preserve">- </w:t>
            </w:r>
          </w:p>
        </w:tc>
        <w:tc>
          <w:tcPr>
            <w:tcW w:w="163" w:type="pct"/>
            <w:tcBorders>
              <w:top w:val="nil"/>
              <w:left w:val="nil"/>
              <w:bottom w:val="single" w:sz="8" w:space="0" w:color="auto"/>
              <w:right w:val="single" w:sz="4" w:space="0" w:color="auto"/>
            </w:tcBorders>
            <w:shd w:val="clear" w:color="000000" w:fill="D9D9D9"/>
            <w:vAlign w:val="center"/>
            <w:hideMark/>
          </w:tcPr>
          <w:p w14:paraId="4C82718D" w14:textId="56265133"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75,720,261 </w:t>
            </w:r>
          </w:p>
        </w:tc>
        <w:tc>
          <w:tcPr>
            <w:tcW w:w="162" w:type="pct"/>
            <w:tcBorders>
              <w:top w:val="nil"/>
              <w:left w:val="nil"/>
              <w:bottom w:val="single" w:sz="8" w:space="0" w:color="auto"/>
              <w:right w:val="single" w:sz="4" w:space="0" w:color="auto"/>
            </w:tcBorders>
            <w:shd w:val="clear" w:color="000000" w:fill="D9D9D9"/>
            <w:vAlign w:val="center"/>
            <w:hideMark/>
          </w:tcPr>
          <w:p w14:paraId="434B0477" w14:textId="493C3CDE"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w:t>
            </w:r>
          </w:p>
        </w:tc>
        <w:tc>
          <w:tcPr>
            <w:tcW w:w="155" w:type="pct"/>
            <w:tcBorders>
              <w:top w:val="nil"/>
              <w:left w:val="nil"/>
              <w:bottom w:val="single" w:sz="8" w:space="0" w:color="auto"/>
              <w:right w:val="single" w:sz="4" w:space="0" w:color="auto"/>
            </w:tcBorders>
            <w:shd w:val="clear" w:color="000000" w:fill="D9D9D9"/>
            <w:vAlign w:val="center"/>
            <w:hideMark/>
          </w:tcPr>
          <w:p w14:paraId="2FF725B1" w14:textId="3D5CAC35"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w:t>
            </w:r>
          </w:p>
        </w:tc>
        <w:tc>
          <w:tcPr>
            <w:tcW w:w="218" w:type="pct"/>
            <w:tcBorders>
              <w:top w:val="nil"/>
              <w:left w:val="nil"/>
              <w:bottom w:val="single" w:sz="8" w:space="0" w:color="auto"/>
              <w:right w:val="single" w:sz="4" w:space="0" w:color="auto"/>
            </w:tcBorders>
            <w:shd w:val="clear" w:color="000000" w:fill="D9D9D9"/>
            <w:vAlign w:val="center"/>
            <w:hideMark/>
          </w:tcPr>
          <w:p w14:paraId="376DD6AF"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8" w:space="0" w:color="auto"/>
              <w:right w:val="single" w:sz="4" w:space="0" w:color="auto"/>
            </w:tcBorders>
            <w:shd w:val="clear" w:color="000000" w:fill="D9D9D9"/>
            <w:vAlign w:val="center"/>
            <w:hideMark/>
          </w:tcPr>
          <w:p w14:paraId="0BD1DA2F" w14:textId="274733FD"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c>
          <w:tcPr>
            <w:tcW w:w="139" w:type="pct"/>
            <w:tcBorders>
              <w:top w:val="nil"/>
              <w:left w:val="nil"/>
              <w:bottom w:val="single" w:sz="8" w:space="0" w:color="auto"/>
              <w:right w:val="single" w:sz="4" w:space="0" w:color="auto"/>
            </w:tcBorders>
            <w:shd w:val="clear" w:color="000000" w:fill="D9D9D9"/>
            <w:vAlign w:val="center"/>
            <w:hideMark/>
          </w:tcPr>
          <w:p w14:paraId="0CABF20D" w14:textId="38CBAFCE"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w:t>
            </w:r>
          </w:p>
        </w:tc>
        <w:tc>
          <w:tcPr>
            <w:tcW w:w="142" w:type="pct"/>
            <w:tcBorders>
              <w:top w:val="nil"/>
              <w:left w:val="nil"/>
              <w:bottom w:val="single" w:sz="8" w:space="0" w:color="auto"/>
              <w:right w:val="single" w:sz="4" w:space="0" w:color="auto"/>
            </w:tcBorders>
            <w:shd w:val="clear" w:color="000000" w:fill="D9D9D9"/>
            <w:vAlign w:val="center"/>
            <w:hideMark/>
          </w:tcPr>
          <w:p w14:paraId="3B71A04F" w14:textId="38E8FD66" w:rsidR="00C260C3" w:rsidRPr="00B457F5" w:rsidRDefault="0006016F"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w:t>
            </w:r>
            <w:r w:rsidR="00C260C3" w:rsidRPr="00B457F5">
              <w:rPr>
                <w:rFonts w:ascii="Garamond" w:eastAsia="Times New Roman" w:hAnsi="Garamond" w:cs="Times New Roman"/>
                <w:b/>
                <w:bCs/>
                <w:color w:val="FF0000"/>
                <w:sz w:val="4"/>
                <w:szCs w:val="10"/>
              </w:rPr>
              <w:t xml:space="preserve">- </w:t>
            </w:r>
          </w:p>
        </w:tc>
        <w:tc>
          <w:tcPr>
            <w:tcW w:w="128" w:type="pct"/>
            <w:tcBorders>
              <w:top w:val="nil"/>
              <w:left w:val="nil"/>
              <w:bottom w:val="single" w:sz="8" w:space="0" w:color="auto"/>
              <w:right w:val="single" w:sz="4" w:space="0" w:color="auto"/>
            </w:tcBorders>
            <w:shd w:val="clear" w:color="000000" w:fill="D9D9D9"/>
            <w:vAlign w:val="center"/>
            <w:hideMark/>
          </w:tcPr>
          <w:p w14:paraId="111FCA66" w14:textId="15002F51" w:rsidR="00C260C3" w:rsidRPr="00B457F5" w:rsidRDefault="0006016F"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w:t>
            </w:r>
            <w:r w:rsidR="00C260C3" w:rsidRPr="00B457F5">
              <w:rPr>
                <w:rFonts w:ascii="Garamond" w:eastAsia="Times New Roman" w:hAnsi="Garamond" w:cs="Times New Roman"/>
                <w:b/>
                <w:bCs/>
                <w:color w:val="FF0000"/>
                <w:sz w:val="4"/>
                <w:szCs w:val="10"/>
              </w:rPr>
              <w:t xml:space="preserve">- </w:t>
            </w:r>
          </w:p>
        </w:tc>
        <w:tc>
          <w:tcPr>
            <w:tcW w:w="177" w:type="pct"/>
            <w:tcBorders>
              <w:top w:val="nil"/>
              <w:left w:val="nil"/>
              <w:bottom w:val="single" w:sz="8" w:space="0" w:color="auto"/>
              <w:right w:val="single" w:sz="4" w:space="0" w:color="auto"/>
            </w:tcBorders>
            <w:shd w:val="clear" w:color="000000" w:fill="D9D9D9"/>
            <w:vAlign w:val="center"/>
            <w:hideMark/>
          </w:tcPr>
          <w:p w14:paraId="0BA45A6A" w14:textId="3C210BA0"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(10,078,053)</w:t>
            </w:r>
          </w:p>
        </w:tc>
      </w:tr>
      <w:tr w:rsidR="00C260C3" w:rsidRPr="00B457F5" w14:paraId="6911B66E" w14:textId="77777777" w:rsidTr="00C260C3">
        <w:trPr>
          <w:trHeight w:val="20"/>
        </w:trPr>
        <w:tc>
          <w:tcPr>
            <w:tcW w:w="131" w:type="pct"/>
            <w:tcBorders>
              <w:top w:val="nil"/>
              <w:left w:val="single" w:sz="8" w:space="0" w:color="auto"/>
              <w:bottom w:val="single" w:sz="8" w:space="0" w:color="auto"/>
              <w:right w:val="single" w:sz="4" w:space="0" w:color="auto"/>
            </w:tcBorders>
            <w:shd w:val="clear" w:color="000000" w:fill="D9D9D9"/>
            <w:vAlign w:val="center"/>
            <w:hideMark/>
          </w:tcPr>
          <w:p w14:paraId="52046DAB"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81" w:type="pct"/>
            <w:tcBorders>
              <w:top w:val="nil"/>
              <w:left w:val="nil"/>
              <w:bottom w:val="single" w:sz="8" w:space="0" w:color="auto"/>
              <w:right w:val="single" w:sz="4" w:space="0" w:color="auto"/>
            </w:tcBorders>
            <w:shd w:val="clear" w:color="000000" w:fill="D9D9D9"/>
            <w:vAlign w:val="center"/>
            <w:hideMark/>
          </w:tcPr>
          <w:p w14:paraId="0EF0191C" w14:textId="50428EAA" w:rsidR="00C260C3" w:rsidRPr="00B457F5" w:rsidRDefault="00C260C3" w:rsidP="00C260C3">
            <w:pPr>
              <w:spacing w:before="0" w:after="0"/>
              <w:jc w:val="lef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Kosto</w:t>
            </w:r>
            <w:r w:rsidR="00E92B0D" w:rsidRPr="00B457F5">
              <w:rPr>
                <w:rFonts w:ascii="Garamond" w:eastAsia="Times New Roman" w:hAnsi="Garamond" w:cs="Times New Roman"/>
                <w:b/>
                <w:bCs/>
                <w:color w:val="FF0000"/>
                <w:sz w:val="4"/>
                <w:szCs w:val="10"/>
              </w:rPr>
              <w:t>ja</w:t>
            </w:r>
            <w:r w:rsidRPr="00B457F5">
              <w:rPr>
                <w:rFonts w:ascii="Garamond" w:eastAsia="Times New Roman" w:hAnsi="Garamond" w:cs="Times New Roman"/>
                <w:b/>
                <w:bCs/>
                <w:color w:val="FF0000"/>
                <w:sz w:val="4"/>
                <w:szCs w:val="10"/>
              </w:rPr>
              <w:t xml:space="preserve"> totale </w:t>
            </w:r>
            <w:r w:rsidR="00E92B0D" w:rsidRPr="00B457F5">
              <w:rPr>
                <w:rFonts w:ascii="Garamond" w:eastAsia="Times New Roman" w:hAnsi="Garamond" w:cs="Times New Roman"/>
                <w:b/>
                <w:bCs/>
                <w:color w:val="FF0000"/>
                <w:sz w:val="4"/>
                <w:szCs w:val="10"/>
              </w:rPr>
              <w:t>e q</w:t>
            </w:r>
            <w:r w:rsidRPr="00B457F5">
              <w:rPr>
                <w:rFonts w:ascii="Garamond" w:eastAsia="Times New Roman" w:hAnsi="Garamond" w:cs="Times New Roman"/>
                <w:b/>
                <w:bCs/>
                <w:color w:val="FF0000"/>
                <w:sz w:val="4"/>
                <w:szCs w:val="10"/>
              </w:rPr>
              <w:t>ëllimi</w:t>
            </w:r>
            <w:r w:rsidR="00E92B0D" w:rsidRPr="00B457F5">
              <w:rPr>
                <w:rFonts w:ascii="Garamond" w:eastAsia="Times New Roman" w:hAnsi="Garamond" w:cs="Times New Roman"/>
                <w:b/>
                <w:bCs/>
                <w:color w:val="FF0000"/>
                <w:sz w:val="4"/>
                <w:szCs w:val="10"/>
              </w:rPr>
              <w:t>t</w:t>
            </w:r>
            <w:r w:rsidRPr="00B457F5">
              <w:rPr>
                <w:rFonts w:ascii="Garamond" w:eastAsia="Times New Roman" w:hAnsi="Garamond" w:cs="Times New Roman"/>
                <w:b/>
                <w:bCs/>
                <w:color w:val="FF0000"/>
                <w:sz w:val="4"/>
                <w:szCs w:val="10"/>
              </w:rPr>
              <w:t xml:space="preserve"> </w:t>
            </w:r>
            <w:r w:rsidR="00E92B0D" w:rsidRPr="00B457F5">
              <w:rPr>
                <w:rFonts w:ascii="Garamond" w:eastAsia="Times New Roman" w:hAnsi="Garamond" w:cs="Times New Roman"/>
                <w:b/>
                <w:bCs/>
                <w:color w:val="FF0000"/>
                <w:sz w:val="4"/>
                <w:szCs w:val="10"/>
              </w:rPr>
              <w:t>të p</w:t>
            </w:r>
            <w:r w:rsidRPr="00B457F5">
              <w:rPr>
                <w:rFonts w:ascii="Garamond" w:eastAsia="Times New Roman" w:hAnsi="Garamond" w:cs="Times New Roman"/>
                <w:b/>
                <w:bCs/>
                <w:color w:val="FF0000"/>
                <w:sz w:val="4"/>
                <w:szCs w:val="10"/>
              </w:rPr>
              <w:t>olitikës II (objektiva</w:t>
            </w:r>
            <w:r w:rsidR="00AF4731" w:rsidRPr="00B457F5">
              <w:rPr>
                <w:rFonts w:ascii="Garamond" w:eastAsia="Times New Roman" w:hAnsi="Garamond" w:cs="Times New Roman"/>
                <w:b/>
                <w:bCs/>
                <w:color w:val="FF0000"/>
                <w:sz w:val="4"/>
                <w:szCs w:val="10"/>
              </w:rPr>
              <w:t>t</w:t>
            </w:r>
            <w:r w:rsidRPr="00B457F5">
              <w:rPr>
                <w:rFonts w:ascii="Garamond" w:eastAsia="Times New Roman" w:hAnsi="Garamond" w:cs="Times New Roman"/>
                <w:b/>
                <w:bCs/>
                <w:color w:val="FF0000"/>
                <w:sz w:val="4"/>
                <w:szCs w:val="10"/>
              </w:rPr>
              <w:t xml:space="preserve"> specifik</w:t>
            </w:r>
            <w:r w:rsidR="00AF4731" w:rsidRPr="00B457F5">
              <w:rPr>
                <w:rFonts w:ascii="Garamond" w:eastAsia="Times New Roman" w:hAnsi="Garamond" w:cs="Times New Roman"/>
                <w:b/>
                <w:bCs/>
                <w:color w:val="FF0000"/>
                <w:sz w:val="4"/>
                <w:szCs w:val="10"/>
              </w:rPr>
              <w:t>ë</w:t>
            </w:r>
            <w:r w:rsidRPr="00B457F5">
              <w:rPr>
                <w:rFonts w:ascii="Garamond" w:eastAsia="Times New Roman" w:hAnsi="Garamond" w:cs="Times New Roman"/>
                <w:b/>
                <w:bCs/>
                <w:color w:val="FF0000"/>
                <w:sz w:val="4"/>
                <w:szCs w:val="10"/>
              </w:rPr>
              <w:t xml:space="preserve"> 2.1+2.2+2.3)</w:t>
            </w:r>
          </w:p>
        </w:tc>
        <w:tc>
          <w:tcPr>
            <w:tcW w:w="186" w:type="pct"/>
            <w:tcBorders>
              <w:top w:val="nil"/>
              <w:left w:val="nil"/>
              <w:bottom w:val="single" w:sz="8" w:space="0" w:color="auto"/>
              <w:right w:val="single" w:sz="4" w:space="0" w:color="auto"/>
            </w:tcBorders>
            <w:shd w:val="clear" w:color="000000" w:fill="D9D9D9"/>
            <w:vAlign w:val="center"/>
            <w:hideMark/>
          </w:tcPr>
          <w:p w14:paraId="2BFFEE70"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9" w:type="pct"/>
            <w:tcBorders>
              <w:top w:val="nil"/>
              <w:left w:val="nil"/>
              <w:bottom w:val="single" w:sz="8" w:space="0" w:color="auto"/>
              <w:right w:val="single" w:sz="4" w:space="0" w:color="auto"/>
            </w:tcBorders>
            <w:shd w:val="clear" w:color="000000" w:fill="D9D9D9"/>
            <w:vAlign w:val="center"/>
            <w:hideMark/>
          </w:tcPr>
          <w:p w14:paraId="146AF90F"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44" w:type="pct"/>
            <w:tcBorders>
              <w:top w:val="nil"/>
              <w:left w:val="nil"/>
              <w:bottom w:val="single" w:sz="8" w:space="0" w:color="auto"/>
              <w:right w:val="single" w:sz="4" w:space="0" w:color="auto"/>
            </w:tcBorders>
            <w:shd w:val="clear" w:color="000000" w:fill="D9D9D9"/>
            <w:vAlign w:val="center"/>
            <w:hideMark/>
          </w:tcPr>
          <w:p w14:paraId="66E17B08"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35" w:type="pct"/>
            <w:tcBorders>
              <w:top w:val="nil"/>
              <w:left w:val="nil"/>
              <w:bottom w:val="single" w:sz="8" w:space="0" w:color="auto"/>
              <w:right w:val="single" w:sz="4" w:space="0" w:color="auto"/>
            </w:tcBorders>
            <w:shd w:val="clear" w:color="000000" w:fill="D9D9D9"/>
            <w:vAlign w:val="center"/>
            <w:hideMark/>
          </w:tcPr>
          <w:p w14:paraId="7339BFCA"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2" w:type="pct"/>
            <w:tcBorders>
              <w:top w:val="nil"/>
              <w:left w:val="nil"/>
              <w:bottom w:val="single" w:sz="8" w:space="0" w:color="auto"/>
              <w:right w:val="single" w:sz="4" w:space="0" w:color="auto"/>
            </w:tcBorders>
            <w:shd w:val="clear" w:color="000000" w:fill="D9D9D9"/>
            <w:vAlign w:val="center"/>
            <w:hideMark/>
          </w:tcPr>
          <w:p w14:paraId="097F9914"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8" w:space="0" w:color="auto"/>
              <w:right w:val="single" w:sz="4" w:space="0" w:color="auto"/>
            </w:tcBorders>
            <w:shd w:val="clear" w:color="000000" w:fill="D9D9D9"/>
            <w:vAlign w:val="center"/>
            <w:hideMark/>
          </w:tcPr>
          <w:p w14:paraId="7F204EEE"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88,512,938</w:t>
            </w:r>
          </w:p>
        </w:tc>
        <w:tc>
          <w:tcPr>
            <w:tcW w:w="155" w:type="pct"/>
            <w:tcBorders>
              <w:top w:val="nil"/>
              <w:left w:val="nil"/>
              <w:bottom w:val="single" w:sz="8" w:space="0" w:color="auto"/>
              <w:right w:val="single" w:sz="4" w:space="0" w:color="auto"/>
            </w:tcBorders>
            <w:shd w:val="clear" w:color="000000" w:fill="D9D9D9"/>
            <w:vAlign w:val="center"/>
            <w:hideMark/>
          </w:tcPr>
          <w:p w14:paraId="15810948"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2" w:type="pct"/>
            <w:tcBorders>
              <w:top w:val="nil"/>
              <w:left w:val="nil"/>
              <w:bottom w:val="single" w:sz="8" w:space="0" w:color="auto"/>
              <w:right w:val="single" w:sz="4" w:space="0" w:color="auto"/>
            </w:tcBorders>
            <w:shd w:val="clear" w:color="000000" w:fill="D9D9D9"/>
            <w:vAlign w:val="center"/>
            <w:hideMark/>
          </w:tcPr>
          <w:p w14:paraId="124DDCB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88,512,938</w:t>
            </w:r>
          </w:p>
        </w:tc>
        <w:tc>
          <w:tcPr>
            <w:tcW w:w="165" w:type="pct"/>
            <w:tcBorders>
              <w:top w:val="nil"/>
              <w:left w:val="nil"/>
              <w:bottom w:val="single" w:sz="8" w:space="0" w:color="auto"/>
              <w:right w:val="single" w:sz="4" w:space="0" w:color="auto"/>
            </w:tcBorders>
            <w:shd w:val="clear" w:color="000000" w:fill="D9D9D9"/>
            <w:vAlign w:val="center"/>
            <w:hideMark/>
          </w:tcPr>
          <w:p w14:paraId="5018E58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93,370,049</w:t>
            </w:r>
          </w:p>
        </w:tc>
        <w:tc>
          <w:tcPr>
            <w:tcW w:w="163" w:type="pct"/>
            <w:tcBorders>
              <w:top w:val="nil"/>
              <w:left w:val="nil"/>
              <w:bottom w:val="single" w:sz="8" w:space="0" w:color="auto"/>
              <w:right w:val="single" w:sz="4" w:space="0" w:color="auto"/>
            </w:tcBorders>
            <w:shd w:val="clear" w:color="000000" w:fill="D9D9D9"/>
            <w:vAlign w:val="center"/>
            <w:hideMark/>
          </w:tcPr>
          <w:p w14:paraId="6629EA05"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3" w:type="pct"/>
            <w:tcBorders>
              <w:top w:val="nil"/>
              <w:left w:val="nil"/>
              <w:bottom w:val="single" w:sz="8" w:space="0" w:color="auto"/>
              <w:right w:val="single" w:sz="4" w:space="0" w:color="auto"/>
            </w:tcBorders>
            <w:shd w:val="clear" w:color="000000" w:fill="D9D9D9"/>
            <w:vAlign w:val="center"/>
            <w:hideMark/>
          </w:tcPr>
          <w:p w14:paraId="71039F53"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93,370,049</w:t>
            </w:r>
          </w:p>
        </w:tc>
        <w:tc>
          <w:tcPr>
            <w:tcW w:w="163" w:type="pct"/>
            <w:tcBorders>
              <w:top w:val="nil"/>
              <w:left w:val="nil"/>
              <w:bottom w:val="single" w:sz="8" w:space="0" w:color="auto"/>
              <w:right w:val="single" w:sz="4" w:space="0" w:color="auto"/>
            </w:tcBorders>
            <w:shd w:val="clear" w:color="000000" w:fill="D9D9D9"/>
            <w:vAlign w:val="center"/>
            <w:hideMark/>
          </w:tcPr>
          <w:p w14:paraId="3304275E"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93,370,049</w:t>
            </w:r>
          </w:p>
        </w:tc>
        <w:tc>
          <w:tcPr>
            <w:tcW w:w="148" w:type="pct"/>
            <w:tcBorders>
              <w:top w:val="nil"/>
              <w:left w:val="nil"/>
              <w:bottom w:val="single" w:sz="8" w:space="0" w:color="auto"/>
              <w:right w:val="single" w:sz="4" w:space="0" w:color="auto"/>
            </w:tcBorders>
            <w:shd w:val="clear" w:color="000000" w:fill="D9D9D9"/>
            <w:vAlign w:val="center"/>
            <w:hideMark/>
          </w:tcPr>
          <w:p w14:paraId="4167107F"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2,875,000</w:t>
            </w:r>
          </w:p>
        </w:tc>
        <w:tc>
          <w:tcPr>
            <w:tcW w:w="162" w:type="pct"/>
            <w:tcBorders>
              <w:top w:val="nil"/>
              <w:left w:val="nil"/>
              <w:bottom w:val="single" w:sz="8" w:space="0" w:color="auto"/>
              <w:right w:val="single" w:sz="4" w:space="0" w:color="auto"/>
            </w:tcBorders>
            <w:shd w:val="clear" w:color="000000" w:fill="D9D9D9"/>
            <w:vAlign w:val="center"/>
            <w:hideMark/>
          </w:tcPr>
          <w:p w14:paraId="29F0BFB0"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96,245,049</w:t>
            </w:r>
          </w:p>
        </w:tc>
        <w:tc>
          <w:tcPr>
            <w:tcW w:w="165" w:type="pct"/>
            <w:tcBorders>
              <w:top w:val="nil"/>
              <w:left w:val="nil"/>
              <w:bottom w:val="single" w:sz="8" w:space="0" w:color="auto"/>
              <w:right w:val="single" w:sz="4" w:space="0" w:color="auto"/>
            </w:tcBorders>
            <w:shd w:val="clear" w:color="000000" w:fill="D9D9D9"/>
            <w:vAlign w:val="center"/>
            <w:hideMark/>
          </w:tcPr>
          <w:p w14:paraId="13F69DD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275,253,035</w:t>
            </w:r>
          </w:p>
        </w:tc>
        <w:tc>
          <w:tcPr>
            <w:tcW w:w="163" w:type="pct"/>
            <w:tcBorders>
              <w:top w:val="nil"/>
              <w:left w:val="nil"/>
              <w:bottom w:val="single" w:sz="8" w:space="0" w:color="auto"/>
              <w:right w:val="single" w:sz="4" w:space="0" w:color="auto"/>
            </w:tcBorders>
            <w:shd w:val="clear" w:color="000000" w:fill="D9D9D9"/>
            <w:vAlign w:val="center"/>
            <w:hideMark/>
          </w:tcPr>
          <w:p w14:paraId="77118E27"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2,875,000</w:t>
            </w:r>
          </w:p>
        </w:tc>
        <w:tc>
          <w:tcPr>
            <w:tcW w:w="165" w:type="pct"/>
            <w:tcBorders>
              <w:top w:val="nil"/>
              <w:left w:val="nil"/>
              <w:bottom w:val="single" w:sz="8" w:space="0" w:color="auto"/>
              <w:right w:val="single" w:sz="4" w:space="0" w:color="auto"/>
            </w:tcBorders>
            <w:shd w:val="clear" w:color="000000" w:fill="D9D9D9"/>
            <w:vAlign w:val="center"/>
            <w:hideMark/>
          </w:tcPr>
          <w:p w14:paraId="77875A9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278,128,035</w:t>
            </w:r>
          </w:p>
        </w:tc>
        <w:tc>
          <w:tcPr>
            <w:tcW w:w="163" w:type="pct"/>
            <w:tcBorders>
              <w:top w:val="nil"/>
              <w:left w:val="nil"/>
              <w:bottom w:val="single" w:sz="8" w:space="0" w:color="auto"/>
              <w:right w:val="single" w:sz="4" w:space="0" w:color="auto"/>
            </w:tcBorders>
            <w:shd w:val="clear" w:color="000000" w:fill="D9D9D9"/>
            <w:vAlign w:val="center"/>
            <w:hideMark/>
          </w:tcPr>
          <w:p w14:paraId="1EAB2667"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185,567,958</w:t>
            </w:r>
          </w:p>
        </w:tc>
        <w:tc>
          <w:tcPr>
            <w:tcW w:w="155" w:type="pct"/>
            <w:tcBorders>
              <w:top w:val="nil"/>
              <w:left w:val="nil"/>
              <w:bottom w:val="single" w:sz="8" w:space="0" w:color="auto"/>
              <w:right w:val="single" w:sz="4" w:space="0" w:color="auto"/>
            </w:tcBorders>
            <w:shd w:val="clear" w:color="000000" w:fill="D9D9D9"/>
            <w:vAlign w:val="center"/>
            <w:hideMark/>
          </w:tcPr>
          <w:p w14:paraId="26ED0547"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3" w:type="pct"/>
            <w:tcBorders>
              <w:top w:val="nil"/>
              <w:left w:val="nil"/>
              <w:bottom w:val="single" w:sz="8" w:space="0" w:color="auto"/>
              <w:right w:val="single" w:sz="4" w:space="0" w:color="auto"/>
            </w:tcBorders>
            <w:shd w:val="clear" w:color="000000" w:fill="D9D9D9"/>
            <w:vAlign w:val="center"/>
            <w:hideMark/>
          </w:tcPr>
          <w:p w14:paraId="6DF02FAF"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185,567,958</w:t>
            </w:r>
          </w:p>
        </w:tc>
        <w:tc>
          <w:tcPr>
            <w:tcW w:w="162" w:type="pct"/>
            <w:tcBorders>
              <w:top w:val="nil"/>
              <w:left w:val="nil"/>
              <w:bottom w:val="single" w:sz="8" w:space="0" w:color="auto"/>
              <w:right w:val="single" w:sz="4" w:space="0" w:color="auto"/>
            </w:tcBorders>
            <w:shd w:val="clear" w:color="000000" w:fill="D9D9D9"/>
            <w:vAlign w:val="center"/>
            <w:hideMark/>
          </w:tcPr>
          <w:p w14:paraId="326243F0"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73,037,024</w:t>
            </w:r>
          </w:p>
        </w:tc>
        <w:tc>
          <w:tcPr>
            <w:tcW w:w="155" w:type="pct"/>
            <w:tcBorders>
              <w:top w:val="nil"/>
              <w:left w:val="nil"/>
              <w:bottom w:val="single" w:sz="8" w:space="0" w:color="auto"/>
              <w:right w:val="single" w:sz="4" w:space="0" w:color="auto"/>
            </w:tcBorders>
            <w:shd w:val="clear" w:color="000000" w:fill="D9D9D9"/>
            <w:vAlign w:val="center"/>
            <w:hideMark/>
          </w:tcPr>
          <w:p w14:paraId="7ED50F4C"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218" w:type="pct"/>
            <w:tcBorders>
              <w:top w:val="nil"/>
              <w:left w:val="nil"/>
              <w:bottom w:val="single" w:sz="8" w:space="0" w:color="auto"/>
              <w:right w:val="single" w:sz="4" w:space="0" w:color="auto"/>
            </w:tcBorders>
            <w:shd w:val="clear" w:color="000000" w:fill="D9D9D9"/>
            <w:vAlign w:val="center"/>
            <w:hideMark/>
          </w:tcPr>
          <w:p w14:paraId="4EB8D0E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8" w:space="0" w:color="auto"/>
              <w:right w:val="single" w:sz="4" w:space="0" w:color="auto"/>
            </w:tcBorders>
            <w:shd w:val="clear" w:color="000000" w:fill="D9D9D9"/>
            <w:vAlign w:val="center"/>
            <w:hideMark/>
          </w:tcPr>
          <w:p w14:paraId="2332A57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73,037,024</w:t>
            </w:r>
          </w:p>
        </w:tc>
        <w:tc>
          <w:tcPr>
            <w:tcW w:w="139" w:type="pct"/>
            <w:tcBorders>
              <w:top w:val="nil"/>
              <w:left w:val="nil"/>
              <w:bottom w:val="single" w:sz="8" w:space="0" w:color="auto"/>
              <w:right w:val="single" w:sz="4" w:space="0" w:color="auto"/>
            </w:tcBorders>
            <w:shd w:val="clear" w:color="000000" w:fill="D9D9D9"/>
            <w:vAlign w:val="center"/>
            <w:hideMark/>
          </w:tcPr>
          <w:p w14:paraId="690218D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42" w:type="pct"/>
            <w:tcBorders>
              <w:top w:val="nil"/>
              <w:left w:val="nil"/>
              <w:bottom w:val="single" w:sz="8" w:space="0" w:color="auto"/>
              <w:right w:val="single" w:sz="4" w:space="0" w:color="auto"/>
            </w:tcBorders>
            <w:shd w:val="clear" w:color="000000" w:fill="D9D9D9"/>
            <w:vAlign w:val="center"/>
            <w:hideMark/>
          </w:tcPr>
          <w:p w14:paraId="107F2DA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28" w:type="pct"/>
            <w:tcBorders>
              <w:top w:val="nil"/>
              <w:left w:val="nil"/>
              <w:bottom w:val="single" w:sz="8" w:space="0" w:color="auto"/>
              <w:right w:val="single" w:sz="4" w:space="0" w:color="auto"/>
            </w:tcBorders>
            <w:shd w:val="clear" w:color="000000" w:fill="D9D9D9"/>
            <w:vAlign w:val="center"/>
            <w:hideMark/>
          </w:tcPr>
          <w:p w14:paraId="7A06E85B"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77" w:type="pct"/>
            <w:tcBorders>
              <w:top w:val="nil"/>
              <w:left w:val="nil"/>
              <w:bottom w:val="single" w:sz="8" w:space="0" w:color="auto"/>
              <w:right w:val="single" w:sz="4" w:space="0" w:color="auto"/>
            </w:tcBorders>
            <w:shd w:val="clear" w:color="000000" w:fill="D9D9D9"/>
            <w:vAlign w:val="center"/>
            <w:hideMark/>
          </w:tcPr>
          <w:p w14:paraId="760CEDF5" w14:textId="5AC7D1EA"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(19,523,053)</w:t>
            </w:r>
          </w:p>
        </w:tc>
      </w:tr>
      <w:tr w:rsidR="00C260C3" w:rsidRPr="00B457F5" w14:paraId="2D77BCF9" w14:textId="77777777" w:rsidTr="00C260C3">
        <w:trPr>
          <w:trHeight w:val="20"/>
        </w:trPr>
        <w:tc>
          <w:tcPr>
            <w:tcW w:w="5000" w:type="pct"/>
            <w:gridSpan w:val="30"/>
            <w:tcBorders>
              <w:top w:val="single" w:sz="8" w:space="0" w:color="auto"/>
              <w:left w:val="single" w:sz="8" w:space="0" w:color="auto"/>
              <w:bottom w:val="single" w:sz="8" w:space="0" w:color="auto"/>
              <w:right w:val="single" w:sz="4" w:space="0" w:color="auto"/>
            </w:tcBorders>
            <w:shd w:val="clear" w:color="000000" w:fill="F2F2F2"/>
            <w:vAlign w:val="center"/>
            <w:hideMark/>
          </w:tcPr>
          <w:p w14:paraId="67907F7D" w14:textId="2BA0BB51"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Qëllimi i Politikës</w:t>
            </w:r>
            <w:r w:rsidR="0006016F" w:rsidRPr="00B457F5">
              <w:rPr>
                <w:rFonts w:ascii="Garamond" w:eastAsia="Times New Roman" w:hAnsi="Garamond" w:cs="Times New Roman"/>
                <w:b/>
                <w:bCs/>
                <w:color w:val="FF0000"/>
                <w:sz w:val="4"/>
                <w:szCs w:val="10"/>
              </w:rPr>
              <w:t xml:space="preserve"> </w:t>
            </w:r>
            <w:r w:rsidRPr="00B457F5">
              <w:rPr>
                <w:rFonts w:ascii="Garamond" w:eastAsia="Times New Roman" w:hAnsi="Garamond" w:cs="Times New Roman"/>
                <w:b/>
                <w:bCs/>
                <w:color w:val="FF0000"/>
                <w:sz w:val="4"/>
                <w:szCs w:val="10"/>
              </w:rPr>
              <w:t>3.</w:t>
            </w:r>
            <w:r w:rsidR="0006016F" w:rsidRPr="00B457F5">
              <w:rPr>
                <w:rFonts w:ascii="Garamond" w:eastAsia="Times New Roman" w:hAnsi="Garamond" w:cs="Times New Roman"/>
                <w:b/>
                <w:bCs/>
                <w:color w:val="FF0000"/>
                <w:sz w:val="4"/>
                <w:szCs w:val="10"/>
              </w:rPr>
              <w:t xml:space="preserve"> </w:t>
            </w:r>
            <w:r w:rsidRPr="00B457F5">
              <w:rPr>
                <w:rFonts w:ascii="Garamond" w:eastAsia="Times New Roman" w:hAnsi="Garamond" w:cs="Times New Roman"/>
                <w:b/>
                <w:bCs/>
                <w:color w:val="FF0000"/>
                <w:sz w:val="4"/>
                <w:szCs w:val="10"/>
              </w:rPr>
              <w:t xml:space="preserve">Promovimi i migracionit </w:t>
            </w:r>
            <w:r w:rsidR="00164C66" w:rsidRPr="00B457F5">
              <w:rPr>
                <w:rFonts w:ascii="Garamond" w:eastAsia="Times New Roman" w:hAnsi="Garamond" w:cs="Times New Roman"/>
                <w:color w:val="000000"/>
                <w:sz w:val="4"/>
                <w:szCs w:val="10"/>
              </w:rPr>
              <w:t>të</w:t>
            </w:r>
            <w:r w:rsidR="00164C66" w:rsidRPr="00B457F5">
              <w:rPr>
                <w:rFonts w:ascii="Garamond" w:eastAsia="Times New Roman" w:hAnsi="Garamond" w:cs="Times New Roman"/>
                <w:b/>
                <w:bCs/>
                <w:color w:val="FF0000"/>
                <w:sz w:val="4"/>
                <w:szCs w:val="10"/>
              </w:rPr>
              <w:t xml:space="preserve"> </w:t>
            </w:r>
            <w:r w:rsidRPr="00B457F5">
              <w:rPr>
                <w:rFonts w:ascii="Garamond" w:eastAsia="Times New Roman" w:hAnsi="Garamond" w:cs="Times New Roman"/>
                <w:b/>
                <w:bCs/>
                <w:color w:val="FF0000"/>
                <w:sz w:val="4"/>
                <w:szCs w:val="10"/>
              </w:rPr>
              <w:t>rregullt dhe mbrojtja e të drejtave të migrantëve dhe integrimi i tyre në shoqërinë shqiptare</w:t>
            </w:r>
          </w:p>
        </w:tc>
      </w:tr>
      <w:tr w:rsidR="00C260C3" w:rsidRPr="00B457F5" w14:paraId="46EF863C" w14:textId="77777777" w:rsidTr="00C260C3">
        <w:trPr>
          <w:trHeight w:val="20"/>
        </w:trPr>
        <w:tc>
          <w:tcPr>
            <w:tcW w:w="5000" w:type="pct"/>
            <w:gridSpan w:val="30"/>
            <w:tcBorders>
              <w:top w:val="single" w:sz="8" w:space="0" w:color="auto"/>
              <w:left w:val="single" w:sz="8" w:space="0" w:color="auto"/>
              <w:bottom w:val="single" w:sz="8" w:space="0" w:color="auto"/>
              <w:right w:val="single" w:sz="4" w:space="0" w:color="auto"/>
            </w:tcBorders>
            <w:shd w:val="clear" w:color="000000" w:fill="F2F2F2"/>
            <w:vAlign w:val="center"/>
            <w:hideMark/>
          </w:tcPr>
          <w:p w14:paraId="659958C6" w14:textId="30655C62"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III. Programi buxhetor që kontribuon për qëllimin e politikës: 01110 Planifikimi, Menaxhimi dhe Administrimi (91), 03140 Policia e Shtetit, 01110 Planifikimi, Menaxhimi dhe Administrimi (16), 10550 Tregu i </w:t>
            </w:r>
            <w:r w:rsidR="00164C66" w:rsidRPr="00B457F5">
              <w:rPr>
                <w:rFonts w:ascii="Garamond" w:eastAsia="Times New Roman" w:hAnsi="Garamond" w:cs="Times New Roman"/>
                <w:b/>
                <w:bCs/>
                <w:color w:val="FF0000"/>
                <w:sz w:val="4"/>
                <w:szCs w:val="10"/>
              </w:rPr>
              <w:t>Punës</w:t>
            </w:r>
            <w:r w:rsidRPr="00B457F5">
              <w:rPr>
                <w:rFonts w:ascii="Garamond" w:eastAsia="Times New Roman" w:hAnsi="Garamond" w:cs="Times New Roman"/>
                <w:b/>
                <w:bCs/>
                <w:color w:val="FF0000"/>
                <w:sz w:val="4"/>
                <w:szCs w:val="10"/>
              </w:rPr>
              <w:t xml:space="preserve">, 07220 </w:t>
            </w:r>
            <w:r w:rsidR="00164C66" w:rsidRPr="00B457F5">
              <w:rPr>
                <w:rFonts w:ascii="Garamond" w:eastAsia="Times New Roman" w:hAnsi="Garamond" w:cs="Times New Roman"/>
                <w:b/>
                <w:bCs/>
                <w:color w:val="FF0000"/>
                <w:sz w:val="4"/>
                <w:szCs w:val="10"/>
              </w:rPr>
              <w:t>Shërbimet</w:t>
            </w:r>
            <w:r w:rsidRPr="00B457F5">
              <w:rPr>
                <w:rFonts w:ascii="Garamond" w:eastAsia="Times New Roman" w:hAnsi="Garamond" w:cs="Times New Roman"/>
                <w:b/>
                <w:bCs/>
                <w:color w:val="FF0000"/>
                <w:sz w:val="4"/>
                <w:szCs w:val="10"/>
              </w:rPr>
              <w:t xml:space="preserve"> e Kujdesit </w:t>
            </w:r>
            <w:r w:rsidR="00164C66" w:rsidRPr="00B457F5">
              <w:rPr>
                <w:rFonts w:ascii="Garamond" w:eastAsia="Times New Roman" w:hAnsi="Garamond" w:cs="Times New Roman"/>
                <w:b/>
                <w:bCs/>
                <w:color w:val="FF0000"/>
                <w:sz w:val="4"/>
                <w:szCs w:val="10"/>
              </w:rPr>
              <w:t>Parësor</w:t>
            </w:r>
            <w:r w:rsidRPr="00B457F5">
              <w:rPr>
                <w:rFonts w:ascii="Garamond" w:eastAsia="Times New Roman" w:hAnsi="Garamond" w:cs="Times New Roman"/>
                <w:b/>
                <w:bCs/>
                <w:color w:val="FF0000"/>
                <w:sz w:val="4"/>
                <w:szCs w:val="10"/>
              </w:rPr>
              <w:t xml:space="preserve">, 07330 </w:t>
            </w:r>
            <w:r w:rsidR="00164C66" w:rsidRPr="00B457F5">
              <w:rPr>
                <w:rFonts w:ascii="Garamond" w:eastAsia="Times New Roman" w:hAnsi="Garamond" w:cs="Times New Roman"/>
                <w:b/>
                <w:bCs/>
                <w:color w:val="FF0000"/>
                <w:sz w:val="4"/>
                <w:szCs w:val="10"/>
              </w:rPr>
              <w:t>Shërbimet</w:t>
            </w:r>
            <w:r w:rsidRPr="00B457F5">
              <w:rPr>
                <w:rFonts w:ascii="Garamond" w:eastAsia="Times New Roman" w:hAnsi="Garamond" w:cs="Times New Roman"/>
                <w:b/>
                <w:bCs/>
                <w:color w:val="FF0000"/>
                <w:sz w:val="4"/>
                <w:szCs w:val="10"/>
              </w:rPr>
              <w:t xml:space="preserve"> e Kujdesit </w:t>
            </w:r>
            <w:r w:rsidR="00164C66" w:rsidRPr="00B457F5">
              <w:rPr>
                <w:rFonts w:ascii="Garamond" w:eastAsia="Times New Roman" w:hAnsi="Garamond" w:cs="Times New Roman"/>
                <w:b/>
                <w:bCs/>
                <w:color w:val="FF0000"/>
                <w:sz w:val="4"/>
                <w:szCs w:val="10"/>
              </w:rPr>
              <w:t>Dytësor</w:t>
            </w:r>
            <w:r w:rsidRPr="00B457F5">
              <w:rPr>
                <w:rFonts w:ascii="Garamond" w:eastAsia="Times New Roman" w:hAnsi="Garamond" w:cs="Times New Roman"/>
                <w:b/>
                <w:bCs/>
                <w:color w:val="FF0000"/>
                <w:sz w:val="4"/>
                <w:szCs w:val="10"/>
              </w:rPr>
              <w:t xml:space="preserve">, 01120 </w:t>
            </w:r>
            <w:r w:rsidR="006E177B" w:rsidRPr="00B457F5">
              <w:rPr>
                <w:rFonts w:ascii="Garamond" w:eastAsia="Times New Roman" w:hAnsi="Garamond" w:cs="Times New Roman"/>
                <w:b/>
                <w:bCs/>
                <w:color w:val="FF0000"/>
                <w:sz w:val="4"/>
                <w:szCs w:val="10"/>
              </w:rPr>
              <w:t>Mbështetje</w:t>
            </w:r>
            <w:r w:rsidRPr="00B457F5">
              <w:rPr>
                <w:rFonts w:ascii="Garamond" w:eastAsia="Times New Roman" w:hAnsi="Garamond" w:cs="Times New Roman"/>
                <w:b/>
                <w:bCs/>
                <w:color w:val="FF0000"/>
                <w:sz w:val="4"/>
                <w:szCs w:val="10"/>
              </w:rPr>
              <w:t xml:space="preserve"> diplomatike </w:t>
            </w:r>
            <w:r w:rsidR="00164C66" w:rsidRPr="00B457F5">
              <w:rPr>
                <w:rFonts w:ascii="Garamond" w:eastAsia="Times New Roman" w:hAnsi="Garamond" w:cs="Times New Roman"/>
                <w:b/>
                <w:bCs/>
                <w:color w:val="FF0000"/>
                <w:sz w:val="4"/>
                <w:szCs w:val="10"/>
              </w:rPr>
              <w:t>jashtë</w:t>
            </w:r>
            <w:r w:rsidRPr="00B457F5">
              <w:rPr>
                <w:rFonts w:ascii="Garamond" w:eastAsia="Times New Roman" w:hAnsi="Garamond" w:cs="Times New Roman"/>
                <w:b/>
                <w:bCs/>
                <w:color w:val="FF0000"/>
                <w:sz w:val="4"/>
                <w:szCs w:val="10"/>
              </w:rPr>
              <w:t xml:space="preserve"> shtetit, 09120 Arsimi Baz</w:t>
            </w:r>
            <w:r w:rsidR="00164C66" w:rsidRPr="00B457F5">
              <w:rPr>
                <w:rFonts w:ascii="Garamond" w:eastAsia="Times New Roman" w:hAnsi="Garamond" w:cs="Times New Roman"/>
                <w:b/>
                <w:color w:val="FF0000"/>
                <w:sz w:val="4"/>
                <w:szCs w:val="10"/>
              </w:rPr>
              <w:t>ë</w:t>
            </w:r>
            <w:r w:rsidRPr="00B457F5">
              <w:rPr>
                <w:rFonts w:ascii="Garamond" w:eastAsia="Times New Roman" w:hAnsi="Garamond" w:cs="Times New Roman"/>
                <w:b/>
                <w:bCs/>
                <w:color w:val="FF0000"/>
                <w:sz w:val="4"/>
                <w:szCs w:val="10"/>
              </w:rPr>
              <w:t xml:space="preserve"> (</w:t>
            </w:r>
            <w:r w:rsidR="00164C66" w:rsidRPr="00B457F5">
              <w:rPr>
                <w:rFonts w:ascii="Garamond" w:eastAsia="Times New Roman" w:hAnsi="Garamond" w:cs="Times New Roman"/>
                <w:b/>
                <w:bCs/>
                <w:color w:val="FF0000"/>
                <w:sz w:val="4"/>
                <w:szCs w:val="10"/>
              </w:rPr>
              <w:t>përfshirë</w:t>
            </w:r>
            <w:r w:rsidRPr="00B457F5">
              <w:rPr>
                <w:rFonts w:ascii="Garamond" w:eastAsia="Times New Roman" w:hAnsi="Garamond" w:cs="Times New Roman"/>
                <w:b/>
                <w:bCs/>
                <w:color w:val="FF0000"/>
                <w:sz w:val="4"/>
                <w:szCs w:val="10"/>
              </w:rPr>
              <w:t xml:space="preserve"> parashkollorin 09230 Arsimi i </w:t>
            </w:r>
            <w:r w:rsidR="00164C66" w:rsidRPr="00B457F5">
              <w:rPr>
                <w:rFonts w:ascii="Garamond" w:eastAsia="Times New Roman" w:hAnsi="Garamond" w:cs="Times New Roman"/>
                <w:b/>
                <w:bCs/>
                <w:color w:val="FF0000"/>
                <w:sz w:val="4"/>
                <w:szCs w:val="10"/>
              </w:rPr>
              <w:t>Mesëm</w:t>
            </w:r>
            <w:r w:rsidRPr="00B457F5">
              <w:rPr>
                <w:rFonts w:ascii="Garamond" w:eastAsia="Times New Roman" w:hAnsi="Garamond" w:cs="Times New Roman"/>
                <w:b/>
                <w:bCs/>
                <w:color w:val="FF0000"/>
                <w:sz w:val="4"/>
                <w:szCs w:val="10"/>
              </w:rPr>
              <w:t xml:space="preserve"> (i </w:t>
            </w:r>
            <w:r w:rsidR="00164C66" w:rsidRPr="00B457F5">
              <w:rPr>
                <w:rFonts w:ascii="Garamond" w:eastAsia="Times New Roman" w:hAnsi="Garamond" w:cs="Times New Roman"/>
                <w:b/>
                <w:bCs/>
                <w:color w:val="FF0000"/>
                <w:sz w:val="4"/>
                <w:szCs w:val="10"/>
              </w:rPr>
              <w:t>përgjithshëm</w:t>
            </w:r>
            <w:r w:rsidRPr="00B457F5">
              <w:rPr>
                <w:rFonts w:ascii="Garamond" w:eastAsia="Times New Roman" w:hAnsi="Garamond" w:cs="Times New Roman"/>
                <w:b/>
                <w:bCs/>
                <w:color w:val="FF0000"/>
                <w:sz w:val="4"/>
                <w:szCs w:val="10"/>
              </w:rPr>
              <w:t xml:space="preserve">) </w:t>
            </w:r>
          </w:p>
        </w:tc>
      </w:tr>
      <w:tr w:rsidR="00C260C3" w:rsidRPr="00B457F5" w14:paraId="08E95512" w14:textId="77777777" w:rsidTr="00C260C3">
        <w:trPr>
          <w:trHeight w:val="20"/>
        </w:trPr>
        <w:tc>
          <w:tcPr>
            <w:tcW w:w="131" w:type="pct"/>
            <w:vMerge w:val="restart"/>
            <w:tcBorders>
              <w:top w:val="nil"/>
              <w:left w:val="single" w:sz="8" w:space="0" w:color="auto"/>
              <w:bottom w:val="single" w:sz="8" w:space="0" w:color="000000"/>
              <w:right w:val="single" w:sz="4" w:space="0" w:color="auto"/>
            </w:tcBorders>
            <w:shd w:val="clear" w:color="auto" w:fill="auto"/>
            <w:vAlign w:val="center"/>
            <w:hideMark/>
          </w:tcPr>
          <w:p w14:paraId="6DFD919F"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Nr.</w:t>
            </w:r>
          </w:p>
        </w:tc>
        <w:tc>
          <w:tcPr>
            <w:tcW w:w="281" w:type="pct"/>
            <w:vMerge w:val="restart"/>
            <w:tcBorders>
              <w:top w:val="nil"/>
              <w:left w:val="single" w:sz="4" w:space="0" w:color="auto"/>
              <w:bottom w:val="single" w:sz="8" w:space="0" w:color="000000"/>
              <w:right w:val="single" w:sz="4" w:space="0" w:color="auto"/>
            </w:tcBorders>
            <w:shd w:val="clear" w:color="auto" w:fill="auto"/>
            <w:vAlign w:val="center"/>
            <w:hideMark/>
          </w:tcPr>
          <w:p w14:paraId="33C87B32"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Titulli</w:t>
            </w:r>
          </w:p>
        </w:tc>
        <w:tc>
          <w:tcPr>
            <w:tcW w:w="186" w:type="pct"/>
            <w:tcBorders>
              <w:top w:val="nil"/>
              <w:left w:val="nil"/>
              <w:bottom w:val="single" w:sz="4" w:space="0" w:color="auto"/>
              <w:right w:val="single" w:sz="4" w:space="0" w:color="auto"/>
            </w:tcBorders>
            <w:shd w:val="clear" w:color="auto" w:fill="auto"/>
            <w:vAlign w:val="center"/>
            <w:hideMark/>
          </w:tcPr>
          <w:p w14:paraId="2D2AFF83"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Programi buxhetor</w:t>
            </w:r>
          </w:p>
        </w:tc>
        <w:tc>
          <w:tcPr>
            <w:tcW w:w="412" w:type="pct"/>
            <w:gridSpan w:val="2"/>
            <w:tcBorders>
              <w:top w:val="single" w:sz="8" w:space="0" w:color="auto"/>
              <w:left w:val="nil"/>
              <w:bottom w:val="single" w:sz="4" w:space="0" w:color="auto"/>
              <w:right w:val="single" w:sz="4" w:space="0" w:color="auto"/>
            </w:tcBorders>
            <w:shd w:val="clear" w:color="auto" w:fill="auto"/>
            <w:vAlign w:val="center"/>
            <w:hideMark/>
          </w:tcPr>
          <w:p w14:paraId="65990FF7"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Institucionet përgjegjëse</w:t>
            </w:r>
          </w:p>
        </w:tc>
        <w:tc>
          <w:tcPr>
            <w:tcW w:w="287" w:type="pct"/>
            <w:gridSpan w:val="2"/>
            <w:tcBorders>
              <w:top w:val="single" w:sz="8" w:space="0" w:color="auto"/>
              <w:left w:val="nil"/>
              <w:bottom w:val="single" w:sz="4" w:space="0" w:color="auto"/>
              <w:right w:val="single" w:sz="4" w:space="0" w:color="auto"/>
            </w:tcBorders>
            <w:shd w:val="clear" w:color="auto" w:fill="auto"/>
            <w:vAlign w:val="center"/>
            <w:hideMark/>
          </w:tcPr>
          <w:p w14:paraId="3C066C98"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Afati i Zbatimit </w:t>
            </w:r>
          </w:p>
        </w:tc>
        <w:tc>
          <w:tcPr>
            <w:tcW w:w="480" w:type="pct"/>
            <w:gridSpan w:val="3"/>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5D80D257"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Kostot treguese/2024</w:t>
            </w:r>
          </w:p>
        </w:tc>
        <w:tc>
          <w:tcPr>
            <w:tcW w:w="491" w:type="pct"/>
            <w:gridSpan w:val="3"/>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32124C9E"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Kostot treguese/2025</w:t>
            </w:r>
          </w:p>
        </w:tc>
        <w:tc>
          <w:tcPr>
            <w:tcW w:w="473" w:type="pct"/>
            <w:gridSpan w:val="3"/>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03120A4A"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Kostot treguese/2026</w:t>
            </w:r>
          </w:p>
        </w:tc>
        <w:tc>
          <w:tcPr>
            <w:tcW w:w="493" w:type="pct"/>
            <w:gridSpan w:val="3"/>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662177E5"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Kostot treguese totale</w:t>
            </w:r>
          </w:p>
        </w:tc>
        <w:tc>
          <w:tcPr>
            <w:tcW w:w="1180" w:type="pct"/>
            <w:gridSpan w:val="7"/>
            <w:tcBorders>
              <w:top w:val="single" w:sz="8" w:space="0" w:color="auto"/>
              <w:left w:val="nil"/>
              <w:bottom w:val="single" w:sz="4" w:space="0" w:color="auto"/>
              <w:right w:val="single" w:sz="4" w:space="0" w:color="auto"/>
            </w:tcBorders>
            <w:shd w:val="clear" w:color="auto" w:fill="auto"/>
            <w:vAlign w:val="center"/>
            <w:hideMark/>
          </w:tcPr>
          <w:p w14:paraId="2D01832E" w14:textId="77D45A5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Burimi </w:t>
            </w:r>
            <w:r w:rsidR="00164C66" w:rsidRPr="00B457F5">
              <w:rPr>
                <w:rFonts w:ascii="Garamond" w:eastAsia="Times New Roman" w:hAnsi="Garamond" w:cs="Times New Roman"/>
                <w:b/>
                <w:bCs/>
                <w:color w:val="000000"/>
                <w:sz w:val="4"/>
                <w:szCs w:val="10"/>
              </w:rPr>
              <w:t>i</w:t>
            </w:r>
            <w:r w:rsidRPr="00B457F5">
              <w:rPr>
                <w:rFonts w:ascii="Garamond" w:eastAsia="Times New Roman" w:hAnsi="Garamond" w:cs="Times New Roman"/>
                <w:b/>
                <w:bCs/>
                <w:color w:val="000000"/>
                <w:sz w:val="4"/>
                <w:szCs w:val="10"/>
              </w:rPr>
              <w:t xml:space="preserve"> financimit</w:t>
            </w:r>
          </w:p>
        </w:tc>
        <w:tc>
          <w:tcPr>
            <w:tcW w:w="409" w:type="pct"/>
            <w:gridSpan w:val="3"/>
            <w:tcBorders>
              <w:top w:val="single" w:sz="8" w:space="0" w:color="auto"/>
              <w:left w:val="nil"/>
              <w:bottom w:val="single" w:sz="4" w:space="0" w:color="auto"/>
              <w:right w:val="single" w:sz="4" w:space="0" w:color="auto"/>
            </w:tcBorders>
            <w:shd w:val="clear" w:color="auto" w:fill="auto"/>
            <w:vAlign w:val="center"/>
            <w:hideMark/>
          </w:tcPr>
          <w:p w14:paraId="2E125746" w14:textId="25730928"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Burimi i </w:t>
            </w:r>
            <w:r w:rsidR="00E92B0D" w:rsidRPr="00B457F5">
              <w:rPr>
                <w:rFonts w:ascii="Garamond" w:eastAsia="Times New Roman" w:hAnsi="Garamond" w:cs="Times New Roman"/>
                <w:b/>
                <w:bCs/>
                <w:color w:val="000000"/>
                <w:sz w:val="4"/>
                <w:szCs w:val="10"/>
              </w:rPr>
              <w:t>f</w:t>
            </w:r>
            <w:r w:rsidRPr="00B457F5">
              <w:rPr>
                <w:rFonts w:ascii="Garamond" w:eastAsia="Times New Roman" w:hAnsi="Garamond" w:cs="Times New Roman"/>
                <w:b/>
                <w:bCs/>
                <w:color w:val="000000"/>
                <w:sz w:val="4"/>
                <w:szCs w:val="10"/>
              </w:rPr>
              <w:t>inancimit</w:t>
            </w:r>
          </w:p>
        </w:tc>
        <w:tc>
          <w:tcPr>
            <w:tcW w:w="177" w:type="pct"/>
            <w:vMerge w:val="restart"/>
            <w:tcBorders>
              <w:top w:val="nil"/>
              <w:left w:val="single" w:sz="4" w:space="0" w:color="auto"/>
              <w:bottom w:val="single" w:sz="4" w:space="0" w:color="auto"/>
              <w:right w:val="single" w:sz="8" w:space="0" w:color="auto"/>
            </w:tcBorders>
            <w:shd w:val="clear" w:color="auto" w:fill="auto"/>
            <w:vAlign w:val="center"/>
            <w:hideMark/>
          </w:tcPr>
          <w:p w14:paraId="10AAF0EC"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Hendeku financiar </w:t>
            </w:r>
          </w:p>
        </w:tc>
      </w:tr>
      <w:tr w:rsidR="00C260C3" w:rsidRPr="00B457F5" w14:paraId="1E27BF7B" w14:textId="77777777" w:rsidTr="00C260C3">
        <w:trPr>
          <w:trHeight w:val="20"/>
        </w:trPr>
        <w:tc>
          <w:tcPr>
            <w:tcW w:w="131" w:type="pct"/>
            <w:vMerge/>
            <w:tcBorders>
              <w:top w:val="nil"/>
              <w:left w:val="single" w:sz="8" w:space="0" w:color="auto"/>
              <w:bottom w:val="single" w:sz="8" w:space="0" w:color="000000"/>
              <w:right w:val="single" w:sz="4" w:space="0" w:color="auto"/>
            </w:tcBorders>
            <w:vAlign w:val="center"/>
            <w:hideMark/>
          </w:tcPr>
          <w:p w14:paraId="7A714404"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281" w:type="pct"/>
            <w:vMerge/>
            <w:tcBorders>
              <w:top w:val="nil"/>
              <w:left w:val="single" w:sz="4" w:space="0" w:color="auto"/>
              <w:bottom w:val="single" w:sz="8" w:space="0" w:color="000000"/>
              <w:right w:val="single" w:sz="4" w:space="0" w:color="auto"/>
            </w:tcBorders>
            <w:vAlign w:val="center"/>
            <w:hideMark/>
          </w:tcPr>
          <w:p w14:paraId="664B3B4C"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186" w:type="pct"/>
            <w:vMerge w:val="restart"/>
            <w:tcBorders>
              <w:top w:val="nil"/>
              <w:left w:val="single" w:sz="4" w:space="0" w:color="auto"/>
              <w:bottom w:val="single" w:sz="8" w:space="0" w:color="000000"/>
              <w:right w:val="single" w:sz="4" w:space="0" w:color="auto"/>
            </w:tcBorders>
            <w:shd w:val="clear" w:color="auto" w:fill="auto"/>
            <w:vAlign w:val="center"/>
            <w:hideMark/>
          </w:tcPr>
          <w:p w14:paraId="6F2EB789" w14:textId="38249230"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Emri i BP/dhe kodi</w:t>
            </w:r>
            <w:r w:rsidR="0006016F" w:rsidRPr="00B457F5">
              <w:rPr>
                <w:rFonts w:ascii="Garamond" w:eastAsia="Times New Roman" w:hAnsi="Garamond" w:cs="Times New Roman"/>
                <w:b/>
                <w:bCs/>
                <w:color w:val="000000"/>
                <w:sz w:val="4"/>
                <w:szCs w:val="10"/>
              </w:rPr>
              <w:t xml:space="preserve"> </w:t>
            </w:r>
          </w:p>
        </w:tc>
        <w:tc>
          <w:tcPr>
            <w:tcW w:w="169" w:type="pct"/>
            <w:vMerge w:val="restart"/>
            <w:tcBorders>
              <w:top w:val="nil"/>
              <w:left w:val="single" w:sz="4" w:space="0" w:color="auto"/>
              <w:bottom w:val="single" w:sz="8" w:space="0" w:color="000000"/>
              <w:right w:val="single" w:sz="4" w:space="0" w:color="auto"/>
            </w:tcBorders>
            <w:shd w:val="clear" w:color="auto" w:fill="auto"/>
            <w:vAlign w:val="center"/>
            <w:hideMark/>
          </w:tcPr>
          <w:p w14:paraId="6E43F64E"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Institucioni përgjegjës</w:t>
            </w:r>
          </w:p>
        </w:tc>
        <w:tc>
          <w:tcPr>
            <w:tcW w:w="244" w:type="pct"/>
            <w:vMerge w:val="restart"/>
            <w:tcBorders>
              <w:top w:val="nil"/>
              <w:left w:val="single" w:sz="4" w:space="0" w:color="auto"/>
              <w:bottom w:val="single" w:sz="8" w:space="0" w:color="000000"/>
              <w:right w:val="single" w:sz="4" w:space="0" w:color="auto"/>
            </w:tcBorders>
            <w:shd w:val="clear" w:color="auto" w:fill="auto"/>
            <w:vAlign w:val="center"/>
            <w:hideMark/>
          </w:tcPr>
          <w:p w14:paraId="404D1223"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Institucionet kontribuese</w:t>
            </w:r>
          </w:p>
        </w:tc>
        <w:tc>
          <w:tcPr>
            <w:tcW w:w="135"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67BD8FAB"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Afati Fillimit</w:t>
            </w:r>
          </w:p>
        </w:tc>
        <w:tc>
          <w:tcPr>
            <w:tcW w:w="152"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6E3D93D8"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Afati Fillimit</w:t>
            </w:r>
          </w:p>
        </w:tc>
        <w:tc>
          <w:tcPr>
            <w:tcW w:w="480" w:type="pct"/>
            <w:gridSpan w:val="3"/>
            <w:vMerge/>
            <w:tcBorders>
              <w:top w:val="nil"/>
              <w:left w:val="single" w:sz="4" w:space="0" w:color="auto"/>
              <w:bottom w:val="single" w:sz="8" w:space="0" w:color="000000"/>
              <w:right w:val="single" w:sz="4" w:space="0" w:color="auto"/>
            </w:tcBorders>
            <w:vAlign w:val="center"/>
            <w:hideMark/>
          </w:tcPr>
          <w:p w14:paraId="4B5DC7EB"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491" w:type="pct"/>
            <w:gridSpan w:val="3"/>
            <w:vMerge/>
            <w:tcBorders>
              <w:top w:val="nil"/>
              <w:left w:val="single" w:sz="4" w:space="0" w:color="auto"/>
              <w:bottom w:val="single" w:sz="8" w:space="0" w:color="000000"/>
              <w:right w:val="single" w:sz="4" w:space="0" w:color="auto"/>
            </w:tcBorders>
            <w:vAlign w:val="center"/>
            <w:hideMark/>
          </w:tcPr>
          <w:p w14:paraId="67CB6559"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473" w:type="pct"/>
            <w:gridSpan w:val="3"/>
            <w:vMerge/>
            <w:tcBorders>
              <w:top w:val="nil"/>
              <w:left w:val="single" w:sz="4" w:space="0" w:color="auto"/>
              <w:bottom w:val="single" w:sz="8" w:space="0" w:color="000000"/>
              <w:right w:val="single" w:sz="4" w:space="0" w:color="auto"/>
            </w:tcBorders>
            <w:vAlign w:val="center"/>
            <w:hideMark/>
          </w:tcPr>
          <w:p w14:paraId="00FC0584"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493" w:type="pct"/>
            <w:gridSpan w:val="3"/>
            <w:vMerge/>
            <w:tcBorders>
              <w:top w:val="nil"/>
              <w:left w:val="single" w:sz="4" w:space="0" w:color="auto"/>
              <w:bottom w:val="single" w:sz="8" w:space="0" w:color="000000"/>
              <w:right w:val="single" w:sz="4" w:space="0" w:color="auto"/>
            </w:tcBorders>
            <w:vAlign w:val="center"/>
            <w:hideMark/>
          </w:tcPr>
          <w:p w14:paraId="5F6C47EE"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481" w:type="pct"/>
            <w:gridSpan w:val="3"/>
            <w:tcBorders>
              <w:top w:val="single" w:sz="4" w:space="0" w:color="auto"/>
              <w:left w:val="nil"/>
              <w:bottom w:val="single" w:sz="4" w:space="0" w:color="auto"/>
              <w:right w:val="single" w:sz="4" w:space="0" w:color="auto"/>
            </w:tcBorders>
            <w:shd w:val="clear" w:color="auto" w:fill="auto"/>
            <w:vAlign w:val="center"/>
            <w:hideMark/>
          </w:tcPr>
          <w:p w14:paraId="58107164" w14:textId="75244F76"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PBA 2024</w:t>
            </w:r>
            <w:r w:rsidR="00E92B0D" w:rsidRPr="00B457F5">
              <w:rPr>
                <w:rFonts w:ascii="Garamond" w:eastAsia="Times New Roman" w:hAnsi="Garamond" w:cs="Times New Roman"/>
                <w:b/>
                <w:bCs/>
                <w:color w:val="000000"/>
                <w:sz w:val="4"/>
                <w:szCs w:val="10"/>
              </w:rPr>
              <w:t>–</w:t>
            </w:r>
            <w:r w:rsidRPr="00B457F5">
              <w:rPr>
                <w:rFonts w:ascii="Garamond" w:eastAsia="Times New Roman" w:hAnsi="Garamond" w:cs="Times New Roman"/>
                <w:b/>
                <w:bCs/>
                <w:color w:val="000000"/>
                <w:sz w:val="4"/>
                <w:szCs w:val="10"/>
              </w:rPr>
              <w:t>2026 (në lekë)</w:t>
            </w:r>
          </w:p>
        </w:tc>
        <w:tc>
          <w:tcPr>
            <w:tcW w:w="698" w:type="pct"/>
            <w:gridSpan w:val="4"/>
            <w:tcBorders>
              <w:top w:val="single" w:sz="4" w:space="0" w:color="auto"/>
              <w:left w:val="nil"/>
              <w:bottom w:val="single" w:sz="4" w:space="0" w:color="auto"/>
              <w:right w:val="single" w:sz="4" w:space="0" w:color="auto"/>
            </w:tcBorders>
            <w:shd w:val="clear" w:color="auto" w:fill="auto"/>
            <w:vAlign w:val="center"/>
            <w:hideMark/>
          </w:tcPr>
          <w:p w14:paraId="09DAFF45" w14:textId="2F22F145"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Financim i </w:t>
            </w:r>
            <w:r w:rsidR="00E92B0D" w:rsidRPr="00B457F5">
              <w:rPr>
                <w:rFonts w:ascii="Garamond" w:eastAsia="Times New Roman" w:hAnsi="Garamond" w:cs="Times New Roman"/>
                <w:b/>
                <w:bCs/>
                <w:color w:val="000000"/>
                <w:sz w:val="4"/>
                <w:szCs w:val="10"/>
              </w:rPr>
              <w:t>h</w:t>
            </w:r>
            <w:r w:rsidRPr="00B457F5">
              <w:rPr>
                <w:rFonts w:ascii="Garamond" w:eastAsia="Times New Roman" w:hAnsi="Garamond" w:cs="Times New Roman"/>
                <w:b/>
                <w:bCs/>
                <w:color w:val="000000"/>
                <w:sz w:val="4"/>
                <w:szCs w:val="10"/>
              </w:rPr>
              <w:t>uaj</w:t>
            </w:r>
            <w:r w:rsidR="0006016F" w:rsidRPr="00B457F5">
              <w:rPr>
                <w:rFonts w:ascii="Garamond" w:eastAsia="Times New Roman" w:hAnsi="Garamond" w:cs="Times New Roman"/>
                <w:b/>
                <w:bCs/>
                <w:color w:val="000000"/>
                <w:sz w:val="4"/>
                <w:szCs w:val="10"/>
              </w:rPr>
              <w:t xml:space="preserve"> </w:t>
            </w:r>
            <w:r w:rsidRPr="00B457F5">
              <w:rPr>
                <w:rFonts w:ascii="Garamond" w:eastAsia="Times New Roman" w:hAnsi="Garamond" w:cs="Times New Roman"/>
                <w:b/>
                <w:bCs/>
                <w:color w:val="000000"/>
                <w:sz w:val="4"/>
                <w:szCs w:val="10"/>
              </w:rPr>
              <w:t>(në</w:t>
            </w:r>
            <w:r w:rsidR="0006016F" w:rsidRPr="00B457F5">
              <w:rPr>
                <w:rFonts w:ascii="Garamond" w:eastAsia="Times New Roman" w:hAnsi="Garamond" w:cs="Times New Roman"/>
                <w:b/>
                <w:bCs/>
                <w:color w:val="000000"/>
                <w:sz w:val="4"/>
                <w:szCs w:val="10"/>
              </w:rPr>
              <w:t xml:space="preserve"> </w:t>
            </w:r>
            <w:r w:rsidRPr="00B457F5">
              <w:rPr>
                <w:rFonts w:ascii="Garamond" w:eastAsia="Times New Roman" w:hAnsi="Garamond" w:cs="Times New Roman"/>
                <w:b/>
                <w:bCs/>
                <w:color w:val="000000"/>
                <w:sz w:val="4"/>
                <w:szCs w:val="10"/>
              </w:rPr>
              <w:t>lekë)</w:t>
            </w:r>
          </w:p>
        </w:tc>
        <w:tc>
          <w:tcPr>
            <w:tcW w:w="409" w:type="pct"/>
            <w:gridSpan w:val="3"/>
            <w:tcBorders>
              <w:top w:val="single" w:sz="4" w:space="0" w:color="auto"/>
              <w:left w:val="nil"/>
              <w:bottom w:val="single" w:sz="4" w:space="0" w:color="auto"/>
              <w:right w:val="single" w:sz="4" w:space="0" w:color="auto"/>
            </w:tcBorders>
            <w:shd w:val="clear" w:color="auto" w:fill="auto"/>
            <w:noWrap/>
            <w:vAlign w:val="center"/>
            <w:hideMark/>
          </w:tcPr>
          <w:p w14:paraId="317FA9CC" w14:textId="397CFD06"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Buxheti 2027</w:t>
            </w:r>
            <w:r w:rsidR="00E92B0D" w:rsidRPr="00B457F5">
              <w:rPr>
                <w:rFonts w:ascii="Garamond" w:eastAsia="Times New Roman" w:hAnsi="Garamond" w:cs="Times New Roman"/>
                <w:b/>
                <w:bCs/>
                <w:color w:val="000000"/>
                <w:sz w:val="4"/>
                <w:szCs w:val="10"/>
              </w:rPr>
              <w:t>–</w:t>
            </w:r>
            <w:r w:rsidRPr="00B457F5">
              <w:rPr>
                <w:rFonts w:ascii="Garamond" w:eastAsia="Times New Roman" w:hAnsi="Garamond" w:cs="Times New Roman"/>
                <w:b/>
                <w:bCs/>
                <w:color w:val="000000"/>
                <w:sz w:val="4"/>
                <w:szCs w:val="10"/>
              </w:rPr>
              <w:t>2030 (në lekë)</w:t>
            </w:r>
          </w:p>
        </w:tc>
        <w:tc>
          <w:tcPr>
            <w:tcW w:w="177" w:type="pct"/>
            <w:vMerge/>
            <w:tcBorders>
              <w:top w:val="nil"/>
              <w:left w:val="single" w:sz="4" w:space="0" w:color="auto"/>
              <w:bottom w:val="single" w:sz="4" w:space="0" w:color="auto"/>
              <w:right w:val="single" w:sz="8" w:space="0" w:color="auto"/>
            </w:tcBorders>
            <w:vAlign w:val="center"/>
            <w:hideMark/>
          </w:tcPr>
          <w:p w14:paraId="09A1C5A3"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r>
      <w:tr w:rsidR="00C260C3" w:rsidRPr="00B457F5" w14:paraId="0DA62647" w14:textId="77777777" w:rsidTr="00C260C3">
        <w:trPr>
          <w:trHeight w:val="20"/>
        </w:trPr>
        <w:tc>
          <w:tcPr>
            <w:tcW w:w="131" w:type="pct"/>
            <w:vMerge/>
            <w:tcBorders>
              <w:top w:val="nil"/>
              <w:left w:val="single" w:sz="8" w:space="0" w:color="auto"/>
              <w:bottom w:val="single" w:sz="8" w:space="0" w:color="000000"/>
              <w:right w:val="single" w:sz="4" w:space="0" w:color="auto"/>
            </w:tcBorders>
            <w:vAlign w:val="center"/>
            <w:hideMark/>
          </w:tcPr>
          <w:p w14:paraId="75E98D2C"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281" w:type="pct"/>
            <w:vMerge/>
            <w:tcBorders>
              <w:top w:val="nil"/>
              <w:left w:val="single" w:sz="4" w:space="0" w:color="auto"/>
              <w:bottom w:val="single" w:sz="8" w:space="0" w:color="000000"/>
              <w:right w:val="single" w:sz="4" w:space="0" w:color="auto"/>
            </w:tcBorders>
            <w:vAlign w:val="center"/>
            <w:hideMark/>
          </w:tcPr>
          <w:p w14:paraId="1BD9D9BB"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186" w:type="pct"/>
            <w:vMerge/>
            <w:tcBorders>
              <w:top w:val="nil"/>
              <w:left w:val="single" w:sz="4" w:space="0" w:color="auto"/>
              <w:bottom w:val="single" w:sz="8" w:space="0" w:color="000000"/>
              <w:right w:val="single" w:sz="4" w:space="0" w:color="auto"/>
            </w:tcBorders>
            <w:vAlign w:val="center"/>
            <w:hideMark/>
          </w:tcPr>
          <w:p w14:paraId="0F82A172"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169" w:type="pct"/>
            <w:vMerge/>
            <w:tcBorders>
              <w:top w:val="nil"/>
              <w:left w:val="single" w:sz="4" w:space="0" w:color="auto"/>
              <w:bottom w:val="single" w:sz="8" w:space="0" w:color="000000"/>
              <w:right w:val="single" w:sz="4" w:space="0" w:color="auto"/>
            </w:tcBorders>
            <w:vAlign w:val="center"/>
            <w:hideMark/>
          </w:tcPr>
          <w:p w14:paraId="217842F8"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244" w:type="pct"/>
            <w:vMerge/>
            <w:tcBorders>
              <w:top w:val="nil"/>
              <w:left w:val="single" w:sz="4" w:space="0" w:color="auto"/>
              <w:bottom w:val="single" w:sz="8" w:space="0" w:color="000000"/>
              <w:right w:val="single" w:sz="4" w:space="0" w:color="auto"/>
            </w:tcBorders>
            <w:vAlign w:val="center"/>
            <w:hideMark/>
          </w:tcPr>
          <w:p w14:paraId="1DADF28C"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135" w:type="pct"/>
            <w:vMerge/>
            <w:tcBorders>
              <w:top w:val="nil"/>
              <w:left w:val="single" w:sz="4" w:space="0" w:color="auto"/>
              <w:bottom w:val="single" w:sz="8" w:space="0" w:color="000000"/>
              <w:right w:val="single" w:sz="4" w:space="0" w:color="auto"/>
            </w:tcBorders>
            <w:vAlign w:val="center"/>
            <w:hideMark/>
          </w:tcPr>
          <w:p w14:paraId="353E9F28"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152" w:type="pct"/>
            <w:vMerge/>
            <w:tcBorders>
              <w:top w:val="nil"/>
              <w:left w:val="single" w:sz="4" w:space="0" w:color="auto"/>
              <w:bottom w:val="single" w:sz="8" w:space="0" w:color="000000"/>
              <w:right w:val="single" w:sz="4" w:space="0" w:color="auto"/>
            </w:tcBorders>
            <w:vAlign w:val="center"/>
            <w:hideMark/>
          </w:tcPr>
          <w:p w14:paraId="3E6C8125"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163" w:type="pct"/>
            <w:tcBorders>
              <w:top w:val="nil"/>
              <w:left w:val="nil"/>
              <w:bottom w:val="single" w:sz="8" w:space="0" w:color="auto"/>
              <w:right w:val="single" w:sz="4" w:space="0" w:color="auto"/>
            </w:tcBorders>
            <w:shd w:val="clear" w:color="auto" w:fill="auto"/>
            <w:vAlign w:val="center"/>
            <w:hideMark/>
          </w:tcPr>
          <w:p w14:paraId="63A34A72" w14:textId="54678BC6"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w:t>
            </w:r>
            <w:r w:rsidR="00E92B0D" w:rsidRPr="00B457F5">
              <w:rPr>
                <w:rFonts w:ascii="Garamond" w:eastAsia="Times New Roman" w:hAnsi="Garamond" w:cs="Times New Roman"/>
                <w:b/>
                <w:bCs/>
                <w:color w:val="000000"/>
                <w:sz w:val="4"/>
                <w:szCs w:val="10"/>
              </w:rPr>
              <w:t>r</w:t>
            </w:r>
            <w:r w:rsidRPr="00B457F5">
              <w:rPr>
                <w:rFonts w:ascii="Garamond" w:eastAsia="Times New Roman" w:hAnsi="Garamond" w:cs="Times New Roman"/>
                <w:b/>
                <w:bCs/>
                <w:color w:val="000000"/>
                <w:sz w:val="4"/>
                <w:szCs w:val="10"/>
              </w:rPr>
              <w:t>rente</w:t>
            </w:r>
          </w:p>
        </w:tc>
        <w:tc>
          <w:tcPr>
            <w:tcW w:w="155" w:type="pct"/>
            <w:tcBorders>
              <w:top w:val="nil"/>
              <w:left w:val="nil"/>
              <w:bottom w:val="single" w:sz="8" w:space="0" w:color="auto"/>
              <w:right w:val="single" w:sz="4" w:space="0" w:color="auto"/>
            </w:tcBorders>
            <w:shd w:val="clear" w:color="auto" w:fill="auto"/>
            <w:vAlign w:val="center"/>
            <w:hideMark/>
          </w:tcPr>
          <w:p w14:paraId="0A6BE7BC"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Kapitale</w:t>
            </w:r>
          </w:p>
        </w:tc>
        <w:tc>
          <w:tcPr>
            <w:tcW w:w="162" w:type="pct"/>
            <w:tcBorders>
              <w:top w:val="nil"/>
              <w:left w:val="nil"/>
              <w:bottom w:val="single" w:sz="8" w:space="0" w:color="auto"/>
              <w:right w:val="single" w:sz="4" w:space="0" w:color="auto"/>
            </w:tcBorders>
            <w:shd w:val="clear" w:color="auto" w:fill="auto"/>
            <w:vAlign w:val="center"/>
            <w:hideMark/>
          </w:tcPr>
          <w:p w14:paraId="68A5D57C" w14:textId="5273DFED"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 Kosto</w:t>
            </w:r>
            <w:r w:rsidR="00E92B0D" w:rsidRPr="00B457F5">
              <w:rPr>
                <w:rFonts w:ascii="Garamond" w:eastAsia="Times New Roman" w:hAnsi="Garamond" w:cs="Times New Roman"/>
                <w:b/>
                <w:bCs/>
                <w:color w:val="000000"/>
                <w:sz w:val="4"/>
                <w:szCs w:val="10"/>
              </w:rPr>
              <w:t>ja</w:t>
            </w:r>
            <w:r w:rsidRPr="00B457F5">
              <w:rPr>
                <w:rFonts w:ascii="Garamond" w:eastAsia="Times New Roman" w:hAnsi="Garamond" w:cs="Times New Roman"/>
                <w:b/>
                <w:bCs/>
                <w:color w:val="000000"/>
                <w:sz w:val="4"/>
                <w:szCs w:val="10"/>
              </w:rPr>
              <w:t xml:space="preserve"> </w:t>
            </w:r>
            <w:r w:rsidR="00E92B0D" w:rsidRPr="00B457F5">
              <w:rPr>
                <w:rFonts w:ascii="Garamond" w:eastAsia="Times New Roman" w:hAnsi="Garamond" w:cs="Times New Roman"/>
                <w:b/>
                <w:bCs/>
                <w:color w:val="000000"/>
                <w:sz w:val="4"/>
                <w:szCs w:val="10"/>
              </w:rPr>
              <w:t>t</w:t>
            </w:r>
            <w:r w:rsidRPr="00B457F5">
              <w:rPr>
                <w:rFonts w:ascii="Garamond" w:eastAsia="Times New Roman" w:hAnsi="Garamond" w:cs="Times New Roman"/>
                <w:b/>
                <w:bCs/>
                <w:color w:val="000000"/>
                <w:sz w:val="4"/>
                <w:szCs w:val="10"/>
              </w:rPr>
              <w:t>otale</w:t>
            </w:r>
          </w:p>
        </w:tc>
        <w:tc>
          <w:tcPr>
            <w:tcW w:w="165" w:type="pct"/>
            <w:tcBorders>
              <w:top w:val="nil"/>
              <w:left w:val="nil"/>
              <w:bottom w:val="single" w:sz="8" w:space="0" w:color="auto"/>
              <w:right w:val="single" w:sz="4" w:space="0" w:color="auto"/>
            </w:tcBorders>
            <w:shd w:val="clear" w:color="auto" w:fill="auto"/>
            <w:vAlign w:val="center"/>
            <w:hideMark/>
          </w:tcPr>
          <w:p w14:paraId="3CFBED1C" w14:textId="67DE40C4"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Kor</w:t>
            </w:r>
            <w:r w:rsidR="00E92B0D" w:rsidRPr="00B457F5">
              <w:rPr>
                <w:rFonts w:ascii="Garamond" w:eastAsia="Times New Roman" w:hAnsi="Garamond" w:cs="Times New Roman"/>
                <w:b/>
                <w:bCs/>
                <w:color w:val="000000"/>
                <w:sz w:val="4"/>
                <w:szCs w:val="10"/>
              </w:rPr>
              <w:t>r</w:t>
            </w:r>
            <w:r w:rsidRPr="00B457F5">
              <w:rPr>
                <w:rFonts w:ascii="Garamond" w:eastAsia="Times New Roman" w:hAnsi="Garamond" w:cs="Times New Roman"/>
                <w:b/>
                <w:bCs/>
                <w:color w:val="000000"/>
                <w:sz w:val="4"/>
                <w:szCs w:val="10"/>
              </w:rPr>
              <w:t>ente</w:t>
            </w:r>
          </w:p>
        </w:tc>
        <w:tc>
          <w:tcPr>
            <w:tcW w:w="163" w:type="pct"/>
            <w:tcBorders>
              <w:top w:val="nil"/>
              <w:left w:val="nil"/>
              <w:bottom w:val="single" w:sz="8" w:space="0" w:color="auto"/>
              <w:right w:val="single" w:sz="4" w:space="0" w:color="auto"/>
            </w:tcBorders>
            <w:shd w:val="clear" w:color="auto" w:fill="auto"/>
            <w:vAlign w:val="center"/>
            <w:hideMark/>
          </w:tcPr>
          <w:p w14:paraId="27C416B4"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Kapitale</w:t>
            </w:r>
          </w:p>
        </w:tc>
        <w:tc>
          <w:tcPr>
            <w:tcW w:w="163" w:type="pct"/>
            <w:tcBorders>
              <w:top w:val="nil"/>
              <w:left w:val="nil"/>
              <w:bottom w:val="single" w:sz="8" w:space="0" w:color="auto"/>
              <w:right w:val="single" w:sz="4" w:space="0" w:color="auto"/>
            </w:tcBorders>
            <w:shd w:val="clear" w:color="auto" w:fill="auto"/>
            <w:vAlign w:val="center"/>
            <w:hideMark/>
          </w:tcPr>
          <w:p w14:paraId="28A7AE77" w14:textId="05CA95CE"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 Kosto</w:t>
            </w:r>
            <w:r w:rsidR="00E92B0D" w:rsidRPr="00B457F5">
              <w:rPr>
                <w:rFonts w:ascii="Garamond" w:eastAsia="Times New Roman" w:hAnsi="Garamond" w:cs="Times New Roman"/>
                <w:b/>
                <w:bCs/>
                <w:color w:val="000000"/>
                <w:sz w:val="4"/>
                <w:szCs w:val="10"/>
              </w:rPr>
              <w:t>ja</w:t>
            </w:r>
            <w:r w:rsidRPr="00B457F5">
              <w:rPr>
                <w:rFonts w:ascii="Garamond" w:eastAsia="Times New Roman" w:hAnsi="Garamond" w:cs="Times New Roman"/>
                <w:b/>
                <w:bCs/>
                <w:color w:val="000000"/>
                <w:sz w:val="4"/>
                <w:szCs w:val="10"/>
              </w:rPr>
              <w:t xml:space="preserve"> </w:t>
            </w:r>
            <w:r w:rsidR="00E92B0D" w:rsidRPr="00B457F5">
              <w:rPr>
                <w:rFonts w:ascii="Garamond" w:eastAsia="Times New Roman" w:hAnsi="Garamond" w:cs="Times New Roman"/>
                <w:b/>
                <w:bCs/>
                <w:color w:val="000000"/>
                <w:sz w:val="4"/>
                <w:szCs w:val="10"/>
              </w:rPr>
              <w:t>t</w:t>
            </w:r>
            <w:r w:rsidRPr="00B457F5">
              <w:rPr>
                <w:rFonts w:ascii="Garamond" w:eastAsia="Times New Roman" w:hAnsi="Garamond" w:cs="Times New Roman"/>
                <w:b/>
                <w:bCs/>
                <w:color w:val="000000"/>
                <w:sz w:val="4"/>
                <w:szCs w:val="10"/>
              </w:rPr>
              <w:t>otale</w:t>
            </w:r>
          </w:p>
        </w:tc>
        <w:tc>
          <w:tcPr>
            <w:tcW w:w="163" w:type="pct"/>
            <w:tcBorders>
              <w:top w:val="nil"/>
              <w:left w:val="nil"/>
              <w:bottom w:val="single" w:sz="8" w:space="0" w:color="auto"/>
              <w:right w:val="single" w:sz="4" w:space="0" w:color="auto"/>
            </w:tcBorders>
            <w:shd w:val="clear" w:color="auto" w:fill="auto"/>
            <w:vAlign w:val="center"/>
            <w:hideMark/>
          </w:tcPr>
          <w:p w14:paraId="43DCD21D" w14:textId="47E1A5E6"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Kor</w:t>
            </w:r>
            <w:r w:rsidR="00E92B0D" w:rsidRPr="00B457F5">
              <w:rPr>
                <w:rFonts w:ascii="Garamond" w:eastAsia="Times New Roman" w:hAnsi="Garamond" w:cs="Times New Roman"/>
                <w:b/>
                <w:bCs/>
                <w:color w:val="000000"/>
                <w:sz w:val="4"/>
                <w:szCs w:val="10"/>
              </w:rPr>
              <w:t>r</w:t>
            </w:r>
            <w:r w:rsidRPr="00B457F5">
              <w:rPr>
                <w:rFonts w:ascii="Garamond" w:eastAsia="Times New Roman" w:hAnsi="Garamond" w:cs="Times New Roman"/>
                <w:b/>
                <w:bCs/>
                <w:color w:val="000000"/>
                <w:sz w:val="4"/>
                <w:szCs w:val="10"/>
              </w:rPr>
              <w:t>ente</w:t>
            </w:r>
          </w:p>
        </w:tc>
        <w:tc>
          <w:tcPr>
            <w:tcW w:w="148" w:type="pct"/>
            <w:tcBorders>
              <w:top w:val="nil"/>
              <w:left w:val="nil"/>
              <w:bottom w:val="single" w:sz="8" w:space="0" w:color="auto"/>
              <w:right w:val="single" w:sz="4" w:space="0" w:color="auto"/>
            </w:tcBorders>
            <w:shd w:val="clear" w:color="auto" w:fill="auto"/>
            <w:vAlign w:val="center"/>
            <w:hideMark/>
          </w:tcPr>
          <w:p w14:paraId="097575EF"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Kapitale</w:t>
            </w:r>
          </w:p>
        </w:tc>
        <w:tc>
          <w:tcPr>
            <w:tcW w:w="162" w:type="pct"/>
            <w:tcBorders>
              <w:top w:val="nil"/>
              <w:left w:val="nil"/>
              <w:bottom w:val="single" w:sz="8" w:space="0" w:color="auto"/>
              <w:right w:val="single" w:sz="4" w:space="0" w:color="auto"/>
            </w:tcBorders>
            <w:shd w:val="clear" w:color="auto" w:fill="auto"/>
            <w:vAlign w:val="center"/>
            <w:hideMark/>
          </w:tcPr>
          <w:p w14:paraId="7A3A0BAA" w14:textId="0E464BF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 Kosto</w:t>
            </w:r>
            <w:r w:rsidR="00E92B0D" w:rsidRPr="00B457F5">
              <w:rPr>
                <w:rFonts w:ascii="Garamond" w:eastAsia="Times New Roman" w:hAnsi="Garamond" w:cs="Times New Roman"/>
                <w:b/>
                <w:bCs/>
                <w:color w:val="000000"/>
                <w:sz w:val="4"/>
                <w:szCs w:val="10"/>
              </w:rPr>
              <w:t>ja</w:t>
            </w:r>
            <w:r w:rsidRPr="00B457F5">
              <w:rPr>
                <w:rFonts w:ascii="Garamond" w:eastAsia="Times New Roman" w:hAnsi="Garamond" w:cs="Times New Roman"/>
                <w:b/>
                <w:bCs/>
                <w:color w:val="000000"/>
                <w:sz w:val="4"/>
                <w:szCs w:val="10"/>
              </w:rPr>
              <w:t xml:space="preserve"> </w:t>
            </w:r>
            <w:r w:rsidR="00E92B0D" w:rsidRPr="00B457F5">
              <w:rPr>
                <w:rFonts w:ascii="Garamond" w:eastAsia="Times New Roman" w:hAnsi="Garamond" w:cs="Times New Roman"/>
                <w:b/>
                <w:bCs/>
                <w:color w:val="000000"/>
                <w:sz w:val="4"/>
                <w:szCs w:val="10"/>
              </w:rPr>
              <w:t>t</w:t>
            </w:r>
            <w:r w:rsidRPr="00B457F5">
              <w:rPr>
                <w:rFonts w:ascii="Garamond" w:eastAsia="Times New Roman" w:hAnsi="Garamond" w:cs="Times New Roman"/>
                <w:b/>
                <w:bCs/>
                <w:color w:val="000000"/>
                <w:sz w:val="4"/>
                <w:szCs w:val="10"/>
              </w:rPr>
              <w:t>otale</w:t>
            </w:r>
          </w:p>
        </w:tc>
        <w:tc>
          <w:tcPr>
            <w:tcW w:w="165" w:type="pct"/>
            <w:tcBorders>
              <w:top w:val="nil"/>
              <w:left w:val="nil"/>
              <w:bottom w:val="single" w:sz="8" w:space="0" w:color="auto"/>
              <w:right w:val="single" w:sz="4" w:space="0" w:color="auto"/>
            </w:tcBorders>
            <w:shd w:val="clear" w:color="auto" w:fill="auto"/>
            <w:vAlign w:val="center"/>
            <w:hideMark/>
          </w:tcPr>
          <w:p w14:paraId="1FDE81A7" w14:textId="61D3A9BB"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Kor</w:t>
            </w:r>
            <w:r w:rsidR="00E92B0D" w:rsidRPr="00B457F5">
              <w:rPr>
                <w:rFonts w:ascii="Garamond" w:eastAsia="Times New Roman" w:hAnsi="Garamond" w:cs="Times New Roman"/>
                <w:b/>
                <w:bCs/>
                <w:color w:val="000000"/>
                <w:sz w:val="4"/>
                <w:szCs w:val="10"/>
              </w:rPr>
              <w:t>r</w:t>
            </w:r>
            <w:r w:rsidRPr="00B457F5">
              <w:rPr>
                <w:rFonts w:ascii="Garamond" w:eastAsia="Times New Roman" w:hAnsi="Garamond" w:cs="Times New Roman"/>
                <w:b/>
                <w:bCs/>
                <w:color w:val="000000"/>
                <w:sz w:val="4"/>
                <w:szCs w:val="10"/>
              </w:rPr>
              <w:t>ente</w:t>
            </w:r>
          </w:p>
        </w:tc>
        <w:tc>
          <w:tcPr>
            <w:tcW w:w="163" w:type="pct"/>
            <w:tcBorders>
              <w:top w:val="nil"/>
              <w:left w:val="nil"/>
              <w:bottom w:val="single" w:sz="8" w:space="0" w:color="auto"/>
              <w:right w:val="single" w:sz="4" w:space="0" w:color="auto"/>
            </w:tcBorders>
            <w:shd w:val="clear" w:color="auto" w:fill="auto"/>
            <w:vAlign w:val="center"/>
            <w:hideMark/>
          </w:tcPr>
          <w:p w14:paraId="3620B81D"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Kapitale</w:t>
            </w:r>
          </w:p>
        </w:tc>
        <w:tc>
          <w:tcPr>
            <w:tcW w:w="165" w:type="pct"/>
            <w:tcBorders>
              <w:top w:val="nil"/>
              <w:left w:val="nil"/>
              <w:bottom w:val="single" w:sz="8" w:space="0" w:color="auto"/>
              <w:right w:val="single" w:sz="4" w:space="0" w:color="auto"/>
            </w:tcBorders>
            <w:shd w:val="clear" w:color="auto" w:fill="auto"/>
            <w:vAlign w:val="center"/>
            <w:hideMark/>
          </w:tcPr>
          <w:p w14:paraId="2043FF36" w14:textId="2A336254"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 Kosto</w:t>
            </w:r>
            <w:r w:rsidR="00E92B0D" w:rsidRPr="00B457F5">
              <w:rPr>
                <w:rFonts w:ascii="Garamond" w:eastAsia="Times New Roman" w:hAnsi="Garamond" w:cs="Times New Roman"/>
                <w:b/>
                <w:bCs/>
                <w:color w:val="000000"/>
                <w:sz w:val="4"/>
                <w:szCs w:val="10"/>
              </w:rPr>
              <w:t>ja</w:t>
            </w:r>
            <w:r w:rsidRPr="00B457F5">
              <w:rPr>
                <w:rFonts w:ascii="Garamond" w:eastAsia="Times New Roman" w:hAnsi="Garamond" w:cs="Times New Roman"/>
                <w:b/>
                <w:bCs/>
                <w:color w:val="000000"/>
                <w:sz w:val="4"/>
                <w:szCs w:val="10"/>
              </w:rPr>
              <w:t xml:space="preserve"> </w:t>
            </w:r>
            <w:r w:rsidR="00E92B0D" w:rsidRPr="00B457F5">
              <w:rPr>
                <w:rFonts w:ascii="Garamond" w:eastAsia="Times New Roman" w:hAnsi="Garamond" w:cs="Times New Roman"/>
                <w:b/>
                <w:bCs/>
                <w:color w:val="000000"/>
                <w:sz w:val="4"/>
                <w:szCs w:val="10"/>
              </w:rPr>
              <w:t>t</w:t>
            </w:r>
            <w:r w:rsidRPr="00B457F5">
              <w:rPr>
                <w:rFonts w:ascii="Garamond" w:eastAsia="Times New Roman" w:hAnsi="Garamond" w:cs="Times New Roman"/>
                <w:b/>
                <w:bCs/>
                <w:color w:val="000000"/>
                <w:sz w:val="4"/>
                <w:szCs w:val="10"/>
              </w:rPr>
              <w:t>otale</w:t>
            </w:r>
          </w:p>
        </w:tc>
        <w:tc>
          <w:tcPr>
            <w:tcW w:w="163" w:type="pct"/>
            <w:tcBorders>
              <w:top w:val="nil"/>
              <w:left w:val="nil"/>
              <w:bottom w:val="single" w:sz="8" w:space="0" w:color="auto"/>
              <w:right w:val="single" w:sz="4" w:space="0" w:color="auto"/>
            </w:tcBorders>
            <w:shd w:val="clear" w:color="auto" w:fill="auto"/>
            <w:vAlign w:val="center"/>
            <w:hideMark/>
          </w:tcPr>
          <w:p w14:paraId="6BA289D0" w14:textId="104FEABD"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w:t>
            </w:r>
            <w:r w:rsidR="00E92B0D" w:rsidRPr="00B457F5">
              <w:rPr>
                <w:rFonts w:ascii="Garamond" w:eastAsia="Times New Roman" w:hAnsi="Garamond" w:cs="Times New Roman"/>
                <w:b/>
                <w:bCs/>
                <w:color w:val="000000"/>
                <w:sz w:val="4"/>
                <w:szCs w:val="10"/>
              </w:rPr>
              <w:t>r</w:t>
            </w:r>
            <w:r w:rsidRPr="00B457F5">
              <w:rPr>
                <w:rFonts w:ascii="Garamond" w:eastAsia="Times New Roman" w:hAnsi="Garamond" w:cs="Times New Roman"/>
                <w:b/>
                <w:bCs/>
                <w:color w:val="000000"/>
                <w:sz w:val="4"/>
                <w:szCs w:val="10"/>
              </w:rPr>
              <w:t>rente</w:t>
            </w:r>
          </w:p>
        </w:tc>
        <w:tc>
          <w:tcPr>
            <w:tcW w:w="155" w:type="pct"/>
            <w:tcBorders>
              <w:top w:val="nil"/>
              <w:left w:val="nil"/>
              <w:bottom w:val="single" w:sz="8" w:space="0" w:color="auto"/>
              <w:right w:val="single" w:sz="4" w:space="0" w:color="auto"/>
            </w:tcBorders>
            <w:shd w:val="clear" w:color="auto" w:fill="auto"/>
            <w:vAlign w:val="center"/>
            <w:hideMark/>
          </w:tcPr>
          <w:p w14:paraId="558DF08A"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Kapitale</w:t>
            </w:r>
          </w:p>
        </w:tc>
        <w:tc>
          <w:tcPr>
            <w:tcW w:w="163" w:type="pct"/>
            <w:tcBorders>
              <w:top w:val="nil"/>
              <w:left w:val="nil"/>
              <w:bottom w:val="single" w:sz="8" w:space="0" w:color="auto"/>
              <w:right w:val="single" w:sz="4" w:space="0" w:color="auto"/>
            </w:tcBorders>
            <w:shd w:val="clear" w:color="auto" w:fill="auto"/>
            <w:vAlign w:val="center"/>
            <w:hideMark/>
          </w:tcPr>
          <w:p w14:paraId="4151C143"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Totali BSH</w:t>
            </w:r>
          </w:p>
        </w:tc>
        <w:tc>
          <w:tcPr>
            <w:tcW w:w="162" w:type="pct"/>
            <w:tcBorders>
              <w:top w:val="nil"/>
              <w:left w:val="nil"/>
              <w:bottom w:val="single" w:sz="8" w:space="0" w:color="auto"/>
              <w:right w:val="single" w:sz="4" w:space="0" w:color="auto"/>
            </w:tcBorders>
            <w:shd w:val="clear" w:color="auto" w:fill="auto"/>
            <w:vAlign w:val="center"/>
            <w:hideMark/>
          </w:tcPr>
          <w:p w14:paraId="78700D17" w14:textId="0D0951D0"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w:t>
            </w:r>
            <w:r w:rsidR="00E92B0D" w:rsidRPr="00B457F5">
              <w:rPr>
                <w:rFonts w:ascii="Garamond" w:eastAsia="Times New Roman" w:hAnsi="Garamond" w:cs="Times New Roman"/>
                <w:b/>
                <w:bCs/>
                <w:color w:val="000000"/>
                <w:sz w:val="4"/>
                <w:szCs w:val="10"/>
              </w:rPr>
              <w:t>r</w:t>
            </w:r>
            <w:r w:rsidRPr="00B457F5">
              <w:rPr>
                <w:rFonts w:ascii="Garamond" w:eastAsia="Times New Roman" w:hAnsi="Garamond" w:cs="Times New Roman"/>
                <w:b/>
                <w:bCs/>
                <w:color w:val="000000"/>
                <w:sz w:val="4"/>
                <w:szCs w:val="10"/>
              </w:rPr>
              <w:t>rente</w:t>
            </w:r>
          </w:p>
        </w:tc>
        <w:tc>
          <w:tcPr>
            <w:tcW w:w="155" w:type="pct"/>
            <w:tcBorders>
              <w:top w:val="nil"/>
              <w:left w:val="nil"/>
              <w:bottom w:val="single" w:sz="8" w:space="0" w:color="auto"/>
              <w:right w:val="single" w:sz="4" w:space="0" w:color="auto"/>
            </w:tcBorders>
            <w:shd w:val="clear" w:color="auto" w:fill="auto"/>
            <w:vAlign w:val="center"/>
            <w:hideMark/>
          </w:tcPr>
          <w:p w14:paraId="7DB31ED1"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Kapitale</w:t>
            </w:r>
          </w:p>
        </w:tc>
        <w:tc>
          <w:tcPr>
            <w:tcW w:w="218" w:type="pct"/>
            <w:tcBorders>
              <w:top w:val="nil"/>
              <w:left w:val="nil"/>
              <w:bottom w:val="single" w:sz="8" w:space="0" w:color="auto"/>
              <w:right w:val="single" w:sz="4" w:space="0" w:color="auto"/>
            </w:tcBorders>
            <w:shd w:val="clear" w:color="auto" w:fill="auto"/>
            <w:vAlign w:val="center"/>
            <w:hideMark/>
          </w:tcPr>
          <w:p w14:paraId="5BB234AE" w14:textId="2B804B5A"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Emri </w:t>
            </w:r>
            <w:r w:rsidR="00E92B0D" w:rsidRPr="00B457F5">
              <w:rPr>
                <w:rFonts w:ascii="Garamond" w:eastAsia="Times New Roman" w:hAnsi="Garamond" w:cs="Times New Roman"/>
                <w:b/>
                <w:bCs/>
                <w:color w:val="000000"/>
                <w:sz w:val="4"/>
                <w:szCs w:val="10"/>
              </w:rPr>
              <w:t xml:space="preserve">i </w:t>
            </w:r>
            <w:r w:rsidRPr="00B457F5">
              <w:rPr>
                <w:rFonts w:ascii="Garamond" w:eastAsia="Times New Roman" w:hAnsi="Garamond" w:cs="Times New Roman"/>
                <w:b/>
                <w:bCs/>
                <w:color w:val="000000"/>
                <w:sz w:val="4"/>
                <w:szCs w:val="10"/>
              </w:rPr>
              <w:t>donatorit/</w:t>
            </w:r>
            <w:r w:rsidR="00E92B0D" w:rsidRPr="00B457F5">
              <w:rPr>
                <w:rFonts w:ascii="Garamond" w:eastAsia="Times New Roman" w:hAnsi="Garamond" w:cs="Times New Roman"/>
                <w:b/>
                <w:bCs/>
                <w:color w:val="000000"/>
                <w:sz w:val="4"/>
                <w:szCs w:val="10"/>
              </w:rPr>
              <w:t>t</w:t>
            </w:r>
            <w:r w:rsidRPr="00B457F5">
              <w:rPr>
                <w:rFonts w:ascii="Garamond" w:eastAsia="Times New Roman" w:hAnsi="Garamond" w:cs="Times New Roman"/>
                <w:b/>
                <w:bCs/>
                <w:color w:val="000000"/>
                <w:sz w:val="4"/>
                <w:szCs w:val="10"/>
              </w:rPr>
              <w:t xml:space="preserve">itulli </w:t>
            </w:r>
            <w:r w:rsidR="006E177B" w:rsidRPr="00B457F5">
              <w:rPr>
                <w:rFonts w:ascii="Garamond" w:eastAsia="Times New Roman" w:hAnsi="Garamond" w:cs="Times New Roman"/>
                <w:b/>
                <w:bCs/>
                <w:color w:val="000000"/>
                <w:sz w:val="4"/>
                <w:szCs w:val="10"/>
              </w:rPr>
              <w:t>i</w:t>
            </w:r>
            <w:r w:rsidRPr="00B457F5">
              <w:rPr>
                <w:rFonts w:ascii="Garamond" w:eastAsia="Times New Roman" w:hAnsi="Garamond" w:cs="Times New Roman"/>
                <w:b/>
                <w:bCs/>
                <w:color w:val="000000"/>
                <w:sz w:val="4"/>
                <w:szCs w:val="10"/>
              </w:rPr>
              <w:t xml:space="preserve"> projektit </w:t>
            </w:r>
          </w:p>
        </w:tc>
        <w:tc>
          <w:tcPr>
            <w:tcW w:w="163" w:type="pct"/>
            <w:tcBorders>
              <w:top w:val="nil"/>
              <w:left w:val="nil"/>
              <w:bottom w:val="single" w:sz="8" w:space="0" w:color="auto"/>
              <w:right w:val="single" w:sz="4" w:space="0" w:color="auto"/>
            </w:tcBorders>
            <w:shd w:val="clear" w:color="auto" w:fill="auto"/>
            <w:vAlign w:val="center"/>
            <w:hideMark/>
          </w:tcPr>
          <w:p w14:paraId="5E9BE1AF" w14:textId="2F999B5B"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Total </w:t>
            </w:r>
            <w:r w:rsidR="00E92B0D" w:rsidRPr="00B457F5">
              <w:rPr>
                <w:rFonts w:ascii="Garamond" w:eastAsia="Times New Roman" w:hAnsi="Garamond" w:cs="Times New Roman"/>
                <w:b/>
                <w:bCs/>
                <w:color w:val="000000"/>
                <w:sz w:val="4"/>
                <w:szCs w:val="10"/>
              </w:rPr>
              <w:t>financim i huaj</w:t>
            </w:r>
          </w:p>
        </w:tc>
        <w:tc>
          <w:tcPr>
            <w:tcW w:w="139" w:type="pct"/>
            <w:tcBorders>
              <w:top w:val="nil"/>
              <w:left w:val="nil"/>
              <w:bottom w:val="single" w:sz="8" w:space="0" w:color="auto"/>
              <w:right w:val="single" w:sz="4" w:space="0" w:color="auto"/>
            </w:tcBorders>
            <w:shd w:val="clear" w:color="auto" w:fill="auto"/>
            <w:vAlign w:val="center"/>
            <w:hideMark/>
          </w:tcPr>
          <w:p w14:paraId="1D2DD4B0" w14:textId="32E9B01A"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Kor</w:t>
            </w:r>
            <w:r w:rsidR="00E92B0D" w:rsidRPr="00B457F5">
              <w:rPr>
                <w:rFonts w:ascii="Garamond" w:eastAsia="Times New Roman" w:hAnsi="Garamond" w:cs="Times New Roman"/>
                <w:b/>
                <w:bCs/>
                <w:color w:val="000000"/>
                <w:sz w:val="4"/>
                <w:szCs w:val="10"/>
              </w:rPr>
              <w:t>r</w:t>
            </w:r>
            <w:r w:rsidRPr="00B457F5">
              <w:rPr>
                <w:rFonts w:ascii="Garamond" w:eastAsia="Times New Roman" w:hAnsi="Garamond" w:cs="Times New Roman"/>
                <w:b/>
                <w:bCs/>
                <w:color w:val="000000"/>
                <w:sz w:val="4"/>
                <w:szCs w:val="10"/>
              </w:rPr>
              <w:t>ente</w:t>
            </w:r>
          </w:p>
        </w:tc>
        <w:tc>
          <w:tcPr>
            <w:tcW w:w="142" w:type="pct"/>
            <w:tcBorders>
              <w:top w:val="nil"/>
              <w:left w:val="nil"/>
              <w:bottom w:val="single" w:sz="8" w:space="0" w:color="auto"/>
              <w:right w:val="single" w:sz="4" w:space="0" w:color="auto"/>
            </w:tcBorders>
            <w:shd w:val="clear" w:color="auto" w:fill="auto"/>
            <w:vAlign w:val="center"/>
            <w:hideMark/>
          </w:tcPr>
          <w:p w14:paraId="02451CD0"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Kapitale</w:t>
            </w:r>
          </w:p>
        </w:tc>
        <w:tc>
          <w:tcPr>
            <w:tcW w:w="128" w:type="pct"/>
            <w:tcBorders>
              <w:top w:val="nil"/>
              <w:left w:val="nil"/>
              <w:bottom w:val="single" w:sz="8" w:space="0" w:color="auto"/>
              <w:right w:val="single" w:sz="4" w:space="0" w:color="auto"/>
            </w:tcBorders>
            <w:shd w:val="clear" w:color="auto" w:fill="auto"/>
            <w:vAlign w:val="center"/>
            <w:hideMark/>
          </w:tcPr>
          <w:p w14:paraId="306F05DF" w14:textId="71BE5866"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 Kosto</w:t>
            </w:r>
            <w:r w:rsidR="00E92B0D" w:rsidRPr="00B457F5">
              <w:rPr>
                <w:rFonts w:ascii="Garamond" w:eastAsia="Times New Roman" w:hAnsi="Garamond" w:cs="Times New Roman"/>
                <w:b/>
                <w:bCs/>
                <w:color w:val="000000"/>
                <w:sz w:val="4"/>
                <w:szCs w:val="10"/>
              </w:rPr>
              <w:t>ja</w:t>
            </w:r>
            <w:r w:rsidRPr="00B457F5">
              <w:rPr>
                <w:rFonts w:ascii="Garamond" w:eastAsia="Times New Roman" w:hAnsi="Garamond" w:cs="Times New Roman"/>
                <w:b/>
                <w:bCs/>
                <w:color w:val="000000"/>
                <w:sz w:val="4"/>
                <w:szCs w:val="10"/>
              </w:rPr>
              <w:t xml:space="preserve"> </w:t>
            </w:r>
            <w:r w:rsidR="00E92B0D" w:rsidRPr="00B457F5">
              <w:rPr>
                <w:rFonts w:ascii="Garamond" w:eastAsia="Times New Roman" w:hAnsi="Garamond" w:cs="Times New Roman"/>
                <w:b/>
                <w:bCs/>
                <w:color w:val="000000"/>
                <w:sz w:val="4"/>
                <w:szCs w:val="10"/>
              </w:rPr>
              <w:t>t</w:t>
            </w:r>
            <w:r w:rsidRPr="00B457F5">
              <w:rPr>
                <w:rFonts w:ascii="Garamond" w:eastAsia="Times New Roman" w:hAnsi="Garamond" w:cs="Times New Roman"/>
                <w:b/>
                <w:bCs/>
                <w:color w:val="000000"/>
                <w:sz w:val="4"/>
                <w:szCs w:val="10"/>
              </w:rPr>
              <w:t>otale</w:t>
            </w:r>
          </w:p>
        </w:tc>
        <w:tc>
          <w:tcPr>
            <w:tcW w:w="177" w:type="pct"/>
            <w:tcBorders>
              <w:top w:val="nil"/>
              <w:left w:val="nil"/>
              <w:bottom w:val="single" w:sz="8" w:space="0" w:color="auto"/>
              <w:right w:val="single" w:sz="8" w:space="0" w:color="auto"/>
            </w:tcBorders>
            <w:shd w:val="clear" w:color="auto" w:fill="auto"/>
            <w:vAlign w:val="center"/>
            <w:hideMark/>
          </w:tcPr>
          <w:p w14:paraId="2E40F93B"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r>
      <w:tr w:rsidR="00C260C3" w:rsidRPr="00B457F5" w14:paraId="43A54CA9"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center"/>
            <w:hideMark/>
          </w:tcPr>
          <w:p w14:paraId="3A171D1A"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3.1</w:t>
            </w:r>
          </w:p>
        </w:tc>
        <w:tc>
          <w:tcPr>
            <w:tcW w:w="281" w:type="pct"/>
            <w:tcBorders>
              <w:top w:val="nil"/>
              <w:left w:val="nil"/>
              <w:bottom w:val="single" w:sz="4" w:space="0" w:color="auto"/>
              <w:right w:val="single" w:sz="4" w:space="0" w:color="auto"/>
            </w:tcBorders>
            <w:shd w:val="clear" w:color="auto" w:fill="auto"/>
            <w:vAlign w:val="center"/>
            <w:hideMark/>
          </w:tcPr>
          <w:p w14:paraId="23C447D6" w14:textId="053ED5C0"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Objektivi </w:t>
            </w:r>
            <w:r w:rsidR="006E177B" w:rsidRPr="00B457F5">
              <w:rPr>
                <w:rFonts w:ascii="Garamond" w:eastAsia="Times New Roman" w:hAnsi="Garamond" w:cs="Times New Roman"/>
                <w:b/>
                <w:bCs/>
                <w:color w:val="000000"/>
                <w:sz w:val="4"/>
                <w:szCs w:val="10"/>
              </w:rPr>
              <w:t>s</w:t>
            </w:r>
            <w:r w:rsidRPr="00B457F5">
              <w:rPr>
                <w:rFonts w:ascii="Garamond" w:eastAsia="Times New Roman" w:hAnsi="Garamond" w:cs="Times New Roman"/>
                <w:b/>
                <w:bCs/>
                <w:color w:val="000000"/>
                <w:sz w:val="4"/>
                <w:szCs w:val="10"/>
              </w:rPr>
              <w:t xml:space="preserve">pecifik: 3.1: Mbrojtja e të drejtave të migrantëve dhe integrimi i tyre në shoqërinë shqiptare </w:t>
            </w:r>
          </w:p>
        </w:tc>
        <w:tc>
          <w:tcPr>
            <w:tcW w:w="186" w:type="pct"/>
            <w:tcBorders>
              <w:top w:val="nil"/>
              <w:left w:val="nil"/>
              <w:bottom w:val="single" w:sz="4" w:space="0" w:color="auto"/>
              <w:right w:val="single" w:sz="4" w:space="0" w:color="auto"/>
            </w:tcBorders>
            <w:shd w:val="clear" w:color="auto" w:fill="auto"/>
            <w:vAlign w:val="center"/>
            <w:hideMark/>
          </w:tcPr>
          <w:p w14:paraId="3C04AAF8"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9" w:type="pct"/>
            <w:tcBorders>
              <w:top w:val="nil"/>
              <w:left w:val="nil"/>
              <w:bottom w:val="single" w:sz="4" w:space="0" w:color="auto"/>
              <w:right w:val="single" w:sz="4" w:space="0" w:color="auto"/>
            </w:tcBorders>
            <w:shd w:val="clear" w:color="auto" w:fill="auto"/>
            <w:noWrap/>
            <w:vAlign w:val="bottom"/>
            <w:hideMark/>
          </w:tcPr>
          <w:p w14:paraId="1A1FB7D9"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44" w:type="pct"/>
            <w:tcBorders>
              <w:top w:val="nil"/>
              <w:left w:val="nil"/>
              <w:bottom w:val="single" w:sz="4" w:space="0" w:color="auto"/>
              <w:right w:val="single" w:sz="4" w:space="0" w:color="auto"/>
            </w:tcBorders>
            <w:shd w:val="clear" w:color="auto" w:fill="auto"/>
            <w:noWrap/>
            <w:vAlign w:val="bottom"/>
            <w:hideMark/>
          </w:tcPr>
          <w:p w14:paraId="4DDCCBCF"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35" w:type="pct"/>
            <w:tcBorders>
              <w:top w:val="nil"/>
              <w:left w:val="nil"/>
              <w:bottom w:val="single" w:sz="4" w:space="0" w:color="auto"/>
              <w:right w:val="single" w:sz="4" w:space="0" w:color="auto"/>
            </w:tcBorders>
            <w:shd w:val="clear" w:color="auto" w:fill="auto"/>
            <w:noWrap/>
            <w:vAlign w:val="bottom"/>
            <w:hideMark/>
          </w:tcPr>
          <w:p w14:paraId="2A83A515"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2" w:type="pct"/>
            <w:tcBorders>
              <w:top w:val="nil"/>
              <w:left w:val="nil"/>
              <w:bottom w:val="single" w:sz="4" w:space="0" w:color="auto"/>
              <w:right w:val="single" w:sz="4" w:space="0" w:color="auto"/>
            </w:tcBorders>
            <w:shd w:val="clear" w:color="auto" w:fill="auto"/>
            <w:noWrap/>
            <w:vAlign w:val="bottom"/>
            <w:hideMark/>
          </w:tcPr>
          <w:p w14:paraId="1760EB27"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7C29E672"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5" w:type="pct"/>
            <w:tcBorders>
              <w:top w:val="nil"/>
              <w:left w:val="nil"/>
              <w:bottom w:val="single" w:sz="4" w:space="0" w:color="auto"/>
              <w:right w:val="single" w:sz="4" w:space="0" w:color="auto"/>
            </w:tcBorders>
            <w:shd w:val="clear" w:color="auto" w:fill="auto"/>
            <w:noWrap/>
            <w:vAlign w:val="center"/>
            <w:hideMark/>
          </w:tcPr>
          <w:p w14:paraId="6E7A94DA"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2" w:type="pct"/>
            <w:tcBorders>
              <w:top w:val="nil"/>
              <w:left w:val="nil"/>
              <w:bottom w:val="single" w:sz="4" w:space="0" w:color="auto"/>
              <w:right w:val="single" w:sz="4" w:space="0" w:color="auto"/>
            </w:tcBorders>
            <w:shd w:val="clear" w:color="auto" w:fill="auto"/>
            <w:noWrap/>
            <w:vAlign w:val="center"/>
            <w:hideMark/>
          </w:tcPr>
          <w:p w14:paraId="6FAD6FB2"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5" w:type="pct"/>
            <w:tcBorders>
              <w:top w:val="nil"/>
              <w:left w:val="nil"/>
              <w:bottom w:val="single" w:sz="4" w:space="0" w:color="auto"/>
              <w:right w:val="single" w:sz="4" w:space="0" w:color="auto"/>
            </w:tcBorders>
            <w:shd w:val="clear" w:color="auto" w:fill="auto"/>
            <w:noWrap/>
            <w:vAlign w:val="center"/>
            <w:hideMark/>
          </w:tcPr>
          <w:p w14:paraId="6BA2ED48"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6475D977"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1824A33E"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50974269"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48" w:type="pct"/>
            <w:tcBorders>
              <w:top w:val="nil"/>
              <w:left w:val="nil"/>
              <w:bottom w:val="single" w:sz="4" w:space="0" w:color="auto"/>
              <w:right w:val="single" w:sz="4" w:space="0" w:color="auto"/>
            </w:tcBorders>
            <w:shd w:val="clear" w:color="auto" w:fill="auto"/>
            <w:noWrap/>
            <w:vAlign w:val="center"/>
            <w:hideMark/>
          </w:tcPr>
          <w:p w14:paraId="55DB9B86"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2" w:type="pct"/>
            <w:tcBorders>
              <w:top w:val="nil"/>
              <w:left w:val="nil"/>
              <w:bottom w:val="single" w:sz="4" w:space="0" w:color="auto"/>
              <w:right w:val="single" w:sz="4" w:space="0" w:color="auto"/>
            </w:tcBorders>
            <w:shd w:val="clear" w:color="auto" w:fill="auto"/>
            <w:noWrap/>
            <w:vAlign w:val="center"/>
            <w:hideMark/>
          </w:tcPr>
          <w:p w14:paraId="64EA344D"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5" w:type="pct"/>
            <w:tcBorders>
              <w:top w:val="nil"/>
              <w:left w:val="nil"/>
              <w:bottom w:val="single" w:sz="4" w:space="0" w:color="auto"/>
              <w:right w:val="single" w:sz="4" w:space="0" w:color="auto"/>
            </w:tcBorders>
            <w:shd w:val="clear" w:color="auto" w:fill="auto"/>
            <w:noWrap/>
            <w:vAlign w:val="center"/>
            <w:hideMark/>
          </w:tcPr>
          <w:p w14:paraId="07E558E6"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04902AC1"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5" w:type="pct"/>
            <w:tcBorders>
              <w:top w:val="nil"/>
              <w:left w:val="nil"/>
              <w:bottom w:val="single" w:sz="4" w:space="0" w:color="auto"/>
              <w:right w:val="single" w:sz="4" w:space="0" w:color="auto"/>
            </w:tcBorders>
            <w:shd w:val="clear" w:color="auto" w:fill="auto"/>
            <w:noWrap/>
            <w:vAlign w:val="center"/>
            <w:hideMark/>
          </w:tcPr>
          <w:p w14:paraId="29C4CE42"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7E2990E4"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5" w:type="pct"/>
            <w:tcBorders>
              <w:top w:val="nil"/>
              <w:left w:val="nil"/>
              <w:bottom w:val="single" w:sz="4" w:space="0" w:color="auto"/>
              <w:right w:val="single" w:sz="4" w:space="0" w:color="auto"/>
            </w:tcBorders>
            <w:shd w:val="clear" w:color="auto" w:fill="auto"/>
            <w:noWrap/>
            <w:vAlign w:val="center"/>
            <w:hideMark/>
          </w:tcPr>
          <w:p w14:paraId="1BA86FA5"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27CFC750"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2" w:type="pct"/>
            <w:tcBorders>
              <w:top w:val="nil"/>
              <w:left w:val="nil"/>
              <w:bottom w:val="single" w:sz="4" w:space="0" w:color="auto"/>
              <w:right w:val="single" w:sz="4" w:space="0" w:color="auto"/>
            </w:tcBorders>
            <w:shd w:val="clear" w:color="auto" w:fill="auto"/>
            <w:noWrap/>
            <w:vAlign w:val="center"/>
            <w:hideMark/>
          </w:tcPr>
          <w:p w14:paraId="691E0EA5"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5" w:type="pct"/>
            <w:tcBorders>
              <w:top w:val="nil"/>
              <w:left w:val="nil"/>
              <w:bottom w:val="single" w:sz="4" w:space="0" w:color="auto"/>
              <w:right w:val="single" w:sz="4" w:space="0" w:color="auto"/>
            </w:tcBorders>
            <w:shd w:val="clear" w:color="auto" w:fill="auto"/>
            <w:noWrap/>
            <w:vAlign w:val="center"/>
            <w:hideMark/>
          </w:tcPr>
          <w:p w14:paraId="4124ADD4"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18" w:type="pct"/>
            <w:tcBorders>
              <w:top w:val="nil"/>
              <w:left w:val="nil"/>
              <w:bottom w:val="single" w:sz="4" w:space="0" w:color="auto"/>
              <w:right w:val="single" w:sz="4" w:space="0" w:color="auto"/>
            </w:tcBorders>
            <w:shd w:val="clear" w:color="auto" w:fill="auto"/>
            <w:noWrap/>
            <w:vAlign w:val="center"/>
            <w:hideMark/>
          </w:tcPr>
          <w:p w14:paraId="372D6858"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6408D900"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39" w:type="pct"/>
            <w:tcBorders>
              <w:top w:val="nil"/>
              <w:left w:val="nil"/>
              <w:bottom w:val="single" w:sz="4" w:space="0" w:color="auto"/>
              <w:right w:val="single" w:sz="4" w:space="0" w:color="auto"/>
            </w:tcBorders>
            <w:shd w:val="clear" w:color="auto" w:fill="auto"/>
            <w:noWrap/>
            <w:vAlign w:val="center"/>
            <w:hideMark/>
          </w:tcPr>
          <w:p w14:paraId="4279B775"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42" w:type="pct"/>
            <w:tcBorders>
              <w:top w:val="nil"/>
              <w:left w:val="nil"/>
              <w:bottom w:val="single" w:sz="4" w:space="0" w:color="auto"/>
              <w:right w:val="single" w:sz="4" w:space="0" w:color="auto"/>
            </w:tcBorders>
            <w:shd w:val="clear" w:color="auto" w:fill="auto"/>
            <w:noWrap/>
            <w:vAlign w:val="center"/>
            <w:hideMark/>
          </w:tcPr>
          <w:p w14:paraId="527FD0E7"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28" w:type="pct"/>
            <w:tcBorders>
              <w:top w:val="nil"/>
              <w:left w:val="nil"/>
              <w:bottom w:val="single" w:sz="4" w:space="0" w:color="auto"/>
              <w:right w:val="single" w:sz="4" w:space="0" w:color="auto"/>
            </w:tcBorders>
            <w:shd w:val="clear" w:color="auto" w:fill="auto"/>
            <w:noWrap/>
            <w:vAlign w:val="center"/>
            <w:hideMark/>
          </w:tcPr>
          <w:p w14:paraId="0C7E201D"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77" w:type="pct"/>
            <w:tcBorders>
              <w:top w:val="nil"/>
              <w:left w:val="nil"/>
              <w:bottom w:val="single" w:sz="4" w:space="0" w:color="auto"/>
              <w:right w:val="single" w:sz="8" w:space="0" w:color="auto"/>
            </w:tcBorders>
            <w:shd w:val="clear" w:color="auto" w:fill="auto"/>
            <w:noWrap/>
            <w:vAlign w:val="center"/>
            <w:hideMark/>
          </w:tcPr>
          <w:p w14:paraId="5DA2A51E"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r>
      <w:tr w:rsidR="00C260C3" w:rsidRPr="00B457F5" w14:paraId="64FF3600"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center"/>
            <w:hideMark/>
          </w:tcPr>
          <w:p w14:paraId="377AC44A"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81" w:type="pct"/>
            <w:tcBorders>
              <w:top w:val="nil"/>
              <w:left w:val="nil"/>
              <w:bottom w:val="single" w:sz="4" w:space="0" w:color="auto"/>
              <w:right w:val="single" w:sz="4" w:space="0" w:color="auto"/>
            </w:tcBorders>
            <w:shd w:val="clear" w:color="auto" w:fill="auto"/>
            <w:vAlign w:val="center"/>
            <w:hideMark/>
          </w:tcPr>
          <w:p w14:paraId="7BC91D00" w14:textId="77777777" w:rsidR="00C260C3" w:rsidRPr="00B457F5" w:rsidRDefault="00C260C3" w:rsidP="00C260C3">
            <w:pPr>
              <w:spacing w:before="0" w:after="0"/>
              <w:jc w:val="left"/>
              <w:rPr>
                <w:rFonts w:ascii="Garamond" w:eastAsia="Times New Roman" w:hAnsi="Garamond" w:cs="Times New Roman"/>
                <w:b/>
                <w:bCs/>
                <w:i/>
                <w:iCs/>
                <w:color w:val="0066CC"/>
                <w:sz w:val="4"/>
                <w:szCs w:val="10"/>
              </w:rPr>
            </w:pPr>
            <w:r w:rsidRPr="00B457F5">
              <w:rPr>
                <w:rFonts w:ascii="Garamond" w:eastAsia="Times New Roman" w:hAnsi="Garamond" w:cs="Times New Roman"/>
                <w:b/>
                <w:bCs/>
                <w:i/>
                <w:iCs/>
                <w:color w:val="0066CC"/>
                <w:sz w:val="4"/>
                <w:szCs w:val="10"/>
              </w:rPr>
              <w:t>Masat</w:t>
            </w:r>
          </w:p>
        </w:tc>
        <w:tc>
          <w:tcPr>
            <w:tcW w:w="186" w:type="pct"/>
            <w:tcBorders>
              <w:top w:val="nil"/>
              <w:left w:val="nil"/>
              <w:bottom w:val="single" w:sz="4" w:space="0" w:color="auto"/>
              <w:right w:val="single" w:sz="4" w:space="0" w:color="auto"/>
            </w:tcBorders>
            <w:shd w:val="clear" w:color="auto" w:fill="auto"/>
            <w:vAlign w:val="center"/>
            <w:hideMark/>
          </w:tcPr>
          <w:p w14:paraId="6D6A8C32"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9" w:type="pct"/>
            <w:tcBorders>
              <w:top w:val="nil"/>
              <w:left w:val="nil"/>
              <w:bottom w:val="single" w:sz="4" w:space="0" w:color="auto"/>
              <w:right w:val="single" w:sz="4" w:space="0" w:color="auto"/>
            </w:tcBorders>
            <w:shd w:val="clear" w:color="auto" w:fill="auto"/>
            <w:noWrap/>
            <w:vAlign w:val="bottom"/>
            <w:hideMark/>
          </w:tcPr>
          <w:p w14:paraId="2B915C7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244" w:type="pct"/>
            <w:tcBorders>
              <w:top w:val="nil"/>
              <w:left w:val="nil"/>
              <w:bottom w:val="single" w:sz="4" w:space="0" w:color="auto"/>
              <w:right w:val="single" w:sz="4" w:space="0" w:color="auto"/>
            </w:tcBorders>
            <w:shd w:val="clear" w:color="auto" w:fill="auto"/>
            <w:noWrap/>
            <w:vAlign w:val="bottom"/>
            <w:hideMark/>
          </w:tcPr>
          <w:p w14:paraId="0295164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35" w:type="pct"/>
            <w:tcBorders>
              <w:top w:val="nil"/>
              <w:left w:val="nil"/>
              <w:bottom w:val="single" w:sz="4" w:space="0" w:color="auto"/>
              <w:right w:val="single" w:sz="4" w:space="0" w:color="auto"/>
            </w:tcBorders>
            <w:shd w:val="clear" w:color="auto" w:fill="auto"/>
            <w:noWrap/>
            <w:vAlign w:val="bottom"/>
            <w:hideMark/>
          </w:tcPr>
          <w:p w14:paraId="2C845B7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2" w:type="pct"/>
            <w:tcBorders>
              <w:top w:val="nil"/>
              <w:left w:val="nil"/>
              <w:bottom w:val="single" w:sz="4" w:space="0" w:color="auto"/>
              <w:right w:val="single" w:sz="4" w:space="0" w:color="auto"/>
            </w:tcBorders>
            <w:shd w:val="clear" w:color="auto" w:fill="auto"/>
            <w:noWrap/>
            <w:vAlign w:val="bottom"/>
            <w:hideMark/>
          </w:tcPr>
          <w:p w14:paraId="6CB69F0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34FEDCF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nil"/>
              <w:left w:val="nil"/>
              <w:bottom w:val="single" w:sz="4" w:space="0" w:color="auto"/>
              <w:right w:val="single" w:sz="4" w:space="0" w:color="auto"/>
            </w:tcBorders>
            <w:shd w:val="clear" w:color="auto" w:fill="auto"/>
            <w:noWrap/>
            <w:vAlign w:val="center"/>
            <w:hideMark/>
          </w:tcPr>
          <w:p w14:paraId="3070472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nil"/>
              <w:left w:val="nil"/>
              <w:bottom w:val="single" w:sz="4" w:space="0" w:color="auto"/>
              <w:right w:val="single" w:sz="4" w:space="0" w:color="auto"/>
            </w:tcBorders>
            <w:shd w:val="clear" w:color="auto" w:fill="auto"/>
            <w:noWrap/>
            <w:vAlign w:val="center"/>
            <w:hideMark/>
          </w:tcPr>
          <w:p w14:paraId="5E665EF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nil"/>
              <w:left w:val="nil"/>
              <w:bottom w:val="single" w:sz="4" w:space="0" w:color="auto"/>
              <w:right w:val="single" w:sz="4" w:space="0" w:color="auto"/>
            </w:tcBorders>
            <w:shd w:val="clear" w:color="auto" w:fill="auto"/>
            <w:noWrap/>
            <w:vAlign w:val="center"/>
            <w:hideMark/>
          </w:tcPr>
          <w:p w14:paraId="1855DB4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30C94F4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35F39B5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5D9AD05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48" w:type="pct"/>
            <w:tcBorders>
              <w:top w:val="nil"/>
              <w:left w:val="nil"/>
              <w:bottom w:val="single" w:sz="4" w:space="0" w:color="auto"/>
              <w:right w:val="single" w:sz="4" w:space="0" w:color="auto"/>
            </w:tcBorders>
            <w:shd w:val="clear" w:color="auto" w:fill="auto"/>
            <w:noWrap/>
            <w:vAlign w:val="center"/>
            <w:hideMark/>
          </w:tcPr>
          <w:p w14:paraId="17385A6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nil"/>
              <w:left w:val="nil"/>
              <w:bottom w:val="single" w:sz="4" w:space="0" w:color="auto"/>
              <w:right w:val="single" w:sz="4" w:space="0" w:color="auto"/>
            </w:tcBorders>
            <w:shd w:val="clear" w:color="auto" w:fill="auto"/>
            <w:noWrap/>
            <w:vAlign w:val="center"/>
            <w:hideMark/>
          </w:tcPr>
          <w:p w14:paraId="67EFDF8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nil"/>
              <w:left w:val="nil"/>
              <w:bottom w:val="single" w:sz="4" w:space="0" w:color="auto"/>
              <w:right w:val="single" w:sz="4" w:space="0" w:color="auto"/>
            </w:tcBorders>
            <w:shd w:val="clear" w:color="auto" w:fill="auto"/>
            <w:noWrap/>
            <w:vAlign w:val="center"/>
            <w:hideMark/>
          </w:tcPr>
          <w:p w14:paraId="785E2E6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50271DC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nil"/>
              <w:left w:val="nil"/>
              <w:bottom w:val="single" w:sz="4" w:space="0" w:color="auto"/>
              <w:right w:val="single" w:sz="4" w:space="0" w:color="auto"/>
            </w:tcBorders>
            <w:shd w:val="clear" w:color="auto" w:fill="auto"/>
            <w:noWrap/>
            <w:vAlign w:val="center"/>
            <w:hideMark/>
          </w:tcPr>
          <w:p w14:paraId="07AD442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1D1CCAF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nil"/>
              <w:left w:val="nil"/>
              <w:bottom w:val="single" w:sz="4" w:space="0" w:color="auto"/>
              <w:right w:val="single" w:sz="4" w:space="0" w:color="auto"/>
            </w:tcBorders>
            <w:shd w:val="clear" w:color="auto" w:fill="auto"/>
            <w:noWrap/>
            <w:vAlign w:val="center"/>
            <w:hideMark/>
          </w:tcPr>
          <w:p w14:paraId="74A21E3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0A6D492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nil"/>
              <w:left w:val="nil"/>
              <w:bottom w:val="single" w:sz="4" w:space="0" w:color="auto"/>
              <w:right w:val="single" w:sz="4" w:space="0" w:color="auto"/>
            </w:tcBorders>
            <w:shd w:val="clear" w:color="auto" w:fill="auto"/>
            <w:noWrap/>
            <w:vAlign w:val="center"/>
            <w:hideMark/>
          </w:tcPr>
          <w:p w14:paraId="1D9CCAC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nil"/>
              <w:left w:val="nil"/>
              <w:bottom w:val="single" w:sz="4" w:space="0" w:color="auto"/>
              <w:right w:val="single" w:sz="4" w:space="0" w:color="auto"/>
            </w:tcBorders>
            <w:shd w:val="clear" w:color="auto" w:fill="auto"/>
            <w:noWrap/>
            <w:vAlign w:val="center"/>
            <w:hideMark/>
          </w:tcPr>
          <w:p w14:paraId="231B9A5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218" w:type="pct"/>
            <w:tcBorders>
              <w:top w:val="nil"/>
              <w:left w:val="nil"/>
              <w:bottom w:val="single" w:sz="4" w:space="0" w:color="auto"/>
              <w:right w:val="single" w:sz="4" w:space="0" w:color="auto"/>
            </w:tcBorders>
            <w:shd w:val="clear" w:color="auto" w:fill="auto"/>
            <w:noWrap/>
            <w:vAlign w:val="center"/>
            <w:hideMark/>
          </w:tcPr>
          <w:p w14:paraId="74FDE7D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4BB3AE7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39" w:type="pct"/>
            <w:tcBorders>
              <w:top w:val="nil"/>
              <w:left w:val="nil"/>
              <w:bottom w:val="single" w:sz="4" w:space="0" w:color="auto"/>
              <w:right w:val="single" w:sz="4" w:space="0" w:color="auto"/>
            </w:tcBorders>
            <w:shd w:val="clear" w:color="auto" w:fill="auto"/>
            <w:noWrap/>
            <w:vAlign w:val="center"/>
            <w:hideMark/>
          </w:tcPr>
          <w:p w14:paraId="473A08F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42" w:type="pct"/>
            <w:tcBorders>
              <w:top w:val="nil"/>
              <w:left w:val="nil"/>
              <w:bottom w:val="single" w:sz="4" w:space="0" w:color="auto"/>
              <w:right w:val="single" w:sz="4" w:space="0" w:color="auto"/>
            </w:tcBorders>
            <w:shd w:val="clear" w:color="auto" w:fill="auto"/>
            <w:noWrap/>
            <w:vAlign w:val="center"/>
            <w:hideMark/>
          </w:tcPr>
          <w:p w14:paraId="1877BD5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28" w:type="pct"/>
            <w:tcBorders>
              <w:top w:val="nil"/>
              <w:left w:val="nil"/>
              <w:bottom w:val="single" w:sz="4" w:space="0" w:color="auto"/>
              <w:right w:val="single" w:sz="4" w:space="0" w:color="auto"/>
            </w:tcBorders>
            <w:shd w:val="clear" w:color="auto" w:fill="auto"/>
            <w:noWrap/>
            <w:vAlign w:val="center"/>
            <w:hideMark/>
          </w:tcPr>
          <w:p w14:paraId="44A8380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77" w:type="pct"/>
            <w:tcBorders>
              <w:top w:val="nil"/>
              <w:left w:val="nil"/>
              <w:bottom w:val="single" w:sz="4" w:space="0" w:color="auto"/>
              <w:right w:val="single" w:sz="8" w:space="0" w:color="auto"/>
            </w:tcBorders>
            <w:shd w:val="clear" w:color="auto" w:fill="auto"/>
            <w:noWrap/>
            <w:vAlign w:val="center"/>
            <w:hideMark/>
          </w:tcPr>
          <w:p w14:paraId="047A5AE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r>
      <w:tr w:rsidR="00C260C3" w:rsidRPr="00B457F5" w14:paraId="3F38F319" w14:textId="77777777" w:rsidTr="00C260C3">
        <w:trPr>
          <w:trHeight w:val="20"/>
        </w:trPr>
        <w:tc>
          <w:tcPr>
            <w:tcW w:w="131" w:type="pct"/>
            <w:tcBorders>
              <w:top w:val="nil"/>
              <w:left w:val="single" w:sz="8" w:space="0" w:color="auto"/>
              <w:bottom w:val="single" w:sz="4" w:space="0" w:color="auto"/>
              <w:right w:val="single" w:sz="4" w:space="0" w:color="auto"/>
            </w:tcBorders>
            <w:shd w:val="clear" w:color="000000" w:fill="D9D9D9"/>
            <w:vAlign w:val="center"/>
            <w:hideMark/>
          </w:tcPr>
          <w:p w14:paraId="2DC77A2A"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3.1.1</w:t>
            </w:r>
          </w:p>
        </w:tc>
        <w:tc>
          <w:tcPr>
            <w:tcW w:w="281" w:type="pct"/>
            <w:tcBorders>
              <w:top w:val="nil"/>
              <w:left w:val="nil"/>
              <w:bottom w:val="single" w:sz="4" w:space="0" w:color="auto"/>
              <w:right w:val="single" w:sz="4" w:space="0" w:color="auto"/>
            </w:tcBorders>
            <w:shd w:val="clear" w:color="000000" w:fill="D9D9D9"/>
            <w:vAlign w:val="center"/>
            <w:hideMark/>
          </w:tcPr>
          <w:p w14:paraId="58A660C4" w14:textId="7FDEED0C"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3.1.1 Informimi dhe mbrojtja</w:t>
            </w:r>
            <w:r w:rsidR="0006016F" w:rsidRPr="00B457F5">
              <w:rPr>
                <w:rFonts w:ascii="Garamond" w:eastAsia="Times New Roman" w:hAnsi="Garamond" w:cs="Times New Roman"/>
                <w:b/>
                <w:bCs/>
                <w:color w:val="000000"/>
                <w:sz w:val="4"/>
                <w:szCs w:val="10"/>
              </w:rPr>
              <w:t xml:space="preserve"> </w:t>
            </w:r>
            <w:r w:rsidRPr="00B457F5">
              <w:rPr>
                <w:rFonts w:ascii="Garamond" w:eastAsia="Times New Roman" w:hAnsi="Garamond" w:cs="Times New Roman"/>
                <w:b/>
                <w:bCs/>
                <w:color w:val="000000"/>
                <w:sz w:val="4"/>
                <w:szCs w:val="10"/>
              </w:rPr>
              <w:t>nga diskriminimi i të huajve në territor</w:t>
            </w:r>
          </w:p>
        </w:tc>
        <w:tc>
          <w:tcPr>
            <w:tcW w:w="186" w:type="pct"/>
            <w:tcBorders>
              <w:top w:val="nil"/>
              <w:left w:val="nil"/>
              <w:bottom w:val="single" w:sz="4" w:space="0" w:color="auto"/>
              <w:right w:val="nil"/>
            </w:tcBorders>
            <w:shd w:val="clear" w:color="000000" w:fill="D9D9D9"/>
            <w:vAlign w:val="center"/>
            <w:hideMark/>
          </w:tcPr>
          <w:p w14:paraId="01DB324C"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(91), 03140 Policia e Shtetit, 01110 Planifikimi, Menaxhimi dhe Administrimi (16)</w:t>
            </w:r>
          </w:p>
        </w:tc>
        <w:tc>
          <w:tcPr>
            <w:tcW w:w="169" w:type="pct"/>
            <w:tcBorders>
              <w:top w:val="nil"/>
              <w:left w:val="single" w:sz="4" w:space="0" w:color="auto"/>
              <w:bottom w:val="single" w:sz="4" w:space="0" w:color="auto"/>
              <w:right w:val="single" w:sz="4" w:space="0" w:color="auto"/>
            </w:tcBorders>
            <w:shd w:val="clear" w:color="000000" w:fill="D9D9D9"/>
            <w:vAlign w:val="center"/>
            <w:hideMark/>
          </w:tcPr>
          <w:p w14:paraId="5125411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KMD, MB, DKM, NJVV</w:t>
            </w:r>
          </w:p>
        </w:tc>
        <w:tc>
          <w:tcPr>
            <w:tcW w:w="244" w:type="pct"/>
            <w:tcBorders>
              <w:top w:val="nil"/>
              <w:left w:val="nil"/>
              <w:bottom w:val="single" w:sz="4" w:space="0" w:color="auto"/>
              <w:right w:val="single" w:sz="4" w:space="0" w:color="auto"/>
            </w:tcBorders>
            <w:shd w:val="clear" w:color="000000" w:fill="D9D9D9"/>
            <w:vAlign w:val="center"/>
            <w:hideMark/>
          </w:tcPr>
          <w:p w14:paraId="1D3EBAAB" w14:textId="447FAAC9"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MEKI, AKPA, DKM, ZVMD; UNHCR; MEPJ, </w:t>
            </w:r>
            <w:r w:rsidR="00E92B0D" w:rsidRPr="00B457F5">
              <w:rPr>
                <w:rFonts w:ascii="Garamond" w:eastAsia="Times New Roman" w:hAnsi="Garamond" w:cs="Times New Roman"/>
                <w:color w:val="000000"/>
                <w:sz w:val="4"/>
                <w:szCs w:val="10"/>
              </w:rPr>
              <w:t>m</w:t>
            </w:r>
            <w:r w:rsidRPr="00B457F5">
              <w:rPr>
                <w:rFonts w:ascii="Garamond" w:eastAsia="Times New Roman" w:hAnsi="Garamond" w:cs="Times New Roman"/>
                <w:color w:val="000000"/>
                <w:sz w:val="4"/>
                <w:szCs w:val="10"/>
              </w:rPr>
              <w:t>inistritë e linjës, MB, IOM, UNHCR, OSHC, Avokati i Popullit</w:t>
            </w:r>
          </w:p>
        </w:tc>
        <w:tc>
          <w:tcPr>
            <w:tcW w:w="135" w:type="pct"/>
            <w:tcBorders>
              <w:top w:val="nil"/>
              <w:left w:val="nil"/>
              <w:bottom w:val="single" w:sz="4" w:space="0" w:color="auto"/>
              <w:right w:val="single" w:sz="4" w:space="0" w:color="auto"/>
            </w:tcBorders>
            <w:shd w:val="clear" w:color="000000" w:fill="D9D9D9"/>
            <w:vAlign w:val="center"/>
            <w:hideMark/>
          </w:tcPr>
          <w:p w14:paraId="0A8BFC27"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9D9D9"/>
            <w:vAlign w:val="center"/>
            <w:hideMark/>
          </w:tcPr>
          <w:p w14:paraId="37552954"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000000" w:fill="D9D9D9"/>
            <w:vAlign w:val="center"/>
            <w:hideMark/>
          </w:tcPr>
          <w:p w14:paraId="591F481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21,709,039</w:t>
            </w:r>
          </w:p>
        </w:tc>
        <w:tc>
          <w:tcPr>
            <w:tcW w:w="155" w:type="pct"/>
            <w:tcBorders>
              <w:top w:val="nil"/>
              <w:left w:val="nil"/>
              <w:bottom w:val="single" w:sz="4" w:space="0" w:color="auto"/>
              <w:right w:val="single" w:sz="4" w:space="0" w:color="auto"/>
            </w:tcBorders>
            <w:shd w:val="clear" w:color="000000" w:fill="D9D9D9"/>
            <w:vAlign w:val="center"/>
            <w:hideMark/>
          </w:tcPr>
          <w:p w14:paraId="201D8CA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28A889A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21,709,039</w:t>
            </w:r>
          </w:p>
        </w:tc>
        <w:tc>
          <w:tcPr>
            <w:tcW w:w="165" w:type="pct"/>
            <w:tcBorders>
              <w:top w:val="nil"/>
              <w:left w:val="nil"/>
              <w:bottom w:val="single" w:sz="4" w:space="0" w:color="auto"/>
              <w:right w:val="single" w:sz="4" w:space="0" w:color="auto"/>
            </w:tcBorders>
            <w:shd w:val="clear" w:color="000000" w:fill="D9D9D9"/>
            <w:vAlign w:val="center"/>
            <w:hideMark/>
          </w:tcPr>
          <w:p w14:paraId="64B68A7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21,709,039</w:t>
            </w:r>
          </w:p>
        </w:tc>
        <w:tc>
          <w:tcPr>
            <w:tcW w:w="163" w:type="pct"/>
            <w:tcBorders>
              <w:top w:val="nil"/>
              <w:left w:val="nil"/>
              <w:bottom w:val="single" w:sz="4" w:space="0" w:color="auto"/>
              <w:right w:val="single" w:sz="4" w:space="0" w:color="auto"/>
            </w:tcBorders>
            <w:shd w:val="clear" w:color="000000" w:fill="D9D9D9"/>
            <w:vAlign w:val="center"/>
            <w:hideMark/>
          </w:tcPr>
          <w:p w14:paraId="49EBB2A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72328BC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21,709,039</w:t>
            </w:r>
          </w:p>
        </w:tc>
        <w:tc>
          <w:tcPr>
            <w:tcW w:w="163" w:type="pct"/>
            <w:tcBorders>
              <w:top w:val="nil"/>
              <w:left w:val="nil"/>
              <w:bottom w:val="single" w:sz="4" w:space="0" w:color="auto"/>
              <w:right w:val="single" w:sz="4" w:space="0" w:color="auto"/>
            </w:tcBorders>
            <w:shd w:val="clear" w:color="000000" w:fill="D9D9D9"/>
            <w:vAlign w:val="center"/>
            <w:hideMark/>
          </w:tcPr>
          <w:p w14:paraId="182A72C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7,069,039</w:t>
            </w:r>
          </w:p>
        </w:tc>
        <w:tc>
          <w:tcPr>
            <w:tcW w:w="148" w:type="pct"/>
            <w:tcBorders>
              <w:top w:val="nil"/>
              <w:left w:val="nil"/>
              <w:bottom w:val="single" w:sz="4" w:space="0" w:color="auto"/>
              <w:right w:val="single" w:sz="4" w:space="0" w:color="auto"/>
            </w:tcBorders>
            <w:shd w:val="clear" w:color="000000" w:fill="D9D9D9"/>
            <w:vAlign w:val="center"/>
            <w:hideMark/>
          </w:tcPr>
          <w:p w14:paraId="2F82B37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442C587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7,069,039</w:t>
            </w:r>
          </w:p>
        </w:tc>
        <w:tc>
          <w:tcPr>
            <w:tcW w:w="165" w:type="pct"/>
            <w:tcBorders>
              <w:top w:val="nil"/>
              <w:left w:val="nil"/>
              <w:bottom w:val="single" w:sz="4" w:space="0" w:color="auto"/>
              <w:right w:val="single" w:sz="4" w:space="0" w:color="auto"/>
            </w:tcBorders>
            <w:shd w:val="clear" w:color="000000" w:fill="D9D9D9"/>
            <w:vAlign w:val="center"/>
            <w:hideMark/>
          </w:tcPr>
          <w:p w14:paraId="7449A9F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50,487,117</w:t>
            </w:r>
          </w:p>
        </w:tc>
        <w:tc>
          <w:tcPr>
            <w:tcW w:w="163" w:type="pct"/>
            <w:tcBorders>
              <w:top w:val="nil"/>
              <w:left w:val="nil"/>
              <w:bottom w:val="single" w:sz="4" w:space="0" w:color="auto"/>
              <w:right w:val="single" w:sz="4" w:space="0" w:color="auto"/>
            </w:tcBorders>
            <w:shd w:val="clear" w:color="000000" w:fill="D9D9D9"/>
            <w:vAlign w:val="center"/>
            <w:hideMark/>
          </w:tcPr>
          <w:p w14:paraId="490A241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D9D9D9"/>
            <w:vAlign w:val="center"/>
            <w:hideMark/>
          </w:tcPr>
          <w:p w14:paraId="2516C15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50,487,117</w:t>
            </w:r>
          </w:p>
        </w:tc>
        <w:tc>
          <w:tcPr>
            <w:tcW w:w="163" w:type="pct"/>
            <w:tcBorders>
              <w:top w:val="nil"/>
              <w:left w:val="nil"/>
              <w:bottom w:val="single" w:sz="4" w:space="0" w:color="auto"/>
              <w:right w:val="single" w:sz="4" w:space="0" w:color="auto"/>
            </w:tcBorders>
            <w:shd w:val="clear" w:color="000000" w:fill="D9D9D9"/>
            <w:vAlign w:val="center"/>
            <w:hideMark/>
          </w:tcPr>
          <w:p w14:paraId="7504420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12,797,517</w:t>
            </w:r>
          </w:p>
        </w:tc>
        <w:tc>
          <w:tcPr>
            <w:tcW w:w="155" w:type="pct"/>
            <w:tcBorders>
              <w:top w:val="nil"/>
              <w:left w:val="nil"/>
              <w:bottom w:val="single" w:sz="4" w:space="0" w:color="auto"/>
              <w:right w:val="single" w:sz="4" w:space="0" w:color="auto"/>
            </w:tcBorders>
            <w:shd w:val="clear" w:color="000000" w:fill="D9D9D9"/>
            <w:vAlign w:val="center"/>
            <w:hideMark/>
          </w:tcPr>
          <w:p w14:paraId="3F6515E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2406FEC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12,797,517</w:t>
            </w:r>
          </w:p>
        </w:tc>
        <w:tc>
          <w:tcPr>
            <w:tcW w:w="162" w:type="pct"/>
            <w:tcBorders>
              <w:top w:val="nil"/>
              <w:left w:val="nil"/>
              <w:bottom w:val="single" w:sz="4" w:space="0" w:color="auto"/>
              <w:right w:val="single" w:sz="4" w:space="0" w:color="auto"/>
            </w:tcBorders>
            <w:shd w:val="clear" w:color="000000" w:fill="D9D9D9"/>
            <w:vAlign w:val="center"/>
            <w:hideMark/>
          </w:tcPr>
          <w:p w14:paraId="3B694F1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35,889,600</w:t>
            </w:r>
          </w:p>
        </w:tc>
        <w:tc>
          <w:tcPr>
            <w:tcW w:w="155" w:type="pct"/>
            <w:tcBorders>
              <w:top w:val="nil"/>
              <w:left w:val="nil"/>
              <w:bottom w:val="single" w:sz="4" w:space="0" w:color="auto"/>
              <w:right w:val="single" w:sz="4" w:space="0" w:color="auto"/>
            </w:tcBorders>
            <w:shd w:val="clear" w:color="000000" w:fill="D9D9D9"/>
            <w:vAlign w:val="center"/>
            <w:hideMark/>
          </w:tcPr>
          <w:p w14:paraId="520D138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000000" w:fill="D9D9D9"/>
            <w:vAlign w:val="center"/>
            <w:hideMark/>
          </w:tcPr>
          <w:p w14:paraId="5AB315E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235B51E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35,889,600</w:t>
            </w:r>
          </w:p>
        </w:tc>
        <w:tc>
          <w:tcPr>
            <w:tcW w:w="139" w:type="pct"/>
            <w:tcBorders>
              <w:top w:val="nil"/>
              <w:left w:val="nil"/>
              <w:bottom w:val="single" w:sz="4" w:space="0" w:color="auto"/>
              <w:right w:val="single" w:sz="4" w:space="0" w:color="auto"/>
            </w:tcBorders>
            <w:shd w:val="clear" w:color="000000" w:fill="D9D9D9"/>
            <w:vAlign w:val="center"/>
            <w:hideMark/>
          </w:tcPr>
          <w:p w14:paraId="0161B36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000000" w:fill="D9D9D9"/>
            <w:vAlign w:val="center"/>
            <w:hideMark/>
          </w:tcPr>
          <w:p w14:paraId="1C2B6D6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D9D9D9"/>
            <w:vAlign w:val="center"/>
            <w:hideMark/>
          </w:tcPr>
          <w:p w14:paraId="490FCD4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8" w:space="0" w:color="auto"/>
            </w:tcBorders>
            <w:shd w:val="clear" w:color="000000" w:fill="D9D9D9"/>
            <w:vAlign w:val="center"/>
            <w:hideMark/>
          </w:tcPr>
          <w:p w14:paraId="7E41D944" w14:textId="2131C055"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(1,800,000)</w:t>
            </w:r>
          </w:p>
        </w:tc>
      </w:tr>
      <w:tr w:rsidR="00C260C3" w:rsidRPr="00B457F5" w14:paraId="1881C508"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center"/>
            <w:hideMark/>
          </w:tcPr>
          <w:p w14:paraId="06D2E76B"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3.1.1.1</w:t>
            </w:r>
          </w:p>
        </w:tc>
        <w:tc>
          <w:tcPr>
            <w:tcW w:w="281" w:type="pct"/>
            <w:tcBorders>
              <w:top w:val="nil"/>
              <w:left w:val="nil"/>
              <w:bottom w:val="single" w:sz="4" w:space="0" w:color="auto"/>
              <w:right w:val="single" w:sz="4" w:space="0" w:color="auto"/>
            </w:tcBorders>
            <w:shd w:val="clear" w:color="auto" w:fill="auto"/>
            <w:vAlign w:val="center"/>
            <w:hideMark/>
          </w:tcPr>
          <w:p w14:paraId="6404A579" w14:textId="1F2E6572"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3.1.1.1 Përfshirja në raportin vjetor të KMD-së, të një seksioni të dedikuar mbi aksesin në të drejta të të huajve, sipas ligjit </w:t>
            </w:r>
            <w:r w:rsidR="00A313AE"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Për mbrojtjen nga diskriminimi</w:t>
            </w:r>
            <w:r w:rsidR="006E177B" w:rsidRPr="00B457F5">
              <w:rPr>
                <w:rFonts w:ascii="Garamond" w:eastAsia="Times New Roman" w:hAnsi="Garamond" w:cs="Times New Roman"/>
                <w:color w:val="000000"/>
                <w:sz w:val="4"/>
                <w:szCs w:val="10"/>
              </w:rPr>
              <w:t>”</w:t>
            </w:r>
          </w:p>
        </w:tc>
        <w:tc>
          <w:tcPr>
            <w:tcW w:w="186" w:type="pct"/>
            <w:tcBorders>
              <w:top w:val="nil"/>
              <w:left w:val="nil"/>
              <w:bottom w:val="single" w:sz="4" w:space="0" w:color="auto"/>
              <w:right w:val="nil"/>
            </w:tcBorders>
            <w:shd w:val="clear" w:color="auto" w:fill="auto"/>
            <w:vAlign w:val="center"/>
            <w:hideMark/>
          </w:tcPr>
          <w:p w14:paraId="214CF63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(91)</w:t>
            </w:r>
          </w:p>
        </w:tc>
        <w:tc>
          <w:tcPr>
            <w:tcW w:w="169" w:type="pct"/>
            <w:tcBorders>
              <w:top w:val="nil"/>
              <w:left w:val="single" w:sz="4" w:space="0" w:color="auto"/>
              <w:bottom w:val="single" w:sz="4" w:space="0" w:color="auto"/>
              <w:right w:val="single" w:sz="4" w:space="0" w:color="auto"/>
            </w:tcBorders>
            <w:shd w:val="clear" w:color="auto" w:fill="auto"/>
            <w:vAlign w:val="center"/>
            <w:hideMark/>
          </w:tcPr>
          <w:p w14:paraId="208F4F7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KMD</w:t>
            </w:r>
          </w:p>
        </w:tc>
        <w:tc>
          <w:tcPr>
            <w:tcW w:w="244" w:type="pct"/>
            <w:tcBorders>
              <w:top w:val="nil"/>
              <w:left w:val="nil"/>
              <w:bottom w:val="single" w:sz="4" w:space="0" w:color="auto"/>
              <w:right w:val="single" w:sz="4" w:space="0" w:color="auto"/>
            </w:tcBorders>
            <w:shd w:val="clear" w:color="auto" w:fill="auto"/>
            <w:vAlign w:val="center"/>
            <w:hideMark/>
          </w:tcPr>
          <w:p w14:paraId="34E9334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Ministritë e linjës, MB, IOM, OSHC, AP</w:t>
            </w:r>
          </w:p>
        </w:tc>
        <w:tc>
          <w:tcPr>
            <w:tcW w:w="135" w:type="pct"/>
            <w:tcBorders>
              <w:top w:val="nil"/>
              <w:left w:val="nil"/>
              <w:bottom w:val="single" w:sz="4" w:space="0" w:color="auto"/>
              <w:right w:val="single" w:sz="4" w:space="0" w:color="auto"/>
            </w:tcBorders>
            <w:shd w:val="clear" w:color="000000" w:fill="DDEBF7"/>
            <w:vAlign w:val="center"/>
            <w:hideMark/>
          </w:tcPr>
          <w:p w14:paraId="7160B52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2611B5B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1075EC2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1,508,586</w:t>
            </w:r>
          </w:p>
        </w:tc>
        <w:tc>
          <w:tcPr>
            <w:tcW w:w="155" w:type="pct"/>
            <w:tcBorders>
              <w:top w:val="nil"/>
              <w:left w:val="nil"/>
              <w:bottom w:val="single" w:sz="4" w:space="0" w:color="auto"/>
              <w:right w:val="single" w:sz="4" w:space="0" w:color="auto"/>
            </w:tcBorders>
            <w:shd w:val="clear" w:color="auto" w:fill="auto"/>
            <w:vAlign w:val="center"/>
            <w:hideMark/>
          </w:tcPr>
          <w:p w14:paraId="16F15B8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4450145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1,508,586</w:t>
            </w:r>
          </w:p>
        </w:tc>
        <w:tc>
          <w:tcPr>
            <w:tcW w:w="165" w:type="pct"/>
            <w:tcBorders>
              <w:top w:val="nil"/>
              <w:left w:val="nil"/>
              <w:bottom w:val="single" w:sz="4" w:space="0" w:color="auto"/>
              <w:right w:val="single" w:sz="4" w:space="0" w:color="auto"/>
            </w:tcBorders>
            <w:shd w:val="clear" w:color="auto" w:fill="auto"/>
            <w:vAlign w:val="center"/>
            <w:hideMark/>
          </w:tcPr>
          <w:p w14:paraId="4F293B7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1,508,586</w:t>
            </w:r>
          </w:p>
        </w:tc>
        <w:tc>
          <w:tcPr>
            <w:tcW w:w="163" w:type="pct"/>
            <w:tcBorders>
              <w:top w:val="nil"/>
              <w:left w:val="nil"/>
              <w:bottom w:val="single" w:sz="4" w:space="0" w:color="auto"/>
              <w:right w:val="single" w:sz="4" w:space="0" w:color="auto"/>
            </w:tcBorders>
            <w:shd w:val="clear" w:color="auto" w:fill="auto"/>
            <w:vAlign w:val="center"/>
            <w:hideMark/>
          </w:tcPr>
          <w:p w14:paraId="7BDA8F8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0AC2203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1,508,586</w:t>
            </w:r>
          </w:p>
        </w:tc>
        <w:tc>
          <w:tcPr>
            <w:tcW w:w="163" w:type="pct"/>
            <w:tcBorders>
              <w:top w:val="nil"/>
              <w:left w:val="nil"/>
              <w:bottom w:val="single" w:sz="4" w:space="0" w:color="auto"/>
              <w:right w:val="single" w:sz="4" w:space="0" w:color="auto"/>
            </w:tcBorders>
            <w:shd w:val="clear" w:color="auto" w:fill="auto"/>
            <w:vAlign w:val="center"/>
            <w:hideMark/>
          </w:tcPr>
          <w:p w14:paraId="5459B6F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1,508,586</w:t>
            </w:r>
          </w:p>
        </w:tc>
        <w:tc>
          <w:tcPr>
            <w:tcW w:w="148" w:type="pct"/>
            <w:tcBorders>
              <w:top w:val="nil"/>
              <w:left w:val="nil"/>
              <w:bottom w:val="single" w:sz="4" w:space="0" w:color="auto"/>
              <w:right w:val="single" w:sz="4" w:space="0" w:color="auto"/>
            </w:tcBorders>
            <w:shd w:val="clear" w:color="auto" w:fill="auto"/>
            <w:vAlign w:val="center"/>
            <w:hideMark/>
          </w:tcPr>
          <w:p w14:paraId="10CD004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2390F99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1,508,586</w:t>
            </w:r>
          </w:p>
        </w:tc>
        <w:tc>
          <w:tcPr>
            <w:tcW w:w="165" w:type="pct"/>
            <w:tcBorders>
              <w:top w:val="nil"/>
              <w:left w:val="nil"/>
              <w:bottom w:val="single" w:sz="4" w:space="0" w:color="auto"/>
              <w:right w:val="single" w:sz="4" w:space="0" w:color="auto"/>
            </w:tcBorders>
            <w:shd w:val="clear" w:color="auto" w:fill="auto"/>
            <w:vAlign w:val="center"/>
            <w:hideMark/>
          </w:tcPr>
          <w:p w14:paraId="0BC2EB9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4,525,758</w:t>
            </w:r>
          </w:p>
        </w:tc>
        <w:tc>
          <w:tcPr>
            <w:tcW w:w="163" w:type="pct"/>
            <w:tcBorders>
              <w:top w:val="nil"/>
              <w:left w:val="nil"/>
              <w:bottom w:val="single" w:sz="4" w:space="0" w:color="auto"/>
              <w:right w:val="single" w:sz="4" w:space="0" w:color="auto"/>
            </w:tcBorders>
            <w:shd w:val="clear" w:color="auto" w:fill="auto"/>
            <w:vAlign w:val="center"/>
            <w:hideMark/>
          </w:tcPr>
          <w:p w14:paraId="4FD5F23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5DBA6F2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4,525,758</w:t>
            </w:r>
          </w:p>
        </w:tc>
        <w:tc>
          <w:tcPr>
            <w:tcW w:w="163" w:type="pct"/>
            <w:tcBorders>
              <w:top w:val="nil"/>
              <w:left w:val="nil"/>
              <w:bottom w:val="single" w:sz="4" w:space="0" w:color="auto"/>
              <w:right w:val="single" w:sz="4" w:space="0" w:color="auto"/>
            </w:tcBorders>
            <w:shd w:val="clear" w:color="auto" w:fill="auto"/>
            <w:vAlign w:val="center"/>
            <w:hideMark/>
          </w:tcPr>
          <w:p w14:paraId="54468A4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4,525,758</w:t>
            </w:r>
          </w:p>
        </w:tc>
        <w:tc>
          <w:tcPr>
            <w:tcW w:w="155" w:type="pct"/>
            <w:tcBorders>
              <w:top w:val="nil"/>
              <w:left w:val="nil"/>
              <w:bottom w:val="single" w:sz="4" w:space="0" w:color="auto"/>
              <w:right w:val="single" w:sz="4" w:space="0" w:color="auto"/>
            </w:tcBorders>
            <w:shd w:val="clear" w:color="auto" w:fill="auto"/>
            <w:vAlign w:val="center"/>
            <w:hideMark/>
          </w:tcPr>
          <w:p w14:paraId="3133833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03E6C8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4,525,758</w:t>
            </w:r>
          </w:p>
        </w:tc>
        <w:tc>
          <w:tcPr>
            <w:tcW w:w="162" w:type="pct"/>
            <w:tcBorders>
              <w:top w:val="nil"/>
              <w:left w:val="nil"/>
              <w:bottom w:val="single" w:sz="4" w:space="0" w:color="auto"/>
              <w:right w:val="single" w:sz="4" w:space="0" w:color="auto"/>
            </w:tcBorders>
            <w:shd w:val="clear" w:color="auto" w:fill="auto"/>
            <w:vAlign w:val="center"/>
            <w:hideMark/>
          </w:tcPr>
          <w:p w14:paraId="15D6B88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69712CE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35D4F71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4618A87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3B02C48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743A41D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79FCA3E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6C29BE98" w14:textId="1705EE9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138358B1"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center"/>
            <w:hideMark/>
          </w:tcPr>
          <w:p w14:paraId="45708877"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3.1.1.2</w:t>
            </w:r>
          </w:p>
        </w:tc>
        <w:tc>
          <w:tcPr>
            <w:tcW w:w="281" w:type="pct"/>
            <w:tcBorders>
              <w:top w:val="nil"/>
              <w:left w:val="nil"/>
              <w:bottom w:val="single" w:sz="4" w:space="0" w:color="auto"/>
              <w:right w:val="single" w:sz="4" w:space="0" w:color="auto"/>
            </w:tcBorders>
            <w:shd w:val="clear" w:color="auto" w:fill="auto"/>
            <w:vAlign w:val="center"/>
            <w:hideMark/>
          </w:tcPr>
          <w:p w14:paraId="09301ECA" w14:textId="51F69324"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3.1.1.2 Organizimi i fushatave të informimit për zbatimin e normave mosdiskriminuese dhe për procedurat e ankimimit</w:t>
            </w:r>
          </w:p>
        </w:tc>
        <w:tc>
          <w:tcPr>
            <w:tcW w:w="186" w:type="pct"/>
            <w:tcBorders>
              <w:top w:val="nil"/>
              <w:left w:val="nil"/>
              <w:bottom w:val="single" w:sz="4" w:space="0" w:color="auto"/>
              <w:right w:val="nil"/>
            </w:tcBorders>
            <w:shd w:val="clear" w:color="auto" w:fill="auto"/>
            <w:vAlign w:val="center"/>
            <w:hideMark/>
          </w:tcPr>
          <w:p w14:paraId="1619F1E5"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(91)</w:t>
            </w:r>
          </w:p>
        </w:tc>
        <w:tc>
          <w:tcPr>
            <w:tcW w:w="169" w:type="pct"/>
            <w:tcBorders>
              <w:top w:val="nil"/>
              <w:left w:val="single" w:sz="4" w:space="0" w:color="auto"/>
              <w:bottom w:val="single" w:sz="4" w:space="0" w:color="auto"/>
              <w:right w:val="single" w:sz="4" w:space="0" w:color="auto"/>
            </w:tcBorders>
            <w:shd w:val="clear" w:color="auto" w:fill="auto"/>
            <w:vAlign w:val="center"/>
            <w:hideMark/>
          </w:tcPr>
          <w:p w14:paraId="7C618EB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KMD</w:t>
            </w:r>
          </w:p>
        </w:tc>
        <w:tc>
          <w:tcPr>
            <w:tcW w:w="244" w:type="pct"/>
            <w:tcBorders>
              <w:top w:val="nil"/>
              <w:left w:val="nil"/>
              <w:bottom w:val="single" w:sz="4" w:space="0" w:color="auto"/>
              <w:right w:val="single" w:sz="4" w:space="0" w:color="auto"/>
            </w:tcBorders>
            <w:shd w:val="clear" w:color="auto" w:fill="auto"/>
            <w:vAlign w:val="center"/>
            <w:hideMark/>
          </w:tcPr>
          <w:p w14:paraId="45AE03D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MB, DKM, UNHCR, IOM, QPA Avokati i Popullit </w:t>
            </w:r>
          </w:p>
        </w:tc>
        <w:tc>
          <w:tcPr>
            <w:tcW w:w="135" w:type="pct"/>
            <w:tcBorders>
              <w:top w:val="nil"/>
              <w:left w:val="nil"/>
              <w:bottom w:val="single" w:sz="4" w:space="0" w:color="auto"/>
              <w:right w:val="single" w:sz="4" w:space="0" w:color="auto"/>
            </w:tcBorders>
            <w:shd w:val="clear" w:color="000000" w:fill="DDEBF7"/>
            <w:vAlign w:val="center"/>
            <w:hideMark/>
          </w:tcPr>
          <w:p w14:paraId="3FD6097A"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 2024 </w:t>
            </w:r>
          </w:p>
        </w:tc>
        <w:tc>
          <w:tcPr>
            <w:tcW w:w="152" w:type="pct"/>
            <w:tcBorders>
              <w:top w:val="nil"/>
              <w:left w:val="nil"/>
              <w:bottom w:val="single" w:sz="4" w:space="0" w:color="auto"/>
              <w:right w:val="single" w:sz="4" w:space="0" w:color="auto"/>
            </w:tcBorders>
            <w:shd w:val="clear" w:color="000000" w:fill="DDEBF7"/>
            <w:vAlign w:val="center"/>
            <w:hideMark/>
          </w:tcPr>
          <w:p w14:paraId="113653E8"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2026</w:t>
            </w:r>
          </w:p>
        </w:tc>
        <w:tc>
          <w:tcPr>
            <w:tcW w:w="163" w:type="pct"/>
            <w:tcBorders>
              <w:top w:val="nil"/>
              <w:left w:val="nil"/>
              <w:bottom w:val="single" w:sz="4" w:space="0" w:color="auto"/>
              <w:right w:val="single" w:sz="4" w:space="0" w:color="auto"/>
            </w:tcBorders>
            <w:shd w:val="clear" w:color="auto" w:fill="auto"/>
            <w:vAlign w:val="center"/>
            <w:hideMark/>
          </w:tcPr>
          <w:p w14:paraId="6C3DA2C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1,003,200</w:t>
            </w:r>
          </w:p>
        </w:tc>
        <w:tc>
          <w:tcPr>
            <w:tcW w:w="155" w:type="pct"/>
            <w:tcBorders>
              <w:top w:val="nil"/>
              <w:left w:val="nil"/>
              <w:bottom w:val="single" w:sz="4" w:space="0" w:color="auto"/>
              <w:right w:val="single" w:sz="4" w:space="0" w:color="auto"/>
            </w:tcBorders>
            <w:shd w:val="clear" w:color="auto" w:fill="auto"/>
            <w:vAlign w:val="center"/>
            <w:hideMark/>
          </w:tcPr>
          <w:p w14:paraId="139B832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5003C34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1,003,200</w:t>
            </w:r>
          </w:p>
        </w:tc>
        <w:tc>
          <w:tcPr>
            <w:tcW w:w="165" w:type="pct"/>
            <w:tcBorders>
              <w:top w:val="nil"/>
              <w:left w:val="nil"/>
              <w:bottom w:val="single" w:sz="4" w:space="0" w:color="auto"/>
              <w:right w:val="single" w:sz="4" w:space="0" w:color="auto"/>
            </w:tcBorders>
            <w:shd w:val="clear" w:color="auto" w:fill="auto"/>
            <w:vAlign w:val="center"/>
            <w:hideMark/>
          </w:tcPr>
          <w:p w14:paraId="3B67D05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1,003,200</w:t>
            </w:r>
          </w:p>
        </w:tc>
        <w:tc>
          <w:tcPr>
            <w:tcW w:w="163" w:type="pct"/>
            <w:tcBorders>
              <w:top w:val="nil"/>
              <w:left w:val="nil"/>
              <w:bottom w:val="single" w:sz="4" w:space="0" w:color="auto"/>
              <w:right w:val="single" w:sz="4" w:space="0" w:color="auto"/>
            </w:tcBorders>
            <w:shd w:val="clear" w:color="auto" w:fill="auto"/>
            <w:vAlign w:val="center"/>
            <w:hideMark/>
          </w:tcPr>
          <w:p w14:paraId="18B0670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426C838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1,003,200</w:t>
            </w:r>
          </w:p>
        </w:tc>
        <w:tc>
          <w:tcPr>
            <w:tcW w:w="163" w:type="pct"/>
            <w:tcBorders>
              <w:top w:val="nil"/>
              <w:left w:val="nil"/>
              <w:bottom w:val="single" w:sz="4" w:space="0" w:color="auto"/>
              <w:right w:val="single" w:sz="4" w:space="0" w:color="auto"/>
            </w:tcBorders>
            <w:shd w:val="clear" w:color="auto" w:fill="auto"/>
            <w:vAlign w:val="center"/>
            <w:hideMark/>
          </w:tcPr>
          <w:p w14:paraId="57FFB18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1,003,200</w:t>
            </w:r>
          </w:p>
        </w:tc>
        <w:tc>
          <w:tcPr>
            <w:tcW w:w="148" w:type="pct"/>
            <w:tcBorders>
              <w:top w:val="nil"/>
              <w:left w:val="nil"/>
              <w:bottom w:val="single" w:sz="4" w:space="0" w:color="auto"/>
              <w:right w:val="single" w:sz="4" w:space="0" w:color="auto"/>
            </w:tcBorders>
            <w:shd w:val="clear" w:color="auto" w:fill="auto"/>
            <w:vAlign w:val="center"/>
            <w:hideMark/>
          </w:tcPr>
          <w:p w14:paraId="074A8B2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51C9C58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1,003,200</w:t>
            </w:r>
          </w:p>
        </w:tc>
        <w:tc>
          <w:tcPr>
            <w:tcW w:w="165" w:type="pct"/>
            <w:tcBorders>
              <w:top w:val="nil"/>
              <w:left w:val="nil"/>
              <w:bottom w:val="single" w:sz="4" w:space="0" w:color="auto"/>
              <w:right w:val="single" w:sz="4" w:space="0" w:color="auto"/>
            </w:tcBorders>
            <w:shd w:val="clear" w:color="auto" w:fill="auto"/>
            <w:vAlign w:val="center"/>
            <w:hideMark/>
          </w:tcPr>
          <w:p w14:paraId="44AB2B1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3,009,600</w:t>
            </w:r>
          </w:p>
        </w:tc>
        <w:tc>
          <w:tcPr>
            <w:tcW w:w="163" w:type="pct"/>
            <w:tcBorders>
              <w:top w:val="nil"/>
              <w:left w:val="nil"/>
              <w:bottom w:val="single" w:sz="4" w:space="0" w:color="auto"/>
              <w:right w:val="single" w:sz="4" w:space="0" w:color="auto"/>
            </w:tcBorders>
            <w:shd w:val="clear" w:color="auto" w:fill="auto"/>
            <w:vAlign w:val="center"/>
            <w:hideMark/>
          </w:tcPr>
          <w:p w14:paraId="75A054B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22DFB28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3,009,600</w:t>
            </w:r>
          </w:p>
        </w:tc>
        <w:tc>
          <w:tcPr>
            <w:tcW w:w="163" w:type="pct"/>
            <w:tcBorders>
              <w:top w:val="nil"/>
              <w:left w:val="nil"/>
              <w:bottom w:val="single" w:sz="4" w:space="0" w:color="auto"/>
              <w:right w:val="single" w:sz="4" w:space="0" w:color="auto"/>
            </w:tcBorders>
            <w:shd w:val="clear" w:color="auto" w:fill="auto"/>
            <w:vAlign w:val="center"/>
            <w:hideMark/>
          </w:tcPr>
          <w:p w14:paraId="7AD08CD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2DB78C2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7588F78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228BFE4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3,009,600</w:t>
            </w:r>
          </w:p>
        </w:tc>
        <w:tc>
          <w:tcPr>
            <w:tcW w:w="155" w:type="pct"/>
            <w:tcBorders>
              <w:top w:val="nil"/>
              <w:left w:val="nil"/>
              <w:bottom w:val="single" w:sz="4" w:space="0" w:color="auto"/>
              <w:right w:val="single" w:sz="4" w:space="0" w:color="auto"/>
            </w:tcBorders>
            <w:shd w:val="clear" w:color="auto" w:fill="auto"/>
            <w:vAlign w:val="center"/>
            <w:hideMark/>
          </w:tcPr>
          <w:p w14:paraId="6FA7ECA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182E6EE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UNHCR</w:t>
            </w:r>
          </w:p>
        </w:tc>
        <w:tc>
          <w:tcPr>
            <w:tcW w:w="163" w:type="pct"/>
            <w:tcBorders>
              <w:top w:val="nil"/>
              <w:left w:val="nil"/>
              <w:bottom w:val="single" w:sz="4" w:space="0" w:color="auto"/>
              <w:right w:val="single" w:sz="4" w:space="0" w:color="auto"/>
            </w:tcBorders>
            <w:shd w:val="clear" w:color="000000" w:fill="FFF2CC"/>
            <w:vAlign w:val="center"/>
            <w:hideMark/>
          </w:tcPr>
          <w:p w14:paraId="486067C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3,009,600</w:t>
            </w:r>
          </w:p>
        </w:tc>
        <w:tc>
          <w:tcPr>
            <w:tcW w:w="139" w:type="pct"/>
            <w:tcBorders>
              <w:top w:val="nil"/>
              <w:left w:val="nil"/>
              <w:bottom w:val="single" w:sz="4" w:space="0" w:color="auto"/>
              <w:right w:val="single" w:sz="4" w:space="0" w:color="auto"/>
            </w:tcBorders>
            <w:shd w:val="clear" w:color="auto" w:fill="auto"/>
            <w:vAlign w:val="center"/>
            <w:hideMark/>
          </w:tcPr>
          <w:p w14:paraId="357B414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5483E26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6292AB8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2FCAD613" w14:textId="599EE142"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7F562D68"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center"/>
            <w:hideMark/>
          </w:tcPr>
          <w:p w14:paraId="30EE4436"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3.1.1.3</w:t>
            </w:r>
          </w:p>
        </w:tc>
        <w:tc>
          <w:tcPr>
            <w:tcW w:w="281" w:type="pct"/>
            <w:tcBorders>
              <w:top w:val="nil"/>
              <w:left w:val="nil"/>
              <w:bottom w:val="single" w:sz="4" w:space="0" w:color="auto"/>
              <w:right w:val="single" w:sz="4" w:space="0" w:color="auto"/>
            </w:tcBorders>
            <w:shd w:val="clear" w:color="auto" w:fill="auto"/>
            <w:vAlign w:val="center"/>
            <w:hideMark/>
          </w:tcPr>
          <w:p w14:paraId="3FBB9127" w14:textId="7B77A5EA"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 xml:space="preserve">3.1.1.3 Analizë e zbatimit të parimit të mosdiskriminimit (legjislacioni dhe praktika) për punësimin e shtetasve </w:t>
            </w:r>
            <w:r w:rsidR="00164C66" w:rsidRPr="00B457F5">
              <w:rPr>
                <w:rFonts w:ascii="Garamond" w:eastAsia="Times New Roman" w:hAnsi="Garamond" w:cs="Times New Roman"/>
                <w:color w:val="000000"/>
                <w:sz w:val="4"/>
                <w:szCs w:val="10"/>
              </w:rPr>
              <w:t>të</w:t>
            </w:r>
            <w:r w:rsidRPr="00B457F5">
              <w:rPr>
                <w:rFonts w:ascii="Garamond" w:eastAsia="Times New Roman" w:hAnsi="Garamond" w:cs="Times New Roman"/>
                <w:sz w:val="4"/>
                <w:szCs w:val="10"/>
              </w:rPr>
              <w:t xml:space="preserve"> BE</w:t>
            </w:r>
            <w:r w:rsidR="00164C66" w:rsidRPr="00B457F5">
              <w:rPr>
                <w:rFonts w:ascii="Garamond" w:eastAsia="Times New Roman" w:hAnsi="Garamond" w:cs="Times New Roman"/>
                <w:color w:val="000000"/>
                <w:sz w:val="4"/>
                <w:szCs w:val="10"/>
              </w:rPr>
              <w:t>-së</w:t>
            </w:r>
            <w:r w:rsidRPr="00B457F5">
              <w:rPr>
                <w:rFonts w:ascii="Garamond" w:eastAsia="Times New Roman" w:hAnsi="Garamond" w:cs="Times New Roman"/>
                <w:sz w:val="4"/>
                <w:szCs w:val="10"/>
              </w:rPr>
              <w:t xml:space="preserve"> dhe anëtarëve të familjeve të tyre në sektorë të ndryshëm pune</w:t>
            </w:r>
          </w:p>
        </w:tc>
        <w:tc>
          <w:tcPr>
            <w:tcW w:w="186" w:type="pct"/>
            <w:tcBorders>
              <w:top w:val="nil"/>
              <w:left w:val="nil"/>
              <w:bottom w:val="single" w:sz="4" w:space="0" w:color="auto"/>
              <w:right w:val="nil"/>
            </w:tcBorders>
            <w:shd w:val="clear" w:color="auto" w:fill="auto"/>
            <w:vAlign w:val="center"/>
            <w:hideMark/>
          </w:tcPr>
          <w:p w14:paraId="19BC4E3A"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(91)</w:t>
            </w:r>
          </w:p>
        </w:tc>
        <w:tc>
          <w:tcPr>
            <w:tcW w:w="169" w:type="pct"/>
            <w:tcBorders>
              <w:top w:val="nil"/>
              <w:left w:val="single" w:sz="4" w:space="0" w:color="auto"/>
              <w:bottom w:val="single" w:sz="4" w:space="0" w:color="auto"/>
              <w:right w:val="single" w:sz="4" w:space="0" w:color="auto"/>
            </w:tcBorders>
            <w:shd w:val="clear" w:color="auto" w:fill="auto"/>
            <w:vAlign w:val="center"/>
            <w:hideMark/>
          </w:tcPr>
          <w:p w14:paraId="6811BE5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KMD</w:t>
            </w:r>
          </w:p>
        </w:tc>
        <w:tc>
          <w:tcPr>
            <w:tcW w:w="244" w:type="pct"/>
            <w:tcBorders>
              <w:top w:val="nil"/>
              <w:left w:val="nil"/>
              <w:bottom w:val="single" w:sz="4" w:space="0" w:color="auto"/>
              <w:right w:val="single" w:sz="4" w:space="0" w:color="auto"/>
            </w:tcBorders>
            <w:shd w:val="clear" w:color="auto" w:fill="auto"/>
            <w:vAlign w:val="center"/>
            <w:hideMark/>
          </w:tcPr>
          <w:p w14:paraId="0BC0F7F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MEKI, AKPA</w:t>
            </w:r>
          </w:p>
        </w:tc>
        <w:tc>
          <w:tcPr>
            <w:tcW w:w="135" w:type="pct"/>
            <w:tcBorders>
              <w:top w:val="nil"/>
              <w:left w:val="nil"/>
              <w:bottom w:val="single" w:sz="4" w:space="0" w:color="auto"/>
              <w:right w:val="single" w:sz="4" w:space="0" w:color="auto"/>
            </w:tcBorders>
            <w:shd w:val="clear" w:color="000000" w:fill="DDEBF7"/>
            <w:vAlign w:val="center"/>
            <w:hideMark/>
          </w:tcPr>
          <w:p w14:paraId="04F47939"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31DB3AA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4266D6D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1,505,151</w:t>
            </w:r>
          </w:p>
        </w:tc>
        <w:tc>
          <w:tcPr>
            <w:tcW w:w="155" w:type="pct"/>
            <w:tcBorders>
              <w:top w:val="nil"/>
              <w:left w:val="nil"/>
              <w:bottom w:val="single" w:sz="4" w:space="0" w:color="auto"/>
              <w:right w:val="single" w:sz="4" w:space="0" w:color="auto"/>
            </w:tcBorders>
            <w:shd w:val="clear" w:color="auto" w:fill="auto"/>
            <w:vAlign w:val="center"/>
            <w:hideMark/>
          </w:tcPr>
          <w:p w14:paraId="7E4BCCD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3CFE47C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1,505,151</w:t>
            </w:r>
          </w:p>
        </w:tc>
        <w:tc>
          <w:tcPr>
            <w:tcW w:w="165" w:type="pct"/>
            <w:tcBorders>
              <w:top w:val="nil"/>
              <w:left w:val="nil"/>
              <w:bottom w:val="single" w:sz="4" w:space="0" w:color="auto"/>
              <w:right w:val="single" w:sz="4" w:space="0" w:color="auto"/>
            </w:tcBorders>
            <w:shd w:val="clear" w:color="auto" w:fill="auto"/>
            <w:vAlign w:val="center"/>
            <w:hideMark/>
          </w:tcPr>
          <w:p w14:paraId="021521F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1,505,151</w:t>
            </w:r>
          </w:p>
        </w:tc>
        <w:tc>
          <w:tcPr>
            <w:tcW w:w="163" w:type="pct"/>
            <w:tcBorders>
              <w:top w:val="nil"/>
              <w:left w:val="nil"/>
              <w:bottom w:val="single" w:sz="4" w:space="0" w:color="auto"/>
              <w:right w:val="single" w:sz="4" w:space="0" w:color="auto"/>
            </w:tcBorders>
            <w:shd w:val="clear" w:color="auto" w:fill="auto"/>
            <w:vAlign w:val="center"/>
            <w:hideMark/>
          </w:tcPr>
          <w:p w14:paraId="7FC4FE2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4357474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1,505,151</w:t>
            </w:r>
          </w:p>
        </w:tc>
        <w:tc>
          <w:tcPr>
            <w:tcW w:w="163" w:type="pct"/>
            <w:tcBorders>
              <w:top w:val="nil"/>
              <w:left w:val="nil"/>
              <w:bottom w:val="single" w:sz="4" w:space="0" w:color="auto"/>
              <w:right w:val="single" w:sz="4" w:space="0" w:color="auto"/>
            </w:tcBorders>
            <w:shd w:val="clear" w:color="auto" w:fill="auto"/>
            <w:vAlign w:val="center"/>
            <w:hideMark/>
          </w:tcPr>
          <w:p w14:paraId="0656849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1,505,151</w:t>
            </w:r>
          </w:p>
        </w:tc>
        <w:tc>
          <w:tcPr>
            <w:tcW w:w="148" w:type="pct"/>
            <w:tcBorders>
              <w:top w:val="nil"/>
              <w:left w:val="nil"/>
              <w:bottom w:val="single" w:sz="4" w:space="0" w:color="auto"/>
              <w:right w:val="single" w:sz="4" w:space="0" w:color="auto"/>
            </w:tcBorders>
            <w:shd w:val="clear" w:color="auto" w:fill="auto"/>
            <w:vAlign w:val="center"/>
            <w:hideMark/>
          </w:tcPr>
          <w:p w14:paraId="4028D91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7A1C169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1,505,151</w:t>
            </w:r>
          </w:p>
        </w:tc>
        <w:tc>
          <w:tcPr>
            <w:tcW w:w="165" w:type="pct"/>
            <w:tcBorders>
              <w:top w:val="nil"/>
              <w:left w:val="nil"/>
              <w:bottom w:val="single" w:sz="4" w:space="0" w:color="auto"/>
              <w:right w:val="single" w:sz="4" w:space="0" w:color="auto"/>
            </w:tcBorders>
            <w:shd w:val="clear" w:color="auto" w:fill="auto"/>
            <w:vAlign w:val="center"/>
            <w:hideMark/>
          </w:tcPr>
          <w:p w14:paraId="229BD8F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4,515,453</w:t>
            </w:r>
          </w:p>
        </w:tc>
        <w:tc>
          <w:tcPr>
            <w:tcW w:w="163" w:type="pct"/>
            <w:tcBorders>
              <w:top w:val="nil"/>
              <w:left w:val="nil"/>
              <w:bottom w:val="single" w:sz="4" w:space="0" w:color="auto"/>
              <w:right w:val="single" w:sz="4" w:space="0" w:color="auto"/>
            </w:tcBorders>
            <w:shd w:val="clear" w:color="auto" w:fill="auto"/>
            <w:vAlign w:val="center"/>
            <w:hideMark/>
          </w:tcPr>
          <w:p w14:paraId="4FDFD02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5841402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4,515,453</w:t>
            </w:r>
          </w:p>
        </w:tc>
        <w:tc>
          <w:tcPr>
            <w:tcW w:w="163" w:type="pct"/>
            <w:tcBorders>
              <w:top w:val="nil"/>
              <w:left w:val="nil"/>
              <w:bottom w:val="single" w:sz="4" w:space="0" w:color="auto"/>
              <w:right w:val="single" w:sz="4" w:space="0" w:color="auto"/>
            </w:tcBorders>
            <w:shd w:val="clear" w:color="auto" w:fill="auto"/>
            <w:vAlign w:val="center"/>
            <w:hideMark/>
          </w:tcPr>
          <w:p w14:paraId="5A463BA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2,715,453</w:t>
            </w:r>
          </w:p>
        </w:tc>
        <w:tc>
          <w:tcPr>
            <w:tcW w:w="155" w:type="pct"/>
            <w:tcBorders>
              <w:top w:val="nil"/>
              <w:left w:val="nil"/>
              <w:bottom w:val="single" w:sz="4" w:space="0" w:color="auto"/>
              <w:right w:val="single" w:sz="4" w:space="0" w:color="auto"/>
            </w:tcBorders>
            <w:shd w:val="clear" w:color="auto" w:fill="auto"/>
            <w:vAlign w:val="center"/>
            <w:hideMark/>
          </w:tcPr>
          <w:p w14:paraId="536A832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3837409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2,715,453</w:t>
            </w:r>
          </w:p>
        </w:tc>
        <w:tc>
          <w:tcPr>
            <w:tcW w:w="162" w:type="pct"/>
            <w:tcBorders>
              <w:top w:val="nil"/>
              <w:left w:val="nil"/>
              <w:bottom w:val="single" w:sz="4" w:space="0" w:color="auto"/>
              <w:right w:val="single" w:sz="4" w:space="0" w:color="auto"/>
            </w:tcBorders>
            <w:shd w:val="clear" w:color="auto" w:fill="auto"/>
            <w:vAlign w:val="center"/>
            <w:hideMark/>
          </w:tcPr>
          <w:p w14:paraId="3AB4F81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4B9F003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2DD7569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3921527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4E6686B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4E4BC7C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4C3B928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247032B6" w14:textId="0CAC32D5"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(1,800,000)</w:t>
            </w:r>
          </w:p>
        </w:tc>
      </w:tr>
      <w:tr w:rsidR="00C260C3" w:rsidRPr="00B457F5" w14:paraId="4F8B477F"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center"/>
            <w:hideMark/>
          </w:tcPr>
          <w:p w14:paraId="2818DEF3"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3.1.1.4</w:t>
            </w:r>
          </w:p>
        </w:tc>
        <w:tc>
          <w:tcPr>
            <w:tcW w:w="281" w:type="pct"/>
            <w:tcBorders>
              <w:top w:val="nil"/>
              <w:left w:val="nil"/>
              <w:bottom w:val="single" w:sz="4" w:space="0" w:color="auto"/>
              <w:right w:val="single" w:sz="4" w:space="0" w:color="auto"/>
            </w:tcBorders>
            <w:shd w:val="clear" w:color="auto" w:fill="auto"/>
            <w:vAlign w:val="center"/>
            <w:hideMark/>
          </w:tcPr>
          <w:p w14:paraId="5D2DE6F8" w14:textId="7D995188"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3.1.1.4 N</w:t>
            </w:r>
            <w:r w:rsidRPr="00B457F5">
              <w:rPr>
                <w:rFonts w:ascii="Garamond" w:eastAsia="Times New Roman" w:hAnsi="Garamond" w:cs="Calibri"/>
                <w:sz w:val="4"/>
                <w:szCs w:val="10"/>
              </w:rPr>
              <w:t>ë</w:t>
            </w:r>
            <w:r w:rsidRPr="00B457F5">
              <w:rPr>
                <w:rFonts w:ascii="Garamond" w:eastAsia="Times New Roman" w:hAnsi="Garamond" w:cs="Times New Roman"/>
                <w:sz w:val="4"/>
                <w:szCs w:val="10"/>
              </w:rPr>
              <w:t>nshkrimi i marrëveshjeve të bashkëpunimit me inst</w:t>
            </w:r>
            <w:r w:rsidR="00E92B0D" w:rsidRPr="00B457F5">
              <w:rPr>
                <w:rFonts w:ascii="Garamond" w:eastAsia="Times New Roman" w:hAnsi="Garamond" w:cs="Times New Roman"/>
                <w:sz w:val="4"/>
                <w:szCs w:val="10"/>
              </w:rPr>
              <w:t>it</w:t>
            </w:r>
            <w:r w:rsidRPr="00B457F5">
              <w:rPr>
                <w:rFonts w:ascii="Garamond" w:eastAsia="Times New Roman" w:hAnsi="Garamond" w:cs="Times New Roman"/>
                <w:sz w:val="4"/>
                <w:szCs w:val="10"/>
              </w:rPr>
              <w:t>ucionet relevante për shkëmbimin periodik të të dhënave</w:t>
            </w:r>
            <w:r w:rsidR="0006016F" w:rsidRPr="00B457F5">
              <w:rPr>
                <w:rFonts w:ascii="Garamond" w:eastAsia="Times New Roman" w:hAnsi="Garamond" w:cs="Times New Roman"/>
                <w:sz w:val="4"/>
                <w:szCs w:val="10"/>
              </w:rPr>
              <w:t xml:space="preserve"> </w:t>
            </w:r>
            <w:r w:rsidRPr="00B457F5">
              <w:rPr>
                <w:rFonts w:ascii="Garamond" w:eastAsia="Times New Roman" w:hAnsi="Garamond" w:cs="Times New Roman"/>
                <w:sz w:val="4"/>
                <w:szCs w:val="10"/>
              </w:rPr>
              <w:t>për të huajt që janë vendosur/punësuar në RSH</w:t>
            </w:r>
          </w:p>
        </w:tc>
        <w:tc>
          <w:tcPr>
            <w:tcW w:w="186" w:type="pct"/>
            <w:tcBorders>
              <w:top w:val="nil"/>
              <w:left w:val="nil"/>
              <w:bottom w:val="single" w:sz="4" w:space="0" w:color="auto"/>
              <w:right w:val="nil"/>
            </w:tcBorders>
            <w:shd w:val="clear" w:color="auto" w:fill="auto"/>
            <w:vAlign w:val="center"/>
            <w:hideMark/>
          </w:tcPr>
          <w:p w14:paraId="4502980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(91)</w:t>
            </w:r>
          </w:p>
        </w:tc>
        <w:tc>
          <w:tcPr>
            <w:tcW w:w="169" w:type="pct"/>
            <w:tcBorders>
              <w:top w:val="nil"/>
              <w:left w:val="single" w:sz="4" w:space="0" w:color="auto"/>
              <w:bottom w:val="single" w:sz="4" w:space="0" w:color="auto"/>
              <w:right w:val="single" w:sz="4" w:space="0" w:color="auto"/>
            </w:tcBorders>
            <w:shd w:val="clear" w:color="auto" w:fill="auto"/>
            <w:vAlign w:val="center"/>
            <w:hideMark/>
          </w:tcPr>
          <w:p w14:paraId="0F8E250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KMD</w:t>
            </w:r>
          </w:p>
        </w:tc>
        <w:tc>
          <w:tcPr>
            <w:tcW w:w="244" w:type="pct"/>
            <w:tcBorders>
              <w:top w:val="nil"/>
              <w:left w:val="nil"/>
              <w:bottom w:val="single" w:sz="4" w:space="0" w:color="auto"/>
              <w:right w:val="single" w:sz="4" w:space="0" w:color="auto"/>
            </w:tcBorders>
            <w:shd w:val="clear" w:color="auto" w:fill="auto"/>
            <w:vAlign w:val="center"/>
            <w:hideMark/>
          </w:tcPr>
          <w:p w14:paraId="5B2F15A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MEKI, AKPA</w:t>
            </w:r>
          </w:p>
        </w:tc>
        <w:tc>
          <w:tcPr>
            <w:tcW w:w="135" w:type="pct"/>
            <w:tcBorders>
              <w:top w:val="nil"/>
              <w:left w:val="nil"/>
              <w:bottom w:val="single" w:sz="4" w:space="0" w:color="auto"/>
              <w:right w:val="single" w:sz="4" w:space="0" w:color="auto"/>
            </w:tcBorders>
            <w:shd w:val="clear" w:color="000000" w:fill="DDEBF7"/>
            <w:vAlign w:val="center"/>
            <w:hideMark/>
          </w:tcPr>
          <w:p w14:paraId="385F2DB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3668C0B5"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6BB5BEB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1,072,426</w:t>
            </w:r>
          </w:p>
        </w:tc>
        <w:tc>
          <w:tcPr>
            <w:tcW w:w="155" w:type="pct"/>
            <w:tcBorders>
              <w:top w:val="nil"/>
              <w:left w:val="nil"/>
              <w:bottom w:val="single" w:sz="4" w:space="0" w:color="auto"/>
              <w:right w:val="single" w:sz="4" w:space="0" w:color="auto"/>
            </w:tcBorders>
            <w:shd w:val="clear" w:color="auto" w:fill="auto"/>
            <w:vAlign w:val="center"/>
            <w:hideMark/>
          </w:tcPr>
          <w:p w14:paraId="3661451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4CA49DE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1,072,426</w:t>
            </w:r>
          </w:p>
        </w:tc>
        <w:tc>
          <w:tcPr>
            <w:tcW w:w="165" w:type="pct"/>
            <w:tcBorders>
              <w:top w:val="nil"/>
              <w:left w:val="nil"/>
              <w:bottom w:val="single" w:sz="4" w:space="0" w:color="auto"/>
              <w:right w:val="single" w:sz="4" w:space="0" w:color="auto"/>
            </w:tcBorders>
            <w:shd w:val="clear" w:color="auto" w:fill="auto"/>
            <w:vAlign w:val="center"/>
            <w:hideMark/>
          </w:tcPr>
          <w:p w14:paraId="624BA91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1,072,426</w:t>
            </w:r>
          </w:p>
        </w:tc>
        <w:tc>
          <w:tcPr>
            <w:tcW w:w="163" w:type="pct"/>
            <w:tcBorders>
              <w:top w:val="nil"/>
              <w:left w:val="nil"/>
              <w:bottom w:val="single" w:sz="4" w:space="0" w:color="auto"/>
              <w:right w:val="single" w:sz="4" w:space="0" w:color="auto"/>
            </w:tcBorders>
            <w:shd w:val="clear" w:color="auto" w:fill="auto"/>
            <w:vAlign w:val="center"/>
            <w:hideMark/>
          </w:tcPr>
          <w:p w14:paraId="0BA304A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07F6CCC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1,072,426</w:t>
            </w:r>
          </w:p>
        </w:tc>
        <w:tc>
          <w:tcPr>
            <w:tcW w:w="163" w:type="pct"/>
            <w:tcBorders>
              <w:top w:val="nil"/>
              <w:left w:val="nil"/>
              <w:bottom w:val="single" w:sz="4" w:space="0" w:color="auto"/>
              <w:right w:val="single" w:sz="4" w:space="0" w:color="auto"/>
            </w:tcBorders>
            <w:shd w:val="clear" w:color="auto" w:fill="auto"/>
            <w:vAlign w:val="center"/>
            <w:hideMark/>
          </w:tcPr>
          <w:p w14:paraId="221A615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1,072,426</w:t>
            </w:r>
          </w:p>
        </w:tc>
        <w:tc>
          <w:tcPr>
            <w:tcW w:w="148" w:type="pct"/>
            <w:tcBorders>
              <w:top w:val="nil"/>
              <w:left w:val="nil"/>
              <w:bottom w:val="single" w:sz="4" w:space="0" w:color="auto"/>
              <w:right w:val="single" w:sz="4" w:space="0" w:color="auto"/>
            </w:tcBorders>
            <w:shd w:val="clear" w:color="auto" w:fill="auto"/>
            <w:vAlign w:val="center"/>
            <w:hideMark/>
          </w:tcPr>
          <w:p w14:paraId="6914C37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5C9B479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1,072,426</w:t>
            </w:r>
          </w:p>
        </w:tc>
        <w:tc>
          <w:tcPr>
            <w:tcW w:w="165" w:type="pct"/>
            <w:tcBorders>
              <w:top w:val="nil"/>
              <w:left w:val="nil"/>
              <w:bottom w:val="single" w:sz="4" w:space="0" w:color="auto"/>
              <w:right w:val="single" w:sz="4" w:space="0" w:color="auto"/>
            </w:tcBorders>
            <w:shd w:val="clear" w:color="auto" w:fill="auto"/>
            <w:vAlign w:val="center"/>
            <w:hideMark/>
          </w:tcPr>
          <w:p w14:paraId="4C15DE1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3,217,278</w:t>
            </w:r>
          </w:p>
        </w:tc>
        <w:tc>
          <w:tcPr>
            <w:tcW w:w="163" w:type="pct"/>
            <w:tcBorders>
              <w:top w:val="nil"/>
              <w:left w:val="nil"/>
              <w:bottom w:val="single" w:sz="4" w:space="0" w:color="auto"/>
              <w:right w:val="single" w:sz="4" w:space="0" w:color="auto"/>
            </w:tcBorders>
            <w:shd w:val="clear" w:color="auto" w:fill="auto"/>
            <w:vAlign w:val="center"/>
            <w:hideMark/>
          </w:tcPr>
          <w:p w14:paraId="7DF5223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402DA0D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3,217,278</w:t>
            </w:r>
          </w:p>
        </w:tc>
        <w:tc>
          <w:tcPr>
            <w:tcW w:w="163" w:type="pct"/>
            <w:tcBorders>
              <w:top w:val="nil"/>
              <w:left w:val="nil"/>
              <w:bottom w:val="single" w:sz="4" w:space="0" w:color="auto"/>
              <w:right w:val="single" w:sz="4" w:space="0" w:color="auto"/>
            </w:tcBorders>
            <w:shd w:val="clear" w:color="auto" w:fill="auto"/>
            <w:vAlign w:val="center"/>
            <w:hideMark/>
          </w:tcPr>
          <w:p w14:paraId="31805FC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3,217,278</w:t>
            </w:r>
          </w:p>
        </w:tc>
        <w:tc>
          <w:tcPr>
            <w:tcW w:w="155" w:type="pct"/>
            <w:tcBorders>
              <w:top w:val="nil"/>
              <w:left w:val="nil"/>
              <w:bottom w:val="single" w:sz="4" w:space="0" w:color="auto"/>
              <w:right w:val="single" w:sz="4" w:space="0" w:color="auto"/>
            </w:tcBorders>
            <w:shd w:val="clear" w:color="auto" w:fill="auto"/>
            <w:vAlign w:val="center"/>
            <w:hideMark/>
          </w:tcPr>
          <w:p w14:paraId="24E8137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763E92F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3,217,278</w:t>
            </w:r>
          </w:p>
        </w:tc>
        <w:tc>
          <w:tcPr>
            <w:tcW w:w="162" w:type="pct"/>
            <w:tcBorders>
              <w:top w:val="nil"/>
              <w:left w:val="nil"/>
              <w:bottom w:val="single" w:sz="4" w:space="0" w:color="auto"/>
              <w:right w:val="single" w:sz="4" w:space="0" w:color="auto"/>
            </w:tcBorders>
            <w:shd w:val="clear" w:color="auto" w:fill="auto"/>
            <w:vAlign w:val="center"/>
            <w:hideMark/>
          </w:tcPr>
          <w:p w14:paraId="5999016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5DD8511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4EABDCC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3241E76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2557593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2305B9E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2DB93AC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361144DB" w14:textId="3F3488FA"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1DAC404A"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center"/>
            <w:hideMark/>
          </w:tcPr>
          <w:p w14:paraId="2D42A6FC"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3.1.1.5</w:t>
            </w:r>
          </w:p>
        </w:tc>
        <w:tc>
          <w:tcPr>
            <w:tcW w:w="281" w:type="pct"/>
            <w:tcBorders>
              <w:top w:val="nil"/>
              <w:left w:val="nil"/>
              <w:bottom w:val="single" w:sz="4" w:space="0" w:color="auto"/>
              <w:right w:val="single" w:sz="4" w:space="0" w:color="auto"/>
            </w:tcBorders>
            <w:shd w:val="clear" w:color="auto" w:fill="auto"/>
            <w:vAlign w:val="center"/>
            <w:hideMark/>
          </w:tcPr>
          <w:p w14:paraId="710CCED6" w14:textId="7DD9D0EE"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3.1.1.5 Ofrimi i informacionit në gjuhët zyrtare ndërkombëtare</w:t>
            </w:r>
            <w:r w:rsidR="006E177B"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si dhe gjuhën e shenjave për shërbimet e ofruara në NJVV</w:t>
            </w:r>
          </w:p>
        </w:tc>
        <w:tc>
          <w:tcPr>
            <w:tcW w:w="186" w:type="pct"/>
            <w:tcBorders>
              <w:top w:val="nil"/>
              <w:left w:val="nil"/>
              <w:bottom w:val="single" w:sz="4" w:space="0" w:color="auto"/>
              <w:right w:val="nil"/>
            </w:tcBorders>
            <w:shd w:val="clear" w:color="auto" w:fill="auto"/>
            <w:vAlign w:val="center"/>
            <w:hideMark/>
          </w:tcPr>
          <w:p w14:paraId="1367D7EA"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w:t>
            </w:r>
          </w:p>
        </w:tc>
        <w:tc>
          <w:tcPr>
            <w:tcW w:w="169" w:type="pct"/>
            <w:tcBorders>
              <w:top w:val="nil"/>
              <w:left w:val="single" w:sz="4" w:space="0" w:color="auto"/>
              <w:bottom w:val="single" w:sz="4" w:space="0" w:color="auto"/>
              <w:right w:val="single" w:sz="4" w:space="0" w:color="auto"/>
            </w:tcBorders>
            <w:shd w:val="clear" w:color="auto" w:fill="auto"/>
            <w:vAlign w:val="center"/>
            <w:hideMark/>
          </w:tcPr>
          <w:p w14:paraId="11D2DC5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NJVV</w:t>
            </w:r>
          </w:p>
        </w:tc>
        <w:tc>
          <w:tcPr>
            <w:tcW w:w="244" w:type="pct"/>
            <w:tcBorders>
              <w:top w:val="nil"/>
              <w:left w:val="nil"/>
              <w:bottom w:val="nil"/>
              <w:right w:val="nil"/>
            </w:tcBorders>
            <w:shd w:val="clear" w:color="auto" w:fill="auto"/>
            <w:vAlign w:val="center"/>
            <w:hideMark/>
          </w:tcPr>
          <w:p w14:paraId="615BAF2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MSHMS, MD, MEPJ AKPA, DKM, ZVMD, UNHCR, IOM</w:t>
            </w:r>
          </w:p>
        </w:tc>
        <w:tc>
          <w:tcPr>
            <w:tcW w:w="135" w:type="pct"/>
            <w:tcBorders>
              <w:top w:val="nil"/>
              <w:left w:val="single" w:sz="4" w:space="0" w:color="auto"/>
              <w:bottom w:val="single" w:sz="4" w:space="0" w:color="auto"/>
              <w:right w:val="single" w:sz="4" w:space="0" w:color="auto"/>
            </w:tcBorders>
            <w:shd w:val="clear" w:color="000000" w:fill="DDEBF7"/>
            <w:vAlign w:val="center"/>
            <w:hideMark/>
          </w:tcPr>
          <w:p w14:paraId="155B31D4"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6693508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2025</w:t>
            </w:r>
          </w:p>
        </w:tc>
        <w:tc>
          <w:tcPr>
            <w:tcW w:w="163" w:type="pct"/>
            <w:tcBorders>
              <w:top w:val="nil"/>
              <w:left w:val="nil"/>
              <w:bottom w:val="single" w:sz="4" w:space="0" w:color="auto"/>
              <w:right w:val="single" w:sz="4" w:space="0" w:color="auto"/>
            </w:tcBorders>
            <w:shd w:val="clear" w:color="auto" w:fill="auto"/>
            <w:vAlign w:val="center"/>
            <w:hideMark/>
          </w:tcPr>
          <w:p w14:paraId="3C84516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14,640,000</w:t>
            </w:r>
          </w:p>
        </w:tc>
        <w:tc>
          <w:tcPr>
            <w:tcW w:w="155" w:type="pct"/>
            <w:tcBorders>
              <w:top w:val="nil"/>
              <w:left w:val="nil"/>
              <w:bottom w:val="single" w:sz="4" w:space="0" w:color="auto"/>
              <w:right w:val="single" w:sz="4" w:space="0" w:color="auto"/>
            </w:tcBorders>
            <w:shd w:val="clear" w:color="auto" w:fill="auto"/>
            <w:vAlign w:val="center"/>
            <w:hideMark/>
          </w:tcPr>
          <w:p w14:paraId="3B34F0B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790414D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14,640,000</w:t>
            </w:r>
          </w:p>
        </w:tc>
        <w:tc>
          <w:tcPr>
            <w:tcW w:w="165" w:type="pct"/>
            <w:tcBorders>
              <w:top w:val="nil"/>
              <w:left w:val="nil"/>
              <w:bottom w:val="single" w:sz="4" w:space="0" w:color="auto"/>
              <w:right w:val="single" w:sz="4" w:space="0" w:color="auto"/>
            </w:tcBorders>
            <w:shd w:val="clear" w:color="auto" w:fill="auto"/>
            <w:vAlign w:val="center"/>
            <w:hideMark/>
          </w:tcPr>
          <w:p w14:paraId="2CA167C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14,640,000</w:t>
            </w:r>
          </w:p>
        </w:tc>
        <w:tc>
          <w:tcPr>
            <w:tcW w:w="163" w:type="pct"/>
            <w:tcBorders>
              <w:top w:val="nil"/>
              <w:left w:val="nil"/>
              <w:bottom w:val="single" w:sz="4" w:space="0" w:color="auto"/>
              <w:right w:val="single" w:sz="4" w:space="0" w:color="auto"/>
            </w:tcBorders>
            <w:shd w:val="clear" w:color="auto" w:fill="auto"/>
            <w:vAlign w:val="center"/>
            <w:hideMark/>
          </w:tcPr>
          <w:p w14:paraId="47183E0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0811480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14,640,000</w:t>
            </w:r>
          </w:p>
        </w:tc>
        <w:tc>
          <w:tcPr>
            <w:tcW w:w="163" w:type="pct"/>
            <w:tcBorders>
              <w:top w:val="nil"/>
              <w:left w:val="nil"/>
              <w:bottom w:val="single" w:sz="4" w:space="0" w:color="auto"/>
              <w:right w:val="single" w:sz="4" w:space="0" w:color="auto"/>
            </w:tcBorders>
            <w:shd w:val="clear" w:color="auto" w:fill="auto"/>
            <w:vAlign w:val="center"/>
            <w:hideMark/>
          </w:tcPr>
          <w:p w14:paraId="1A03E23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8" w:type="pct"/>
            <w:tcBorders>
              <w:top w:val="nil"/>
              <w:left w:val="nil"/>
              <w:bottom w:val="single" w:sz="4" w:space="0" w:color="auto"/>
              <w:right w:val="single" w:sz="4" w:space="0" w:color="auto"/>
            </w:tcBorders>
            <w:shd w:val="clear" w:color="auto" w:fill="auto"/>
            <w:vAlign w:val="center"/>
            <w:hideMark/>
          </w:tcPr>
          <w:p w14:paraId="220A5D5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02AC2BD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auto" w:fill="auto"/>
            <w:vAlign w:val="center"/>
            <w:hideMark/>
          </w:tcPr>
          <w:p w14:paraId="221A073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29,280,000</w:t>
            </w:r>
          </w:p>
        </w:tc>
        <w:tc>
          <w:tcPr>
            <w:tcW w:w="163" w:type="pct"/>
            <w:tcBorders>
              <w:top w:val="nil"/>
              <w:left w:val="nil"/>
              <w:bottom w:val="single" w:sz="4" w:space="0" w:color="auto"/>
              <w:right w:val="single" w:sz="4" w:space="0" w:color="auto"/>
            </w:tcBorders>
            <w:shd w:val="clear" w:color="auto" w:fill="auto"/>
            <w:vAlign w:val="center"/>
            <w:hideMark/>
          </w:tcPr>
          <w:p w14:paraId="5B944A8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62FB598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29,280,000</w:t>
            </w:r>
          </w:p>
        </w:tc>
        <w:tc>
          <w:tcPr>
            <w:tcW w:w="163" w:type="pct"/>
            <w:tcBorders>
              <w:top w:val="nil"/>
              <w:left w:val="nil"/>
              <w:bottom w:val="single" w:sz="4" w:space="0" w:color="auto"/>
              <w:right w:val="single" w:sz="4" w:space="0" w:color="auto"/>
            </w:tcBorders>
            <w:shd w:val="clear" w:color="auto" w:fill="auto"/>
            <w:vAlign w:val="center"/>
            <w:hideMark/>
          </w:tcPr>
          <w:p w14:paraId="5FA69D5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15EF9BE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43DB43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6E37185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29,280,000</w:t>
            </w:r>
          </w:p>
        </w:tc>
        <w:tc>
          <w:tcPr>
            <w:tcW w:w="155" w:type="pct"/>
            <w:tcBorders>
              <w:top w:val="nil"/>
              <w:left w:val="nil"/>
              <w:bottom w:val="single" w:sz="4" w:space="0" w:color="auto"/>
              <w:right w:val="single" w:sz="4" w:space="0" w:color="auto"/>
            </w:tcBorders>
            <w:shd w:val="clear" w:color="auto" w:fill="auto"/>
            <w:vAlign w:val="center"/>
            <w:hideMark/>
          </w:tcPr>
          <w:p w14:paraId="52ACA4B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4437801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UNHCR</w:t>
            </w:r>
          </w:p>
        </w:tc>
        <w:tc>
          <w:tcPr>
            <w:tcW w:w="163" w:type="pct"/>
            <w:tcBorders>
              <w:top w:val="nil"/>
              <w:left w:val="nil"/>
              <w:bottom w:val="single" w:sz="4" w:space="0" w:color="auto"/>
              <w:right w:val="single" w:sz="4" w:space="0" w:color="auto"/>
            </w:tcBorders>
            <w:shd w:val="clear" w:color="000000" w:fill="FFF2CC"/>
            <w:vAlign w:val="center"/>
            <w:hideMark/>
          </w:tcPr>
          <w:p w14:paraId="203A692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29,280,000</w:t>
            </w:r>
          </w:p>
        </w:tc>
        <w:tc>
          <w:tcPr>
            <w:tcW w:w="139" w:type="pct"/>
            <w:tcBorders>
              <w:top w:val="nil"/>
              <w:left w:val="nil"/>
              <w:bottom w:val="single" w:sz="4" w:space="0" w:color="auto"/>
              <w:right w:val="single" w:sz="4" w:space="0" w:color="auto"/>
            </w:tcBorders>
            <w:shd w:val="clear" w:color="auto" w:fill="auto"/>
            <w:vAlign w:val="center"/>
            <w:hideMark/>
          </w:tcPr>
          <w:p w14:paraId="7BE17CE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14815B1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418FA15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3E2E9F91" w14:textId="5D77BD2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7E17038F"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center"/>
            <w:hideMark/>
          </w:tcPr>
          <w:p w14:paraId="742B1CB7"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3.1.1.6</w:t>
            </w:r>
          </w:p>
        </w:tc>
        <w:tc>
          <w:tcPr>
            <w:tcW w:w="281" w:type="pct"/>
            <w:tcBorders>
              <w:top w:val="nil"/>
              <w:left w:val="nil"/>
              <w:bottom w:val="single" w:sz="4" w:space="0" w:color="auto"/>
              <w:right w:val="single" w:sz="4" w:space="0" w:color="auto"/>
            </w:tcBorders>
            <w:shd w:val="clear" w:color="auto" w:fill="auto"/>
            <w:vAlign w:val="center"/>
            <w:hideMark/>
          </w:tcPr>
          <w:p w14:paraId="34F97D69" w14:textId="5AC341A8"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3.1.1.6 Ofrimi i informacionit </w:t>
            </w:r>
            <w:r w:rsidRPr="00B457F5">
              <w:rPr>
                <w:rFonts w:ascii="Garamond" w:eastAsia="Times New Roman" w:hAnsi="Garamond" w:cs="Times New Roman"/>
                <w:i/>
                <w:color w:val="000000"/>
                <w:sz w:val="4"/>
                <w:szCs w:val="10"/>
              </w:rPr>
              <w:t>online</w:t>
            </w:r>
            <w:r w:rsidRPr="00B457F5">
              <w:rPr>
                <w:rFonts w:ascii="Garamond" w:eastAsia="Times New Roman" w:hAnsi="Garamond" w:cs="Times New Roman"/>
                <w:color w:val="000000"/>
                <w:sz w:val="4"/>
                <w:szCs w:val="10"/>
              </w:rPr>
              <w:t xml:space="preserve"> mbi</w:t>
            </w:r>
            <w:r w:rsidR="0006016F" w:rsidRPr="00B457F5">
              <w:rPr>
                <w:rFonts w:ascii="Garamond" w:eastAsia="Times New Roman" w:hAnsi="Garamond" w:cs="Times New Roman"/>
                <w:color w:val="000000"/>
                <w:sz w:val="4"/>
                <w:szCs w:val="10"/>
              </w:rPr>
              <w:t xml:space="preserve"> </w:t>
            </w:r>
            <w:r w:rsidRPr="00B457F5">
              <w:rPr>
                <w:rFonts w:ascii="Garamond" w:eastAsia="Times New Roman" w:hAnsi="Garamond" w:cs="Times New Roman"/>
                <w:color w:val="000000"/>
                <w:sz w:val="4"/>
                <w:szCs w:val="10"/>
              </w:rPr>
              <w:t>format e qëndrimit të rregullt në</w:t>
            </w:r>
            <w:r w:rsidR="0006016F" w:rsidRPr="00B457F5">
              <w:rPr>
                <w:rFonts w:ascii="Garamond" w:eastAsia="Times New Roman" w:hAnsi="Garamond" w:cs="Times New Roman"/>
                <w:color w:val="000000"/>
                <w:sz w:val="4"/>
                <w:szCs w:val="10"/>
              </w:rPr>
              <w:t xml:space="preserve"> </w:t>
            </w:r>
            <w:r w:rsidRPr="00B457F5">
              <w:rPr>
                <w:rFonts w:ascii="Garamond" w:eastAsia="Times New Roman" w:hAnsi="Garamond" w:cs="Times New Roman"/>
                <w:color w:val="000000"/>
                <w:sz w:val="4"/>
                <w:szCs w:val="10"/>
              </w:rPr>
              <w:t>faqet zyrtare të institucioneve përgjegjëse</w:t>
            </w:r>
          </w:p>
        </w:tc>
        <w:tc>
          <w:tcPr>
            <w:tcW w:w="186" w:type="pct"/>
            <w:tcBorders>
              <w:top w:val="nil"/>
              <w:left w:val="nil"/>
              <w:bottom w:val="single" w:sz="4" w:space="0" w:color="auto"/>
              <w:right w:val="nil"/>
            </w:tcBorders>
            <w:shd w:val="clear" w:color="auto" w:fill="auto"/>
            <w:vAlign w:val="center"/>
            <w:hideMark/>
          </w:tcPr>
          <w:p w14:paraId="624CF265"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single" w:sz="4" w:space="0" w:color="auto"/>
              <w:bottom w:val="single" w:sz="4" w:space="0" w:color="auto"/>
              <w:right w:val="single" w:sz="4" w:space="0" w:color="auto"/>
            </w:tcBorders>
            <w:shd w:val="clear" w:color="auto" w:fill="auto"/>
            <w:vAlign w:val="center"/>
            <w:hideMark/>
          </w:tcPr>
          <w:p w14:paraId="3CFBF0F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w:t>
            </w:r>
          </w:p>
        </w:tc>
        <w:tc>
          <w:tcPr>
            <w:tcW w:w="244" w:type="pct"/>
            <w:tcBorders>
              <w:top w:val="single" w:sz="4" w:space="0" w:color="auto"/>
              <w:left w:val="nil"/>
              <w:bottom w:val="single" w:sz="4" w:space="0" w:color="auto"/>
              <w:right w:val="single" w:sz="4" w:space="0" w:color="auto"/>
            </w:tcBorders>
            <w:shd w:val="clear" w:color="auto" w:fill="auto"/>
            <w:vAlign w:val="center"/>
            <w:hideMark/>
          </w:tcPr>
          <w:p w14:paraId="28574F1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AKSHI, MEPJ, MEKI</w:t>
            </w:r>
          </w:p>
        </w:tc>
        <w:tc>
          <w:tcPr>
            <w:tcW w:w="135" w:type="pct"/>
            <w:tcBorders>
              <w:top w:val="nil"/>
              <w:left w:val="nil"/>
              <w:bottom w:val="single" w:sz="4" w:space="0" w:color="auto"/>
              <w:right w:val="single" w:sz="4" w:space="0" w:color="auto"/>
            </w:tcBorders>
            <w:shd w:val="clear" w:color="000000" w:fill="DDEBF7"/>
            <w:vAlign w:val="center"/>
            <w:hideMark/>
          </w:tcPr>
          <w:p w14:paraId="38827475"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7FBA8870"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32112C0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779,676</w:t>
            </w:r>
          </w:p>
        </w:tc>
        <w:tc>
          <w:tcPr>
            <w:tcW w:w="155" w:type="pct"/>
            <w:tcBorders>
              <w:top w:val="nil"/>
              <w:left w:val="nil"/>
              <w:bottom w:val="single" w:sz="4" w:space="0" w:color="auto"/>
              <w:right w:val="single" w:sz="4" w:space="0" w:color="auto"/>
            </w:tcBorders>
            <w:shd w:val="clear" w:color="auto" w:fill="auto"/>
            <w:vAlign w:val="center"/>
            <w:hideMark/>
          </w:tcPr>
          <w:p w14:paraId="57D2950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44AD20B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779,676</w:t>
            </w:r>
          </w:p>
        </w:tc>
        <w:tc>
          <w:tcPr>
            <w:tcW w:w="165" w:type="pct"/>
            <w:tcBorders>
              <w:top w:val="nil"/>
              <w:left w:val="nil"/>
              <w:bottom w:val="single" w:sz="4" w:space="0" w:color="auto"/>
              <w:right w:val="single" w:sz="4" w:space="0" w:color="auto"/>
            </w:tcBorders>
            <w:shd w:val="clear" w:color="auto" w:fill="auto"/>
            <w:vAlign w:val="center"/>
            <w:hideMark/>
          </w:tcPr>
          <w:p w14:paraId="40CDC6A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779,676</w:t>
            </w:r>
          </w:p>
        </w:tc>
        <w:tc>
          <w:tcPr>
            <w:tcW w:w="163" w:type="pct"/>
            <w:tcBorders>
              <w:top w:val="nil"/>
              <w:left w:val="nil"/>
              <w:bottom w:val="single" w:sz="4" w:space="0" w:color="auto"/>
              <w:right w:val="single" w:sz="4" w:space="0" w:color="auto"/>
            </w:tcBorders>
            <w:shd w:val="clear" w:color="auto" w:fill="auto"/>
            <w:vAlign w:val="center"/>
            <w:hideMark/>
          </w:tcPr>
          <w:p w14:paraId="314AE64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17059E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779,676</w:t>
            </w:r>
          </w:p>
        </w:tc>
        <w:tc>
          <w:tcPr>
            <w:tcW w:w="163" w:type="pct"/>
            <w:tcBorders>
              <w:top w:val="nil"/>
              <w:left w:val="nil"/>
              <w:bottom w:val="single" w:sz="4" w:space="0" w:color="auto"/>
              <w:right w:val="single" w:sz="4" w:space="0" w:color="auto"/>
            </w:tcBorders>
            <w:shd w:val="clear" w:color="auto" w:fill="auto"/>
            <w:vAlign w:val="center"/>
            <w:hideMark/>
          </w:tcPr>
          <w:p w14:paraId="6E35CA4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779,676</w:t>
            </w:r>
          </w:p>
        </w:tc>
        <w:tc>
          <w:tcPr>
            <w:tcW w:w="148" w:type="pct"/>
            <w:tcBorders>
              <w:top w:val="nil"/>
              <w:left w:val="nil"/>
              <w:bottom w:val="single" w:sz="4" w:space="0" w:color="auto"/>
              <w:right w:val="single" w:sz="4" w:space="0" w:color="auto"/>
            </w:tcBorders>
            <w:shd w:val="clear" w:color="auto" w:fill="auto"/>
            <w:vAlign w:val="center"/>
            <w:hideMark/>
          </w:tcPr>
          <w:p w14:paraId="209E246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6DE7E4E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779,676</w:t>
            </w:r>
          </w:p>
        </w:tc>
        <w:tc>
          <w:tcPr>
            <w:tcW w:w="165" w:type="pct"/>
            <w:tcBorders>
              <w:top w:val="nil"/>
              <w:left w:val="nil"/>
              <w:bottom w:val="single" w:sz="4" w:space="0" w:color="auto"/>
              <w:right w:val="single" w:sz="4" w:space="0" w:color="auto"/>
            </w:tcBorders>
            <w:shd w:val="clear" w:color="auto" w:fill="auto"/>
            <w:vAlign w:val="center"/>
            <w:hideMark/>
          </w:tcPr>
          <w:p w14:paraId="7444549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2,339,028</w:t>
            </w:r>
          </w:p>
        </w:tc>
        <w:tc>
          <w:tcPr>
            <w:tcW w:w="163" w:type="pct"/>
            <w:tcBorders>
              <w:top w:val="nil"/>
              <w:left w:val="nil"/>
              <w:bottom w:val="single" w:sz="4" w:space="0" w:color="auto"/>
              <w:right w:val="single" w:sz="4" w:space="0" w:color="auto"/>
            </w:tcBorders>
            <w:shd w:val="clear" w:color="auto" w:fill="auto"/>
            <w:vAlign w:val="center"/>
            <w:hideMark/>
          </w:tcPr>
          <w:p w14:paraId="7C6D2DC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0382ACF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2,339,028</w:t>
            </w:r>
          </w:p>
        </w:tc>
        <w:tc>
          <w:tcPr>
            <w:tcW w:w="163" w:type="pct"/>
            <w:tcBorders>
              <w:top w:val="nil"/>
              <w:left w:val="nil"/>
              <w:bottom w:val="single" w:sz="4" w:space="0" w:color="auto"/>
              <w:right w:val="single" w:sz="4" w:space="0" w:color="auto"/>
            </w:tcBorders>
            <w:shd w:val="clear" w:color="auto" w:fill="auto"/>
            <w:vAlign w:val="center"/>
            <w:hideMark/>
          </w:tcPr>
          <w:p w14:paraId="4732996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2,339,028</w:t>
            </w:r>
          </w:p>
        </w:tc>
        <w:tc>
          <w:tcPr>
            <w:tcW w:w="155" w:type="pct"/>
            <w:tcBorders>
              <w:top w:val="nil"/>
              <w:left w:val="nil"/>
              <w:bottom w:val="single" w:sz="4" w:space="0" w:color="auto"/>
              <w:right w:val="single" w:sz="4" w:space="0" w:color="auto"/>
            </w:tcBorders>
            <w:shd w:val="clear" w:color="auto" w:fill="auto"/>
            <w:vAlign w:val="center"/>
            <w:hideMark/>
          </w:tcPr>
          <w:p w14:paraId="7B34198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18C4155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2,339,028</w:t>
            </w:r>
          </w:p>
        </w:tc>
        <w:tc>
          <w:tcPr>
            <w:tcW w:w="162" w:type="pct"/>
            <w:tcBorders>
              <w:top w:val="nil"/>
              <w:left w:val="nil"/>
              <w:bottom w:val="single" w:sz="4" w:space="0" w:color="auto"/>
              <w:right w:val="single" w:sz="4" w:space="0" w:color="auto"/>
            </w:tcBorders>
            <w:shd w:val="clear" w:color="auto" w:fill="auto"/>
            <w:vAlign w:val="center"/>
            <w:hideMark/>
          </w:tcPr>
          <w:p w14:paraId="3573F84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3D08D32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16992F5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0DBA3B4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3C81EE3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5F9D57E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3242062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29F383E0" w14:textId="55A0754E"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736AEFFE"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center"/>
            <w:hideMark/>
          </w:tcPr>
          <w:p w14:paraId="53F08753"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3.1.1.7</w:t>
            </w:r>
          </w:p>
        </w:tc>
        <w:tc>
          <w:tcPr>
            <w:tcW w:w="281" w:type="pct"/>
            <w:tcBorders>
              <w:top w:val="nil"/>
              <w:left w:val="nil"/>
              <w:bottom w:val="single" w:sz="4" w:space="0" w:color="auto"/>
              <w:right w:val="single" w:sz="4" w:space="0" w:color="auto"/>
            </w:tcBorders>
            <w:shd w:val="clear" w:color="auto" w:fill="auto"/>
            <w:vAlign w:val="center"/>
            <w:hideMark/>
          </w:tcPr>
          <w:p w14:paraId="4D845717" w14:textId="161B7E9F"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3.1.1.7 Dhënia e informacionit në të gjitha PKK</w:t>
            </w:r>
            <w:r w:rsidR="006E177B" w:rsidRPr="00B457F5">
              <w:rPr>
                <w:rFonts w:ascii="Garamond" w:eastAsia="Times New Roman" w:hAnsi="Garamond" w:cs="Times New Roman"/>
                <w:color w:val="000000"/>
                <w:sz w:val="4"/>
                <w:szCs w:val="10"/>
              </w:rPr>
              <w:t>-të</w:t>
            </w:r>
            <w:r w:rsidRPr="00B457F5">
              <w:rPr>
                <w:rFonts w:ascii="Garamond" w:eastAsia="Times New Roman" w:hAnsi="Garamond" w:cs="Times New Roman"/>
                <w:color w:val="000000"/>
                <w:sz w:val="4"/>
                <w:szCs w:val="10"/>
              </w:rPr>
              <w:t>, nëpërmjet fletëpalosjeve/broshurave informative mbi mundësitë e integrimit/ri</w:t>
            </w:r>
            <w:r w:rsidR="006E177B" w:rsidRPr="00B457F5">
              <w:rPr>
                <w:rFonts w:ascii="Garamond" w:eastAsia="Times New Roman" w:hAnsi="Garamond" w:cs="Times New Roman"/>
                <w:color w:val="000000"/>
                <w:sz w:val="4"/>
                <w:szCs w:val="10"/>
              </w:rPr>
              <w:t>i</w:t>
            </w:r>
            <w:r w:rsidRPr="00B457F5">
              <w:rPr>
                <w:rFonts w:ascii="Garamond" w:eastAsia="Times New Roman" w:hAnsi="Garamond" w:cs="Times New Roman"/>
                <w:color w:val="000000"/>
                <w:sz w:val="4"/>
                <w:szCs w:val="10"/>
              </w:rPr>
              <w:t>ntegrimit në territorin e RSH-së, si dhe aksesin në shërbime bazë</w:t>
            </w:r>
          </w:p>
        </w:tc>
        <w:tc>
          <w:tcPr>
            <w:tcW w:w="186" w:type="pct"/>
            <w:tcBorders>
              <w:top w:val="nil"/>
              <w:left w:val="nil"/>
              <w:bottom w:val="single" w:sz="4" w:space="0" w:color="auto"/>
              <w:right w:val="nil"/>
            </w:tcBorders>
            <w:shd w:val="clear" w:color="auto" w:fill="auto"/>
            <w:vAlign w:val="center"/>
            <w:hideMark/>
          </w:tcPr>
          <w:p w14:paraId="690DE252"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03140 Policia e Shtetit</w:t>
            </w:r>
          </w:p>
        </w:tc>
        <w:tc>
          <w:tcPr>
            <w:tcW w:w="169" w:type="pct"/>
            <w:tcBorders>
              <w:top w:val="nil"/>
              <w:left w:val="single" w:sz="4" w:space="0" w:color="auto"/>
              <w:bottom w:val="single" w:sz="4" w:space="0" w:color="auto"/>
              <w:right w:val="single" w:sz="4" w:space="0" w:color="auto"/>
            </w:tcBorders>
            <w:shd w:val="clear" w:color="auto" w:fill="auto"/>
            <w:vAlign w:val="center"/>
            <w:hideMark/>
          </w:tcPr>
          <w:p w14:paraId="54B0633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DKM</w:t>
            </w:r>
          </w:p>
        </w:tc>
        <w:tc>
          <w:tcPr>
            <w:tcW w:w="244" w:type="pct"/>
            <w:tcBorders>
              <w:top w:val="nil"/>
              <w:left w:val="nil"/>
              <w:bottom w:val="single" w:sz="4" w:space="0" w:color="auto"/>
              <w:right w:val="single" w:sz="4" w:space="0" w:color="auto"/>
            </w:tcBorders>
            <w:shd w:val="clear" w:color="auto" w:fill="auto"/>
            <w:vAlign w:val="center"/>
            <w:hideMark/>
          </w:tcPr>
          <w:p w14:paraId="0DDC1A3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 MAS, MEKI, IOM, UNHCR, EUAA</w:t>
            </w:r>
          </w:p>
        </w:tc>
        <w:tc>
          <w:tcPr>
            <w:tcW w:w="135" w:type="pct"/>
            <w:tcBorders>
              <w:top w:val="nil"/>
              <w:left w:val="nil"/>
              <w:bottom w:val="single" w:sz="4" w:space="0" w:color="auto"/>
              <w:right w:val="single" w:sz="4" w:space="0" w:color="auto"/>
            </w:tcBorders>
            <w:shd w:val="clear" w:color="000000" w:fill="DDEBF7"/>
            <w:vAlign w:val="center"/>
            <w:hideMark/>
          </w:tcPr>
          <w:p w14:paraId="4FE77265"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2024</w:t>
            </w:r>
          </w:p>
        </w:tc>
        <w:tc>
          <w:tcPr>
            <w:tcW w:w="152" w:type="pct"/>
            <w:tcBorders>
              <w:top w:val="nil"/>
              <w:left w:val="nil"/>
              <w:bottom w:val="single" w:sz="4" w:space="0" w:color="auto"/>
              <w:right w:val="single" w:sz="4" w:space="0" w:color="auto"/>
            </w:tcBorders>
            <w:shd w:val="clear" w:color="000000" w:fill="DDEBF7"/>
            <w:vAlign w:val="center"/>
            <w:hideMark/>
          </w:tcPr>
          <w:p w14:paraId="7D1C7D88"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2026 </w:t>
            </w:r>
          </w:p>
        </w:tc>
        <w:tc>
          <w:tcPr>
            <w:tcW w:w="163" w:type="pct"/>
            <w:tcBorders>
              <w:top w:val="nil"/>
              <w:left w:val="nil"/>
              <w:bottom w:val="single" w:sz="4" w:space="0" w:color="auto"/>
              <w:right w:val="single" w:sz="4" w:space="0" w:color="auto"/>
            </w:tcBorders>
            <w:shd w:val="clear" w:color="auto" w:fill="auto"/>
            <w:vAlign w:val="center"/>
            <w:hideMark/>
          </w:tcPr>
          <w:p w14:paraId="4908B96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1,200,000</w:t>
            </w:r>
          </w:p>
        </w:tc>
        <w:tc>
          <w:tcPr>
            <w:tcW w:w="155" w:type="pct"/>
            <w:tcBorders>
              <w:top w:val="nil"/>
              <w:left w:val="nil"/>
              <w:bottom w:val="single" w:sz="4" w:space="0" w:color="auto"/>
              <w:right w:val="single" w:sz="4" w:space="0" w:color="auto"/>
            </w:tcBorders>
            <w:shd w:val="clear" w:color="auto" w:fill="auto"/>
            <w:vAlign w:val="center"/>
            <w:hideMark/>
          </w:tcPr>
          <w:p w14:paraId="6EBC722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4E748A6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1,200,000</w:t>
            </w:r>
          </w:p>
        </w:tc>
        <w:tc>
          <w:tcPr>
            <w:tcW w:w="165" w:type="pct"/>
            <w:tcBorders>
              <w:top w:val="nil"/>
              <w:left w:val="nil"/>
              <w:bottom w:val="single" w:sz="4" w:space="0" w:color="auto"/>
              <w:right w:val="single" w:sz="4" w:space="0" w:color="auto"/>
            </w:tcBorders>
            <w:shd w:val="clear" w:color="auto" w:fill="auto"/>
            <w:vAlign w:val="center"/>
            <w:hideMark/>
          </w:tcPr>
          <w:p w14:paraId="67ED6BE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1,200,000</w:t>
            </w:r>
          </w:p>
        </w:tc>
        <w:tc>
          <w:tcPr>
            <w:tcW w:w="163" w:type="pct"/>
            <w:tcBorders>
              <w:top w:val="nil"/>
              <w:left w:val="nil"/>
              <w:bottom w:val="single" w:sz="4" w:space="0" w:color="auto"/>
              <w:right w:val="single" w:sz="4" w:space="0" w:color="auto"/>
            </w:tcBorders>
            <w:shd w:val="clear" w:color="auto" w:fill="auto"/>
            <w:vAlign w:val="center"/>
            <w:hideMark/>
          </w:tcPr>
          <w:p w14:paraId="1A514D6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3C12D25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1,200,000</w:t>
            </w:r>
          </w:p>
        </w:tc>
        <w:tc>
          <w:tcPr>
            <w:tcW w:w="163" w:type="pct"/>
            <w:tcBorders>
              <w:top w:val="nil"/>
              <w:left w:val="nil"/>
              <w:bottom w:val="single" w:sz="4" w:space="0" w:color="auto"/>
              <w:right w:val="single" w:sz="4" w:space="0" w:color="auto"/>
            </w:tcBorders>
            <w:shd w:val="clear" w:color="auto" w:fill="auto"/>
            <w:vAlign w:val="center"/>
            <w:hideMark/>
          </w:tcPr>
          <w:p w14:paraId="391B30D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1,200,000</w:t>
            </w:r>
          </w:p>
        </w:tc>
        <w:tc>
          <w:tcPr>
            <w:tcW w:w="148" w:type="pct"/>
            <w:tcBorders>
              <w:top w:val="nil"/>
              <w:left w:val="nil"/>
              <w:bottom w:val="single" w:sz="4" w:space="0" w:color="auto"/>
              <w:right w:val="single" w:sz="4" w:space="0" w:color="auto"/>
            </w:tcBorders>
            <w:shd w:val="clear" w:color="auto" w:fill="auto"/>
            <w:vAlign w:val="center"/>
            <w:hideMark/>
          </w:tcPr>
          <w:p w14:paraId="632E540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035B07F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1,200,000</w:t>
            </w:r>
          </w:p>
        </w:tc>
        <w:tc>
          <w:tcPr>
            <w:tcW w:w="165" w:type="pct"/>
            <w:tcBorders>
              <w:top w:val="nil"/>
              <w:left w:val="nil"/>
              <w:bottom w:val="single" w:sz="4" w:space="0" w:color="auto"/>
              <w:right w:val="single" w:sz="4" w:space="0" w:color="auto"/>
            </w:tcBorders>
            <w:shd w:val="clear" w:color="auto" w:fill="auto"/>
            <w:vAlign w:val="center"/>
            <w:hideMark/>
          </w:tcPr>
          <w:p w14:paraId="564D134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3,600,000</w:t>
            </w:r>
          </w:p>
        </w:tc>
        <w:tc>
          <w:tcPr>
            <w:tcW w:w="163" w:type="pct"/>
            <w:tcBorders>
              <w:top w:val="nil"/>
              <w:left w:val="nil"/>
              <w:bottom w:val="single" w:sz="4" w:space="0" w:color="auto"/>
              <w:right w:val="single" w:sz="4" w:space="0" w:color="auto"/>
            </w:tcBorders>
            <w:shd w:val="clear" w:color="auto" w:fill="auto"/>
            <w:vAlign w:val="center"/>
            <w:hideMark/>
          </w:tcPr>
          <w:p w14:paraId="65EA4DE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68BAB9E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3,600,000</w:t>
            </w:r>
          </w:p>
        </w:tc>
        <w:tc>
          <w:tcPr>
            <w:tcW w:w="163" w:type="pct"/>
            <w:tcBorders>
              <w:top w:val="nil"/>
              <w:left w:val="nil"/>
              <w:bottom w:val="single" w:sz="4" w:space="0" w:color="auto"/>
              <w:right w:val="single" w:sz="4" w:space="0" w:color="auto"/>
            </w:tcBorders>
            <w:shd w:val="clear" w:color="auto" w:fill="auto"/>
            <w:vAlign w:val="center"/>
            <w:hideMark/>
          </w:tcPr>
          <w:p w14:paraId="5E7BCFB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4EDC09F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6A7790A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07F4AEB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3,600,000</w:t>
            </w:r>
          </w:p>
        </w:tc>
        <w:tc>
          <w:tcPr>
            <w:tcW w:w="155" w:type="pct"/>
            <w:tcBorders>
              <w:top w:val="nil"/>
              <w:left w:val="nil"/>
              <w:bottom w:val="single" w:sz="4" w:space="0" w:color="auto"/>
              <w:right w:val="single" w:sz="4" w:space="0" w:color="auto"/>
            </w:tcBorders>
            <w:shd w:val="clear" w:color="auto" w:fill="auto"/>
            <w:vAlign w:val="center"/>
            <w:hideMark/>
          </w:tcPr>
          <w:p w14:paraId="50E01CE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40C1325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EUAA</w:t>
            </w:r>
          </w:p>
        </w:tc>
        <w:tc>
          <w:tcPr>
            <w:tcW w:w="163" w:type="pct"/>
            <w:tcBorders>
              <w:top w:val="nil"/>
              <w:left w:val="nil"/>
              <w:bottom w:val="single" w:sz="4" w:space="0" w:color="auto"/>
              <w:right w:val="single" w:sz="4" w:space="0" w:color="auto"/>
            </w:tcBorders>
            <w:shd w:val="clear" w:color="000000" w:fill="FFF2CC"/>
            <w:vAlign w:val="center"/>
            <w:hideMark/>
          </w:tcPr>
          <w:p w14:paraId="4EB41EF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3,600,000</w:t>
            </w:r>
          </w:p>
        </w:tc>
        <w:tc>
          <w:tcPr>
            <w:tcW w:w="139" w:type="pct"/>
            <w:tcBorders>
              <w:top w:val="nil"/>
              <w:left w:val="nil"/>
              <w:bottom w:val="single" w:sz="4" w:space="0" w:color="auto"/>
              <w:right w:val="single" w:sz="4" w:space="0" w:color="auto"/>
            </w:tcBorders>
            <w:shd w:val="clear" w:color="auto" w:fill="auto"/>
            <w:vAlign w:val="center"/>
            <w:hideMark/>
          </w:tcPr>
          <w:p w14:paraId="6F141BB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7178AB6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3D54599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8" w:space="0" w:color="auto"/>
            </w:tcBorders>
            <w:shd w:val="clear" w:color="auto" w:fill="auto"/>
            <w:vAlign w:val="center"/>
            <w:hideMark/>
          </w:tcPr>
          <w:p w14:paraId="67FD1712" w14:textId="07C12002"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77E5A063" w14:textId="77777777" w:rsidTr="00C260C3">
        <w:trPr>
          <w:trHeight w:val="20"/>
        </w:trPr>
        <w:tc>
          <w:tcPr>
            <w:tcW w:w="131" w:type="pct"/>
            <w:tcBorders>
              <w:top w:val="nil"/>
              <w:left w:val="single" w:sz="4" w:space="0" w:color="auto"/>
              <w:bottom w:val="single" w:sz="4" w:space="0" w:color="auto"/>
              <w:right w:val="single" w:sz="4" w:space="0" w:color="auto"/>
            </w:tcBorders>
            <w:shd w:val="clear" w:color="000000" w:fill="D9D9D9"/>
            <w:vAlign w:val="center"/>
            <w:hideMark/>
          </w:tcPr>
          <w:p w14:paraId="6885D709"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3.1.2</w:t>
            </w:r>
          </w:p>
        </w:tc>
        <w:tc>
          <w:tcPr>
            <w:tcW w:w="281" w:type="pct"/>
            <w:tcBorders>
              <w:top w:val="nil"/>
              <w:left w:val="nil"/>
              <w:bottom w:val="single" w:sz="4" w:space="0" w:color="auto"/>
              <w:right w:val="single" w:sz="4" w:space="0" w:color="auto"/>
            </w:tcBorders>
            <w:shd w:val="clear" w:color="000000" w:fill="D9D9D9"/>
            <w:vAlign w:val="center"/>
            <w:hideMark/>
          </w:tcPr>
          <w:p w14:paraId="71976688"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 3.1.2 Lehtësimi i aksesit në shërbimet publike të garantuara me ligj </w:t>
            </w:r>
          </w:p>
        </w:tc>
        <w:tc>
          <w:tcPr>
            <w:tcW w:w="186" w:type="pct"/>
            <w:tcBorders>
              <w:top w:val="nil"/>
              <w:left w:val="nil"/>
              <w:bottom w:val="single" w:sz="4" w:space="0" w:color="auto"/>
              <w:right w:val="single" w:sz="4" w:space="0" w:color="auto"/>
            </w:tcBorders>
            <w:shd w:val="clear" w:color="000000" w:fill="D9D9D9"/>
            <w:vAlign w:val="center"/>
            <w:hideMark/>
          </w:tcPr>
          <w:p w14:paraId="58456FAF" w14:textId="3830751D"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01110 Planifikimi, Menaxhimi dhe Administrimi (16), 10550 Tregu i </w:t>
            </w:r>
            <w:r w:rsidR="00E92B0D" w:rsidRPr="00B457F5">
              <w:rPr>
                <w:rFonts w:ascii="Garamond" w:eastAsia="Times New Roman" w:hAnsi="Garamond" w:cs="Times New Roman"/>
                <w:color w:val="FF0000"/>
                <w:sz w:val="4"/>
                <w:szCs w:val="10"/>
              </w:rPr>
              <w:t>Punës</w:t>
            </w:r>
            <w:r w:rsidRPr="00B457F5">
              <w:rPr>
                <w:rFonts w:ascii="Garamond" w:eastAsia="Times New Roman" w:hAnsi="Garamond" w:cs="Times New Roman"/>
                <w:color w:val="FF0000"/>
                <w:sz w:val="4"/>
                <w:szCs w:val="10"/>
              </w:rPr>
              <w:t xml:space="preserve">, 07220 </w:t>
            </w:r>
            <w:r w:rsidR="00E92B0D" w:rsidRPr="00B457F5">
              <w:rPr>
                <w:rFonts w:ascii="Garamond" w:eastAsia="Times New Roman" w:hAnsi="Garamond" w:cs="Times New Roman"/>
                <w:color w:val="FF0000"/>
                <w:sz w:val="4"/>
                <w:szCs w:val="10"/>
              </w:rPr>
              <w:t>Shërbimet</w:t>
            </w:r>
            <w:r w:rsidRPr="00B457F5">
              <w:rPr>
                <w:rFonts w:ascii="Garamond" w:eastAsia="Times New Roman" w:hAnsi="Garamond" w:cs="Times New Roman"/>
                <w:color w:val="FF0000"/>
                <w:sz w:val="4"/>
                <w:szCs w:val="10"/>
              </w:rPr>
              <w:t xml:space="preserve"> e Kujdesit </w:t>
            </w:r>
            <w:r w:rsidR="00E92B0D" w:rsidRPr="00B457F5">
              <w:rPr>
                <w:rFonts w:ascii="Garamond" w:eastAsia="Times New Roman" w:hAnsi="Garamond" w:cs="Times New Roman"/>
                <w:color w:val="FF0000"/>
                <w:sz w:val="4"/>
                <w:szCs w:val="10"/>
              </w:rPr>
              <w:t>Parësor</w:t>
            </w:r>
            <w:r w:rsidRPr="00B457F5">
              <w:rPr>
                <w:rFonts w:ascii="Garamond" w:eastAsia="Times New Roman" w:hAnsi="Garamond" w:cs="Times New Roman"/>
                <w:color w:val="FF0000"/>
                <w:sz w:val="4"/>
                <w:szCs w:val="10"/>
              </w:rPr>
              <w:t xml:space="preserve">, 07330 </w:t>
            </w:r>
            <w:r w:rsidR="00E92B0D" w:rsidRPr="00B457F5">
              <w:rPr>
                <w:rFonts w:ascii="Garamond" w:eastAsia="Times New Roman" w:hAnsi="Garamond" w:cs="Times New Roman"/>
                <w:color w:val="FF0000"/>
                <w:sz w:val="4"/>
                <w:szCs w:val="10"/>
              </w:rPr>
              <w:t>Shërbimet</w:t>
            </w:r>
            <w:r w:rsidRPr="00B457F5">
              <w:rPr>
                <w:rFonts w:ascii="Garamond" w:eastAsia="Times New Roman" w:hAnsi="Garamond" w:cs="Times New Roman"/>
                <w:color w:val="FF0000"/>
                <w:sz w:val="4"/>
                <w:szCs w:val="10"/>
              </w:rPr>
              <w:t xml:space="preserve"> e Kujdesit </w:t>
            </w:r>
            <w:r w:rsidR="00E92B0D" w:rsidRPr="00B457F5">
              <w:rPr>
                <w:rFonts w:ascii="Garamond" w:eastAsia="Times New Roman" w:hAnsi="Garamond" w:cs="Times New Roman"/>
                <w:color w:val="FF0000"/>
                <w:sz w:val="4"/>
                <w:szCs w:val="10"/>
              </w:rPr>
              <w:t>Dytësor</w:t>
            </w:r>
          </w:p>
        </w:tc>
        <w:tc>
          <w:tcPr>
            <w:tcW w:w="169" w:type="pct"/>
            <w:tcBorders>
              <w:top w:val="nil"/>
              <w:left w:val="nil"/>
              <w:bottom w:val="single" w:sz="4" w:space="0" w:color="auto"/>
              <w:right w:val="single" w:sz="4" w:space="0" w:color="auto"/>
            </w:tcBorders>
            <w:shd w:val="clear" w:color="000000" w:fill="D9D9D9"/>
            <w:vAlign w:val="center"/>
            <w:hideMark/>
          </w:tcPr>
          <w:p w14:paraId="7ADA653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 MEKI, MSHMS</w:t>
            </w:r>
          </w:p>
        </w:tc>
        <w:tc>
          <w:tcPr>
            <w:tcW w:w="244" w:type="pct"/>
            <w:tcBorders>
              <w:top w:val="nil"/>
              <w:left w:val="nil"/>
              <w:bottom w:val="single" w:sz="4" w:space="0" w:color="auto"/>
              <w:right w:val="single" w:sz="4" w:space="0" w:color="auto"/>
            </w:tcBorders>
            <w:shd w:val="clear" w:color="000000" w:fill="D9D9D9"/>
            <w:vAlign w:val="center"/>
            <w:hideMark/>
          </w:tcPr>
          <w:p w14:paraId="2769C440" w14:textId="06BA4D5A"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Të gjitha ministritë e linjës</w:t>
            </w:r>
            <w:r w:rsidR="0006016F" w:rsidRPr="00B457F5">
              <w:rPr>
                <w:rFonts w:ascii="Garamond" w:eastAsia="Times New Roman" w:hAnsi="Garamond" w:cs="Times New Roman"/>
                <w:sz w:val="4"/>
                <w:szCs w:val="10"/>
              </w:rPr>
              <w:t xml:space="preserve"> </w:t>
            </w:r>
            <w:r w:rsidRPr="00B457F5">
              <w:rPr>
                <w:rFonts w:ascii="Garamond" w:eastAsia="Times New Roman" w:hAnsi="Garamond" w:cs="Times New Roman"/>
                <w:sz w:val="4"/>
                <w:szCs w:val="10"/>
              </w:rPr>
              <w:t>EUAA, UNHCR, IOM</w:t>
            </w:r>
          </w:p>
        </w:tc>
        <w:tc>
          <w:tcPr>
            <w:tcW w:w="135" w:type="pct"/>
            <w:tcBorders>
              <w:top w:val="nil"/>
              <w:left w:val="nil"/>
              <w:bottom w:val="single" w:sz="4" w:space="0" w:color="auto"/>
              <w:right w:val="single" w:sz="4" w:space="0" w:color="auto"/>
            </w:tcBorders>
            <w:shd w:val="clear" w:color="000000" w:fill="D9D9D9"/>
            <w:vAlign w:val="center"/>
            <w:hideMark/>
          </w:tcPr>
          <w:p w14:paraId="1F9A9A00"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9D9D9"/>
            <w:vAlign w:val="center"/>
            <w:hideMark/>
          </w:tcPr>
          <w:p w14:paraId="0912C82C"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000000" w:fill="D9D9D9"/>
            <w:vAlign w:val="center"/>
            <w:hideMark/>
          </w:tcPr>
          <w:p w14:paraId="3095EF1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4,250,346</w:t>
            </w:r>
          </w:p>
        </w:tc>
        <w:tc>
          <w:tcPr>
            <w:tcW w:w="155" w:type="pct"/>
            <w:tcBorders>
              <w:top w:val="nil"/>
              <w:left w:val="nil"/>
              <w:bottom w:val="single" w:sz="4" w:space="0" w:color="auto"/>
              <w:right w:val="single" w:sz="4" w:space="0" w:color="auto"/>
            </w:tcBorders>
            <w:shd w:val="clear" w:color="000000" w:fill="D9D9D9"/>
            <w:vAlign w:val="center"/>
            <w:hideMark/>
          </w:tcPr>
          <w:p w14:paraId="03030F0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2764D4D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4,250,346</w:t>
            </w:r>
          </w:p>
        </w:tc>
        <w:tc>
          <w:tcPr>
            <w:tcW w:w="165" w:type="pct"/>
            <w:tcBorders>
              <w:top w:val="nil"/>
              <w:left w:val="nil"/>
              <w:bottom w:val="single" w:sz="4" w:space="0" w:color="auto"/>
              <w:right w:val="single" w:sz="4" w:space="0" w:color="auto"/>
            </w:tcBorders>
            <w:shd w:val="clear" w:color="000000" w:fill="D9D9D9"/>
            <w:vAlign w:val="center"/>
            <w:hideMark/>
          </w:tcPr>
          <w:p w14:paraId="6247012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4,250,346</w:t>
            </w:r>
          </w:p>
        </w:tc>
        <w:tc>
          <w:tcPr>
            <w:tcW w:w="163" w:type="pct"/>
            <w:tcBorders>
              <w:top w:val="nil"/>
              <w:left w:val="nil"/>
              <w:bottom w:val="single" w:sz="4" w:space="0" w:color="auto"/>
              <w:right w:val="single" w:sz="4" w:space="0" w:color="auto"/>
            </w:tcBorders>
            <w:shd w:val="clear" w:color="000000" w:fill="D9D9D9"/>
            <w:vAlign w:val="center"/>
            <w:hideMark/>
          </w:tcPr>
          <w:p w14:paraId="5903D7A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037450F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4,250,346</w:t>
            </w:r>
          </w:p>
        </w:tc>
        <w:tc>
          <w:tcPr>
            <w:tcW w:w="163" w:type="pct"/>
            <w:tcBorders>
              <w:top w:val="nil"/>
              <w:left w:val="nil"/>
              <w:bottom w:val="single" w:sz="4" w:space="0" w:color="auto"/>
              <w:right w:val="single" w:sz="4" w:space="0" w:color="auto"/>
            </w:tcBorders>
            <w:shd w:val="clear" w:color="000000" w:fill="D9D9D9"/>
            <w:vAlign w:val="center"/>
            <w:hideMark/>
          </w:tcPr>
          <w:p w14:paraId="2053223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1,511,212</w:t>
            </w:r>
          </w:p>
        </w:tc>
        <w:tc>
          <w:tcPr>
            <w:tcW w:w="148" w:type="pct"/>
            <w:tcBorders>
              <w:top w:val="nil"/>
              <w:left w:val="nil"/>
              <w:bottom w:val="single" w:sz="4" w:space="0" w:color="auto"/>
              <w:right w:val="single" w:sz="4" w:space="0" w:color="auto"/>
            </w:tcBorders>
            <w:shd w:val="clear" w:color="000000" w:fill="D9D9D9"/>
            <w:vAlign w:val="center"/>
            <w:hideMark/>
          </w:tcPr>
          <w:p w14:paraId="305590C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5DA0A7A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1,511,212</w:t>
            </w:r>
          </w:p>
        </w:tc>
        <w:tc>
          <w:tcPr>
            <w:tcW w:w="165" w:type="pct"/>
            <w:tcBorders>
              <w:top w:val="nil"/>
              <w:left w:val="nil"/>
              <w:bottom w:val="single" w:sz="4" w:space="0" w:color="auto"/>
              <w:right w:val="single" w:sz="4" w:space="0" w:color="auto"/>
            </w:tcBorders>
            <w:shd w:val="clear" w:color="000000" w:fill="D9D9D9"/>
            <w:vAlign w:val="center"/>
            <w:hideMark/>
          </w:tcPr>
          <w:p w14:paraId="774C2DF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10,011,904</w:t>
            </w:r>
          </w:p>
        </w:tc>
        <w:tc>
          <w:tcPr>
            <w:tcW w:w="163" w:type="pct"/>
            <w:tcBorders>
              <w:top w:val="nil"/>
              <w:left w:val="nil"/>
              <w:bottom w:val="single" w:sz="4" w:space="0" w:color="auto"/>
              <w:right w:val="single" w:sz="4" w:space="0" w:color="auto"/>
            </w:tcBorders>
            <w:shd w:val="clear" w:color="000000" w:fill="D9D9D9"/>
            <w:vAlign w:val="center"/>
            <w:hideMark/>
          </w:tcPr>
          <w:p w14:paraId="408D6D4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D9D9D9"/>
            <w:vAlign w:val="center"/>
            <w:hideMark/>
          </w:tcPr>
          <w:p w14:paraId="0CA6D88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10,011,904</w:t>
            </w:r>
          </w:p>
        </w:tc>
        <w:tc>
          <w:tcPr>
            <w:tcW w:w="163" w:type="pct"/>
            <w:tcBorders>
              <w:top w:val="nil"/>
              <w:left w:val="nil"/>
              <w:bottom w:val="single" w:sz="4" w:space="0" w:color="auto"/>
              <w:right w:val="single" w:sz="4" w:space="0" w:color="auto"/>
            </w:tcBorders>
            <w:shd w:val="clear" w:color="000000" w:fill="D9D9D9"/>
            <w:vAlign w:val="center"/>
            <w:hideMark/>
          </w:tcPr>
          <w:p w14:paraId="77CE47D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4,158,268</w:t>
            </w:r>
          </w:p>
        </w:tc>
        <w:tc>
          <w:tcPr>
            <w:tcW w:w="155" w:type="pct"/>
            <w:tcBorders>
              <w:top w:val="nil"/>
              <w:left w:val="nil"/>
              <w:bottom w:val="single" w:sz="4" w:space="0" w:color="auto"/>
              <w:right w:val="single" w:sz="4" w:space="0" w:color="auto"/>
            </w:tcBorders>
            <w:shd w:val="clear" w:color="000000" w:fill="D9D9D9"/>
            <w:vAlign w:val="center"/>
            <w:hideMark/>
          </w:tcPr>
          <w:p w14:paraId="3FA6691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6E1B099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4,158,268</w:t>
            </w:r>
          </w:p>
        </w:tc>
        <w:tc>
          <w:tcPr>
            <w:tcW w:w="162" w:type="pct"/>
            <w:tcBorders>
              <w:top w:val="nil"/>
              <w:left w:val="nil"/>
              <w:bottom w:val="single" w:sz="4" w:space="0" w:color="auto"/>
              <w:right w:val="single" w:sz="4" w:space="0" w:color="auto"/>
            </w:tcBorders>
            <w:shd w:val="clear" w:color="000000" w:fill="D9D9D9"/>
            <w:vAlign w:val="center"/>
            <w:hideMark/>
          </w:tcPr>
          <w:p w14:paraId="1E4C15C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5,853,636</w:t>
            </w:r>
          </w:p>
        </w:tc>
        <w:tc>
          <w:tcPr>
            <w:tcW w:w="155" w:type="pct"/>
            <w:tcBorders>
              <w:top w:val="nil"/>
              <w:left w:val="nil"/>
              <w:bottom w:val="single" w:sz="4" w:space="0" w:color="auto"/>
              <w:right w:val="single" w:sz="4" w:space="0" w:color="auto"/>
            </w:tcBorders>
            <w:shd w:val="clear" w:color="000000" w:fill="D9D9D9"/>
            <w:vAlign w:val="center"/>
            <w:hideMark/>
          </w:tcPr>
          <w:p w14:paraId="67ECACB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000000" w:fill="D9D9D9"/>
            <w:vAlign w:val="center"/>
            <w:hideMark/>
          </w:tcPr>
          <w:p w14:paraId="7DABBE0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40A5030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5,853,636</w:t>
            </w:r>
          </w:p>
        </w:tc>
        <w:tc>
          <w:tcPr>
            <w:tcW w:w="139" w:type="pct"/>
            <w:tcBorders>
              <w:top w:val="nil"/>
              <w:left w:val="nil"/>
              <w:bottom w:val="single" w:sz="4" w:space="0" w:color="auto"/>
              <w:right w:val="single" w:sz="4" w:space="0" w:color="auto"/>
            </w:tcBorders>
            <w:shd w:val="clear" w:color="000000" w:fill="D9D9D9"/>
            <w:vAlign w:val="center"/>
            <w:hideMark/>
          </w:tcPr>
          <w:p w14:paraId="1573101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000000" w:fill="D9D9D9"/>
            <w:vAlign w:val="center"/>
            <w:hideMark/>
          </w:tcPr>
          <w:p w14:paraId="7A3C502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D9D9D9"/>
            <w:vAlign w:val="center"/>
            <w:hideMark/>
          </w:tcPr>
          <w:p w14:paraId="76DC3BF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8" w:space="0" w:color="auto"/>
            </w:tcBorders>
            <w:shd w:val="clear" w:color="000000" w:fill="D9D9D9"/>
            <w:vAlign w:val="center"/>
            <w:hideMark/>
          </w:tcPr>
          <w:p w14:paraId="79F645ED" w14:textId="16F5AB12"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35C4806E"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3F46E994"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3.1.2.1</w:t>
            </w:r>
          </w:p>
        </w:tc>
        <w:tc>
          <w:tcPr>
            <w:tcW w:w="281" w:type="pct"/>
            <w:tcBorders>
              <w:top w:val="nil"/>
              <w:left w:val="nil"/>
              <w:bottom w:val="single" w:sz="4" w:space="0" w:color="auto"/>
              <w:right w:val="single" w:sz="4" w:space="0" w:color="auto"/>
            </w:tcBorders>
            <w:shd w:val="clear" w:color="auto" w:fill="auto"/>
            <w:vAlign w:val="center"/>
            <w:hideMark/>
          </w:tcPr>
          <w:p w14:paraId="1E7BB719" w14:textId="37D5630B"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3.1.2.1 Të identifikohen dhe të hiqen pengesat për akses në shërbime publike për migrantët n</w:t>
            </w:r>
            <w:r w:rsidR="002803F2" w:rsidRPr="00B457F5">
              <w:rPr>
                <w:rFonts w:ascii="Garamond" w:eastAsia="Times New Roman" w:hAnsi="Garamond" w:cs="Times New Roman"/>
                <w:color w:val="000000"/>
                <w:sz w:val="4"/>
                <w:szCs w:val="10"/>
              </w:rPr>
              <w:t>ë</w:t>
            </w:r>
            <w:r w:rsidRPr="00B457F5">
              <w:rPr>
                <w:rFonts w:ascii="Garamond" w:eastAsia="Times New Roman" w:hAnsi="Garamond" w:cs="Times New Roman"/>
                <w:color w:val="000000"/>
                <w:sz w:val="4"/>
                <w:szCs w:val="10"/>
              </w:rPr>
              <w:t xml:space="preserve"> aksesin tek </w:t>
            </w:r>
            <w:r w:rsidR="00164C66" w:rsidRPr="00B457F5">
              <w:rPr>
                <w:rFonts w:ascii="Garamond" w:eastAsia="Times New Roman" w:hAnsi="Garamond" w:cs="Times New Roman"/>
                <w:color w:val="000000"/>
                <w:sz w:val="4"/>
                <w:szCs w:val="10"/>
              </w:rPr>
              <w:t>të</w:t>
            </w:r>
            <w:r w:rsidRPr="00B457F5">
              <w:rPr>
                <w:rFonts w:ascii="Garamond" w:eastAsia="Times New Roman" w:hAnsi="Garamond" w:cs="Times New Roman"/>
                <w:color w:val="000000"/>
                <w:sz w:val="4"/>
                <w:szCs w:val="10"/>
              </w:rPr>
              <w:t xml:space="preserve"> drejtat</w:t>
            </w:r>
          </w:p>
        </w:tc>
        <w:tc>
          <w:tcPr>
            <w:tcW w:w="186" w:type="pct"/>
            <w:tcBorders>
              <w:top w:val="nil"/>
              <w:left w:val="nil"/>
              <w:bottom w:val="single" w:sz="4" w:space="0" w:color="auto"/>
              <w:right w:val="single" w:sz="4" w:space="0" w:color="auto"/>
            </w:tcBorders>
            <w:shd w:val="clear" w:color="auto" w:fill="auto"/>
            <w:vAlign w:val="center"/>
            <w:hideMark/>
          </w:tcPr>
          <w:p w14:paraId="0B2BF5E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30846A4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MB </w:t>
            </w:r>
          </w:p>
        </w:tc>
        <w:tc>
          <w:tcPr>
            <w:tcW w:w="244" w:type="pct"/>
            <w:tcBorders>
              <w:top w:val="nil"/>
              <w:left w:val="nil"/>
              <w:bottom w:val="single" w:sz="4" w:space="0" w:color="auto"/>
              <w:right w:val="single" w:sz="4" w:space="0" w:color="auto"/>
            </w:tcBorders>
            <w:shd w:val="clear" w:color="auto" w:fill="auto"/>
            <w:vAlign w:val="center"/>
            <w:hideMark/>
          </w:tcPr>
          <w:p w14:paraId="62ED8F03" w14:textId="1B4100E5"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Të gjitha ministritë e linjës</w:t>
            </w:r>
            <w:r w:rsidR="0006016F" w:rsidRPr="00B457F5">
              <w:rPr>
                <w:rFonts w:ascii="Garamond" w:eastAsia="Times New Roman" w:hAnsi="Garamond" w:cs="Times New Roman"/>
                <w:sz w:val="4"/>
                <w:szCs w:val="10"/>
              </w:rPr>
              <w:t xml:space="preserve"> </w:t>
            </w:r>
            <w:r w:rsidRPr="00B457F5">
              <w:rPr>
                <w:rFonts w:ascii="Garamond" w:eastAsia="Times New Roman" w:hAnsi="Garamond" w:cs="Times New Roman"/>
                <w:sz w:val="4"/>
                <w:szCs w:val="10"/>
              </w:rPr>
              <w:t>EUAA, UNHCR, IOM</w:t>
            </w:r>
          </w:p>
        </w:tc>
        <w:tc>
          <w:tcPr>
            <w:tcW w:w="135" w:type="pct"/>
            <w:tcBorders>
              <w:top w:val="nil"/>
              <w:left w:val="nil"/>
              <w:bottom w:val="single" w:sz="4" w:space="0" w:color="auto"/>
              <w:right w:val="single" w:sz="4" w:space="0" w:color="auto"/>
            </w:tcBorders>
            <w:shd w:val="clear" w:color="000000" w:fill="DDEBF7"/>
            <w:vAlign w:val="center"/>
            <w:hideMark/>
          </w:tcPr>
          <w:p w14:paraId="4E945DE6"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2024</w:t>
            </w:r>
          </w:p>
        </w:tc>
        <w:tc>
          <w:tcPr>
            <w:tcW w:w="152" w:type="pct"/>
            <w:tcBorders>
              <w:top w:val="nil"/>
              <w:left w:val="nil"/>
              <w:bottom w:val="single" w:sz="4" w:space="0" w:color="auto"/>
              <w:right w:val="single" w:sz="4" w:space="0" w:color="auto"/>
            </w:tcBorders>
            <w:shd w:val="clear" w:color="000000" w:fill="DDEBF7"/>
            <w:vAlign w:val="center"/>
            <w:hideMark/>
          </w:tcPr>
          <w:p w14:paraId="2CE32B67"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2025</w:t>
            </w:r>
          </w:p>
        </w:tc>
        <w:tc>
          <w:tcPr>
            <w:tcW w:w="163" w:type="pct"/>
            <w:tcBorders>
              <w:top w:val="nil"/>
              <w:left w:val="nil"/>
              <w:bottom w:val="single" w:sz="4" w:space="0" w:color="auto"/>
              <w:right w:val="single" w:sz="4" w:space="0" w:color="auto"/>
            </w:tcBorders>
            <w:shd w:val="clear" w:color="auto" w:fill="auto"/>
            <w:vAlign w:val="center"/>
            <w:hideMark/>
          </w:tcPr>
          <w:p w14:paraId="2204E90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1,339,567</w:t>
            </w:r>
          </w:p>
        </w:tc>
        <w:tc>
          <w:tcPr>
            <w:tcW w:w="155" w:type="pct"/>
            <w:tcBorders>
              <w:top w:val="nil"/>
              <w:left w:val="nil"/>
              <w:bottom w:val="single" w:sz="4" w:space="0" w:color="auto"/>
              <w:right w:val="single" w:sz="4" w:space="0" w:color="auto"/>
            </w:tcBorders>
            <w:shd w:val="clear" w:color="auto" w:fill="auto"/>
            <w:vAlign w:val="center"/>
            <w:hideMark/>
          </w:tcPr>
          <w:p w14:paraId="316BBC5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0D25C59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1,339,567</w:t>
            </w:r>
          </w:p>
        </w:tc>
        <w:tc>
          <w:tcPr>
            <w:tcW w:w="165" w:type="pct"/>
            <w:tcBorders>
              <w:top w:val="nil"/>
              <w:left w:val="nil"/>
              <w:bottom w:val="single" w:sz="4" w:space="0" w:color="auto"/>
              <w:right w:val="single" w:sz="4" w:space="0" w:color="auto"/>
            </w:tcBorders>
            <w:shd w:val="clear" w:color="auto" w:fill="auto"/>
            <w:vAlign w:val="center"/>
            <w:hideMark/>
          </w:tcPr>
          <w:p w14:paraId="7D1A76E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1,339,567</w:t>
            </w:r>
          </w:p>
        </w:tc>
        <w:tc>
          <w:tcPr>
            <w:tcW w:w="163" w:type="pct"/>
            <w:tcBorders>
              <w:top w:val="nil"/>
              <w:left w:val="nil"/>
              <w:bottom w:val="single" w:sz="4" w:space="0" w:color="auto"/>
              <w:right w:val="single" w:sz="4" w:space="0" w:color="auto"/>
            </w:tcBorders>
            <w:shd w:val="clear" w:color="auto" w:fill="auto"/>
            <w:vAlign w:val="center"/>
            <w:hideMark/>
          </w:tcPr>
          <w:p w14:paraId="7B50E44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69520F3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1,339,567</w:t>
            </w:r>
          </w:p>
        </w:tc>
        <w:tc>
          <w:tcPr>
            <w:tcW w:w="163" w:type="pct"/>
            <w:tcBorders>
              <w:top w:val="nil"/>
              <w:left w:val="nil"/>
              <w:bottom w:val="single" w:sz="4" w:space="0" w:color="auto"/>
              <w:right w:val="single" w:sz="4" w:space="0" w:color="auto"/>
            </w:tcBorders>
            <w:shd w:val="clear" w:color="auto" w:fill="auto"/>
            <w:vAlign w:val="center"/>
            <w:hideMark/>
          </w:tcPr>
          <w:p w14:paraId="0C1FB82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8" w:type="pct"/>
            <w:tcBorders>
              <w:top w:val="nil"/>
              <w:left w:val="nil"/>
              <w:bottom w:val="single" w:sz="4" w:space="0" w:color="auto"/>
              <w:right w:val="single" w:sz="4" w:space="0" w:color="auto"/>
            </w:tcBorders>
            <w:shd w:val="clear" w:color="auto" w:fill="auto"/>
            <w:vAlign w:val="center"/>
            <w:hideMark/>
          </w:tcPr>
          <w:p w14:paraId="37E9A3D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193E3A0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auto" w:fill="auto"/>
            <w:vAlign w:val="center"/>
            <w:hideMark/>
          </w:tcPr>
          <w:p w14:paraId="0344113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2,679,134</w:t>
            </w:r>
          </w:p>
        </w:tc>
        <w:tc>
          <w:tcPr>
            <w:tcW w:w="163" w:type="pct"/>
            <w:tcBorders>
              <w:top w:val="nil"/>
              <w:left w:val="nil"/>
              <w:bottom w:val="single" w:sz="4" w:space="0" w:color="auto"/>
              <w:right w:val="single" w:sz="4" w:space="0" w:color="auto"/>
            </w:tcBorders>
            <w:shd w:val="clear" w:color="auto" w:fill="auto"/>
            <w:vAlign w:val="center"/>
            <w:hideMark/>
          </w:tcPr>
          <w:p w14:paraId="6555C83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26EFDB2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2,679,134</w:t>
            </w:r>
          </w:p>
        </w:tc>
        <w:tc>
          <w:tcPr>
            <w:tcW w:w="163" w:type="pct"/>
            <w:tcBorders>
              <w:top w:val="nil"/>
              <w:left w:val="nil"/>
              <w:bottom w:val="single" w:sz="4" w:space="0" w:color="auto"/>
              <w:right w:val="single" w:sz="4" w:space="0" w:color="auto"/>
            </w:tcBorders>
            <w:shd w:val="clear" w:color="auto" w:fill="auto"/>
            <w:vAlign w:val="center"/>
            <w:hideMark/>
          </w:tcPr>
          <w:p w14:paraId="5AB63AF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2,079,134</w:t>
            </w:r>
          </w:p>
        </w:tc>
        <w:tc>
          <w:tcPr>
            <w:tcW w:w="155" w:type="pct"/>
            <w:tcBorders>
              <w:top w:val="nil"/>
              <w:left w:val="nil"/>
              <w:bottom w:val="single" w:sz="4" w:space="0" w:color="auto"/>
              <w:right w:val="single" w:sz="4" w:space="0" w:color="auto"/>
            </w:tcBorders>
            <w:shd w:val="clear" w:color="auto" w:fill="auto"/>
            <w:vAlign w:val="center"/>
            <w:hideMark/>
          </w:tcPr>
          <w:p w14:paraId="1C019FA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055695C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2,079,134</w:t>
            </w:r>
          </w:p>
        </w:tc>
        <w:tc>
          <w:tcPr>
            <w:tcW w:w="162" w:type="pct"/>
            <w:tcBorders>
              <w:top w:val="nil"/>
              <w:left w:val="nil"/>
              <w:bottom w:val="single" w:sz="4" w:space="0" w:color="auto"/>
              <w:right w:val="single" w:sz="4" w:space="0" w:color="auto"/>
            </w:tcBorders>
            <w:shd w:val="clear" w:color="auto" w:fill="auto"/>
            <w:vAlign w:val="center"/>
            <w:hideMark/>
          </w:tcPr>
          <w:p w14:paraId="65BD7B9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600,000</w:t>
            </w:r>
          </w:p>
        </w:tc>
        <w:tc>
          <w:tcPr>
            <w:tcW w:w="155" w:type="pct"/>
            <w:tcBorders>
              <w:top w:val="nil"/>
              <w:left w:val="nil"/>
              <w:bottom w:val="single" w:sz="4" w:space="0" w:color="auto"/>
              <w:right w:val="single" w:sz="4" w:space="0" w:color="auto"/>
            </w:tcBorders>
            <w:shd w:val="clear" w:color="auto" w:fill="auto"/>
            <w:vAlign w:val="center"/>
            <w:hideMark/>
          </w:tcPr>
          <w:p w14:paraId="313A35F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2134A80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EUAA, UNHCR</w:t>
            </w:r>
          </w:p>
        </w:tc>
        <w:tc>
          <w:tcPr>
            <w:tcW w:w="163" w:type="pct"/>
            <w:tcBorders>
              <w:top w:val="nil"/>
              <w:left w:val="nil"/>
              <w:bottom w:val="single" w:sz="4" w:space="0" w:color="auto"/>
              <w:right w:val="single" w:sz="4" w:space="0" w:color="auto"/>
            </w:tcBorders>
            <w:shd w:val="clear" w:color="000000" w:fill="FFF2CC"/>
            <w:vAlign w:val="center"/>
            <w:hideMark/>
          </w:tcPr>
          <w:p w14:paraId="7C1F254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600,000</w:t>
            </w:r>
          </w:p>
        </w:tc>
        <w:tc>
          <w:tcPr>
            <w:tcW w:w="139" w:type="pct"/>
            <w:tcBorders>
              <w:top w:val="nil"/>
              <w:left w:val="nil"/>
              <w:bottom w:val="single" w:sz="4" w:space="0" w:color="auto"/>
              <w:right w:val="single" w:sz="4" w:space="0" w:color="auto"/>
            </w:tcBorders>
            <w:shd w:val="clear" w:color="auto" w:fill="auto"/>
            <w:vAlign w:val="center"/>
            <w:hideMark/>
          </w:tcPr>
          <w:p w14:paraId="51E6F87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24D743C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714EF80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7D8D6E11" w14:textId="69B089CF"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02B70BDC"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4E7FD859"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3.1.2.2</w:t>
            </w:r>
          </w:p>
        </w:tc>
        <w:tc>
          <w:tcPr>
            <w:tcW w:w="281" w:type="pct"/>
            <w:tcBorders>
              <w:top w:val="nil"/>
              <w:left w:val="nil"/>
              <w:bottom w:val="single" w:sz="4" w:space="0" w:color="auto"/>
              <w:right w:val="single" w:sz="4" w:space="0" w:color="auto"/>
            </w:tcBorders>
            <w:shd w:val="clear" w:color="auto" w:fill="auto"/>
            <w:vAlign w:val="center"/>
            <w:hideMark/>
          </w:tcPr>
          <w:p w14:paraId="199BA6C0" w14:textId="59A23CDE"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3.1.2.2 Rritja e aksesit në shërbime publike për</w:t>
            </w:r>
            <w:r w:rsidR="0006016F" w:rsidRPr="00B457F5">
              <w:rPr>
                <w:rFonts w:ascii="Garamond" w:eastAsia="Times New Roman" w:hAnsi="Garamond" w:cs="Times New Roman"/>
                <w:color w:val="000000"/>
                <w:sz w:val="4"/>
                <w:szCs w:val="10"/>
              </w:rPr>
              <w:t xml:space="preserve"> </w:t>
            </w:r>
            <w:r w:rsidRPr="00B457F5">
              <w:rPr>
                <w:rFonts w:ascii="Garamond" w:eastAsia="Times New Roman" w:hAnsi="Garamond" w:cs="Times New Roman"/>
                <w:color w:val="000000"/>
                <w:sz w:val="4"/>
                <w:szCs w:val="10"/>
              </w:rPr>
              <w:t>migrantët duke u dhënë informacion (faqe interneti, aplikacione celulari, fletëpalosje, pika konsultative në zyra shtetërore) për pranueshmërinë, të drejtat, dokumentacionin e nevojshëm, në gjuhët që përdorin ata</w:t>
            </w:r>
          </w:p>
        </w:tc>
        <w:tc>
          <w:tcPr>
            <w:tcW w:w="186" w:type="pct"/>
            <w:tcBorders>
              <w:top w:val="nil"/>
              <w:left w:val="nil"/>
              <w:bottom w:val="single" w:sz="4" w:space="0" w:color="auto"/>
              <w:right w:val="single" w:sz="4" w:space="0" w:color="auto"/>
            </w:tcBorders>
            <w:shd w:val="clear" w:color="auto" w:fill="auto"/>
            <w:vAlign w:val="center"/>
            <w:hideMark/>
          </w:tcPr>
          <w:p w14:paraId="0358D41E" w14:textId="3609AC8E"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 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01CE378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MB </w:t>
            </w:r>
          </w:p>
        </w:tc>
        <w:tc>
          <w:tcPr>
            <w:tcW w:w="244" w:type="pct"/>
            <w:tcBorders>
              <w:top w:val="nil"/>
              <w:left w:val="nil"/>
              <w:bottom w:val="single" w:sz="4" w:space="0" w:color="auto"/>
              <w:right w:val="single" w:sz="4" w:space="0" w:color="auto"/>
            </w:tcBorders>
            <w:shd w:val="clear" w:color="auto" w:fill="auto"/>
            <w:vAlign w:val="center"/>
            <w:hideMark/>
          </w:tcPr>
          <w:p w14:paraId="5F33F09B" w14:textId="41AFE9AA"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 Të gjitha ministritë e linjës, EUAA, UNHCR </w:t>
            </w:r>
          </w:p>
        </w:tc>
        <w:tc>
          <w:tcPr>
            <w:tcW w:w="135" w:type="pct"/>
            <w:tcBorders>
              <w:top w:val="nil"/>
              <w:left w:val="nil"/>
              <w:bottom w:val="single" w:sz="4" w:space="0" w:color="auto"/>
              <w:right w:val="single" w:sz="4" w:space="0" w:color="auto"/>
            </w:tcBorders>
            <w:shd w:val="clear" w:color="000000" w:fill="DDEBF7"/>
            <w:vAlign w:val="center"/>
            <w:hideMark/>
          </w:tcPr>
          <w:p w14:paraId="66A2529C"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2025</w:t>
            </w:r>
          </w:p>
        </w:tc>
        <w:tc>
          <w:tcPr>
            <w:tcW w:w="152" w:type="pct"/>
            <w:tcBorders>
              <w:top w:val="nil"/>
              <w:left w:val="nil"/>
              <w:bottom w:val="single" w:sz="4" w:space="0" w:color="auto"/>
              <w:right w:val="single" w:sz="4" w:space="0" w:color="auto"/>
            </w:tcBorders>
            <w:shd w:val="clear" w:color="000000" w:fill="DDEBF7"/>
            <w:vAlign w:val="center"/>
            <w:hideMark/>
          </w:tcPr>
          <w:p w14:paraId="7C481584"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2026 </w:t>
            </w:r>
          </w:p>
        </w:tc>
        <w:tc>
          <w:tcPr>
            <w:tcW w:w="163" w:type="pct"/>
            <w:tcBorders>
              <w:top w:val="nil"/>
              <w:left w:val="nil"/>
              <w:bottom w:val="single" w:sz="4" w:space="0" w:color="auto"/>
              <w:right w:val="single" w:sz="4" w:space="0" w:color="auto"/>
            </w:tcBorders>
            <w:shd w:val="clear" w:color="auto" w:fill="auto"/>
            <w:vAlign w:val="center"/>
            <w:hideMark/>
          </w:tcPr>
          <w:p w14:paraId="746E69E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1,399,567</w:t>
            </w:r>
          </w:p>
        </w:tc>
        <w:tc>
          <w:tcPr>
            <w:tcW w:w="155" w:type="pct"/>
            <w:tcBorders>
              <w:top w:val="nil"/>
              <w:left w:val="nil"/>
              <w:bottom w:val="single" w:sz="4" w:space="0" w:color="auto"/>
              <w:right w:val="single" w:sz="4" w:space="0" w:color="auto"/>
            </w:tcBorders>
            <w:shd w:val="clear" w:color="auto" w:fill="auto"/>
            <w:vAlign w:val="center"/>
            <w:hideMark/>
          </w:tcPr>
          <w:p w14:paraId="4AE1B3F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4FC2A82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1,399,567</w:t>
            </w:r>
          </w:p>
        </w:tc>
        <w:tc>
          <w:tcPr>
            <w:tcW w:w="165" w:type="pct"/>
            <w:tcBorders>
              <w:top w:val="nil"/>
              <w:left w:val="nil"/>
              <w:bottom w:val="single" w:sz="4" w:space="0" w:color="auto"/>
              <w:right w:val="single" w:sz="4" w:space="0" w:color="auto"/>
            </w:tcBorders>
            <w:shd w:val="clear" w:color="auto" w:fill="auto"/>
            <w:vAlign w:val="center"/>
            <w:hideMark/>
          </w:tcPr>
          <w:p w14:paraId="79B8F52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1,399,567</w:t>
            </w:r>
          </w:p>
        </w:tc>
        <w:tc>
          <w:tcPr>
            <w:tcW w:w="163" w:type="pct"/>
            <w:tcBorders>
              <w:top w:val="nil"/>
              <w:left w:val="nil"/>
              <w:bottom w:val="single" w:sz="4" w:space="0" w:color="auto"/>
              <w:right w:val="single" w:sz="4" w:space="0" w:color="auto"/>
            </w:tcBorders>
            <w:shd w:val="clear" w:color="auto" w:fill="auto"/>
            <w:vAlign w:val="center"/>
            <w:hideMark/>
          </w:tcPr>
          <w:p w14:paraId="47A2642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3BE873B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1,399,567</w:t>
            </w:r>
          </w:p>
        </w:tc>
        <w:tc>
          <w:tcPr>
            <w:tcW w:w="163" w:type="pct"/>
            <w:tcBorders>
              <w:top w:val="nil"/>
              <w:left w:val="nil"/>
              <w:bottom w:val="single" w:sz="4" w:space="0" w:color="auto"/>
              <w:right w:val="single" w:sz="4" w:space="0" w:color="auto"/>
            </w:tcBorders>
            <w:shd w:val="clear" w:color="auto" w:fill="auto"/>
            <w:vAlign w:val="center"/>
            <w:hideMark/>
          </w:tcPr>
          <w:p w14:paraId="5FAD48D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48" w:type="pct"/>
            <w:tcBorders>
              <w:top w:val="nil"/>
              <w:left w:val="nil"/>
              <w:bottom w:val="single" w:sz="4" w:space="0" w:color="auto"/>
              <w:right w:val="single" w:sz="4" w:space="0" w:color="auto"/>
            </w:tcBorders>
            <w:shd w:val="clear" w:color="auto" w:fill="auto"/>
            <w:vAlign w:val="center"/>
            <w:hideMark/>
          </w:tcPr>
          <w:p w14:paraId="15D053D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742E5DD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auto" w:fill="auto"/>
            <w:vAlign w:val="center"/>
            <w:hideMark/>
          </w:tcPr>
          <w:p w14:paraId="31D2D40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2,799,134</w:t>
            </w:r>
          </w:p>
        </w:tc>
        <w:tc>
          <w:tcPr>
            <w:tcW w:w="163" w:type="pct"/>
            <w:tcBorders>
              <w:top w:val="nil"/>
              <w:left w:val="nil"/>
              <w:bottom w:val="single" w:sz="4" w:space="0" w:color="auto"/>
              <w:right w:val="single" w:sz="4" w:space="0" w:color="auto"/>
            </w:tcBorders>
            <w:shd w:val="clear" w:color="auto" w:fill="auto"/>
            <w:vAlign w:val="center"/>
            <w:hideMark/>
          </w:tcPr>
          <w:p w14:paraId="001DD39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1349F0D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2,799,134</w:t>
            </w:r>
          </w:p>
        </w:tc>
        <w:tc>
          <w:tcPr>
            <w:tcW w:w="163" w:type="pct"/>
            <w:tcBorders>
              <w:top w:val="nil"/>
              <w:left w:val="nil"/>
              <w:bottom w:val="single" w:sz="4" w:space="0" w:color="auto"/>
              <w:right w:val="single" w:sz="4" w:space="0" w:color="auto"/>
            </w:tcBorders>
            <w:shd w:val="clear" w:color="auto" w:fill="auto"/>
            <w:vAlign w:val="center"/>
            <w:hideMark/>
          </w:tcPr>
          <w:p w14:paraId="16A8299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2,079,134</w:t>
            </w:r>
          </w:p>
        </w:tc>
        <w:tc>
          <w:tcPr>
            <w:tcW w:w="155" w:type="pct"/>
            <w:tcBorders>
              <w:top w:val="nil"/>
              <w:left w:val="nil"/>
              <w:bottom w:val="single" w:sz="4" w:space="0" w:color="auto"/>
              <w:right w:val="single" w:sz="4" w:space="0" w:color="auto"/>
            </w:tcBorders>
            <w:shd w:val="clear" w:color="auto" w:fill="auto"/>
            <w:vAlign w:val="center"/>
            <w:hideMark/>
          </w:tcPr>
          <w:p w14:paraId="4C4F64E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1CDE5A3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2,079,134</w:t>
            </w:r>
          </w:p>
        </w:tc>
        <w:tc>
          <w:tcPr>
            <w:tcW w:w="162" w:type="pct"/>
            <w:tcBorders>
              <w:top w:val="nil"/>
              <w:left w:val="nil"/>
              <w:bottom w:val="single" w:sz="4" w:space="0" w:color="auto"/>
              <w:right w:val="single" w:sz="4" w:space="0" w:color="auto"/>
            </w:tcBorders>
            <w:shd w:val="clear" w:color="auto" w:fill="auto"/>
            <w:vAlign w:val="center"/>
            <w:hideMark/>
          </w:tcPr>
          <w:p w14:paraId="19380F2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720,000</w:t>
            </w:r>
          </w:p>
        </w:tc>
        <w:tc>
          <w:tcPr>
            <w:tcW w:w="155" w:type="pct"/>
            <w:tcBorders>
              <w:top w:val="nil"/>
              <w:left w:val="nil"/>
              <w:bottom w:val="single" w:sz="4" w:space="0" w:color="auto"/>
              <w:right w:val="single" w:sz="4" w:space="0" w:color="auto"/>
            </w:tcBorders>
            <w:shd w:val="clear" w:color="auto" w:fill="auto"/>
            <w:vAlign w:val="center"/>
            <w:hideMark/>
          </w:tcPr>
          <w:p w14:paraId="16A9375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74BCA99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EUAA, UNHCR</w:t>
            </w:r>
          </w:p>
        </w:tc>
        <w:tc>
          <w:tcPr>
            <w:tcW w:w="163" w:type="pct"/>
            <w:tcBorders>
              <w:top w:val="nil"/>
              <w:left w:val="nil"/>
              <w:bottom w:val="single" w:sz="4" w:space="0" w:color="auto"/>
              <w:right w:val="single" w:sz="4" w:space="0" w:color="auto"/>
            </w:tcBorders>
            <w:shd w:val="clear" w:color="000000" w:fill="FFF2CC"/>
            <w:vAlign w:val="center"/>
            <w:hideMark/>
          </w:tcPr>
          <w:p w14:paraId="04C4084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720,000</w:t>
            </w:r>
          </w:p>
        </w:tc>
        <w:tc>
          <w:tcPr>
            <w:tcW w:w="139" w:type="pct"/>
            <w:tcBorders>
              <w:top w:val="nil"/>
              <w:left w:val="nil"/>
              <w:bottom w:val="single" w:sz="4" w:space="0" w:color="auto"/>
              <w:right w:val="single" w:sz="4" w:space="0" w:color="auto"/>
            </w:tcBorders>
            <w:shd w:val="clear" w:color="auto" w:fill="auto"/>
            <w:vAlign w:val="center"/>
            <w:hideMark/>
          </w:tcPr>
          <w:p w14:paraId="6F7DC18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4676A4B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509B168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68BBABB4" w14:textId="34A3B3D9"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34392B35"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434EA6E0"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3.1.2.3</w:t>
            </w:r>
          </w:p>
        </w:tc>
        <w:tc>
          <w:tcPr>
            <w:tcW w:w="281" w:type="pct"/>
            <w:tcBorders>
              <w:top w:val="nil"/>
              <w:left w:val="nil"/>
              <w:bottom w:val="single" w:sz="4" w:space="0" w:color="auto"/>
              <w:right w:val="single" w:sz="4" w:space="0" w:color="auto"/>
            </w:tcBorders>
            <w:shd w:val="clear" w:color="auto" w:fill="auto"/>
            <w:vAlign w:val="center"/>
            <w:hideMark/>
          </w:tcPr>
          <w:p w14:paraId="3B64C2CF" w14:textId="732A06F4"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3.1.2.3 Ofrimi i një rruge </w:t>
            </w:r>
            <w:r w:rsidR="006E177B" w:rsidRPr="00B457F5">
              <w:rPr>
                <w:rFonts w:ascii="Garamond" w:eastAsia="Times New Roman" w:hAnsi="Garamond" w:cs="Times New Roman"/>
                <w:color w:val="000000"/>
                <w:sz w:val="4"/>
                <w:szCs w:val="10"/>
              </w:rPr>
              <w:t xml:space="preserve">të </w:t>
            </w:r>
            <w:r w:rsidRPr="00B457F5">
              <w:rPr>
                <w:rFonts w:ascii="Garamond" w:eastAsia="Times New Roman" w:hAnsi="Garamond" w:cs="Times New Roman"/>
                <w:color w:val="000000"/>
                <w:sz w:val="4"/>
                <w:szCs w:val="10"/>
              </w:rPr>
              <w:t xml:space="preserve">qartë për përfitimin e </w:t>
            </w:r>
            <w:r w:rsidR="00E92B0D" w:rsidRPr="00B457F5">
              <w:rPr>
                <w:rFonts w:ascii="Garamond" w:eastAsia="Times New Roman" w:hAnsi="Garamond" w:cs="Times New Roman"/>
                <w:color w:val="000000"/>
                <w:sz w:val="4"/>
                <w:szCs w:val="10"/>
              </w:rPr>
              <w:t>shtetësisë</w:t>
            </w:r>
            <w:r w:rsidR="0006016F" w:rsidRPr="00B457F5">
              <w:rPr>
                <w:rFonts w:ascii="Garamond" w:eastAsia="Times New Roman" w:hAnsi="Garamond" w:cs="Times New Roman"/>
                <w:color w:val="000000"/>
                <w:sz w:val="4"/>
                <w:szCs w:val="10"/>
              </w:rPr>
              <w:t xml:space="preserve"> </w:t>
            </w:r>
            <w:r w:rsidRPr="00B457F5">
              <w:rPr>
                <w:rFonts w:ascii="Garamond" w:eastAsia="Times New Roman" w:hAnsi="Garamond" w:cs="Times New Roman"/>
                <w:color w:val="000000"/>
                <w:sz w:val="4"/>
                <w:szCs w:val="10"/>
              </w:rPr>
              <w:t>duke informu</w:t>
            </w:r>
            <w:r w:rsidR="006E177B" w:rsidRPr="00B457F5">
              <w:rPr>
                <w:rFonts w:ascii="Garamond" w:eastAsia="Times New Roman" w:hAnsi="Garamond" w:cs="Times New Roman"/>
                <w:color w:val="000000"/>
                <w:sz w:val="4"/>
                <w:szCs w:val="10"/>
              </w:rPr>
              <w:t>ar</w:t>
            </w:r>
            <w:r w:rsidRPr="00B457F5">
              <w:rPr>
                <w:rFonts w:ascii="Garamond" w:eastAsia="Times New Roman" w:hAnsi="Garamond" w:cs="Times New Roman"/>
                <w:color w:val="000000"/>
                <w:sz w:val="4"/>
                <w:szCs w:val="10"/>
              </w:rPr>
              <w:t xml:space="preserve"> për aplikantët për qëndrim afatgjatë, që interpreton qartë kërkesat (sidomos periudha e qëndrimit pa ndërprerje dhe njohuritë gjuhësore) dhe të përshkruhet procedura</w:t>
            </w:r>
          </w:p>
        </w:tc>
        <w:tc>
          <w:tcPr>
            <w:tcW w:w="186" w:type="pct"/>
            <w:tcBorders>
              <w:top w:val="nil"/>
              <w:left w:val="nil"/>
              <w:bottom w:val="single" w:sz="4" w:space="0" w:color="auto"/>
              <w:right w:val="single" w:sz="4" w:space="0" w:color="auto"/>
            </w:tcBorders>
            <w:shd w:val="clear" w:color="auto" w:fill="auto"/>
            <w:vAlign w:val="center"/>
            <w:hideMark/>
          </w:tcPr>
          <w:p w14:paraId="23924B1B" w14:textId="663ED191"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E92B0D" w:rsidRPr="00B457F5">
              <w:rPr>
                <w:rFonts w:ascii="Garamond" w:eastAsia="Times New Roman" w:hAnsi="Garamond" w:cs="Times New Roman"/>
                <w:color w:val="FF0000"/>
                <w:sz w:val="4"/>
                <w:szCs w:val="10"/>
              </w:rPr>
              <w:t>Punës</w:t>
            </w:r>
          </w:p>
        </w:tc>
        <w:tc>
          <w:tcPr>
            <w:tcW w:w="169" w:type="pct"/>
            <w:tcBorders>
              <w:top w:val="nil"/>
              <w:left w:val="nil"/>
              <w:bottom w:val="single" w:sz="4" w:space="0" w:color="auto"/>
              <w:right w:val="single" w:sz="4" w:space="0" w:color="auto"/>
            </w:tcBorders>
            <w:shd w:val="clear" w:color="auto" w:fill="auto"/>
            <w:vAlign w:val="center"/>
            <w:hideMark/>
          </w:tcPr>
          <w:p w14:paraId="3E57FE5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MEKI</w:t>
            </w:r>
          </w:p>
        </w:tc>
        <w:tc>
          <w:tcPr>
            <w:tcW w:w="244" w:type="pct"/>
            <w:tcBorders>
              <w:top w:val="nil"/>
              <w:left w:val="nil"/>
              <w:bottom w:val="single" w:sz="4" w:space="0" w:color="auto"/>
              <w:right w:val="single" w:sz="4" w:space="0" w:color="auto"/>
            </w:tcBorders>
            <w:shd w:val="clear" w:color="auto" w:fill="auto"/>
            <w:vAlign w:val="center"/>
            <w:hideMark/>
          </w:tcPr>
          <w:p w14:paraId="50C5E81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 EUAA, UNHCR</w:t>
            </w:r>
          </w:p>
        </w:tc>
        <w:tc>
          <w:tcPr>
            <w:tcW w:w="135" w:type="pct"/>
            <w:tcBorders>
              <w:top w:val="nil"/>
              <w:left w:val="nil"/>
              <w:bottom w:val="single" w:sz="4" w:space="0" w:color="auto"/>
              <w:right w:val="single" w:sz="4" w:space="0" w:color="auto"/>
            </w:tcBorders>
            <w:shd w:val="clear" w:color="000000" w:fill="DDEBF7"/>
            <w:vAlign w:val="center"/>
            <w:hideMark/>
          </w:tcPr>
          <w:p w14:paraId="53648314"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52058B3A"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39BB1EA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863,212</w:t>
            </w:r>
          </w:p>
        </w:tc>
        <w:tc>
          <w:tcPr>
            <w:tcW w:w="155" w:type="pct"/>
            <w:tcBorders>
              <w:top w:val="nil"/>
              <w:left w:val="nil"/>
              <w:bottom w:val="single" w:sz="4" w:space="0" w:color="auto"/>
              <w:right w:val="single" w:sz="4" w:space="0" w:color="auto"/>
            </w:tcBorders>
            <w:shd w:val="clear" w:color="auto" w:fill="auto"/>
            <w:vAlign w:val="center"/>
            <w:hideMark/>
          </w:tcPr>
          <w:p w14:paraId="5A943D7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0407ED8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863,212</w:t>
            </w:r>
          </w:p>
        </w:tc>
        <w:tc>
          <w:tcPr>
            <w:tcW w:w="165" w:type="pct"/>
            <w:tcBorders>
              <w:top w:val="nil"/>
              <w:left w:val="nil"/>
              <w:bottom w:val="single" w:sz="4" w:space="0" w:color="auto"/>
              <w:right w:val="single" w:sz="4" w:space="0" w:color="auto"/>
            </w:tcBorders>
            <w:shd w:val="clear" w:color="auto" w:fill="auto"/>
            <w:vAlign w:val="center"/>
            <w:hideMark/>
          </w:tcPr>
          <w:p w14:paraId="3F303D5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863,212</w:t>
            </w:r>
          </w:p>
        </w:tc>
        <w:tc>
          <w:tcPr>
            <w:tcW w:w="163" w:type="pct"/>
            <w:tcBorders>
              <w:top w:val="nil"/>
              <w:left w:val="nil"/>
              <w:bottom w:val="single" w:sz="4" w:space="0" w:color="auto"/>
              <w:right w:val="single" w:sz="4" w:space="0" w:color="auto"/>
            </w:tcBorders>
            <w:shd w:val="clear" w:color="auto" w:fill="auto"/>
            <w:vAlign w:val="center"/>
            <w:hideMark/>
          </w:tcPr>
          <w:p w14:paraId="38AD2E2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66CFA2C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863,212</w:t>
            </w:r>
          </w:p>
        </w:tc>
        <w:tc>
          <w:tcPr>
            <w:tcW w:w="163" w:type="pct"/>
            <w:tcBorders>
              <w:top w:val="nil"/>
              <w:left w:val="nil"/>
              <w:bottom w:val="single" w:sz="4" w:space="0" w:color="auto"/>
              <w:right w:val="single" w:sz="4" w:space="0" w:color="auto"/>
            </w:tcBorders>
            <w:shd w:val="clear" w:color="auto" w:fill="auto"/>
            <w:vAlign w:val="center"/>
            <w:hideMark/>
          </w:tcPr>
          <w:p w14:paraId="46A53AC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863,212</w:t>
            </w:r>
          </w:p>
        </w:tc>
        <w:tc>
          <w:tcPr>
            <w:tcW w:w="148" w:type="pct"/>
            <w:tcBorders>
              <w:top w:val="nil"/>
              <w:left w:val="nil"/>
              <w:bottom w:val="single" w:sz="4" w:space="0" w:color="auto"/>
              <w:right w:val="single" w:sz="4" w:space="0" w:color="auto"/>
            </w:tcBorders>
            <w:shd w:val="clear" w:color="auto" w:fill="auto"/>
            <w:vAlign w:val="center"/>
            <w:hideMark/>
          </w:tcPr>
          <w:p w14:paraId="4BCD003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128E3DF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863,212</w:t>
            </w:r>
          </w:p>
        </w:tc>
        <w:tc>
          <w:tcPr>
            <w:tcW w:w="165" w:type="pct"/>
            <w:tcBorders>
              <w:top w:val="nil"/>
              <w:left w:val="nil"/>
              <w:bottom w:val="single" w:sz="4" w:space="0" w:color="auto"/>
              <w:right w:val="single" w:sz="4" w:space="0" w:color="auto"/>
            </w:tcBorders>
            <w:shd w:val="clear" w:color="auto" w:fill="auto"/>
            <w:vAlign w:val="center"/>
            <w:hideMark/>
          </w:tcPr>
          <w:p w14:paraId="75EBC32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2,589,636</w:t>
            </w:r>
          </w:p>
        </w:tc>
        <w:tc>
          <w:tcPr>
            <w:tcW w:w="163" w:type="pct"/>
            <w:tcBorders>
              <w:top w:val="nil"/>
              <w:left w:val="nil"/>
              <w:bottom w:val="single" w:sz="4" w:space="0" w:color="auto"/>
              <w:right w:val="single" w:sz="4" w:space="0" w:color="auto"/>
            </w:tcBorders>
            <w:shd w:val="clear" w:color="auto" w:fill="auto"/>
            <w:vAlign w:val="center"/>
            <w:hideMark/>
          </w:tcPr>
          <w:p w14:paraId="70A9D51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3E613A0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2,589,636</w:t>
            </w:r>
          </w:p>
        </w:tc>
        <w:tc>
          <w:tcPr>
            <w:tcW w:w="163" w:type="pct"/>
            <w:tcBorders>
              <w:top w:val="nil"/>
              <w:left w:val="nil"/>
              <w:bottom w:val="single" w:sz="4" w:space="0" w:color="auto"/>
              <w:right w:val="single" w:sz="4" w:space="0" w:color="auto"/>
            </w:tcBorders>
            <w:shd w:val="clear" w:color="auto" w:fill="auto"/>
            <w:vAlign w:val="center"/>
            <w:hideMark/>
          </w:tcPr>
          <w:p w14:paraId="32FD35C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3704F57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544914A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12AAC07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2,589,636</w:t>
            </w:r>
          </w:p>
        </w:tc>
        <w:tc>
          <w:tcPr>
            <w:tcW w:w="155" w:type="pct"/>
            <w:tcBorders>
              <w:top w:val="nil"/>
              <w:left w:val="nil"/>
              <w:bottom w:val="single" w:sz="4" w:space="0" w:color="auto"/>
              <w:right w:val="single" w:sz="4" w:space="0" w:color="auto"/>
            </w:tcBorders>
            <w:shd w:val="clear" w:color="auto" w:fill="auto"/>
            <w:vAlign w:val="center"/>
            <w:hideMark/>
          </w:tcPr>
          <w:p w14:paraId="3BA533C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4BBFF76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EUAA, UNHCR</w:t>
            </w:r>
          </w:p>
        </w:tc>
        <w:tc>
          <w:tcPr>
            <w:tcW w:w="163" w:type="pct"/>
            <w:tcBorders>
              <w:top w:val="nil"/>
              <w:left w:val="nil"/>
              <w:bottom w:val="single" w:sz="4" w:space="0" w:color="auto"/>
              <w:right w:val="single" w:sz="4" w:space="0" w:color="auto"/>
            </w:tcBorders>
            <w:shd w:val="clear" w:color="000000" w:fill="FFF2CC"/>
            <w:vAlign w:val="center"/>
            <w:hideMark/>
          </w:tcPr>
          <w:p w14:paraId="1E83781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2,589,636</w:t>
            </w:r>
          </w:p>
        </w:tc>
        <w:tc>
          <w:tcPr>
            <w:tcW w:w="139" w:type="pct"/>
            <w:tcBorders>
              <w:top w:val="nil"/>
              <w:left w:val="nil"/>
              <w:bottom w:val="single" w:sz="4" w:space="0" w:color="auto"/>
              <w:right w:val="single" w:sz="4" w:space="0" w:color="auto"/>
            </w:tcBorders>
            <w:shd w:val="clear" w:color="auto" w:fill="auto"/>
            <w:vAlign w:val="center"/>
            <w:hideMark/>
          </w:tcPr>
          <w:p w14:paraId="34A321B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715119A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4F523A5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2095F733" w14:textId="07376A05"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267BCBF2"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103B5544"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3.1.2.4</w:t>
            </w:r>
          </w:p>
        </w:tc>
        <w:tc>
          <w:tcPr>
            <w:tcW w:w="281" w:type="pct"/>
            <w:tcBorders>
              <w:top w:val="nil"/>
              <w:left w:val="nil"/>
              <w:bottom w:val="single" w:sz="4" w:space="0" w:color="auto"/>
              <w:right w:val="single" w:sz="4" w:space="0" w:color="auto"/>
            </w:tcBorders>
            <w:shd w:val="clear" w:color="auto" w:fill="auto"/>
            <w:vAlign w:val="center"/>
            <w:hideMark/>
          </w:tcPr>
          <w:p w14:paraId="4F42D058" w14:textId="420CCC76"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3.1.2.4 Të trajnohen mjekët, infermierët dhe stafi spitalor dhe i kujdesit shëndetësor që të përmirësohen shërbimet ndaj të huajve dhe punëtorëve migrantë në vend</w:t>
            </w:r>
            <w:r w:rsidR="006E177B"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duke kuptuar më mirë përcaktuesit e risqeve përkatëse shëndetësore dhe sociale</w:t>
            </w:r>
            <w:r w:rsidR="006E177B"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si edhe ndikimin e kulturës tek shëndeti dhe sëmundjet</w:t>
            </w:r>
          </w:p>
        </w:tc>
        <w:tc>
          <w:tcPr>
            <w:tcW w:w="186" w:type="pct"/>
            <w:tcBorders>
              <w:top w:val="nil"/>
              <w:left w:val="nil"/>
              <w:bottom w:val="single" w:sz="4" w:space="0" w:color="auto"/>
              <w:right w:val="single" w:sz="4" w:space="0" w:color="auto"/>
            </w:tcBorders>
            <w:shd w:val="clear" w:color="auto" w:fill="auto"/>
            <w:vAlign w:val="center"/>
            <w:hideMark/>
          </w:tcPr>
          <w:p w14:paraId="513F941D" w14:textId="49538EA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07220 </w:t>
            </w:r>
            <w:r w:rsidR="00E92B0D" w:rsidRPr="00B457F5">
              <w:rPr>
                <w:rFonts w:ascii="Garamond" w:eastAsia="Times New Roman" w:hAnsi="Garamond" w:cs="Times New Roman"/>
                <w:color w:val="FF0000"/>
                <w:sz w:val="4"/>
                <w:szCs w:val="10"/>
              </w:rPr>
              <w:t>Shërbimet</w:t>
            </w:r>
            <w:r w:rsidRPr="00B457F5">
              <w:rPr>
                <w:rFonts w:ascii="Garamond" w:eastAsia="Times New Roman" w:hAnsi="Garamond" w:cs="Times New Roman"/>
                <w:color w:val="FF0000"/>
                <w:sz w:val="4"/>
                <w:szCs w:val="10"/>
              </w:rPr>
              <w:t xml:space="preserve"> e Kujdesit </w:t>
            </w:r>
            <w:r w:rsidR="00E92B0D" w:rsidRPr="00B457F5">
              <w:rPr>
                <w:rFonts w:ascii="Garamond" w:eastAsia="Times New Roman" w:hAnsi="Garamond" w:cs="Times New Roman"/>
                <w:color w:val="FF0000"/>
                <w:sz w:val="4"/>
                <w:szCs w:val="10"/>
              </w:rPr>
              <w:t>Parësor</w:t>
            </w:r>
            <w:r w:rsidRPr="00B457F5">
              <w:rPr>
                <w:rFonts w:ascii="Garamond" w:eastAsia="Times New Roman" w:hAnsi="Garamond" w:cs="Times New Roman"/>
                <w:color w:val="FF0000"/>
                <w:sz w:val="4"/>
                <w:szCs w:val="10"/>
              </w:rPr>
              <w:t xml:space="preserve">, 07330 </w:t>
            </w:r>
            <w:r w:rsidR="00E92B0D" w:rsidRPr="00B457F5">
              <w:rPr>
                <w:rFonts w:ascii="Garamond" w:eastAsia="Times New Roman" w:hAnsi="Garamond" w:cs="Times New Roman"/>
                <w:color w:val="FF0000"/>
                <w:sz w:val="4"/>
                <w:szCs w:val="10"/>
              </w:rPr>
              <w:t>Shërbimet</w:t>
            </w:r>
            <w:r w:rsidRPr="00B457F5">
              <w:rPr>
                <w:rFonts w:ascii="Garamond" w:eastAsia="Times New Roman" w:hAnsi="Garamond" w:cs="Times New Roman"/>
                <w:color w:val="FF0000"/>
                <w:sz w:val="4"/>
                <w:szCs w:val="10"/>
              </w:rPr>
              <w:t xml:space="preserve"> e Kujdesit </w:t>
            </w:r>
            <w:r w:rsidR="00E92B0D" w:rsidRPr="00B457F5">
              <w:rPr>
                <w:rFonts w:ascii="Garamond" w:eastAsia="Times New Roman" w:hAnsi="Garamond" w:cs="Times New Roman"/>
                <w:color w:val="FF0000"/>
                <w:sz w:val="4"/>
                <w:szCs w:val="10"/>
              </w:rPr>
              <w:t>Dytësor</w:t>
            </w:r>
          </w:p>
        </w:tc>
        <w:tc>
          <w:tcPr>
            <w:tcW w:w="169" w:type="pct"/>
            <w:tcBorders>
              <w:top w:val="nil"/>
              <w:left w:val="nil"/>
              <w:bottom w:val="single" w:sz="4" w:space="0" w:color="auto"/>
              <w:right w:val="single" w:sz="4" w:space="0" w:color="auto"/>
            </w:tcBorders>
            <w:shd w:val="clear" w:color="auto" w:fill="auto"/>
            <w:vAlign w:val="center"/>
            <w:hideMark/>
          </w:tcPr>
          <w:p w14:paraId="0F21F5B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MSHMS</w:t>
            </w:r>
          </w:p>
        </w:tc>
        <w:tc>
          <w:tcPr>
            <w:tcW w:w="244" w:type="pct"/>
            <w:tcBorders>
              <w:top w:val="nil"/>
              <w:left w:val="nil"/>
              <w:bottom w:val="single" w:sz="4" w:space="0" w:color="auto"/>
              <w:right w:val="single" w:sz="4" w:space="0" w:color="auto"/>
            </w:tcBorders>
            <w:shd w:val="clear" w:color="auto" w:fill="auto"/>
            <w:vAlign w:val="center"/>
            <w:hideMark/>
          </w:tcPr>
          <w:p w14:paraId="24DBB3B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 UNHCR</w:t>
            </w:r>
          </w:p>
        </w:tc>
        <w:tc>
          <w:tcPr>
            <w:tcW w:w="135" w:type="pct"/>
            <w:tcBorders>
              <w:top w:val="nil"/>
              <w:left w:val="nil"/>
              <w:bottom w:val="single" w:sz="4" w:space="0" w:color="auto"/>
              <w:right w:val="single" w:sz="4" w:space="0" w:color="auto"/>
            </w:tcBorders>
            <w:shd w:val="clear" w:color="000000" w:fill="DDEBF7"/>
            <w:vAlign w:val="center"/>
            <w:hideMark/>
          </w:tcPr>
          <w:p w14:paraId="1B8A253C"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1DC339A7"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658780C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648,000</w:t>
            </w:r>
          </w:p>
        </w:tc>
        <w:tc>
          <w:tcPr>
            <w:tcW w:w="155" w:type="pct"/>
            <w:tcBorders>
              <w:top w:val="nil"/>
              <w:left w:val="nil"/>
              <w:bottom w:val="single" w:sz="4" w:space="0" w:color="auto"/>
              <w:right w:val="single" w:sz="4" w:space="0" w:color="auto"/>
            </w:tcBorders>
            <w:shd w:val="clear" w:color="auto" w:fill="auto"/>
            <w:vAlign w:val="center"/>
            <w:hideMark/>
          </w:tcPr>
          <w:p w14:paraId="1A6331B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6A77563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648,000</w:t>
            </w:r>
          </w:p>
        </w:tc>
        <w:tc>
          <w:tcPr>
            <w:tcW w:w="165" w:type="pct"/>
            <w:tcBorders>
              <w:top w:val="nil"/>
              <w:left w:val="nil"/>
              <w:bottom w:val="single" w:sz="4" w:space="0" w:color="auto"/>
              <w:right w:val="single" w:sz="4" w:space="0" w:color="auto"/>
            </w:tcBorders>
            <w:shd w:val="clear" w:color="auto" w:fill="auto"/>
            <w:vAlign w:val="center"/>
            <w:hideMark/>
          </w:tcPr>
          <w:p w14:paraId="7F33EEF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648,000</w:t>
            </w:r>
          </w:p>
        </w:tc>
        <w:tc>
          <w:tcPr>
            <w:tcW w:w="163" w:type="pct"/>
            <w:tcBorders>
              <w:top w:val="nil"/>
              <w:left w:val="nil"/>
              <w:bottom w:val="single" w:sz="4" w:space="0" w:color="auto"/>
              <w:right w:val="single" w:sz="4" w:space="0" w:color="auto"/>
            </w:tcBorders>
            <w:shd w:val="clear" w:color="auto" w:fill="auto"/>
            <w:vAlign w:val="center"/>
            <w:hideMark/>
          </w:tcPr>
          <w:p w14:paraId="0663A29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3762716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648,000</w:t>
            </w:r>
          </w:p>
        </w:tc>
        <w:tc>
          <w:tcPr>
            <w:tcW w:w="163" w:type="pct"/>
            <w:tcBorders>
              <w:top w:val="nil"/>
              <w:left w:val="nil"/>
              <w:bottom w:val="single" w:sz="4" w:space="0" w:color="auto"/>
              <w:right w:val="single" w:sz="4" w:space="0" w:color="auto"/>
            </w:tcBorders>
            <w:shd w:val="clear" w:color="auto" w:fill="auto"/>
            <w:vAlign w:val="center"/>
            <w:hideMark/>
          </w:tcPr>
          <w:p w14:paraId="56A616E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648,000</w:t>
            </w:r>
          </w:p>
        </w:tc>
        <w:tc>
          <w:tcPr>
            <w:tcW w:w="148" w:type="pct"/>
            <w:tcBorders>
              <w:top w:val="nil"/>
              <w:left w:val="nil"/>
              <w:bottom w:val="single" w:sz="4" w:space="0" w:color="auto"/>
              <w:right w:val="single" w:sz="4" w:space="0" w:color="auto"/>
            </w:tcBorders>
            <w:shd w:val="clear" w:color="auto" w:fill="auto"/>
            <w:vAlign w:val="center"/>
            <w:hideMark/>
          </w:tcPr>
          <w:p w14:paraId="3CC9472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10BB759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648,000</w:t>
            </w:r>
          </w:p>
        </w:tc>
        <w:tc>
          <w:tcPr>
            <w:tcW w:w="165" w:type="pct"/>
            <w:tcBorders>
              <w:top w:val="nil"/>
              <w:left w:val="nil"/>
              <w:bottom w:val="single" w:sz="4" w:space="0" w:color="auto"/>
              <w:right w:val="single" w:sz="4" w:space="0" w:color="auto"/>
            </w:tcBorders>
            <w:shd w:val="clear" w:color="auto" w:fill="auto"/>
            <w:vAlign w:val="center"/>
            <w:hideMark/>
          </w:tcPr>
          <w:p w14:paraId="029AF43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1,944,000</w:t>
            </w:r>
          </w:p>
        </w:tc>
        <w:tc>
          <w:tcPr>
            <w:tcW w:w="163" w:type="pct"/>
            <w:tcBorders>
              <w:top w:val="nil"/>
              <w:left w:val="nil"/>
              <w:bottom w:val="single" w:sz="4" w:space="0" w:color="auto"/>
              <w:right w:val="single" w:sz="4" w:space="0" w:color="auto"/>
            </w:tcBorders>
            <w:shd w:val="clear" w:color="auto" w:fill="auto"/>
            <w:vAlign w:val="center"/>
            <w:hideMark/>
          </w:tcPr>
          <w:p w14:paraId="0D973A4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7DA3389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1,944,000</w:t>
            </w:r>
          </w:p>
        </w:tc>
        <w:tc>
          <w:tcPr>
            <w:tcW w:w="163" w:type="pct"/>
            <w:tcBorders>
              <w:top w:val="nil"/>
              <w:left w:val="nil"/>
              <w:bottom w:val="single" w:sz="4" w:space="0" w:color="auto"/>
              <w:right w:val="single" w:sz="4" w:space="0" w:color="auto"/>
            </w:tcBorders>
            <w:shd w:val="clear" w:color="auto" w:fill="auto"/>
            <w:vAlign w:val="center"/>
            <w:hideMark/>
          </w:tcPr>
          <w:p w14:paraId="79BDF8C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07FEC07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532B6A8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43A2A53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1,944,000</w:t>
            </w:r>
          </w:p>
        </w:tc>
        <w:tc>
          <w:tcPr>
            <w:tcW w:w="155" w:type="pct"/>
            <w:tcBorders>
              <w:top w:val="nil"/>
              <w:left w:val="nil"/>
              <w:bottom w:val="single" w:sz="4" w:space="0" w:color="auto"/>
              <w:right w:val="single" w:sz="4" w:space="0" w:color="auto"/>
            </w:tcBorders>
            <w:shd w:val="clear" w:color="auto" w:fill="auto"/>
            <w:vAlign w:val="center"/>
            <w:hideMark/>
          </w:tcPr>
          <w:p w14:paraId="51A8351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3D08DF7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UNHCR</w:t>
            </w:r>
          </w:p>
        </w:tc>
        <w:tc>
          <w:tcPr>
            <w:tcW w:w="163" w:type="pct"/>
            <w:tcBorders>
              <w:top w:val="nil"/>
              <w:left w:val="nil"/>
              <w:bottom w:val="single" w:sz="4" w:space="0" w:color="auto"/>
              <w:right w:val="single" w:sz="4" w:space="0" w:color="auto"/>
            </w:tcBorders>
            <w:shd w:val="clear" w:color="000000" w:fill="FFF2CC"/>
            <w:vAlign w:val="center"/>
            <w:hideMark/>
          </w:tcPr>
          <w:p w14:paraId="187094B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1,944,000</w:t>
            </w:r>
          </w:p>
        </w:tc>
        <w:tc>
          <w:tcPr>
            <w:tcW w:w="139" w:type="pct"/>
            <w:tcBorders>
              <w:top w:val="nil"/>
              <w:left w:val="nil"/>
              <w:bottom w:val="single" w:sz="4" w:space="0" w:color="auto"/>
              <w:right w:val="single" w:sz="4" w:space="0" w:color="auto"/>
            </w:tcBorders>
            <w:shd w:val="clear" w:color="auto" w:fill="auto"/>
            <w:vAlign w:val="center"/>
            <w:hideMark/>
          </w:tcPr>
          <w:p w14:paraId="32071AA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5597875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3130C1D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36885042" w14:textId="73EB01A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412E01EB" w14:textId="77777777" w:rsidTr="00C260C3">
        <w:trPr>
          <w:trHeight w:val="20"/>
        </w:trPr>
        <w:tc>
          <w:tcPr>
            <w:tcW w:w="131" w:type="pct"/>
            <w:tcBorders>
              <w:top w:val="nil"/>
              <w:left w:val="single" w:sz="4" w:space="0" w:color="auto"/>
              <w:bottom w:val="single" w:sz="4" w:space="0" w:color="auto"/>
              <w:right w:val="single" w:sz="4" w:space="0" w:color="auto"/>
            </w:tcBorders>
            <w:shd w:val="clear" w:color="000000" w:fill="D9D9D9"/>
            <w:vAlign w:val="center"/>
            <w:hideMark/>
          </w:tcPr>
          <w:p w14:paraId="764BBFD4"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3.1.3</w:t>
            </w:r>
          </w:p>
        </w:tc>
        <w:tc>
          <w:tcPr>
            <w:tcW w:w="281" w:type="pct"/>
            <w:tcBorders>
              <w:top w:val="nil"/>
              <w:left w:val="nil"/>
              <w:bottom w:val="single" w:sz="4" w:space="0" w:color="auto"/>
              <w:right w:val="single" w:sz="4" w:space="0" w:color="auto"/>
            </w:tcBorders>
            <w:shd w:val="clear" w:color="000000" w:fill="D9D9D9"/>
            <w:vAlign w:val="center"/>
            <w:hideMark/>
          </w:tcPr>
          <w:p w14:paraId="530B1BB4" w14:textId="2373E3DC"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3.1.3 Krijimi i praktikave në nivel lokal</w:t>
            </w:r>
            <w:r w:rsidR="0006016F" w:rsidRPr="00B457F5">
              <w:rPr>
                <w:rFonts w:ascii="Garamond" w:eastAsia="Times New Roman" w:hAnsi="Garamond" w:cs="Times New Roman"/>
                <w:color w:val="000000"/>
                <w:sz w:val="4"/>
                <w:szCs w:val="10"/>
              </w:rPr>
              <w:t xml:space="preserve"> </w:t>
            </w:r>
            <w:r w:rsidRPr="00B457F5">
              <w:rPr>
                <w:rFonts w:ascii="Garamond" w:eastAsia="Times New Roman" w:hAnsi="Garamond" w:cs="Times New Roman"/>
                <w:color w:val="000000"/>
                <w:sz w:val="4"/>
                <w:szCs w:val="10"/>
              </w:rPr>
              <w:t>dhe qendror për të rritur pjesëmarrjen e migrantëve</w:t>
            </w:r>
          </w:p>
        </w:tc>
        <w:tc>
          <w:tcPr>
            <w:tcW w:w="186" w:type="pct"/>
            <w:tcBorders>
              <w:top w:val="nil"/>
              <w:left w:val="nil"/>
              <w:bottom w:val="single" w:sz="4" w:space="0" w:color="auto"/>
              <w:right w:val="single" w:sz="4" w:space="0" w:color="auto"/>
            </w:tcBorders>
            <w:shd w:val="clear" w:color="000000" w:fill="D9D9D9"/>
            <w:vAlign w:val="center"/>
            <w:hideMark/>
          </w:tcPr>
          <w:p w14:paraId="6C32B39C" w14:textId="1C395E81"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01110 Planifikimi, Menaxhimi dhe Administrimi (16), 01120 </w:t>
            </w:r>
            <w:r w:rsidR="00E92B0D" w:rsidRPr="00B457F5">
              <w:rPr>
                <w:rFonts w:ascii="Garamond" w:eastAsia="Times New Roman" w:hAnsi="Garamond" w:cs="Times New Roman"/>
                <w:color w:val="FF0000"/>
                <w:sz w:val="4"/>
                <w:szCs w:val="10"/>
              </w:rPr>
              <w:t>Mbështetje</w:t>
            </w:r>
            <w:r w:rsidRPr="00B457F5">
              <w:rPr>
                <w:rFonts w:ascii="Garamond" w:eastAsia="Times New Roman" w:hAnsi="Garamond" w:cs="Times New Roman"/>
                <w:color w:val="FF0000"/>
                <w:sz w:val="4"/>
                <w:szCs w:val="10"/>
              </w:rPr>
              <w:t xml:space="preserve"> diplomatike </w:t>
            </w:r>
            <w:r w:rsidR="00E92B0D" w:rsidRPr="00B457F5">
              <w:rPr>
                <w:rFonts w:ascii="Garamond" w:eastAsia="Times New Roman" w:hAnsi="Garamond" w:cs="Times New Roman"/>
                <w:color w:val="FF0000"/>
                <w:sz w:val="4"/>
                <w:szCs w:val="10"/>
              </w:rPr>
              <w:t>jashtë</w:t>
            </w:r>
            <w:r w:rsidRPr="00B457F5">
              <w:rPr>
                <w:rFonts w:ascii="Garamond" w:eastAsia="Times New Roman" w:hAnsi="Garamond" w:cs="Times New Roman"/>
                <w:color w:val="FF0000"/>
                <w:sz w:val="4"/>
                <w:szCs w:val="10"/>
              </w:rPr>
              <w:t xml:space="preserve"> shtetit, 09120 Arsimi Baze (</w:t>
            </w:r>
            <w:r w:rsidR="00E92B0D" w:rsidRPr="00B457F5">
              <w:rPr>
                <w:rFonts w:ascii="Garamond" w:eastAsia="Times New Roman" w:hAnsi="Garamond" w:cs="Times New Roman"/>
                <w:color w:val="FF0000"/>
                <w:sz w:val="4"/>
                <w:szCs w:val="10"/>
              </w:rPr>
              <w:t>përfshirë</w:t>
            </w:r>
            <w:r w:rsidRPr="00B457F5">
              <w:rPr>
                <w:rFonts w:ascii="Garamond" w:eastAsia="Times New Roman" w:hAnsi="Garamond" w:cs="Times New Roman"/>
                <w:color w:val="FF0000"/>
                <w:sz w:val="4"/>
                <w:szCs w:val="10"/>
              </w:rPr>
              <w:t xml:space="preserve"> parashkollorin 09230 Arsimi i </w:t>
            </w:r>
            <w:r w:rsidR="00E92B0D" w:rsidRPr="00B457F5">
              <w:rPr>
                <w:rFonts w:ascii="Garamond" w:eastAsia="Times New Roman" w:hAnsi="Garamond" w:cs="Times New Roman"/>
                <w:color w:val="FF0000"/>
                <w:sz w:val="4"/>
                <w:szCs w:val="10"/>
              </w:rPr>
              <w:t>Mesëm</w:t>
            </w:r>
            <w:r w:rsidRPr="00B457F5">
              <w:rPr>
                <w:rFonts w:ascii="Garamond" w:eastAsia="Times New Roman" w:hAnsi="Garamond" w:cs="Times New Roman"/>
                <w:color w:val="FF0000"/>
                <w:sz w:val="4"/>
                <w:szCs w:val="10"/>
              </w:rPr>
              <w:t xml:space="preserve"> (i </w:t>
            </w:r>
            <w:r w:rsidR="00E92B0D" w:rsidRPr="00B457F5">
              <w:rPr>
                <w:rFonts w:ascii="Garamond" w:eastAsia="Times New Roman" w:hAnsi="Garamond" w:cs="Times New Roman"/>
                <w:color w:val="FF0000"/>
                <w:sz w:val="4"/>
                <w:szCs w:val="10"/>
              </w:rPr>
              <w:t>përgjithshëm</w:t>
            </w:r>
            <w:r w:rsidRPr="00B457F5">
              <w:rPr>
                <w:rFonts w:ascii="Garamond" w:eastAsia="Times New Roman" w:hAnsi="Garamond" w:cs="Times New Roman"/>
                <w:color w:val="FF0000"/>
                <w:sz w:val="4"/>
                <w:szCs w:val="10"/>
              </w:rPr>
              <w:t xml:space="preserve">) </w:t>
            </w:r>
          </w:p>
        </w:tc>
        <w:tc>
          <w:tcPr>
            <w:tcW w:w="169" w:type="pct"/>
            <w:tcBorders>
              <w:top w:val="nil"/>
              <w:left w:val="nil"/>
              <w:bottom w:val="single" w:sz="4" w:space="0" w:color="auto"/>
              <w:right w:val="single" w:sz="4" w:space="0" w:color="auto"/>
            </w:tcBorders>
            <w:shd w:val="clear" w:color="000000" w:fill="D9D9D9"/>
            <w:vAlign w:val="center"/>
            <w:hideMark/>
          </w:tcPr>
          <w:p w14:paraId="7021651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 MEPJ, MAS, NJVV</w:t>
            </w:r>
          </w:p>
        </w:tc>
        <w:tc>
          <w:tcPr>
            <w:tcW w:w="244" w:type="pct"/>
            <w:tcBorders>
              <w:top w:val="nil"/>
              <w:left w:val="nil"/>
              <w:bottom w:val="single" w:sz="4" w:space="0" w:color="auto"/>
              <w:right w:val="single" w:sz="4" w:space="0" w:color="auto"/>
            </w:tcBorders>
            <w:shd w:val="clear" w:color="000000" w:fill="D9D9D9"/>
            <w:vAlign w:val="center"/>
            <w:hideMark/>
          </w:tcPr>
          <w:p w14:paraId="4C3072FB" w14:textId="0183291F"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NJVV, KMD, OSHC, ZVMD, IOM</w:t>
            </w:r>
          </w:p>
        </w:tc>
        <w:tc>
          <w:tcPr>
            <w:tcW w:w="135" w:type="pct"/>
            <w:tcBorders>
              <w:top w:val="nil"/>
              <w:left w:val="nil"/>
              <w:bottom w:val="single" w:sz="4" w:space="0" w:color="auto"/>
              <w:right w:val="single" w:sz="4" w:space="0" w:color="auto"/>
            </w:tcBorders>
            <w:shd w:val="clear" w:color="000000" w:fill="D9D9D9"/>
            <w:vAlign w:val="center"/>
            <w:hideMark/>
          </w:tcPr>
          <w:p w14:paraId="79B7ED9B"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9D9D9"/>
            <w:vAlign w:val="center"/>
            <w:hideMark/>
          </w:tcPr>
          <w:p w14:paraId="20235F2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000000" w:fill="D9D9D9"/>
            <w:vAlign w:val="center"/>
            <w:hideMark/>
          </w:tcPr>
          <w:p w14:paraId="0805265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12,411,554</w:t>
            </w:r>
          </w:p>
        </w:tc>
        <w:tc>
          <w:tcPr>
            <w:tcW w:w="155" w:type="pct"/>
            <w:tcBorders>
              <w:top w:val="nil"/>
              <w:left w:val="nil"/>
              <w:bottom w:val="single" w:sz="4" w:space="0" w:color="auto"/>
              <w:right w:val="single" w:sz="4" w:space="0" w:color="auto"/>
            </w:tcBorders>
            <w:shd w:val="clear" w:color="000000" w:fill="D9D9D9"/>
            <w:vAlign w:val="center"/>
            <w:hideMark/>
          </w:tcPr>
          <w:p w14:paraId="489DB28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64D6985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12,411,554</w:t>
            </w:r>
          </w:p>
        </w:tc>
        <w:tc>
          <w:tcPr>
            <w:tcW w:w="165" w:type="pct"/>
            <w:tcBorders>
              <w:top w:val="nil"/>
              <w:left w:val="nil"/>
              <w:bottom w:val="single" w:sz="4" w:space="0" w:color="auto"/>
              <w:right w:val="single" w:sz="4" w:space="0" w:color="auto"/>
            </w:tcBorders>
            <w:shd w:val="clear" w:color="000000" w:fill="D9D9D9"/>
            <w:vAlign w:val="center"/>
            <w:hideMark/>
          </w:tcPr>
          <w:p w14:paraId="17A0384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12,411,554</w:t>
            </w:r>
          </w:p>
        </w:tc>
        <w:tc>
          <w:tcPr>
            <w:tcW w:w="163" w:type="pct"/>
            <w:tcBorders>
              <w:top w:val="nil"/>
              <w:left w:val="nil"/>
              <w:bottom w:val="single" w:sz="4" w:space="0" w:color="auto"/>
              <w:right w:val="single" w:sz="4" w:space="0" w:color="auto"/>
            </w:tcBorders>
            <w:shd w:val="clear" w:color="000000" w:fill="D9D9D9"/>
            <w:vAlign w:val="center"/>
            <w:hideMark/>
          </w:tcPr>
          <w:p w14:paraId="789AAA8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608C7DC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12,411,554</w:t>
            </w:r>
          </w:p>
        </w:tc>
        <w:tc>
          <w:tcPr>
            <w:tcW w:w="163" w:type="pct"/>
            <w:tcBorders>
              <w:top w:val="nil"/>
              <w:left w:val="nil"/>
              <w:bottom w:val="single" w:sz="4" w:space="0" w:color="auto"/>
              <w:right w:val="single" w:sz="4" w:space="0" w:color="auto"/>
            </w:tcBorders>
            <w:shd w:val="clear" w:color="000000" w:fill="D9D9D9"/>
            <w:vAlign w:val="center"/>
            <w:hideMark/>
          </w:tcPr>
          <w:p w14:paraId="08C2A7B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12,411,554</w:t>
            </w:r>
          </w:p>
        </w:tc>
        <w:tc>
          <w:tcPr>
            <w:tcW w:w="148" w:type="pct"/>
            <w:tcBorders>
              <w:top w:val="nil"/>
              <w:left w:val="nil"/>
              <w:bottom w:val="single" w:sz="4" w:space="0" w:color="auto"/>
              <w:right w:val="single" w:sz="4" w:space="0" w:color="auto"/>
            </w:tcBorders>
            <w:shd w:val="clear" w:color="000000" w:fill="D9D9D9"/>
            <w:vAlign w:val="center"/>
            <w:hideMark/>
          </w:tcPr>
          <w:p w14:paraId="2EA80E1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003050B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12,411,554</w:t>
            </w:r>
          </w:p>
        </w:tc>
        <w:tc>
          <w:tcPr>
            <w:tcW w:w="165" w:type="pct"/>
            <w:tcBorders>
              <w:top w:val="nil"/>
              <w:left w:val="nil"/>
              <w:bottom w:val="single" w:sz="4" w:space="0" w:color="auto"/>
              <w:right w:val="single" w:sz="4" w:space="0" w:color="auto"/>
            </w:tcBorders>
            <w:shd w:val="clear" w:color="000000" w:fill="D9D9D9"/>
            <w:vAlign w:val="center"/>
            <w:hideMark/>
          </w:tcPr>
          <w:p w14:paraId="589501E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37,234,662</w:t>
            </w:r>
          </w:p>
        </w:tc>
        <w:tc>
          <w:tcPr>
            <w:tcW w:w="163" w:type="pct"/>
            <w:tcBorders>
              <w:top w:val="nil"/>
              <w:left w:val="nil"/>
              <w:bottom w:val="single" w:sz="4" w:space="0" w:color="auto"/>
              <w:right w:val="single" w:sz="4" w:space="0" w:color="auto"/>
            </w:tcBorders>
            <w:shd w:val="clear" w:color="000000" w:fill="D9D9D9"/>
            <w:vAlign w:val="center"/>
            <w:hideMark/>
          </w:tcPr>
          <w:p w14:paraId="6775CB3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D9D9D9"/>
            <w:vAlign w:val="center"/>
            <w:hideMark/>
          </w:tcPr>
          <w:p w14:paraId="2D01C0D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37,234,662</w:t>
            </w:r>
          </w:p>
        </w:tc>
        <w:tc>
          <w:tcPr>
            <w:tcW w:w="163" w:type="pct"/>
            <w:tcBorders>
              <w:top w:val="nil"/>
              <w:left w:val="nil"/>
              <w:bottom w:val="single" w:sz="4" w:space="0" w:color="auto"/>
              <w:right w:val="single" w:sz="4" w:space="0" w:color="auto"/>
            </w:tcBorders>
            <w:shd w:val="clear" w:color="000000" w:fill="D9D9D9"/>
            <w:vAlign w:val="center"/>
            <w:hideMark/>
          </w:tcPr>
          <w:p w14:paraId="3750CDD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37,234,662</w:t>
            </w:r>
          </w:p>
        </w:tc>
        <w:tc>
          <w:tcPr>
            <w:tcW w:w="155" w:type="pct"/>
            <w:tcBorders>
              <w:top w:val="nil"/>
              <w:left w:val="nil"/>
              <w:bottom w:val="single" w:sz="4" w:space="0" w:color="auto"/>
              <w:right w:val="single" w:sz="4" w:space="0" w:color="auto"/>
            </w:tcBorders>
            <w:shd w:val="clear" w:color="000000" w:fill="D9D9D9"/>
            <w:vAlign w:val="center"/>
            <w:hideMark/>
          </w:tcPr>
          <w:p w14:paraId="31F60FC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47C8B24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37,234,662</w:t>
            </w:r>
          </w:p>
        </w:tc>
        <w:tc>
          <w:tcPr>
            <w:tcW w:w="162" w:type="pct"/>
            <w:tcBorders>
              <w:top w:val="nil"/>
              <w:left w:val="nil"/>
              <w:bottom w:val="single" w:sz="4" w:space="0" w:color="auto"/>
              <w:right w:val="single" w:sz="4" w:space="0" w:color="auto"/>
            </w:tcBorders>
            <w:shd w:val="clear" w:color="000000" w:fill="D9D9D9"/>
            <w:vAlign w:val="center"/>
            <w:hideMark/>
          </w:tcPr>
          <w:p w14:paraId="796CAF0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000000" w:fill="D9D9D9"/>
            <w:vAlign w:val="center"/>
            <w:hideMark/>
          </w:tcPr>
          <w:p w14:paraId="598379D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000000" w:fill="D9D9D9"/>
            <w:vAlign w:val="center"/>
            <w:hideMark/>
          </w:tcPr>
          <w:p w14:paraId="23E5B59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3E73900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39" w:type="pct"/>
            <w:tcBorders>
              <w:top w:val="nil"/>
              <w:left w:val="nil"/>
              <w:bottom w:val="single" w:sz="4" w:space="0" w:color="auto"/>
              <w:right w:val="single" w:sz="4" w:space="0" w:color="auto"/>
            </w:tcBorders>
            <w:shd w:val="clear" w:color="000000" w:fill="D9D9D9"/>
            <w:vAlign w:val="center"/>
            <w:hideMark/>
          </w:tcPr>
          <w:p w14:paraId="7269759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000000" w:fill="D9D9D9"/>
            <w:vAlign w:val="center"/>
            <w:hideMark/>
          </w:tcPr>
          <w:p w14:paraId="52D2321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D9D9D9"/>
            <w:vAlign w:val="center"/>
            <w:hideMark/>
          </w:tcPr>
          <w:p w14:paraId="64D9B5B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000000" w:fill="D9D9D9"/>
            <w:vAlign w:val="center"/>
            <w:hideMark/>
          </w:tcPr>
          <w:p w14:paraId="0F1C0665" w14:textId="19AB5A95"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26A89049"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1D0C7B2D"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3.1.3.1</w:t>
            </w:r>
          </w:p>
        </w:tc>
        <w:tc>
          <w:tcPr>
            <w:tcW w:w="281" w:type="pct"/>
            <w:tcBorders>
              <w:top w:val="nil"/>
              <w:left w:val="nil"/>
              <w:bottom w:val="single" w:sz="4" w:space="0" w:color="auto"/>
              <w:right w:val="single" w:sz="4" w:space="0" w:color="auto"/>
            </w:tcBorders>
            <w:shd w:val="clear" w:color="auto" w:fill="auto"/>
            <w:vAlign w:val="center"/>
            <w:hideMark/>
          </w:tcPr>
          <w:p w14:paraId="02DE28EB" w14:textId="7AAEFD2D"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3.1.3.1 Rritja e ndërgjegjësimit dhe përfshirja e migrantëve,</w:t>
            </w:r>
            <w:r w:rsidR="0006016F" w:rsidRPr="00B457F5">
              <w:rPr>
                <w:rFonts w:ascii="Garamond" w:eastAsia="Times New Roman" w:hAnsi="Garamond" w:cs="Times New Roman"/>
                <w:color w:val="000000"/>
                <w:sz w:val="4"/>
                <w:szCs w:val="10"/>
              </w:rPr>
              <w:t xml:space="preserve"> </w:t>
            </w:r>
            <w:r w:rsidRPr="00B457F5">
              <w:rPr>
                <w:rFonts w:ascii="Garamond" w:eastAsia="Times New Roman" w:hAnsi="Garamond" w:cs="Times New Roman"/>
                <w:color w:val="000000"/>
                <w:sz w:val="4"/>
                <w:szCs w:val="10"/>
              </w:rPr>
              <w:t>në proceset politik</w:t>
            </w:r>
            <w:r w:rsidR="00AF12C0" w:rsidRPr="00B457F5">
              <w:rPr>
                <w:rFonts w:ascii="Garamond" w:eastAsia="Times New Roman" w:hAnsi="Garamond" w:cs="Times New Roman"/>
                <w:color w:val="000000"/>
                <w:sz w:val="4"/>
                <w:szCs w:val="10"/>
              </w:rPr>
              <w:t>ë</w:t>
            </w:r>
            <w:r w:rsidRPr="00B457F5">
              <w:rPr>
                <w:rFonts w:ascii="Garamond" w:eastAsia="Times New Roman" w:hAnsi="Garamond" w:cs="Times New Roman"/>
                <w:color w:val="000000"/>
                <w:sz w:val="4"/>
                <w:szCs w:val="10"/>
              </w:rPr>
              <w:t>bërëse/</w:t>
            </w:r>
            <w:r w:rsidR="00AF12C0" w:rsidRPr="00B457F5">
              <w:rPr>
                <w:rFonts w:ascii="Garamond" w:eastAsia="Times New Roman" w:hAnsi="Garamond" w:cs="Times New Roman"/>
                <w:color w:val="000000"/>
                <w:sz w:val="4"/>
                <w:szCs w:val="10"/>
              </w:rPr>
              <w:t xml:space="preserve"> </w:t>
            </w:r>
            <w:r w:rsidR="00E92B0D" w:rsidRPr="00B457F5">
              <w:rPr>
                <w:rFonts w:ascii="Garamond" w:eastAsia="Times New Roman" w:hAnsi="Garamond" w:cs="Times New Roman"/>
                <w:color w:val="000000"/>
                <w:sz w:val="4"/>
                <w:szCs w:val="10"/>
              </w:rPr>
              <w:t>vendimmarrëse</w:t>
            </w:r>
            <w:r w:rsidRPr="00B457F5">
              <w:rPr>
                <w:rFonts w:ascii="Garamond" w:eastAsia="Times New Roman" w:hAnsi="Garamond" w:cs="Times New Roman"/>
                <w:color w:val="000000"/>
                <w:sz w:val="4"/>
                <w:szCs w:val="10"/>
              </w:rPr>
              <w:t xml:space="preserve"> në nivel vendor</w:t>
            </w:r>
          </w:p>
        </w:tc>
        <w:tc>
          <w:tcPr>
            <w:tcW w:w="186" w:type="pct"/>
            <w:tcBorders>
              <w:top w:val="nil"/>
              <w:left w:val="nil"/>
              <w:bottom w:val="single" w:sz="4" w:space="0" w:color="auto"/>
              <w:right w:val="single" w:sz="4" w:space="0" w:color="auto"/>
            </w:tcBorders>
            <w:shd w:val="clear" w:color="auto" w:fill="auto"/>
            <w:vAlign w:val="center"/>
            <w:hideMark/>
          </w:tcPr>
          <w:p w14:paraId="1FD4825C" w14:textId="2EDE61D8"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01110 Planifikimi, Menaxhimi dhe Administrimi (16), 01120 </w:t>
            </w:r>
            <w:r w:rsidR="00E92B0D" w:rsidRPr="00B457F5">
              <w:rPr>
                <w:rFonts w:ascii="Garamond" w:eastAsia="Times New Roman" w:hAnsi="Garamond" w:cs="Times New Roman"/>
                <w:color w:val="FF0000"/>
                <w:sz w:val="4"/>
                <w:szCs w:val="10"/>
              </w:rPr>
              <w:t>Mbështetje</w:t>
            </w:r>
            <w:r w:rsidRPr="00B457F5">
              <w:rPr>
                <w:rFonts w:ascii="Garamond" w:eastAsia="Times New Roman" w:hAnsi="Garamond" w:cs="Times New Roman"/>
                <w:color w:val="FF0000"/>
                <w:sz w:val="4"/>
                <w:szCs w:val="10"/>
              </w:rPr>
              <w:t xml:space="preserve"> diplomatike </w:t>
            </w:r>
            <w:r w:rsidR="00E92B0D" w:rsidRPr="00B457F5">
              <w:rPr>
                <w:rFonts w:ascii="Garamond" w:eastAsia="Times New Roman" w:hAnsi="Garamond" w:cs="Times New Roman"/>
                <w:color w:val="FF0000"/>
                <w:sz w:val="4"/>
                <w:szCs w:val="10"/>
              </w:rPr>
              <w:t>jashtë</w:t>
            </w:r>
            <w:r w:rsidRPr="00B457F5">
              <w:rPr>
                <w:rFonts w:ascii="Garamond" w:eastAsia="Times New Roman" w:hAnsi="Garamond" w:cs="Times New Roman"/>
                <w:color w:val="FF0000"/>
                <w:sz w:val="4"/>
                <w:szCs w:val="10"/>
              </w:rPr>
              <w:t xml:space="preserve"> shtetit</w:t>
            </w:r>
          </w:p>
        </w:tc>
        <w:tc>
          <w:tcPr>
            <w:tcW w:w="169" w:type="pct"/>
            <w:tcBorders>
              <w:top w:val="nil"/>
              <w:left w:val="nil"/>
              <w:bottom w:val="single" w:sz="4" w:space="0" w:color="auto"/>
              <w:right w:val="single" w:sz="4" w:space="0" w:color="auto"/>
            </w:tcBorders>
            <w:shd w:val="clear" w:color="auto" w:fill="auto"/>
            <w:vAlign w:val="center"/>
            <w:hideMark/>
          </w:tcPr>
          <w:p w14:paraId="3699C5B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 MEPJ</w:t>
            </w:r>
          </w:p>
        </w:tc>
        <w:tc>
          <w:tcPr>
            <w:tcW w:w="244" w:type="pct"/>
            <w:tcBorders>
              <w:top w:val="nil"/>
              <w:left w:val="nil"/>
              <w:bottom w:val="single" w:sz="4" w:space="0" w:color="auto"/>
              <w:right w:val="single" w:sz="4" w:space="0" w:color="auto"/>
            </w:tcBorders>
            <w:shd w:val="clear" w:color="auto" w:fill="auto"/>
            <w:vAlign w:val="center"/>
            <w:hideMark/>
          </w:tcPr>
          <w:p w14:paraId="4443A4A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NJVV, IOM</w:t>
            </w:r>
          </w:p>
        </w:tc>
        <w:tc>
          <w:tcPr>
            <w:tcW w:w="135" w:type="pct"/>
            <w:tcBorders>
              <w:top w:val="nil"/>
              <w:left w:val="nil"/>
              <w:bottom w:val="single" w:sz="4" w:space="0" w:color="auto"/>
              <w:right w:val="single" w:sz="4" w:space="0" w:color="auto"/>
            </w:tcBorders>
            <w:shd w:val="clear" w:color="000000" w:fill="DDEBF7"/>
            <w:vAlign w:val="center"/>
            <w:hideMark/>
          </w:tcPr>
          <w:p w14:paraId="720F541B"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511A82AC"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0113EBD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3,963,350</w:t>
            </w:r>
          </w:p>
        </w:tc>
        <w:tc>
          <w:tcPr>
            <w:tcW w:w="155" w:type="pct"/>
            <w:tcBorders>
              <w:top w:val="nil"/>
              <w:left w:val="nil"/>
              <w:bottom w:val="single" w:sz="4" w:space="0" w:color="auto"/>
              <w:right w:val="single" w:sz="4" w:space="0" w:color="auto"/>
            </w:tcBorders>
            <w:shd w:val="clear" w:color="auto" w:fill="auto"/>
            <w:vAlign w:val="center"/>
            <w:hideMark/>
          </w:tcPr>
          <w:p w14:paraId="744C158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25E4097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3,963,350</w:t>
            </w:r>
          </w:p>
        </w:tc>
        <w:tc>
          <w:tcPr>
            <w:tcW w:w="165" w:type="pct"/>
            <w:tcBorders>
              <w:top w:val="nil"/>
              <w:left w:val="nil"/>
              <w:bottom w:val="single" w:sz="4" w:space="0" w:color="auto"/>
              <w:right w:val="single" w:sz="4" w:space="0" w:color="auto"/>
            </w:tcBorders>
            <w:shd w:val="clear" w:color="auto" w:fill="auto"/>
            <w:vAlign w:val="center"/>
            <w:hideMark/>
          </w:tcPr>
          <w:p w14:paraId="384BB24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3,963,350</w:t>
            </w:r>
          </w:p>
        </w:tc>
        <w:tc>
          <w:tcPr>
            <w:tcW w:w="163" w:type="pct"/>
            <w:tcBorders>
              <w:top w:val="nil"/>
              <w:left w:val="nil"/>
              <w:bottom w:val="single" w:sz="4" w:space="0" w:color="auto"/>
              <w:right w:val="single" w:sz="4" w:space="0" w:color="auto"/>
            </w:tcBorders>
            <w:shd w:val="clear" w:color="auto" w:fill="auto"/>
            <w:vAlign w:val="center"/>
            <w:hideMark/>
          </w:tcPr>
          <w:p w14:paraId="4B0359C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5A974D0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3,963,350</w:t>
            </w:r>
          </w:p>
        </w:tc>
        <w:tc>
          <w:tcPr>
            <w:tcW w:w="163" w:type="pct"/>
            <w:tcBorders>
              <w:top w:val="nil"/>
              <w:left w:val="nil"/>
              <w:bottom w:val="single" w:sz="4" w:space="0" w:color="auto"/>
              <w:right w:val="single" w:sz="4" w:space="0" w:color="auto"/>
            </w:tcBorders>
            <w:shd w:val="clear" w:color="auto" w:fill="auto"/>
            <w:vAlign w:val="center"/>
            <w:hideMark/>
          </w:tcPr>
          <w:p w14:paraId="7971FDE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3,963,350</w:t>
            </w:r>
          </w:p>
        </w:tc>
        <w:tc>
          <w:tcPr>
            <w:tcW w:w="148" w:type="pct"/>
            <w:tcBorders>
              <w:top w:val="nil"/>
              <w:left w:val="nil"/>
              <w:bottom w:val="single" w:sz="4" w:space="0" w:color="auto"/>
              <w:right w:val="single" w:sz="4" w:space="0" w:color="auto"/>
            </w:tcBorders>
            <w:shd w:val="clear" w:color="auto" w:fill="auto"/>
            <w:vAlign w:val="center"/>
            <w:hideMark/>
          </w:tcPr>
          <w:p w14:paraId="2527296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6A6CA9E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3,963,350</w:t>
            </w:r>
          </w:p>
        </w:tc>
        <w:tc>
          <w:tcPr>
            <w:tcW w:w="165" w:type="pct"/>
            <w:tcBorders>
              <w:top w:val="nil"/>
              <w:left w:val="nil"/>
              <w:bottom w:val="single" w:sz="4" w:space="0" w:color="auto"/>
              <w:right w:val="single" w:sz="4" w:space="0" w:color="auto"/>
            </w:tcBorders>
            <w:shd w:val="clear" w:color="auto" w:fill="auto"/>
            <w:vAlign w:val="center"/>
            <w:hideMark/>
          </w:tcPr>
          <w:p w14:paraId="65BE564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11,890,050</w:t>
            </w:r>
          </w:p>
        </w:tc>
        <w:tc>
          <w:tcPr>
            <w:tcW w:w="163" w:type="pct"/>
            <w:tcBorders>
              <w:top w:val="nil"/>
              <w:left w:val="nil"/>
              <w:bottom w:val="single" w:sz="4" w:space="0" w:color="auto"/>
              <w:right w:val="single" w:sz="4" w:space="0" w:color="auto"/>
            </w:tcBorders>
            <w:shd w:val="clear" w:color="auto" w:fill="auto"/>
            <w:vAlign w:val="center"/>
            <w:hideMark/>
          </w:tcPr>
          <w:p w14:paraId="5200184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68B0A17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11,890,050</w:t>
            </w:r>
          </w:p>
        </w:tc>
        <w:tc>
          <w:tcPr>
            <w:tcW w:w="163" w:type="pct"/>
            <w:tcBorders>
              <w:top w:val="nil"/>
              <w:left w:val="nil"/>
              <w:bottom w:val="single" w:sz="4" w:space="0" w:color="auto"/>
              <w:right w:val="single" w:sz="4" w:space="0" w:color="auto"/>
            </w:tcBorders>
            <w:shd w:val="clear" w:color="auto" w:fill="auto"/>
            <w:vAlign w:val="center"/>
            <w:hideMark/>
          </w:tcPr>
          <w:p w14:paraId="5B2EBF6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11,890,050</w:t>
            </w:r>
          </w:p>
        </w:tc>
        <w:tc>
          <w:tcPr>
            <w:tcW w:w="155" w:type="pct"/>
            <w:tcBorders>
              <w:top w:val="nil"/>
              <w:left w:val="nil"/>
              <w:bottom w:val="single" w:sz="4" w:space="0" w:color="auto"/>
              <w:right w:val="single" w:sz="4" w:space="0" w:color="auto"/>
            </w:tcBorders>
            <w:shd w:val="clear" w:color="auto" w:fill="auto"/>
            <w:vAlign w:val="center"/>
            <w:hideMark/>
          </w:tcPr>
          <w:p w14:paraId="2B727BB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6201AB8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11,890,050</w:t>
            </w:r>
          </w:p>
        </w:tc>
        <w:tc>
          <w:tcPr>
            <w:tcW w:w="162" w:type="pct"/>
            <w:tcBorders>
              <w:top w:val="nil"/>
              <w:left w:val="nil"/>
              <w:bottom w:val="single" w:sz="4" w:space="0" w:color="auto"/>
              <w:right w:val="single" w:sz="4" w:space="0" w:color="auto"/>
            </w:tcBorders>
            <w:shd w:val="clear" w:color="auto" w:fill="auto"/>
            <w:vAlign w:val="center"/>
            <w:hideMark/>
          </w:tcPr>
          <w:p w14:paraId="751EE1F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3CCEAA5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5F6A036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011175E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15E5504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1945651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164442F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53CAD05E" w14:textId="5DBEC3CB"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507A6260"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2BB4127E"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3.1.3.2</w:t>
            </w:r>
          </w:p>
        </w:tc>
        <w:tc>
          <w:tcPr>
            <w:tcW w:w="281" w:type="pct"/>
            <w:tcBorders>
              <w:top w:val="nil"/>
              <w:left w:val="nil"/>
              <w:bottom w:val="single" w:sz="4" w:space="0" w:color="auto"/>
              <w:right w:val="single" w:sz="4" w:space="0" w:color="auto"/>
            </w:tcBorders>
            <w:shd w:val="clear" w:color="auto" w:fill="auto"/>
            <w:vAlign w:val="center"/>
            <w:hideMark/>
          </w:tcPr>
          <w:p w14:paraId="36363AAD"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3.1.3.2 Të zhvillohen seanca ndërgjegjësuese të nxënësve dhe mësuesve në institucionet e arsimit parauniversitar për parandalimin e gjuhës së urrejtjes, racizmit dhe formave të tjera të diskriminimit të migrantëve</w:t>
            </w:r>
          </w:p>
        </w:tc>
        <w:tc>
          <w:tcPr>
            <w:tcW w:w="186" w:type="pct"/>
            <w:tcBorders>
              <w:top w:val="nil"/>
              <w:left w:val="nil"/>
              <w:bottom w:val="single" w:sz="4" w:space="0" w:color="auto"/>
              <w:right w:val="single" w:sz="4" w:space="0" w:color="auto"/>
            </w:tcBorders>
            <w:shd w:val="clear" w:color="auto" w:fill="auto"/>
            <w:vAlign w:val="center"/>
            <w:hideMark/>
          </w:tcPr>
          <w:p w14:paraId="5975BC96" w14:textId="3DCD8DFD"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09120 Arsimi Baz</w:t>
            </w:r>
            <w:r w:rsidR="00E92B0D" w:rsidRPr="00B457F5">
              <w:rPr>
                <w:rFonts w:ascii="Garamond" w:eastAsia="Times New Roman" w:hAnsi="Garamond" w:cs="Times New Roman"/>
                <w:color w:val="FF0000"/>
                <w:sz w:val="4"/>
                <w:szCs w:val="10"/>
              </w:rPr>
              <w:t>ë</w:t>
            </w:r>
            <w:r w:rsidRPr="00B457F5">
              <w:rPr>
                <w:rFonts w:ascii="Garamond" w:eastAsia="Times New Roman" w:hAnsi="Garamond" w:cs="Times New Roman"/>
                <w:color w:val="FF0000"/>
                <w:sz w:val="4"/>
                <w:szCs w:val="10"/>
              </w:rPr>
              <w:t xml:space="preserve"> (</w:t>
            </w:r>
            <w:r w:rsidR="00E92B0D" w:rsidRPr="00B457F5">
              <w:rPr>
                <w:rFonts w:ascii="Garamond" w:eastAsia="Times New Roman" w:hAnsi="Garamond" w:cs="Times New Roman"/>
                <w:color w:val="FF0000"/>
                <w:sz w:val="4"/>
                <w:szCs w:val="10"/>
              </w:rPr>
              <w:t>përfshirë</w:t>
            </w:r>
            <w:r w:rsidRPr="00B457F5">
              <w:rPr>
                <w:rFonts w:ascii="Garamond" w:eastAsia="Times New Roman" w:hAnsi="Garamond" w:cs="Times New Roman"/>
                <w:color w:val="FF0000"/>
                <w:sz w:val="4"/>
                <w:szCs w:val="10"/>
              </w:rPr>
              <w:t xml:space="preserve"> parashkollorin 09230 Arsimi i </w:t>
            </w:r>
            <w:r w:rsidR="00E92B0D" w:rsidRPr="00B457F5">
              <w:rPr>
                <w:rFonts w:ascii="Garamond" w:eastAsia="Times New Roman" w:hAnsi="Garamond" w:cs="Times New Roman"/>
                <w:color w:val="FF0000"/>
                <w:sz w:val="4"/>
                <w:szCs w:val="10"/>
              </w:rPr>
              <w:t>Mesëm</w:t>
            </w:r>
            <w:r w:rsidRPr="00B457F5">
              <w:rPr>
                <w:rFonts w:ascii="Garamond" w:eastAsia="Times New Roman" w:hAnsi="Garamond" w:cs="Times New Roman"/>
                <w:color w:val="FF0000"/>
                <w:sz w:val="4"/>
                <w:szCs w:val="10"/>
              </w:rPr>
              <w:t xml:space="preserve"> (i </w:t>
            </w:r>
            <w:r w:rsidR="00E92B0D" w:rsidRPr="00B457F5">
              <w:rPr>
                <w:rFonts w:ascii="Garamond" w:eastAsia="Times New Roman" w:hAnsi="Garamond" w:cs="Times New Roman"/>
                <w:color w:val="FF0000"/>
                <w:sz w:val="4"/>
                <w:szCs w:val="10"/>
              </w:rPr>
              <w:t>përgjithshëm</w:t>
            </w:r>
            <w:r w:rsidRPr="00B457F5">
              <w:rPr>
                <w:rFonts w:ascii="Garamond" w:eastAsia="Times New Roman" w:hAnsi="Garamond" w:cs="Times New Roman"/>
                <w:color w:val="FF0000"/>
                <w:sz w:val="4"/>
                <w:szCs w:val="10"/>
              </w:rPr>
              <w:t xml:space="preserve">) </w:t>
            </w:r>
          </w:p>
        </w:tc>
        <w:tc>
          <w:tcPr>
            <w:tcW w:w="169" w:type="pct"/>
            <w:tcBorders>
              <w:top w:val="nil"/>
              <w:left w:val="nil"/>
              <w:bottom w:val="single" w:sz="4" w:space="0" w:color="auto"/>
              <w:right w:val="single" w:sz="4" w:space="0" w:color="auto"/>
            </w:tcBorders>
            <w:shd w:val="clear" w:color="auto" w:fill="auto"/>
            <w:vAlign w:val="center"/>
            <w:hideMark/>
          </w:tcPr>
          <w:p w14:paraId="14D0BA1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MAS</w:t>
            </w:r>
          </w:p>
        </w:tc>
        <w:tc>
          <w:tcPr>
            <w:tcW w:w="244" w:type="pct"/>
            <w:tcBorders>
              <w:top w:val="nil"/>
              <w:left w:val="nil"/>
              <w:bottom w:val="single" w:sz="4" w:space="0" w:color="auto"/>
              <w:right w:val="single" w:sz="4" w:space="0" w:color="auto"/>
            </w:tcBorders>
            <w:shd w:val="clear" w:color="auto" w:fill="auto"/>
            <w:vAlign w:val="center"/>
            <w:hideMark/>
          </w:tcPr>
          <w:p w14:paraId="26808211" w14:textId="1FCD45D5"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KMD, OSHC, IOM</w:t>
            </w:r>
          </w:p>
        </w:tc>
        <w:tc>
          <w:tcPr>
            <w:tcW w:w="135" w:type="pct"/>
            <w:tcBorders>
              <w:top w:val="nil"/>
              <w:left w:val="nil"/>
              <w:bottom w:val="single" w:sz="4" w:space="0" w:color="auto"/>
              <w:right w:val="single" w:sz="4" w:space="0" w:color="auto"/>
            </w:tcBorders>
            <w:shd w:val="clear" w:color="000000" w:fill="DDEBF7"/>
            <w:vAlign w:val="center"/>
            <w:hideMark/>
          </w:tcPr>
          <w:p w14:paraId="2B0A7B00"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4C1D8B03"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246ACE0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7,200,000</w:t>
            </w:r>
          </w:p>
        </w:tc>
        <w:tc>
          <w:tcPr>
            <w:tcW w:w="155" w:type="pct"/>
            <w:tcBorders>
              <w:top w:val="nil"/>
              <w:left w:val="nil"/>
              <w:bottom w:val="single" w:sz="4" w:space="0" w:color="auto"/>
              <w:right w:val="single" w:sz="4" w:space="0" w:color="auto"/>
            </w:tcBorders>
            <w:shd w:val="clear" w:color="auto" w:fill="auto"/>
            <w:vAlign w:val="center"/>
            <w:hideMark/>
          </w:tcPr>
          <w:p w14:paraId="306EB78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2282F5A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7,200,000</w:t>
            </w:r>
          </w:p>
        </w:tc>
        <w:tc>
          <w:tcPr>
            <w:tcW w:w="165" w:type="pct"/>
            <w:tcBorders>
              <w:top w:val="nil"/>
              <w:left w:val="nil"/>
              <w:bottom w:val="single" w:sz="4" w:space="0" w:color="auto"/>
              <w:right w:val="single" w:sz="4" w:space="0" w:color="auto"/>
            </w:tcBorders>
            <w:shd w:val="clear" w:color="auto" w:fill="auto"/>
            <w:vAlign w:val="center"/>
            <w:hideMark/>
          </w:tcPr>
          <w:p w14:paraId="1517ECE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7,200,000</w:t>
            </w:r>
          </w:p>
        </w:tc>
        <w:tc>
          <w:tcPr>
            <w:tcW w:w="163" w:type="pct"/>
            <w:tcBorders>
              <w:top w:val="nil"/>
              <w:left w:val="nil"/>
              <w:bottom w:val="single" w:sz="4" w:space="0" w:color="auto"/>
              <w:right w:val="single" w:sz="4" w:space="0" w:color="auto"/>
            </w:tcBorders>
            <w:shd w:val="clear" w:color="auto" w:fill="auto"/>
            <w:vAlign w:val="center"/>
            <w:hideMark/>
          </w:tcPr>
          <w:p w14:paraId="51E91C5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76F0D9B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7,200,000</w:t>
            </w:r>
          </w:p>
        </w:tc>
        <w:tc>
          <w:tcPr>
            <w:tcW w:w="163" w:type="pct"/>
            <w:tcBorders>
              <w:top w:val="nil"/>
              <w:left w:val="nil"/>
              <w:bottom w:val="single" w:sz="4" w:space="0" w:color="auto"/>
              <w:right w:val="single" w:sz="4" w:space="0" w:color="auto"/>
            </w:tcBorders>
            <w:shd w:val="clear" w:color="auto" w:fill="auto"/>
            <w:vAlign w:val="center"/>
            <w:hideMark/>
          </w:tcPr>
          <w:p w14:paraId="10DD56D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7,200,000</w:t>
            </w:r>
          </w:p>
        </w:tc>
        <w:tc>
          <w:tcPr>
            <w:tcW w:w="148" w:type="pct"/>
            <w:tcBorders>
              <w:top w:val="nil"/>
              <w:left w:val="nil"/>
              <w:bottom w:val="single" w:sz="4" w:space="0" w:color="auto"/>
              <w:right w:val="single" w:sz="4" w:space="0" w:color="auto"/>
            </w:tcBorders>
            <w:shd w:val="clear" w:color="auto" w:fill="auto"/>
            <w:vAlign w:val="center"/>
            <w:hideMark/>
          </w:tcPr>
          <w:p w14:paraId="165843D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532FD75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7,200,000</w:t>
            </w:r>
          </w:p>
        </w:tc>
        <w:tc>
          <w:tcPr>
            <w:tcW w:w="165" w:type="pct"/>
            <w:tcBorders>
              <w:top w:val="nil"/>
              <w:left w:val="nil"/>
              <w:bottom w:val="single" w:sz="4" w:space="0" w:color="auto"/>
              <w:right w:val="single" w:sz="4" w:space="0" w:color="auto"/>
            </w:tcBorders>
            <w:shd w:val="clear" w:color="auto" w:fill="auto"/>
            <w:vAlign w:val="center"/>
            <w:hideMark/>
          </w:tcPr>
          <w:p w14:paraId="6D63FF1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21,600,000</w:t>
            </w:r>
          </w:p>
        </w:tc>
        <w:tc>
          <w:tcPr>
            <w:tcW w:w="163" w:type="pct"/>
            <w:tcBorders>
              <w:top w:val="nil"/>
              <w:left w:val="nil"/>
              <w:bottom w:val="single" w:sz="4" w:space="0" w:color="auto"/>
              <w:right w:val="single" w:sz="4" w:space="0" w:color="auto"/>
            </w:tcBorders>
            <w:shd w:val="clear" w:color="auto" w:fill="auto"/>
            <w:vAlign w:val="center"/>
            <w:hideMark/>
          </w:tcPr>
          <w:p w14:paraId="303DE5D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51A6D32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21,600,000</w:t>
            </w:r>
          </w:p>
        </w:tc>
        <w:tc>
          <w:tcPr>
            <w:tcW w:w="163" w:type="pct"/>
            <w:tcBorders>
              <w:top w:val="nil"/>
              <w:left w:val="nil"/>
              <w:bottom w:val="single" w:sz="4" w:space="0" w:color="auto"/>
              <w:right w:val="single" w:sz="4" w:space="0" w:color="auto"/>
            </w:tcBorders>
            <w:shd w:val="clear" w:color="auto" w:fill="auto"/>
            <w:vAlign w:val="center"/>
            <w:hideMark/>
          </w:tcPr>
          <w:p w14:paraId="07FF508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21,600,000</w:t>
            </w:r>
          </w:p>
        </w:tc>
        <w:tc>
          <w:tcPr>
            <w:tcW w:w="155" w:type="pct"/>
            <w:tcBorders>
              <w:top w:val="nil"/>
              <w:left w:val="nil"/>
              <w:bottom w:val="single" w:sz="4" w:space="0" w:color="auto"/>
              <w:right w:val="single" w:sz="4" w:space="0" w:color="auto"/>
            </w:tcBorders>
            <w:shd w:val="clear" w:color="auto" w:fill="auto"/>
            <w:vAlign w:val="center"/>
            <w:hideMark/>
          </w:tcPr>
          <w:p w14:paraId="68C1A20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67712BC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21,600,000</w:t>
            </w:r>
          </w:p>
        </w:tc>
        <w:tc>
          <w:tcPr>
            <w:tcW w:w="162" w:type="pct"/>
            <w:tcBorders>
              <w:top w:val="nil"/>
              <w:left w:val="nil"/>
              <w:bottom w:val="single" w:sz="4" w:space="0" w:color="auto"/>
              <w:right w:val="single" w:sz="4" w:space="0" w:color="auto"/>
            </w:tcBorders>
            <w:shd w:val="clear" w:color="auto" w:fill="auto"/>
            <w:vAlign w:val="center"/>
            <w:hideMark/>
          </w:tcPr>
          <w:p w14:paraId="7BAA21B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48DCB6A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56574B9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6DFB47B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5BFB980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5E04A00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727B478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7E7458AA" w14:textId="7A6A2F64"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6B9BCA8E"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021CD705"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3.1.3.3</w:t>
            </w:r>
          </w:p>
        </w:tc>
        <w:tc>
          <w:tcPr>
            <w:tcW w:w="281" w:type="pct"/>
            <w:tcBorders>
              <w:top w:val="nil"/>
              <w:left w:val="nil"/>
              <w:bottom w:val="single" w:sz="4" w:space="0" w:color="auto"/>
              <w:right w:val="single" w:sz="4" w:space="0" w:color="auto"/>
            </w:tcBorders>
            <w:shd w:val="clear" w:color="auto" w:fill="auto"/>
            <w:vAlign w:val="center"/>
            <w:hideMark/>
          </w:tcPr>
          <w:p w14:paraId="27717BA3"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3.1.3.3 Përfshirja në planet vendore për migracionin dhe diasporën për garantimin e të drejtave të migrantëve në komunitet për pjesëmarrje aktive në komunitet</w:t>
            </w:r>
          </w:p>
        </w:tc>
        <w:tc>
          <w:tcPr>
            <w:tcW w:w="186" w:type="pct"/>
            <w:tcBorders>
              <w:top w:val="nil"/>
              <w:left w:val="nil"/>
              <w:bottom w:val="single" w:sz="4" w:space="0" w:color="auto"/>
              <w:right w:val="single" w:sz="4" w:space="0" w:color="auto"/>
            </w:tcBorders>
            <w:shd w:val="clear" w:color="auto" w:fill="auto"/>
            <w:vAlign w:val="center"/>
            <w:hideMark/>
          </w:tcPr>
          <w:p w14:paraId="47A0E51F"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w:t>
            </w:r>
          </w:p>
        </w:tc>
        <w:tc>
          <w:tcPr>
            <w:tcW w:w="169" w:type="pct"/>
            <w:tcBorders>
              <w:top w:val="nil"/>
              <w:left w:val="nil"/>
              <w:bottom w:val="single" w:sz="4" w:space="0" w:color="auto"/>
              <w:right w:val="single" w:sz="4" w:space="0" w:color="auto"/>
            </w:tcBorders>
            <w:shd w:val="clear" w:color="auto" w:fill="auto"/>
            <w:vAlign w:val="center"/>
            <w:hideMark/>
          </w:tcPr>
          <w:p w14:paraId="0282BCF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NJVV</w:t>
            </w:r>
          </w:p>
        </w:tc>
        <w:tc>
          <w:tcPr>
            <w:tcW w:w="244" w:type="pct"/>
            <w:tcBorders>
              <w:top w:val="nil"/>
              <w:left w:val="nil"/>
              <w:bottom w:val="single" w:sz="4" w:space="0" w:color="auto"/>
              <w:right w:val="single" w:sz="4" w:space="0" w:color="auto"/>
            </w:tcBorders>
            <w:shd w:val="clear" w:color="auto" w:fill="auto"/>
            <w:vAlign w:val="center"/>
            <w:hideMark/>
          </w:tcPr>
          <w:p w14:paraId="6C9910D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ZVMD, OSHC, IOM</w:t>
            </w:r>
          </w:p>
        </w:tc>
        <w:tc>
          <w:tcPr>
            <w:tcW w:w="135" w:type="pct"/>
            <w:tcBorders>
              <w:top w:val="nil"/>
              <w:left w:val="nil"/>
              <w:bottom w:val="single" w:sz="4" w:space="0" w:color="auto"/>
              <w:right w:val="single" w:sz="4" w:space="0" w:color="auto"/>
            </w:tcBorders>
            <w:shd w:val="clear" w:color="000000" w:fill="DDEBF7"/>
            <w:vAlign w:val="center"/>
            <w:hideMark/>
          </w:tcPr>
          <w:p w14:paraId="4729287C"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1102F5F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39A3B5B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580,116</w:t>
            </w:r>
          </w:p>
        </w:tc>
        <w:tc>
          <w:tcPr>
            <w:tcW w:w="155" w:type="pct"/>
            <w:tcBorders>
              <w:top w:val="nil"/>
              <w:left w:val="nil"/>
              <w:bottom w:val="single" w:sz="4" w:space="0" w:color="auto"/>
              <w:right w:val="single" w:sz="4" w:space="0" w:color="auto"/>
            </w:tcBorders>
            <w:shd w:val="clear" w:color="auto" w:fill="auto"/>
            <w:vAlign w:val="center"/>
            <w:hideMark/>
          </w:tcPr>
          <w:p w14:paraId="587E056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75A2A39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580,116</w:t>
            </w:r>
          </w:p>
        </w:tc>
        <w:tc>
          <w:tcPr>
            <w:tcW w:w="165" w:type="pct"/>
            <w:tcBorders>
              <w:top w:val="nil"/>
              <w:left w:val="nil"/>
              <w:bottom w:val="single" w:sz="4" w:space="0" w:color="auto"/>
              <w:right w:val="single" w:sz="4" w:space="0" w:color="auto"/>
            </w:tcBorders>
            <w:shd w:val="clear" w:color="auto" w:fill="auto"/>
            <w:vAlign w:val="center"/>
            <w:hideMark/>
          </w:tcPr>
          <w:p w14:paraId="7B6B1A97"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580,116</w:t>
            </w:r>
          </w:p>
        </w:tc>
        <w:tc>
          <w:tcPr>
            <w:tcW w:w="163" w:type="pct"/>
            <w:tcBorders>
              <w:top w:val="nil"/>
              <w:left w:val="nil"/>
              <w:bottom w:val="single" w:sz="4" w:space="0" w:color="auto"/>
              <w:right w:val="single" w:sz="4" w:space="0" w:color="auto"/>
            </w:tcBorders>
            <w:shd w:val="clear" w:color="auto" w:fill="auto"/>
            <w:vAlign w:val="center"/>
            <w:hideMark/>
          </w:tcPr>
          <w:p w14:paraId="56E8165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0AE728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580,116</w:t>
            </w:r>
          </w:p>
        </w:tc>
        <w:tc>
          <w:tcPr>
            <w:tcW w:w="163" w:type="pct"/>
            <w:tcBorders>
              <w:top w:val="nil"/>
              <w:left w:val="nil"/>
              <w:bottom w:val="single" w:sz="4" w:space="0" w:color="auto"/>
              <w:right w:val="single" w:sz="4" w:space="0" w:color="auto"/>
            </w:tcBorders>
            <w:shd w:val="clear" w:color="auto" w:fill="auto"/>
            <w:vAlign w:val="center"/>
            <w:hideMark/>
          </w:tcPr>
          <w:p w14:paraId="5F6BA9B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580,116</w:t>
            </w:r>
          </w:p>
        </w:tc>
        <w:tc>
          <w:tcPr>
            <w:tcW w:w="148" w:type="pct"/>
            <w:tcBorders>
              <w:top w:val="nil"/>
              <w:left w:val="nil"/>
              <w:bottom w:val="single" w:sz="4" w:space="0" w:color="auto"/>
              <w:right w:val="single" w:sz="4" w:space="0" w:color="auto"/>
            </w:tcBorders>
            <w:shd w:val="clear" w:color="auto" w:fill="auto"/>
            <w:vAlign w:val="center"/>
            <w:hideMark/>
          </w:tcPr>
          <w:p w14:paraId="405A85B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6BC83B6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580,116</w:t>
            </w:r>
          </w:p>
        </w:tc>
        <w:tc>
          <w:tcPr>
            <w:tcW w:w="165" w:type="pct"/>
            <w:tcBorders>
              <w:top w:val="nil"/>
              <w:left w:val="nil"/>
              <w:bottom w:val="single" w:sz="4" w:space="0" w:color="auto"/>
              <w:right w:val="single" w:sz="4" w:space="0" w:color="auto"/>
            </w:tcBorders>
            <w:shd w:val="clear" w:color="auto" w:fill="auto"/>
            <w:vAlign w:val="center"/>
            <w:hideMark/>
          </w:tcPr>
          <w:p w14:paraId="7B9AF52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1,740,348</w:t>
            </w:r>
          </w:p>
        </w:tc>
        <w:tc>
          <w:tcPr>
            <w:tcW w:w="163" w:type="pct"/>
            <w:tcBorders>
              <w:top w:val="nil"/>
              <w:left w:val="nil"/>
              <w:bottom w:val="single" w:sz="4" w:space="0" w:color="auto"/>
              <w:right w:val="single" w:sz="4" w:space="0" w:color="auto"/>
            </w:tcBorders>
            <w:shd w:val="clear" w:color="auto" w:fill="auto"/>
            <w:vAlign w:val="center"/>
            <w:hideMark/>
          </w:tcPr>
          <w:p w14:paraId="02BB5E7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6924B75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1,740,348</w:t>
            </w:r>
          </w:p>
        </w:tc>
        <w:tc>
          <w:tcPr>
            <w:tcW w:w="163" w:type="pct"/>
            <w:tcBorders>
              <w:top w:val="nil"/>
              <w:left w:val="nil"/>
              <w:bottom w:val="single" w:sz="4" w:space="0" w:color="auto"/>
              <w:right w:val="single" w:sz="4" w:space="0" w:color="auto"/>
            </w:tcBorders>
            <w:shd w:val="clear" w:color="auto" w:fill="auto"/>
            <w:vAlign w:val="center"/>
            <w:hideMark/>
          </w:tcPr>
          <w:p w14:paraId="409ADEA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1,740,348</w:t>
            </w:r>
          </w:p>
        </w:tc>
        <w:tc>
          <w:tcPr>
            <w:tcW w:w="155" w:type="pct"/>
            <w:tcBorders>
              <w:top w:val="nil"/>
              <w:left w:val="nil"/>
              <w:bottom w:val="single" w:sz="4" w:space="0" w:color="auto"/>
              <w:right w:val="single" w:sz="4" w:space="0" w:color="auto"/>
            </w:tcBorders>
            <w:shd w:val="clear" w:color="auto" w:fill="auto"/>
            <w:vAlign w:val="center"/>
            <w:hideMark/>
          </w:tcPr>
          <w:p w14:paraId="105C66D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43E1119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1,740,348</w:t>
            </w:r>
          </w:p>
        </w:tc>
        <w:tc>
          <w:tcPr>
            <w:tcW w:w="162" w:type="pct"/>
            <w:tcBorders>
              <w:top w:val="nil"/>
              <w:left w:val="nil"/>
              <w:bottom w:val="single" w:sz="4" w:space="0" w:color="auto"/>
              <w:right w:val="single" w:sz="4" w:space="0" w:color="auto"/>
            </w:tcBorders>
            <w:shd w:val="clear" w:color="auto" w:fill="auto"/>
            <w:vAlign w:val="center"/>
            <w:hideMark/>
          </w:tcPr>
          <w:p w14:paraId="2C6D2B3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731EE65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03788FC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432F65E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0C66499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4B22999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096B57B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7610550D" w14:textId="56A8F7B4"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1558497D"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52B6AD16"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3.1.3.4</w:t>
            </w:r>
          </w:p>
        </w:tc>
        <w:tc>
          <w:tcPr>
            <w:tcW w:w="281" w:type="pct"/>
            <w:tcBorders>
              <w:top w:val="nil"/>
              <w:left w:val="nil"/>
              <w:bottom w:val="single" w:sz="4" w:space="0" w:color="auto"/>
              <w:right w:val="single" w:sz="4" w:space="0" w:color="auto"/>
            </w:tcBorders>
            <w:shd w:val="clear" w:color="auto" w:fill="auto"/>
            <w:vAlign w:val="center"/>
            <w:hideMark/>
          </w:tcPr>
          <w:p w14:paraId="451AF670" w14:textId="5ECE1000"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3.1.3.4 Zhvillimi i dialogut teknik dhe politik midis NJVV</w:t>
            </w:r>
            <w:r w:rsidR="00AF12C0" w:rsidRPr="00B457F5">
              <w:rPr>
                <w:rFonts w:ascii="Garamond" w:eastAsia="Times New Roman" w:hAnsi="Garamond" w:cs="Times New Roman"/>
                <w:color w:val="000000"/>
                <w:sz w:val="4"/>
                <w:szCs w:val="10"/>
              </w:rPr>
              <w:t>-ve</w:t>
            </w:r>
            <w:r w:rsidRPr="00B457F5">
              <w:rPr>
                <w:rFonts w:ascii="Garamond" w:eastAsia="Times New Roman" w:hAnsi="Garamond" w:cs="Times New Roman"/>
                <w:color w:val="000000"/>
                <w:sz w:val="4"/>
                <w:szCs w:val="10"/>
              </w:rPr>
              <w:t xml:space="preserve"> dhe strukturave të pushtetit qendror për zbatimin e programeve integruese</w:t>
            </w:r>
          </w:p>
        </w:tc>
        <w:tc>
          <w:tcPr>
            <w:tcW w:w="186" w:type="pct"/>
            <w:tcBorders>
              <w:top w:val="nil"/>
              <w:left w:val="nil"/>
              <w:bottom w:val="single" w:sz="4" w:space="0" w:color="auto"/>
              <w:right w:val="single" w:sz="4" w:space="0" w:color="auto"/>
            </w:tcBorders>
            <w:shd w:val="clear" w:color="auto" w:fill="auto"/>
            <w:vAlign w:val="center"/>
            <w:hideMark/>
          </w:tcPr>
          <w:p w14:paraId="366D1189"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11468F5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5AF6870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NJVV, IOM</w:t>
            </w:r>
          </w:p>
        </w:tc>
        <w:tc>
          <w:tcPr>
            <w:tcW w:w="135" w:type="pct"/>
            <w:tcBorders>
              <w:top w:val="nil"/>
              <w:left w:val="nil"/>
              <w:bottom w:val="single" w:sz="4" w:space="0" w:color="auto"/>
              <w:right w:val="single" w:sz="4" w:space="0" w:color="auto"/>
            </w:tcBorders>
            <w:shd w:val="clear" w:color="000000" w:fill="DDEBF7"/>
            <w:vAlign w:val="center"/>
            <w:hideMark/>
          </w:tcPr>
          <w:p w14:paraId="3EA7D444"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478706A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2217E9C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668,088</w:t>
            </w:r>
          </w:p>
        </w:tc>
        <w:tc>
          <w:tcPr>
            <w:tcW w:w="155" w:type="pct"/>
            <w:tcBorders>
              <w:top w:val="nil"/>
              <w:left w:val="nil"/>
              <w:bottom w:val="single" w:sz="4" w:space="0" w:color="auto"/>
              <w:right w:val="single" w:sz="4" w:space="0" w:color="auto"/>
            </w:tcBorders>
            <w:shd w:val="clear" w:color="auto" w:fill="auto"/>
            <w:vAlign w:val="center"/>
            <w:hideMark/>
          </w:tcPr>
          <w:p w14:paraId="0A6F287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6571370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668,088</w:t>
            </w:r>
          </w:p>
        </w:tc>
        <w:tc>
          <w:tcPr>
            <w:tcW w:w="165" w:type="pct"/>
            <w:tcBorders>
              <w:top w:val="nil"/>
              <w:left w:val="nil"/>
              <w:bottom w:val="single" w:sz="4" w:space="0" w:color="auto"/>
              <w:right w:val="single" w:sz="4" w:space="0" w:color="auto"/>
            </w:tcBorders>
            <w:shd w:val="clear" w:color="auto" w:fill="auto"/>
            <w:vAlign w:val="center"/>
            <w:hideMark/>
          </w:tcPr>
          <w:p w14:paraId="4358C56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668,088</w:t>
            </w:r>
          </w:p>
        </w:tc>
        <w:tc>
          <w:tcPr>
            <w:tcW w:w="163" w:type="pct"/>
            <w:tcBorders>
              <w:top w:val="nil"/>
              <w:left w:val="nil"/>
              <w:bottom w:val="single" w:sz="4" w:space="0" w:color="auto"/>
              <w:right w:val="single" w:sz="4" w:space="0" w:color="auto"/>
            </w:tcBorders>
            <w:shd w:val="clear" w:color="auto" w:fill="auto"/>
            <w:vAlign w:val="center"/>
            <w:hideMark/>
          </w:tcPr>
          <w:p w14:paraId="3F9B0E8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3A88939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668,088</w:t>
            </w:r>
          </w:p>
        </w:tc>
        <w:tc>
          <w:tcPr>
            <w:tcW w:w="163" w:type="pct"/>
            <w:tcBorders>
              <w:top w:val="nil"/>
              <w:left w:val="nil"/>
              <w:bottom w:val="single" w:sz="4" w:space="0" w:color="auto"/>
              <w:right w:val="single" w:sz="4" w:space="0" w:color="auto"/>
            </w:tcBorders>
            <w:shd w:val="clear" w:color="auto" w:fill="auto"/>
            <w:vAlign w:val="center"/>
            <w:hideMark/>
          </w:tcPr>
          <w:p w14:paraId="249356E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668,088</w:t>
            </w:r>
          </w:p>
        </w:tc>
        <w:tc>
          <w:tcPr>
            <w:tcW w:w="148" w:type="pct"/>
            <w:tcBorders>
              <w:top w:val="nil"/>
              <w:left w:val="nil"/>
              <w:bottom w:val="single" w:sz="4" w:space="0" w:color="auto"/>
              <w:right w:val="single" w:sz="4" w:space="0" w:color="auto"/>
            </w:tcBorders>
            <w:shd w:val="clear" w:color="auto" w:fill="auto"/>
            <w:vAlign w:val="center"/>
            <w:hideMark/>
          </w:tcPr>
          <w:p w14:paraId="4378F11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11C518A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668,088</w:t>
            </w:r>
          </w:p>
        </w:tc>
        <w:tc>
          <w:tcPr>
            <w:tcW w:w="165" w:type="pct"/>
            <w:tcBorders>
              <w:top w:val="nil"/>
              <w:left w:val="nil"/>
              <w:bottom w:val="single" w:sz="4" w:space="0" w:color="auto"/>
              <w:right w:val="single" w:sz="4" w:space="0" w:color="auto"/>
            </w:tcBorders>
            <w:shd w:val="clear" w:color="auto" w:fill="auto"/>
            <w:vAlign w:val="center"/>
            <w:hideMark/>
          </w:tcPr>
          <w:p w14:paraId="514EB13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2,004,264</w:t>
            </w:r>
          </w:p>
        </w:tc>
        <w:tc>
          <w:tcPr>
            <w:tcW w:w="163" w:type="pct"/>
            <w:tcBorders>
              <w:top w:val="nil"/>
              <w:left w:val="nil"/>
              <w:bottom w:val="single" w:sz="4" w:space="0" w:color="auto"/>
              <w:right w:val="single" w:sz="4" w:space="0" w:color="auto"/>
            </w:tcBorders>
            <w:shd w:val="clear" w:color="auto" w:fill="auto"/>
            <w:vAlign w:val="center"/>
            <w:hideMark/>
          </w:tcPr>
          <w:p w14:paraId="52F0F42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00D2607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2,004,264</w:t>
            </w:r>
          </w:p>
        </w:tc>
        <w:tc>
          <w:tcPr>
            <w:tcW w:w="163" w:type="pct"/>
            <w:tcBorders>
              <w:top w:val="nil"/>
              <w:left w:val="nil"/>
              <w:bottom w:val="single" w:sz="4" w:space="0" w:color="auto"/>
              <w:right w:val="single" w:sz="4" w:space="0" w:color="auto"/>
            </w:tcBorders>
            <w:shd w:val="clear" w:color="auto" w:fill="auto"/>
            <w:vAlign w:val="center"/>
            <w:hideMark/>
          </w:tcPr>
          <w:p w14:paraId="21CBA43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2,004,264</w:t>
            </w:r>
          </w:p>
        </w:tc>
        <w:tc>
          <w:tcPr>
            <w:tcW w:w="155" w:type="pct"/>
            <w:tcBorders>
              <w:top w:val="nil"/>
              <w:left w:val="nil"/>
              <w:bottom w:val="single" w:sz="4" w:space="0" w:color="auto"/>
              <w:right w:val="single" w:sz="4" w:space="0" w:color="auto"/>
            </w:tcBorders>
            <w:shd w:val="clear" w:color="auto" w:fill="auto"/>
            <w:vAlign w:val="center"/>
            <w:hideMark/>
          </w:tcPr>
          <w:p w14:paraId="1C6712B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3946DCA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2,004,264</w:t>
            </w:r>
          </w:p>
        </w:tc>
        <w:tc>
          <w:tcPr>
            <w:tcW w:w="162" w:type="pct"/>
            <w:tcBorders>
              <w:top w:val="nil"/>
              <w:left w:val="nil"/>
              <w:bottom w:val="single" w:sz="4" w:space="0" w:color="auto"/>
              <w:right w:val="single" w:sz="4" w:space="0" w:color="auto"/>
            </w:tcBorders>
            <w:shd w:val="clear" w:color="auto" w:fill="auto"/>
            <w:vAlign w:val="center"/>
            <w:hideMark/>
          </w:tcPr>
          <w:p w14:paraId="6E8CAC4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25BA16A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6F02FB9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607BFA7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0F45BE2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019D3DE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085CAF4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66BDAB0F" w14:textId="2B338F48"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 - </w:t>
            </w:r>
          </w:p>
        </w:tc>
      </w:tr>
      <w:tr w:rsidR="00C260C3" w:rsidRPr="00B457F5" w14:paraId="751EEA2E" w14:textId="77777777" w:rsidTr="00C260C3">
        <w:trPr>
          <w:trHeight w:val="20"/>
        </w:trPr>
        <w:tc>
          <w:tcPr>
            <w:tcW w:w="131" w:type="pct"/>
            <w:tcBorders>
              <w:top w:val="nil"/>
              <w:left w:val="single" w:sz="4" w:space="0" w:color="auto"/>
              <w:bottom w:val="single" w:sz="4" w:space="0" w:color="auto"/>
              <w:right w:val="single" w:sz="4" w:space="0" w:color="auto"/>
            </w:tcBorders>
            <w:shd w:val="clear" w:color="000000" w:fill="D9D9D9"/>
            <w:vAlign w:val="center"/>
            <w:hideMark/>
          </w:tcPr>
          <w:p w14:paraId="7707F2E9"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81" w:type="pct"/>
            <w:tcBorders>
              <w:top w:val="nil"/>
              <w:left w:val="nil"/>
              <w:bottom w:val="single" w:sz="4" w:space="0" w:color="auto"/>
              <w:right w:val="single" w:sz="4" w:space="0" w:color="auto"/>
            </w:tcBorders>
            <w:shd w:val="clear" w:color="000000" w:fill="D9D9D9"/>
            <w:vAlign w:val="center"/>
            <w:hideMark/>
          </w:tcPr>
          <w:p w14:paraId="06FEBED2" w14:textId="3F16FB76" w:rsidR="00C260C3" w:rsidRPr="00B457F5" w:rsidRDefault="00C260C3" w:rsidP="00C260C3">
            <w:pPr>
              <w:spacing w:before="0" w:after="0"/>
              <w:jc w:val="lef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Kosto</w:t>
            </w:r>
            <w:r w:rsidR="00E92B0D" w:rsidRPr="00B457F5">
              <w:rPr>
                <w:rFonts w:ascii="Garamond" w:eastAsia="Times New Roman" w:hAnsi="Garamond" w:cs="Times New Roman"/>
                <w:b/>
                <w:bCs/>
                <w:color w:val="FF0000"/>
                <w:sz w:val="4"/>
                <w:szCs w:val="10"/>
              </w:rPr>
              <w:t>ja e</w:t>
            </w:r>
            <w:r w:rsidRPr="00B457F5">
              <w:rPr>
                <w:rFonts w:ascii="Garamond" w:eastAsia="Times New Roman" w:hAnsi="Garamond" w:cs="Times New Roman"/>
                <w:b/>
                <w:bCs/>
                <w:color w:val="FF0000"/>
                <w:sz w:val="4"/>
                <w:szCs w:val="10"/>
              </w:rPr>
              <w:t xml:space="preserve"> </w:t>
            </w:r>
            <w:r w:rsidR="00E92B0D" w:rsidRPr="00B457F5">
              <w:rPr>
                <w:rFonts w:ascii="Garamond" w:eastAsia="Times New Roman" w:hAnsi="Garamond" w:cs="Times New Roman"/>
                <w:b/>
                <w:bCs/>
                <w:color w:val="FF0000"/>
                <w:sz w:val="4"/>
                <w:szCs w:val="10"/>
              </w:rPr>
              <w:t>o</w:t>
            </w:r>
            <w:r w:rsidRPr="00B457F5">
              <w:rPr>
                <w:rFonts w:ascii="Garamond" w:eastAsia="Times New Roman" w:hAnsi="Garamond" w:cs="Times New Roman"/>
                <w:b/>
                <w:bCs/>
                <w:color w:val="FF0000"/>
                <w:sz w:val="4"/>
                <w:szCs w:val="10"/>
              </w:rPr>
              <w:t>bjektivi</w:t>
            </w:r>
            <w:r w:rsidR="00E92B0D" w:rsidRPr="00B457F5">
              <w:rPr>
                <w:rFonts w:ascii="Garamond" w:eastAsia="Times New Roman" w:hAnsi="Garamond" w:cs="Times New Roman"/>
                <w:b/>
                <w:bCs/>
                <w:color w:val="FF0000"/>
                <w:sz w:val="4"/>
                <w:szCs w:val="10"/>
              </w:rPr>
              <w:t>t</w:t>
            </w:r>
            <w:r w:rsidRPr="00B457F5">
              <w:rPr>
                <w:rFonts w:ascii="Garamond" w:eastAsia="Times New Roman" w:hAnsi="Garamond" w:cs="Times New Roman"/>
                <w:b/>
                <w:bCs/>
                <w:color w:val="FF0000"/>
                <w:sz w:val="4"/>
                <w:szCs w:val="10"/>
              </w:rPr>
              <w:t xml:space="preserve"> specifik 3.1</w:t>
            </w:r>
          </w:p>
        </w:tc>
        <w:tc>
          <w:tcPr>
            <w:tcW w:w="186" w:type="pct"/>
            <w:tcBorders>
              <w:top w:val="nil"/>
              <w:left w:val="nil"/>
              <w:bottom w:val="single" w:sz="4" w:space="0" w:color="auto"/>
              <w:right w:val="single" w:sz="4" w:space="0" w:color="auto"/>
            </w:tcBorders>
            <w:shd w:val="clear" w:color="000000" w:fill="D9D9D9"/>
            <w:vAlign w:val="center"/>
            <w:hideMark/>
          </w:tcPr>
          <w:p w14:paraId="75EB4099"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9" w:type="pct"/>
            <w:tcBorders>
              <w:top w:val="nil"/>
              <w:left w:val="nil"/>
              <w:bottom w:val="single" w:sz="4" w:space="0" w:color="auto"/>
              <w:right w:val="single" w:sz="4" w:space="0" w:color="auto"/>
            </w:tcBorders>
            <w:shd w:val="clear" w:color="000000" w:fill="D9D9D9"/>
            <w:vAlign w:val="center"/>
            <w:hideMark/>
          </w:tcPr>
          <w:p w14:paraId="5D1A2444"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44" w:type="pct"/>
            <w:tcBorders>
              <w:top w:val="nil"/>
              <w:left w:val="nil"/>
              <w:bottom w:val="single" w:sz="4" w:space="0" w:color="auto"/>
              <w:right w:val="single" w:sz="4" w:space="0" w:color="auto"/>
            </w:tcBorders>
            <w:shd w:val="clear" w:color="000000" w:fill="D9D9D9"/>
            <w:vAlign w:val="center"/>
            <w:hideMark/>
          </w:tcPr>
          <w:p w14:paraId="4EEE3A1D"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35" w:type="pct"/>
            <w:tcBorders>
              <w:top w:val="nil"/>
              <w:left w:val="nil"/>
              <w:bottom w:val="single" w:sz="4" w:space="0" w:color="auto"/>
              <w:right w:val="single" w:sz="4" w:space="0" w:color="auto"/>
            </w:tcBorders>
            <w:shd w:val="clear" w:color="000000" w:fill="D9D9D9"/>
            <w:vAlign w:val="center"/>
            <w:hideMark/>
          </w:tcPr>
          <w:p w14:paraId="24385C94"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2" w:type="pct"/>
            <w:tcBorders>
              <w:top w:val="nil"/>
              <w:left w:val="nil"/>
              <w:bottom w:val="single" w:sz="4" w:space="0" w:color="auto"/>
              <w:right w:val="single" w:sz="4" w:space="0" w:color="auto"/>
            </w:tcBorders>
            <w:shd w:val="clear" w:color="000000" w:fill="D9D9D9"/>
            <w:vAlign w:val="center"/>
            <w:hideMark/>
          </w:tcPr>
          <w:p w14:paraId="21445EC7"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56F4B6EF" w14:textId="736201C8"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38,370,939 </w:t>
            </w:r>
          </w:p>
        </w:tc>
        <w:tc>
          <w:tcPr>
            <w:tcW w:w="155" w:type="pct"/>
            <w:tcBorders>
              <w:top w:val="nil"/>
              <w:left w:val="nil"/>
              <w:bottom w:val="single" w:sz="4" w:space="0" w:color="auto"/>
              <w:right w:val="single" w:sz="4" w:space="0" w:color="auto"/>
            </w:tcBorders>
            <w:shd w:val="clear" w:color="000000" w:fill="D9D9D9"/>
            <w:vAlign w:val="center"/>
            <w:hideMark/>
          </w:tcPr>
          <w:p w14:paraId="051AC2F9" w14:textId="33A5912E" w:rsidR="00C260C3" w:rsidRPr="00B457F5" w:rsidRDefault="0006016F"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w:t>
            </w:r>
            <w:r w:rsidR="00C260C3" w:rsidRPr="00B457F5">
              <w:rPr>
                <w:rFonts w:ascii="Garamond" w:eastAsia="Times New Roman" w:hAnsi="Garamond" w:cs="Times New Roman"/>
                <w:b/>
                <w:bCs/>
                <w:color w:val="FF0000"/>
                <w:sz w:val="4"/>
                <w:szCs w:val="10"/>
              </w:rPr>
              <w:t xml:space="preserve">- </w:t>
            </w:r>
          </w:p>
        </w:tc>
        <w:tc>
          <w:tcPr>
            <w:tcW w:w="162" w:type="pct"/>
            <w:tcBorders>
              <w:top w:val="nil"/>
              <w:left w:val="nil"/>
              <w:bottom w:val="single" w:sz="4" w:space="0" w:color="auto"/>
              <w:right w:val="single" w:sz="4" w:space="0" w:color="auto"/>
            </w:tcBorders>
            <w:shd w:val="clear" w:color="000000" w:fill="D9D9D9"/>
            <w:vAlign w:val="center"/>
            <w:hideMark/>
          </w:tcPr>
          <w:p w14:paraId="6EB67D42" w14:textId="4526C076"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38,370,939 </w:t>
            </w:r>
          </w:p>
        </w:tc>
        <w:tc>
          <w:tcPr>
            <w:tcW w:w="165" w:type="pct"/>
            <w:tcBorders>
              <w:top w:val="nil"/>
              <w:left w:val="nil"/>
              <w:bottom w:val="single" w:sz="4" w:space="0" w:color="auto"/>
              <w:right w:val="single" w:sz="4" w:space="0" w:color="auto"/>
            </w:tcBorders>
            <w:shd w:val="clear" w:color="000000" w:fill="D9D9D9"/>
            <w:vAlign w:val="center"/>
            <w:hideMark/>
          </w:tcPr>
          <w:p w14:paraId="69F02CA8" w14:textId="154D4303"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38,370,939 </w:t>
            </w:r>
          </w:p>
        </w:tc>
        <w:tc>
          <w:tcPr>
            <w:tcW w:w="163" w:type="pct"/>
            <w:tcBorders>
              <w:top w:val="nil"/>
              <w:left w:val="nil"/>
              <w:bottom w:val="single" w:sz="4" w:space="0" w:color="auto"/>
              <w:right w:val="single" w:sz="4" w:space="0" w:color="auto"/>
            </w:tcBorders>
            <w:shd w:val="clear" w:color="000000" w:fill="D9D9D9"/>
            <w:vAlign w:val="center"/>
            <w:hideMark/>
          </w:tcPr>
          <w:p w14:paraId="3DEE2796" w14:textId="2568A16F"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c>
          <w:tcPr>
            <w:tcW w:w="163" w:type="pct"/>
            <w:tcBorders>
              <w:top w:val="nil"/>
              <w:left w:val="nil"/>
              <w:bottom w:val="single" w:sz="4" w:space="0" w:color="auto"/>
              <w:right w:val="single" w:sz="4" w:space="0" w:color="auto"/>
            </w:tcBorders>
            <w:shd w:val="clear" w:color="000000" w:fill="D9D9D9"/>
            <w:vAlign w:val="center"/>
            <w:hideMark/>
          </w:tcPr>
          <w:p w14:paraId="74717750" w14:textId="79245689"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38,370,939 </w:t>
            </w:r>
          </w:p>
        </w:tc>
        <w:tc>
          <w:tcPr>
            <w:tcW w:w="163" w:type="pct"/>
            <w:tcBorders>
              <w:top w:val="nil"/>
              <w:left w:val="nil"/>
              <w:bottom w:val="single" w:sz="4" w:space="0" w:color="auto"/>
              <w:right w:val="single" w:sz="4" w:space="0" w:color="auto"/>
            </w:tcBorders>
            <w:shd w:val="clear" w:color="000000" w:fill="D9D9D9"/>
            <w:vAlign w:val="center"/>
            <w:hideMark/>
          </w:tcPr>
          <w:p w14:paraId="3FFB1F64" w14:textId="5509EEDD" w:rsidR="00C260C3" w:rsidRPr="00B457F5" w:rsidRDefault="0006016F"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w:t>
            </w:r>
            <w:r w:rsidR="00C260C3" w:rsidRPr="00B457F5">
              <w:rPr>
                <w:rFonts w:ascii="Garamond" w:eastAsia="Times New Roman" w:hAnsi="Garamond" w:cs="Times New Roman"/>
                <w:b/>
                <w:bCs/>
                <w:color w:val="FF0000"/>
                <w:sz w:val="4"/>
                <w:szCs w:val="10"/>
              </w:rPr>
              <w:t xml:space="preserve">20,991,805 </w:t>
            </w:r>
          </w:p>
        </w:tc>
        <w:tc>
          <w:tcPr>
            <w:tcW w:w="148" w:type="pct"/>
            <w:tcBorders>
              <w:top w:val="nil"/>
              <w:left w:val="nil"/>
              <w:bottom w:val="single" w:sz="4" w:space="0" w:color="auto"/>
              <w:right w:val="single" w:sz="4" w:space="0" w:color="auto"/>
            </w:tcBorders>
            <w:shd w:val="clear" w:color="000000" w:fill="D9D9D9"/>
            <w:vAlign w:val="center"/>
            <w:hideMark/>
          </w:tcPr>
          <w:p w14:paraId="1FF00563" w14:textId="7AB259B6"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w:t>
            </w:r>
          </w:p>
        </w:tc>
        <w:tc>
          <w:tcPr>
            <w:tcW w:w="162" w:type="pct"/>
            <w:tcBorders>
              <w:top w:val="nil"/>
              <w:left w:val="nil"/>
              <w:bottom w:val="single" w:sz="4" w:space="0" w:color="auto"/>
              <w:right w:val="single" w:sz="4" w:space="0" w:color="auto"/>
            </w:tcBorders>
            <w:shd w:val="clear" w:color="000000" w:fill="D9D9D9"/>
            <w:vAlign w:val="center"/>
            <w:hideMark/>
          </w:tcPr>
          <w:p w14:paraId="560B7A6F" w14:textId="27289C12"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20,991,805 </w:t>
            </w:r>
          </w:p>
        </w:tc>
        <w:tc>
          <w:tcPr>
            <w:tcW w:w="165" w:type="pct"/>
            <w:tcBorders>
              <w:top w:val="nil"/>
              <w:left w:val="nil"/>
              <w:bottom w:val="single" w:sz="4" w:space="0" w:color="auto"/>
              <w:right w:val="single" w:sz="4" w:space="0" w:color="auto"/>
            </w:tcBorders>
            <w:shd w:val="clear" w:color="000000" w:fill="D9D9D9"/>
            <w:vAlign w:val="center"/>
            <w:hideMark/>
          </w:tcPr>
          <w:p w14:paraId="1164DB81" w14:textId="0218CAC5"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97,733,683 </w:t>
            </w:r>
          </w:p>
        </w:tc>
        <w:tc>
          <w:tcPr>
            <w:tcW w:w="163" w:type="pct"/>
            <w:tcBorders>
              <w:top w:val="nil"/>
              <w:left w:val="nil"/>
              <w:bottom w:val="single" w:sz="4" w:space="0" w:color="auto"/>
              <w:right w:val="single" w:sz="4" w:space="0" w:color="auto"/>
            </w:tcBorders>
            <w:shd w:val="clear" w:color="000000" w:fill="D9D9D9"/>
            <w:vAlign w:val="center"/>
            <w:hideMark/>
          </w:tcPr>
          <w:p w14:paraId="65459BE8" w14:textId="3571173E"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w:t>
            </w:r>
          </w:p>
        </w:tc>
        <w:tc>
          <w:tcPr>
            <w:tcW w:w="165" w:type="pct"/>
            <w:tcBorders>
              <w:top w:val="nil"/>
              <w:left w:val="nil"/>
              <w:bottom w:val="single" w:sz="4" w:space="0" w:color="auto"/>
              <w:right w:val="single" w:sz="4" w:space="0" w:color="auto"/>
            </w:tcBorders>
            <w:shd w:val="clear" w:color="000000" w:fill="D9D9D9"/>
            <w:vAlign w:val="center"/>
            <w:hideMark/>
          </w:tcPr>
          <w:p w14:paraId="3A7B0E64" w14:textId="7D83D9FB"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97,733,683 </w:t>
            </w:r>
          </w:p>
        </w:tc>
        <w:tc>
          <w:tcPr>
            <w:tcW w:w="163" w:type="pct"/>
            <w:tcBorders>
              <w:top w:val="nil"/>
              <w:left w:val="nil"/>
              <w:bottom w:val="single" w:sz="4" w:space="0" w:color="auto"/>
              <w:right w:val="single" w:sz="4" w:space="0" w:color="auto"/>
            </w:tcBorders>
            <w:shd w:val="clear" w:color="000000" w:fill="D9D9D9"/>
            <w:vAlign w:val="center"/>
            <w:hideMark/>
          </w:tcPr>
          <w:p w14:paraId="1DE3D684" w14:textId="41A63710"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54,190,447 </w:t>
            </w:r>
          </w:p>
        </w:tc>
        <w:tc>
          <w:tcPr>
            <w:tcW w:w="155" w:type="pct"/>
            <w:tcBorders>
              <w:top w:val="nil"/>
              <w:left w:val="nil"/>
              <w:bottom w:val="single" w:sz="4" w:space="0" w:color="auto"/>
              <w:right w:val="single" w:sz="4" w:space="0" w:color="auto"/>
            </w:tcBorders>
            <w:shd w:val="clear" w:color="000000" w:fill="D9D9D9"/>
            <w:vAlign w:val="center"/>
            <w:hideMark/>
          </w:tcPr>
          <w:p w14:paraId="48A944AB" w14:textId="79670FAC" w:rsidR="00C260C3" w:rsidRPr="00B457F5" w:rsidRDefault="0006016F"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w:t>
            </w:r>
            <w:r w:rsidR="00C260C3" w:rsidRPr="00B457F5">
              <w:rPr>
                <w:rFonts w:ascii="Garamond" w:eastAsia="Times New Roman" w:hAnsi="Garamond" w:cs="Times New Roman"/>
                <w:b/>
                <w:bCs/>
                <w:color w:val="FF0000"/>
                <w:sz w:val="4"/>
                <w:szCs w:val="10"/>
              </w:rPr>
              <w:t xml:space="preserve">- </w:t>
            </w:r>
          </w:p>
        </w:tc>
        <w:tc>
          <w:tcPr>
            <w:tcW w:w="163" w:type="pct"/>
            <w:tcBorders>
              <w:top w:val="nil"/>
              <w:left w:val="nil"/>
              <w:bottom w:val="single" w:sz="4" w:space="0" w:color="auto"/>
              <w:right w:val="single" w:sz="4" w:space="0" w:color="auto"/>
            </w:tcBorders>
            <w:shd w:val="clear" w:color="000000" w:fill="D9D9D9"/>
            <w:vAlign w:val="center"/>
            <w:hideMark/>
          </w:tcPr>
          <w:p w14:paraId="20BC2F3C" w14:textId="1E2F92AB"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54,190,447 </w:t>
            </w:r>
          </w:p>
        </w:tc>
        <w:tc>
          <w:tcPr>
            <w:tcW w:w="162" w:type="pct"/>
            <w:tcBorders>
              <w:top w:val="nil"/>
              <w:left w:val="nil"/>
              <w:bottom w:val="single" w:sz="4" w:space="0" w:color="auto"/>
              <w:right w:val="single" w:sz="4" w:space="0" w:color="auto"/>
            </w:tcBorders>
            <w:shd w:val="clear" w:color="000000" w:fill="D9D9D9"/>
            <w:vAlign w:val="center"/>
            <w:hideMark/>
          </w:tcPr>
          <w:p w14:paraId="6E6CE5D7" w14:textId="013AC7BC"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41,743,236 </w:t>
            </w:r>
          </w:p>
        </w:tc>
        <w:tc>
          <w:tcPr>
            <w:tcW w:w="155" w:type="pct"/>
            <w:tcBorders>
              <w:top w:val="nil"/>
              <w:left w:val="nil"/>
              <w:bottom w:val="single" w:sz="4" w:space="0" w:color="auto"/>
              <w:right w:val="single" w:sz="4" w:space="0" w:color="auto"/>
            </w:tcBorders>
            <w:shd w:val="clear" w:color="000000" w:fill="D9D9D9"/>
            <w:vAlign w:val="center"/>
            <w:hideMark/>
          </w:tcPr>
          <w:p w14:paraId="62BA4929" w14:textId="21DCB44B"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w:t>
            </w:r>
          </w:p>
        </w:tc>
        <w:tc>
          <w:tcPr>
            <w:tcW w:w="218" w:type="pct"/>
            <w:tcBorders>
              <w:top w:val="nil"/>
              <w:left w:val="nil"/>
              <w:bottom w:val="single" w:sz="4" w:space="0" w:color="auto"/>
              <w:right w:val="single" w:sz="4" w:space="0" w:color="auto"/>
            </w:tcBorders>
            <w:shd w:val="clear" w:color="000000" w:fill="D9D9D9"/>
            <w:vAlign w:val="center"/>
            <w:hideMark/>
          </w:tcPr>
          <w:p w14:paraId="1F95A501" w14:textId="3E8D1B9A"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c>
          <w:tcPr>
            <w:tcW w:w="163" w:type="pct"/>
            <w:tcBorders>
              <w:top w:val="nil"/>
              <w:left w:val="nil"/>
              <w:bottom w:val="single" w:sz="4" w:space="0" w:color="auto"/>
              <w:right w:val="single" w:sz="4" w:space="0" w:color="auto"/>
            </w:tcBorders>
            <w:shd w:val="clear" w:color="000000" w:fill="D9D9D9"/>
            <w:vAlign w:val="center"/>
            <w:hideMark/>
          </w:tcPr>
          <w:p w14:paraId="4AE7DB8C" w14:textId="5562BAF6"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41,743,236 </w:t>
            </w:r>
          </w:p>
        </w:tc>
        <w:tc>
          <w:tcPr>
            <w:tcW w:w="139" w:type="pct"/>
            <w:tcBorders>
              <w:top w:val="nil"/>
              <w:left w:val="nil"/>
              <w:bottom w:val="single" w:sz="4" w:space="0" w:color="auto"/>
              <w:right w:val="single" w:sz="4" w:space="0" w:color="auto"/>
            </w:tcBorders>
            <w:shd w:val="clear" w:color="000000" w:fill="D9D9D9"/>
            <w:vAlign w:val="center"/>
            <w:hideMark/>
          </w:tcPr>
          <w:p w14:paraId="3BDE6EF0" w14:textId="0C27AAEE"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w:t>
            </w:r>
          </w:p>
        </w:tc>
        <w:tc>
          <w:tcPr>
            <w:tcW w:w="142" w:type="pct"/>
            <w:tcBorders>
              <w:top w:val="nil"/>
              <w:left w:val="nil"/>
              <w:bottom w:val="single" w:sz="4" w:space="0" w:color="auto"/>
              <w:right w:val="single" w:sz="4" w:space="0" w:color="auto"/>
            </w:tcBorders>
            <w:shd w:val="clear" w:color="000000" w:fill="D9D9D9"/>
            <w:vAlign w:val="center"/>
            <w:hideMark/>
          </w:tcPr>
          <w:p w14:paraId="5F52C84C" w14:textId="5287E7B8" w:rsidR="00C260C3" w:rsidRPr="00B457F5" w:rsidRDefault="0006016F"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w:t>
            </w:r>
            <w:r w:rsidR="00C260C3" w:rsidRPr="00B457F5">
              <w:rPr>
                <w:rFonts w:ascii="Garamond" w:eastAsia="Times New Roman" w:hAnsi="Garamond" w:cs="Times New Roman"/>
                <w:b/>
                <w:bCs/>
                <w:color w:val="FF0000"/>
                <w:sz w:val="4"/>
                <w:szCs w:val="10"/>
              </w:rPr>
              <w:t xml:space="preserve">- </w:t>
            </w:r>
          </w:p>
        </w:tc>
        <w:tc>
          <w:tcPr>
            <w:tcW w:w="128" w:type="pct"/>
            <w:tcBorders>
              <w:top w:val="nil"/>
              <w:left w:val="nil"/>
              <w:bottom w:val="single" w:sz="4" w:space="0" w:color="auto"/>
              <w:right w:val="single" w:sz="4" w:space="0" w:color="auto"/>
            </w:tcBorders>
            <w:shd w:val="clear" w:color="000000" w:fill="D9D9D9"/>
            <w:vAlign w:val="center"/>
            <w:hideMark/>
          </w:tcPr>
          <w:p w14:paraId="05DB0705" w14:textId="7448DB4E" w:rsidR="00C260C3" w:rsidRPr="00B457F5" w:rsidRDefault="0006016F"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w:t>
            </w:r>
            <w:r w:rsidR="00C260C3" w:rsidRPr="00B457F5">
              <w:rPr>
                <w:rFonts w:ascii="Garamond" w:eastAsia="Times New Roman" w:hAnsi="Garamond" w:cs="Times New Roman"/>
                <w:b/>
                <w:bCs/>
                <w:color w:val="FF0000"/>
                <w:sz w:val="4"/>
                <w:szCs w:val="10"/>
              </w:rPr>
              <w:t xml:space="preserve">- </w:t>
            </w:r>
          </w:p>
        </w:tc>
        <w:tc>
          <w:tcPr>
            <w:tcW w:w="177" w:type="pct"/>
            <w:tcBorders>
              <w:top w:val="nil"/>
              <w:left w:val="nil"/>
              <w:bottom w:val="single" w:sz="4" w:space="0" w:color="auto"/>
              <w:right w:val="single" w:sz="4" w:space="0" w:color="auto"/>
            </w:tcBorders>
            <w:shd w:val="clear" w:color="000000" w:fill="D9D9D9"/>
            <w:vAlign w:val="center"/>
            <w:hideMark/>
          </w:tcPr>
          <w:p w14:paraId="3EA90483" w14:textId="5BF8293E"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(1,800,000)</w:t>
            </w:r>
          </w:p>
        </w:tc>
      </w:tr>
      <w:tr w:rsidR="00C260C3" w:rsidRPr="00B457F5" w14:paraId="158DEB07" w14:textId="77777777" w:rsidTr="00C260C3">
        <w:trPr>
          <w:trHeight w:val="20"/>
        </w:trPr>
        <w:tc>
          <w:tcPr>
            <w:tcW w:w="131" w:type="pct"/>
            <w:tcBorders>
              <w:top w:val="nil"/>
              <w:left w:val="single" w:sz="4" w:space="0" w:color="auto"/>
              <w:bottom w:val="single" w:sz="4" w:space="0" w:color="auto"/>
              <w:right w:val="single" w:sz="4" w:space="0" w:color="auto"/>
            </w:tcBorders>
            <w:shd w:val="clear" w:color="000000" w:fill="D9D9D9"/>
            <w:vAlign w:val="center"/>
            <w:hideMark/>
          </w:tcPr>
          <w:p w14:paraId="3E0AE9B0"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81" w:type="pct"/>
            <w:tcBorders>
              <w:top w:val="nil"/>
              <w:left w:val="nil"/>
              <w:bottom w:val="single" w:sz="4" w:space="0" w:color="auto"/>
              <w:right w:val="single" w:sz="4" w:space="0" w:color="auto"/>
            </w:tcBorders>
            <w:shd w:val="clear" w:color="000000" w:fill="D9D9D9"/>
            <w:vAlign w:val="center"/>
            <w:hideMark/>
          </w:tcPr>
          <w:p w14:paraId="43B3CBE5" w14:textId="594C4768" w:rsidR="00C260C3" w:rsidRPr="00B457F5" w:rsidRDefault="00C260C3" w:rsidP="00C260C3">
            <w:pPr>
              <w:spacing w:before="0" w:after="0"/>
              <w:jc w:val="lef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Kosto</w:t>
            </w:r>
            <w:r w:rsidR="00E92B0D" w:rsidRPr="00B457F5">
              <w:rPr>
                <w:rFonts w:ascii="Garamond" w:eastAsia="Times New Roman" w:hAnsi="Garamond" w:cs="Times New Roman"/>
                <w:b/>
                <w:bCs/>
                <w:color w:val="FF0000"/>
                <w:sz w:val="4"/>
                <w:szCs w:val="10"/>
              </w:rPr>
              <w:t>ja</w:t>
            </w:r>
            <w:r w:rsidRPr="00B457F5">
              <w:rPr>
                <w:rFonts w:ascii="Garamond" w:eastAsia="Times New Roman" w:hAnsi="Garamond" w:cs="Times New Roman"/>
                <w:b/>
                <w:bCs/>
                <w:color w:val="FF0000"/>
                <w:sz w:val="4"/>
                <w:szCs w:val="10"/>
              </w:rPr>
              <w:t xml:space="preserve"> totale </w:t>
            </w:r>
            <w:r w:rsidR="00E92B0D" w:rsidRPr="00B457F5">
              <w:rPr>
                <w:rFonts w:ascii="Garamond" w:eastAsia="Times New Roman" w:hAnsi="Garamond" w:cs="Times New Roman"/>
                <w:b/>
                <w:bCs/>
                <w:color w:val="FF0000"/>
                <w:sz w:val="4"/>
                <w:szCs w:val="10"/>
              </w:rPr>
              <w:t>e q</w:t>
            </w:r>
            <w:r w:rsidRPr="00B457F5">
              <w:rPr>
                <w:rFonts w:ascii="Garamond" w:eastAsia="Times New Roman" w:hAnsi="Garamond" w:cs="Times New Roman"/>
                <w:b/>
                <w:bCs/>
                <w:color w:val="FF0000"/>
                <w:sz w:val="4"/>
                <w:szCs w:val="10"/>
              </w:rPr>
              <w:t>ëllimi</w:t>
            </w:r>
            <w:r w:rsidR="00E92B0D" w:rsidRPr="00B457F5">
              <w:rPr>
                <w:rFonts w:ascii="Garamond" w:eastAsia="Times New Roman" w:hAnsi="Garamond" w:cs="Times New Roman"/>
                <w:b/>
                <w:bCs/>
                <w:color w:val="FF0000"/>
                <w:sz w:val="4"/>
                <w:szCs w:val="10"/>
              </w:rPr>
              <w:t>t</w:t>
            </w:r>
            <w:r w:rsidRPr="00B457F5">
              <w:rPr>
                <w:rFonts w:ascii="Garamond" w:eastAsia="Times New Roman" w:hAnsi="Garamond" w:cs="Times New Roman"/>
                <w:b/>
                <w:bCs/>
                <w:color w:val="FF0000"/>
                <w:sz w:val="4"/>
                <w:szCs w:val="10"/>
              </w:rPr>
              <w:t xml:space="preserve"> </w:t>
            </w:r>
            <w:r w:rsidR="00E92B0D" w:rsidRPr="00B457F5">
              <w:rPr>
                <w:rFonts w:ascii="Times New Roman" w:eastAsia="Times New Roman" w:hAnsi="Times New Roman" w:cs="Times New Roman"/>
                <w:b/>
                <w:bCs/>
                <w:color w:val="FF0000"/>
                <w:sz w:val="4"/>
                <w:szCs w:val="10"/>
              </w:rPr>
              <w:t>të</w:t>
            </w:r>
            <w:r w:rsidRPr="00B457F5">
              <w:rPr>
                <w:rFonts w:ascii="Times New Roman" w:eastAsia="Times New Roman" w:hAnsi="Times New Roman" w:cs="Times New Roman"/>
                <w:b/>
                <w:bCs/>
                <w:color w:val="FF0000"/>
                <w:sz w:val="4"/>
                <w:szCs w:val="10"/>
              </w:rPr>
              <w:t xml:space="preserve"> </w:t>
            </w:r>
            <w:r w:rsidR="00AF12C0" w:rsidRPr="00B457F5">
              <w:rPr>
                <w:rFonts w:ascii="Garamond" w:eastAsia="Times New Roman" w:hAnsi="Garamond" w:cs="Times New Roman"/>
                <w:b/>
                <w:bCs/>
                <w:color w:val="FF0000"/>
                <w:sz w:val="4"/>
                <w:szCs w:val="10"/>
              </w:rPr>
              <w:t>p</w:t>
            </w:r>
            <w:r w:rsidRPr="00B457F5">
              <w:rPr>
                <w:rFonts w:ascii="Garamond" w:eastAsia="Times New Roman" w:hAnsi="Garamond" w:cs="Times New Roman"/>
                <w:b/>
                <w:bCs/>
                <w:color w:val="FF0000"/>
                <w:sz w:val="4"/>
                <w:szCs w:val="10"/>
              </w:rPr>
              <w:t>olitikës III (objektiva</w:t>
            </w:r>
            <w:r w:rsidR="00AF4731" w:rsidRPr="00B457F5">
              <w:rPr>
                <w:rFonts w:ascii="Garamond" w:eastAsia="Times New Roman" w:hAnsi="Garamond" w:cs="Times New Roman"/>
                <w:b/>
                <w:bCs/>
                <w:color w:val="FF0000"/>
                <w:sz w:val="4"/>
                <w:szCs w:val="10"/>
              </w:rPr>
              <w:t>t</w:t>
            </w:r>
            <w:r w:rsidRPr="00B457F5">
              <w:rPr>
                <w:rFonts w:ascii="Garamond" w:eastAsia="Times New Roman" w:hAnsi="Garamond" w:cs="Times New Roman"/>
                <w:b/>
                <w:bCs/>
                <w:color w:val="FF0000"/>
                <w:sz w:val="4"/>
                <w:szCs w:val="10"/>
              </w:rPr>
              <w:t xml:space="preserve"> specifik</w:t>
            </w:r>
            <w:r w:rsidR="00AF4731" w:rsidRPr="00B457F5">
              <w:rPr>
                <w:rFonts w:ascii="Garamond" w:eastAsia="Times New Roman" w:hAnsi="Garamond" w:cs="Times New Roman"/>
                <w:b/>
                <w:bCs/>
                <w:color w:val="FF0000"/>
                <w:sz w:val="4"/>
                <w:szCs w:val="10"/>
              </w:rPr>
              <w:t>ë</w:t>
            </w:r>
            <w:r w:rsidRPr="00B457F5">
              <w:rPr>
                <w:rFonts w:ascii="Garamond" w:eastAsia="Times New Roman" w:hAnsi="Garamond" w:cs="Times New Roman"/>
                <w:b/>
                <w:bCs/>
                <w:color w:val="FF0000"/>
                <w:sz w:val="4"/>
                <w:szCs w:val="10"/>
              </w:rPr>
              <w:t xml:space="preserve"> 3.1)</w:t>
            </w:r>
          </w:p>
        </w:tc>
        <w:tc>
          <w:tcPr>
            <w:tcW w:w="186" w:type="pct"/>
            <w:tcBorders>
              <w:top w:val="nil"/>
              <w:left w:val="nil"/>
              <w:bottom w:val="single" w:sz="4" w:space="0" w:color="auto"/>
              <w:right w:val="single" w:sz="4" w:space="0" w:color="auto"/>
            </w:tcBorders>
            <w:shd w:val="clear" w:color="000000" w:fill="D9D9D9"/>
            <w:vAlign w:val="center"/>
            <w:hideMark/>
          </w:tcPr>
          <w:p w14:paraId="63A1EA8E"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9" w:type="pct"/>
            <w:tcBorders>
              <w:top w:val="nil"/>
              <w:left w:val="nil"/>
              <w:bottom w:val="single" w:sz="4" w:space="0" w:color="auto"/>
              <w:right w:val="single" w:sz="4" w:space="0" w:color="auto"/>
            </w:tcBorders>
            <w:shd w:val="clear" w:color="000000" w:fill="D9D9D9"/>
            <w:vAlign w:val="center"/>
            <w:hideMark/>
          </w:tcPr>
          <w:p w14:paraId="55B025AC"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44" w:type="pct"/>
            <w:tcBorders>
              <w:top w:val="nil"/>
              <w:left w:val="nil"/>
              <w:bottom w:val="single" w:sz="4" w:space="0" w:color="auto"/>
              <w:right w:val="single" w:sz="4" w:space="0" w:color="auto"/>
            </w:tcBorders>
            <w:shd w:val="clear" w:color="000000" w:fill="D9D9D9"/>
            <w:vAlign w:val="center"/>
            <w:hideMark/>
          </w:tcPr>
          <w:p w14:paraId="61A21A63"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35" w:type="pct"/>
            <w:tcBorders>
              <w:top w:val="nil"/>
              <w:left w:val="nil"/>
              <w:bottom w:val="single" w:sz="4" w:space="0" w:color="auto"/>
              <w:right w:val="single" w:sz="4" w:space="0" w:color="auto"/>
            </w:tcBorders>
            <w:shd w:val="clear" w:color="000000" w:fill="D9D9D9"/>
            <w:vAlign w:val="center"/>
            <w:hideMark/>
          </w:tcPr>
          <w:p w14:paraId="22DB3F2E"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2" w:type="pct"/>
            <w:tcBorders>
              <w:top w:val="nil"/>
              <w:left w:val="nil"/>
              <w:bottom w:val="single" w:sz="4" w:space="0" w:color="auto"/>
              <w:right w:val="single" w:sz="4" w:space="0" w:color="auto"/>
            </w:tcBorders>
            <w:shd w:val="clear" w:color="000000" w:fill="D9D9D9"/>
            <w:vAlign w:val="center"/>
            <w:hideMark/>
          </w:tcPr>
          <w:p w14:paraId="50137AD0"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165B52C2" w14:textId="77777777"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38,370,939</w:t>
            </w:r>
          </w:p>
        </w:tc>
        <w:tc>
          <w:tcPr>
            <w:tcW w:w="155" w:type="pct"/>
            <w:tcBorders>
              <w:top w:val="nil"/>
              <w:left w:val="nil"/>
              <w:bottom w:val="single" w:sz="4" w:space="0" w:color="auto"/>
              <w:right w:val="single" w:sz="4" w:space="0" w:color="auto"/>
            </w:tcBorders>
            <w:shd w:val="clear" w:color="000000" w:fill="D9D9D9"/>
            <w:vAlign w:val="center"/>
            <w:hideMark/>
          </w:tcPr>
          <w:p w14:paraId="4882A41C" w14:textId="77777777"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56DE9286" w14:textId="77777777"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38,370,939</w:t>
            </w:r>
          </w:p>
        </w:tc>
        <w:tc>
          <w:tcPr>
            <w:tcW w:w="165" w:type="pct"/>
            <w:tcBorders>
              <w:top w:val="nil"/>
              <w:left w:val="nil"/>
              <w:bottom w:val="single" w:sz="4" w:space="0" w:color="auto"/>
              <w:right w:val="single" w:sz="4" w:space="0" w:color="auto"/>
            </w:tcBorders>
            <w:shd w:val="clear" w:color="000000" w:fill="D9D9D9"/>
            <w:vAlign w:val="center"/>
            <w:hideMark/>
          </w:tcPr>
          <w:p w14:paraId="33A7FC0B" w14:textId="77777777"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38,370,939</w:t>
            </w:r>
          </w:p>
        </w:tc>
        <w:tc>
          <w:tcPr>
            <w:tcW w:w="163" w:type="pct"/>
            <w:tcBorders>
              <w:top w:val="nil"/>
              <w:left w:val="nil"/>
              <w:bottom w:val="single" w:sz="4" w:space="0" w:color="auto"/>
              <w:right w:val="single" w:sz="4" w:space="0" w:color="auto"/>
            </w:tcBorders>
            <w:shd w:val="clear" w:color="000000" w:fill="D9D9D9"/>
            <w:vAlign w:val="center"/>
            <w:hideMark/>
          </w:tcPr>
          <w:p w14:paraId="4E7CF1E9" w14:textId="77777777"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2A594F2A" w14:textId="77777777"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38,370,939</w:t>
            </w:r>
          </w:p>
        </w:tc>
        <w:tc>
          <w:tcPr>
            <w:tcW w:w="163" w:type="pct"/>
            <w:tcBorders>
              <w:top w:val="nil"/>
              <w:left w:val="nil"/>
              <w:bottom w:val="single" w:sz="4" w:space="0" w:color="auto"/>
              <w:right w:val="single" w:sz="4" w:space="0" w:color="auto"/>
            </w:tcBorders>
            <w:shd w:val="clear" w:color="000000" w:fill="D9D9D9"/>
            <w:vAlign w:val="center"/>
            <w:hideMark/>
          </w:tcPr>
          <w:p w14:paraId="3F3EB7BA" w14:textId="77777777"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20,991,805</w:t>
            </w:r>
          </w:p>
        </w:tc>
        <w:tc>
          <w:tcPr>
            <w:tcW w:w="148" w:type="pct"/>
            <w:tcBorders>
              <w:top w:val="nil"/>
              <w:left w:val="nil"/>
              <w:bottom w:val="single" w:sz="4" w:space="0" w:color="auto"/>
              <w:right w:val="single" w:sz="4" w:space="0" w:color="auto"/>
            </w:tcBorders>
            <w:shd w:val="clear" w:color="000000" w:fill="D9D9D9"/>
            <w:vAlign w:val="center"/>
            <w:hideMark/>
          </w:tcPr>
          <w:p w14:paraId="641B409F" w14:textId="77777777"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048AFCBD" w14:textId="77777777"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20,991,805</w:t>
            </w:r>
          </w:p>
        </w:tc>
        <w:tc>
          <w:tcPr>
            <w:tcW w:w="165" w:type="pct"/>
            <w:tcBorders>
              <w:top w:val="nil"/>
              <w:left w:val="nil"/>
              <w:bottom w:val="single" w:sz="4" w:space="0" w:color="auto"/>
              <w:right w:val="single" w:sz="4" w:space="0" w:color="auto"/>
            </w:tcBorders>
            <w:shd w:val="clear" w:color="000000" w:fill="D9D9D9"/>
            <w:vAlign w:val="center"/>
            <w:hideMark/>
          </w:tcPr>
          <w:p w14:paraId="630EA47E" w14:textId="77777777"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97,733,683</w:t>
            </w:r>
          </w:p>
        </w:tc>
        <w:tc>
          <w:tcPr>
            <w:tcW w:w="163" w:type="pct"/>
            <w:tcBorders>
              <w:top w:val="nil"/>
              <w:left w:val="nil"/>
              <w:bottom w:val="single" w:sz="4" w:space="0" w:color="auto"/>
              <w:right w:val="single" w:sz="4" w:space="0" w:color="auto"/>
            </w:tcBorders>
            <w:shd w:val="clear" w:color="000000" w:fill="D9D9D9"/>
            <w:vAlign w:val="center"/>
            <w:hideMark/>
          </w:tcPr>
          <w:p w14:paraId="43C95AB4" w14:textId="77777777"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5" w:type="pct"/>
            <w:tcBorders>
              <w:top w:val="nil"/>
              <w:left w:val="nil"/>
              <w:bottom w:val="single" w:sz="4" w:space="0" w:color="auto"/>
              <w:right w:val="single" w:sz="4" w:space="0" w:color="auto"/>
            </w:tcBorders>
            <w:shd w:val="clear" w:color="000000" w:fill="D9D9D9"/>
            <w:vAlign w:val="center"/>
            <w:hideMark/>
          </w:tcPr>
          <w:p w14:paraId="1EA97892" w14:textId="77777777"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97,733,683</w:t>
            </w:r>
          </w:p>
        </w:tc>
        <w:tc>
          <w:tcPr>
            <w:tcW w:w="163" w:type="pct"/>
            <w:tcBorders>
              <w:top w:val="nil"/>
              <w:left w:val="nil"/>
              <w:bottom w:val="single" w:sz="4" w:space="0" w:color="auto"/>
              <w:right w:val="single" w:sz="4" w:space="0" w:color="auto"/>
            </w:tcBorders>
            <w:shd w:val="clear" w:color="000000" w:fill="D9D9D9"/>
            <w:vAlign w:val="center"/>
            <w:hideMark/>
          </w:tcPr>
          <w:p w14:paraId="66832FF6" w14:textId="77777777"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54,190,447</w:t>
            </w:r>
          </w:p>
        </w:tc>
        <w:tc>
          <w:tcPr>
            <w:tcW w:w="155" w:type="pct"/>
            <w:tcBorders>
              <w:top w:val="nil"/>
              <w:left w:val="nil"/>
              <w:bottom w:val="single" w:sz="4" w:space="0" w:color="auto"/>
              <w:right w:val="single" w:sz="4" w:space="0" w:color="auto"/>
            </w:tcBorders>
            <w:shd w:val="clear" w:color="000000" w:fill="D9D9D9"/>
            <w:vAlign w:val="center"/>
            <w:hideMark/>
          </w:tcPr>
          <w:p w14:paraId="51D3CFAD" w14:textId="77777777"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45D2FB7C" w14:textId="77777777"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54,190,447</w:t>
            </w:r>
          </w:p>
        </w:tc>
        <w:tc>
          <w:tcPr>
            <w:tcW w:w="162" w:type="pct"/>
            <w:tcBorders>
              <w:top w:val="nil"/>
              <w:left w:val="nil"/>
              <w:bottom w:val="single" w:sz="4" w:space="0" w:color="auto"/>
              <w:right w:val="single" w:sz="4" w:space="0" w:color="auto"/>
            </w:tcBorders>
            <w:shd w:val="clear" w:color="000000" w:fill="D9D9D9"/>
            <w:vAlign w:val="center"/>
            <w:hideMark/>
          </w:tcPr>
          <w:p w14:paraId="4A06A381" w14:textId="77777777"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41,743,236</w:t>
            </w:r>
          </w:p>
        </w:tc>
        <w:tc>
          <w:tcPr>
            <w:tcW w:w="155" w:type="pct"/>
            <w:tcBorders>
              <w:top w:val="nil"/>
              <w:left w:val="nil"/>
              <w:bottom w:val="single" w:sz="4" w:space="0" w:color="auto"/>
              <w:right w:val="single" w:sz="4" w:space="0" w:color="auto"/>
            </w:tcBorders>
            <w:shd w:val="clear" w:color="000000" w:fill="D9D9D9"/>
            <w:vAlign w:val="center"/>
            <w:hideMark/>
          </w:tcPr>
          <w:p w14:paraId="7BBB756F" w14:textId="77777777"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218" w:type="pct"/>
            <w:tcBorders>
              <w:top w:val="nil"/>
              <w:left w:val="nil"/>
              <w:bottom w:val="single" w:sz="4" w:space="0" w:color="auto"/>
              <w:right w:val="single" w:sz="4" w:space="0" w:color="auto"/>
            </w:tcBorders>
            <w:shd w:val="clear" w:color="000000" w:fill="D9D9D9"/>
            <w:vAlign w:val="center"/>
            <w:hideMark/>
          </w:tcPr>
          <w:p w14:paraId="619520E7" w14:textId="77777777"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311C283E" w14:textId="77777777"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41,743,236</w:t>
            </w:r>
          </w:p>
        </w:tc>
        <w:tc>
          <w:tcPr>
            <w:tcW w:w="139" w:type="pct"/>
            <w:tcBorders>
              <w:top w:val="nil"/>
              <w:left w:val="nil"/>
              <w:bottom w:val="single" w:sz="4" w:space="0" w:color="auto"/>
              <w:right w:val="single" w:sz="4" w:space="0" w:color="auto"/>
            </w:tcBorders>
            <w:shd w:val="clear" w:color="000000" w:fill="D9D9D9"/>
            <w:vAlign w:val="center"/>
            <w:hideMark/>
          </w:tcPr>
          <w:p w14:paraId="2040A2B3" w14:textId="77777777"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42" w:type="pct"/>
            <w:tcBorders>
              <w:top w:val="nil"/>
              <w:left w:val="nil"/>
              <w:bottom w:val="single" w:sz="4" w:space="0" w:color="auto"/>
              <w:right w:val="single" w:sz="4" w:space="0" w:color="auto"/>
            </w:tcBorders>
            <w:shd w:val="clear" w:color="000000" w:fill="D9D9D9"/>
            <w:vAlign w:val="center"/>
            <w:hideMark/>
          </w:tcPr>
          <w:p w14:paraId="6AAE6E23" w14:textId="77777777"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28" w:type="pct"/>
            <w:tcBorders>
              <w:top w:val="nil"/>
              <w:left w:val="nil"/>
              <w:bottom w:val="single" w:sz="4" w:space="0" w:color="auto"/>
              <w:right w:val="single" w:sz="4" w:space="0" w:color="auto"/>
            </w:tcBorders>
            <w:shd w:val="clear" w:color="000000" w:fill="D9D9D9"/>
            <w:vAlign w:val="center"/>
            <w:hideMark/>
          </w:tcPr>
          <w:p w14:paraId="40C42F00" w14:textId="77777777"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77" w:type="pct"/>
            <w:tcBorders>
              <w:top w:val="nil"/>
              <w:left w:val="nil"/>
              <w:bottom w:val="single" w:sz="4" w:space="0" w:color="auto"/>
              <w:right w:val="single" w:sz="4" w:space="0" w:color="auto"/>
            </w:tcBorders>
            <w:shd w:val="clear" w:color="000000" w:fill="D9D9D9"/>
            <w:vAlign w:val="center"/>
            <w:hideMark/>
          </w:tcPr>
          <w:p w14:paraId="414BD743" w14:textId="5A530D08"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(1,800,000)</w:t>
            </w:r>
          </w:p>
        </w:tc>
      </w:tr>
      <w:tr w:rsidR="00C260C3" w:rsidRPr="00B457F5" w14:paraId="010B9968" w14:textId="77777777" w:rsidTr="00C260C3">
        <w:trPr>
          <w:trHeight w:val="20"/>
        </w:trPr>
        <w:tc>
          <w:tcPr>
            <w:tcW w:w="5000" w:type="pct"/>
            <w:gridSpan w:val="30"/>
            <w:tcBorders>
              <w:top w:val="single" w:sz="8" w:space="0" w:color="auto"/>
              <w:left w:val="single" w:sz="8" w:space="0" w:color="auto"/>
              <w:bottom w:val="single" w:sz="8" w:space="0" w:color="auto"/>
              <w:right w:val="single" w:sz="4" w:space="0" w:color="auto"/>
            </w:tcBorders>
            <w:shd w:val="clear" w:color="000000" w:fill="F2F2F2"/>
            <w:vAlign w:val="center"/>
            <w:hideMark/>
          </w:tcPr>
          <w:p w14:paraId="007E1C2D" w14:textId="1CA741CA"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Qëllimi i Politikës</w:t>
            </w:r>
            <w:r w:rsidR="0006016F" w:rsidRPr="00B457F5">
              <w:rPr>
                <w:rFonts w:ascii="Garamond" w:eastAsia="Times New Roman" w:hAnsi="Garamond" w:cs="Times New Roman"/>
                <w:b/>
                <w:bCs/>
                <w:color w:val="FF0000"/>
                <w:sz w:val="4"/>
                <w:szCs w:val="10"/>
              </w:rPr>
              <w:t xml:space="preserve"> </w:t>
            </w:r>
            <w:r w:rsidRPr="00B457F5">
              <w:rPr>
                <w:rFonts w:ascii="Garamond" w:eastAsia="Times New Roman" w:hAnsi="Garamond" w:cs="Times New Roman"/>
                <w:b/>
                <w:bCs/>
                <w:color w:val="FF0000"/>
                <w:sz w:val="4"/>
                <w:szCs w:val="10"/>
              </w:rPr>
              <w:t>4. Forcimi i sistemit t</w:t>
            </w:r>
            <w:r w:rsidRPr="00B457F5">
              <w:rPr>
                <w:rFonts w:ascii="Garamond" w:eastAsia="Times New Roman" w:hAnsi="Garamond" w:cs="Arial"/>
                <w:b/>
                <w:bCs/>
                <w:color w:val="FF0000"/>
                <w:sz w:val="4"/>
                <w:szCs w:val="10"/>
              </w:rPr>
              <w:t>ë</w:t>
            </w:r>
            <w:r w:rsidRPr="00B457F5">
              <w:rPr>
                <w:rFonts w:ascii="Garamond" w:eastAsia="Times New Roman" w:hAnsi="Garamond" w:cs="Times New Roman"/>
                <w:b/>
                <w:bCs/>
                <w:color w:val="FF0000"/>
                <w:sz w:val="4"/>
                <w:szCs w:val="10"/>
              </w:rPr>
              <w:t xml:space="preserve"> mbrojtjes </w:t>
            </w:r>
            <w:r w:rsidR="00E92B0D" w:rsidRPr="00B457F5">
              <w:rPr>
                <w:rFonts w:ascii="Garamond" w:eastAsia="Times New Roman" w:hAnsi="Garamond" w:cs="Times New Roman"/>
                <w:b/>
                <w:bCs/>
                <w:color w:val="FF0000"/>
                <w:sz w:val="4"/>
                <w:szCs w:val="10"/>
              </w:rPr>
              <w:t>nd</w:t>
            </w:r>
            <w:r w:rsidR="00E92B0D" w:rsidRPr="00B457F5">
              <w:rPr>
                <w:rFonts w:ascii="Garamond" w:eastAsia="Times New Roman" w:hAnsi="Garamond" w:cs="Arial"/>
                <w:b/>
                <w:bCs/>
                <w:color w:val="FF0000"/>
                <w:sz w:val="4"/>
                <w:szCs w:val="10"/>
              </w:rPr>
              <w:t>ë</w:t>
            </w:r>
            <w:r w:rsidR="00E92B0D" w:rsidRPr="00B457F5">
              <w:rPr>
                <w:rFonts w:ascii="Garamond" w:eastAsia="Times New Roman" w:hAnsi="Garamond" w:cs="Times New Roman"/>
                <w:b/>
                <w:bCs/>
                <w:color w:val="FF0000"/>
                <w:sz w:val="4"/>
                <w:szCs w:val="10"/>
              </w:rPr>
              <w:t>rkom</w:t>
            </w:r>
            <w:r w:rsidR="00E92B0D" w:rsidRPr="00B457F5">
              <w:rPr>
                <w:rFonts w:ascii="Garamond" w:eastAsia="Times New Roman" w:hAnsi="Garamond" w:cs="Arial"/>
                <w:b/>
                <w:bCs/>
                <w:color w:val="FF0000"/>
                <w:sz w:val="4"/>
                <w:szCs w:val="10"/>
              </w:rPr>
              <w:t>b</w:t>
            </w:r>
            <w:r w:rsidR="00E92B0D" w:rsidRPr="00B457F5">
              <w:rPr>
                <w:rFonts w:ascii="Garamond" w:eastAsia="Times New Roman" w:hAnsi="Garamond" w:cs="Times New Roman"/>
                <w:b/>
                <w:bCs/>
                <w:color w:val="FF0000"/>
                <w:sz w:val="4"/>
                <w:szCs w:val="10"/>
              </w:rPr>
              <w:t>ëtare</w:t>
            </w:r>
            <w:r w:rsidRPr="00B457F5">
              <w:rPr>
                <w:rFonts w:ascii="Garamond" w:eastAsia="Times New Roman" w:hAnsi="Garamond" w:cs="Times New Roman"/>
                <w:b/>
                <w:bCs/>
                <w:color w:val="FF0000"/>
                <w:sz w:val="4"/>
                <w:szCs w:val="10"/>
              </w:rPr>
              <w:t>, garantimi i t</w:t>
            </w:r>
            <w:r w:rsidRPr="00B457F5">
              <w:rPr>
                <w:rFonts w:ascii="Garamond" w:eastAsia="Times New Roman" w:hAnsi="Garamond" w:cs="Arial"/>
                <w:b/>
                <w:bCs/>
                <w:color w:val="FF0000"/>
                <w:sz w:val="4"/>
                <w:szCs w:val="10"/>
              </w:rPr>
              <w:t>ë</w:t>
            </w:r>
            <w:r w:rsidRPr="00B457F5">
              <w:rPr>
                <w:rFonts w:ascii="Garamond" w:eastAsia="Times New Roman" w:hAnsi="Garamond" w:cs="Times New Roman"/>
                <w:b/>
                <w:bCs/>
                <w:color w:val="FF0000"/>
                <w:sz w:val="4"/>
                <w:szCs w:val="10"/>
              </w:rPr>
              <w:t xml:space="preserve"> drejtave t</w:t>
            </w:r>
            <w:r w:rsidRPr="00B457F5">
              <w:rPr>
                <w:rFonts w:ascii="Garamond" w:eastAsia="Times New Roman" w:hAnsi="Garamond" w:cs="Arial"/>
                <w:b/>
                <w:bCs/>
                <w:color w:val="FF0000"/>
                <w:sz w:val="4"/>
                <w:szCs w:val="10"/>
              </w:rPr>
              <w:t>ë</w:t>
            </w:r>
            <w:r w:rsidRPr="00B457F5">
              <w:rPr>
                <w:rFonts w:ascii="Garamond" w:eastAsia="Times New Roman" w:hAnsi="Garamond" w:cs="Times New Roman"/>
                <w:b/>
                <w:bCs/>
                <w:color w:val="FF0000"/>
                <w:sz w:val="4"/>
                <w:szCs w:val="10"/>
              </w:rPr>
              <w:t xml:space="preserve"> azilk</w:t>
            </w:r>
            <w:r w:rsidRPr="00B457F5">
              <w:rPr>
                <w:rFonts w:ascii="Garamond" w:eastAsia="Times New Roman" w:hAnsi="Garamond" w:cs="Arial"/>
                <w:b/>
                <w:bCs/>
                <w:color w:val="FF0000"/>
                <w:sz w:val="4"/>
                <w:szCs w:val="10"/>
              </w:rPr>
              <w:t>ërkuesve dhe refugjatëve</w:t>
            </w:r>
            <w:r w:rsidR="0006016F" w:rsidRPr="00B457F5">
              <w:rPr>
                <w:rFonts w:ascii="Garamond" w:eastAsia="Times New Roman" w:hAnsi="Garamond" w:cs="Arial"/>
                <w:b/>
                <w:bCs/>
                <w:color w:val="FF0000"/>
                <w:sz w:val="4"/>
                <w:szCs w:val="10"/>
              </w:rPr>
              <w:t xml:space="preserve"> </w:t>
            </w:r>
            <w:r w:rsidRPr="00B457F5">
              <w:rPr>
                <w:rFonts w:ascii="Garamond" w:eastAsia="Times New Roman" w:hAnsi="Garamond" w:cs="Arial"/>
                <w:b/>
                <w:bCs/>
                <w:color w:val="FF0000"/>
                <w:sz w:val="4"/>
                <w:szCs w:val="10"/>
              </w:rPr>
              <w:t>dhe ofrimi i zgjidhjeve të qëndrueshme</w:t>
            </w:r>
          </w:p>
        </w:tc>
      </w:tr>
      <w:tr w:rsidR="00C260C3" w:rsidRPr="00B457F5" w14:paraId="30AAE27E" w14:textId="77777777" w:rsidTr="00C260C3">
        <w:trPr>
          <w:trHeight w:val="20"/>
        </w:trPr>
        <w:tc>
          <w:tcPr>
            <w:tcW w:w="5000" w:type="pct"/>
            <w:gridSpan w:val="30"/>
            <w:tcBorders>
              <w:top w:val="single" w:sz="8" w:space="0" w:color="auto"/>
              <w:left w:val="single" w:sz="8" w:space="0" w:color="auto"/>
              <w:bottom w:val="single" w:sz="8" w:space="0" w:color="auto"/>
              <w:right w:val="single" w:sz="4" w:space="0" w:color="auto"/>
            </w:tcBorders>
            <w:shd w:val="clear" w:color="000000" w:fill="F2F2F2"/>
            <w:vAlign w:val="center"/>
            <w:hideMark/>
          </w:tcPr>
          <w:p w14:paraId="3508E0F5" w14:textId="68D4AC8B"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III. Programi buxhetor që kontribuon për qëllimin e politikës: 01110 Planifikimi, Menaxhimi dhe Administrimi (16), 01110 Planifikimi, Menaxhimi dhe Administrimi (14), 10430 </w:t>
            </w:r>
            <w:r w:rsidR="00E92B0D" w:rsidRPr="00B457F5">
              <w:rPr>
                <w:rFonts w:ascii="Garamond" w:eastAsia="Times New Roman" w:hAnsi="Garamond" w:cs="Times New Roman"/>
                <w:b/>
                <w:bCs/>
                <w:color w:val="FF0000"/>
                <w:sz w:val="4"/>
                <w:szCs w:val="10"/>
              </w:rPr>
              <w:t>Përkujdesja</w:t>
            </w:r>
            <w:r w:rsidRPr="00B457F5">
              <w:rPr>
                <w:rFonts w:ascii="Garamond" w:eastAsia="Times New Roman" w:hAnsi="Garamond" w:cs="Times New Roman"/>
                <w:b/>
                <w:bCs/>
                <w:color w:val="FF0000"/>
                <w:sz w:val="4"/>
                <w:szCs w:val="10"/>
              </w:rPr>
              <w:t xml:space="preserve"> Social</w:t>
            </w:r>
            <w:r w:rsidR="00E92B0D" w:rsidRPr="00B457F5">
              <w:rPr>
                <w:rFonts w:ascii="Garamond" w:eastAsia="Times New Roman" w:hAnsi="Garamond" w:cs="Times New Roman"/>
                <w:b/>
                <w:bCs/>
                <w:color w:val="FF0000"/>
                <w:sz w:val="4"/>
                <w:szCs w:val="10"/>
              </w:rPr>
              <w:t>e</w:t>
            </w:r>
            <w:r w:rsidRPr="00B457F5">
              <w:rPr>
                <w:rFonts w:ascii="Garamond" w:eastAsia="Times New Roman" w:hAnsi="Garamond" w:cs="Times New Roman"/>
                <w:b/>
                <w:bCs/>
                <w:color w:val="FF0000"/>
                <w:sz w:val="4"/>
                <w:szCs w:val="10"/>
              </w:rPr>
              <w:t>,</w:t>
            </w:r>
            <w:r w:rsidR="0006016F" w:rsidRPr="00B457F5">
              <w:rPr>
                <w:rFonts w:ascii="Garamond" w:eastAsia="Times New Roman" w:hAnsi="Garamond" w:cs="Times New Roman"/>
                <w:b/>
                <w:bCs/>
                <w:color w:val="FF0000"/>
                <w:sz w:val="4"/>
                <w:szCs w:val="10"/>
              </w:rPr>
              <w:t xml:space="preserve"> </w:t>
            </w:r>
            <w:r w:rsidRPr="00B457F5">
              <w:rPr>
                <w:rFonts w:ascii="Garamond" w:eastAsia="Times New Roman" w:hAnsi="Garamond" w:cs="Times New Roman"/>
                <w:b/>
                <w:bCs/>
                <w:color w:val="FF0000"/>
                <w:sz w:val="4"/>
                <w:szCs w:val="10"/>
              </w:rPr>
              <w:t xml:space="preserve">01330 Menaxhimi dhe Zhvillimi i Administratës Publike, 01120 </w:t>
            </w:r>
            <w:r w:rsidR="00E92B0D" w:rsidRPr="00B457F5">
              <w:rPr>
                <w:rFonts w:ascii="Garamond" w:eastAsia="Times New Roman" w:hAnsi="Garamond" w:cs="Times New Roman"/>
                <w:b/>
                <w:bCs/>
                <w:color w:val="FF0000"/>
                <w:sz w:val="4"/>
                <w:szCs w:val="10"/>
              </w:rPr>
              <w:t>Mbështetje</w:t>
            </w:r>
            <w:r w:rsidRPr="00B457F5">
              <w:rPr>
                <w:rFonts w:ascii="Garamond" w:eastAsia="Times New Roman" w:hAnsi="Garamond" w:cs="Times New Roman"/>
                <w:b/>
                <w:bCs/>
                <w:color w:val="FF0000"/>
                <w:sz w:val="4"/>
                <w:szCs w:val="10"/>
              </w:rPr>
              <w:t xml:space="preserve"> diplomatike </w:t>
            </w:r>
            <w:r w:rsidR="00E92B0D" w:rsidRPr="00B457F5">
              <w:rPr>
                <w:rFonts w:ascii="Garamond" w:eastAsia="Times New Roman" w:hAnsi="Garamond" w:cs="Times New Roman"/>
                <w:b/>
                <w:bCs/>
                <w:color w:val="FF0000"/>
                <w:sz w:val="4"/>
                <w:szCs w:val="10"/>
              </w:rPr>
              <w:t>jashtë</w:t>
            </w:r>
            <w:r w:rsidRPr="00B457F5">
              <w:rPr>
                <w:rFonts w:ascii="Garamond" w:eastAsia="Times New Roman" w:hAnsi="Garamond" w:cs="Times New Roman"/>
                <w:b/>
                <w:bCs/>
                <w:color w:val="FF0000"/>
                <w:sz w:val="4"/>
                <w:szCs w:val="10"/>
              </w:rPr>
              <w:t xml:space="preserve"> shtetit, 03320 </w:t>
            </w:r>
            <w:r w:rsidR="00E92B0D" w:rsidRPr="00B457F5">
              <w:rPr>
                <w:rFonts w:ascii="Garamond" w:eastAsia="Times New Roman" w:hAnsi="Garamond" w:cs="Times New Roman"/>
                <w:b/>
                <w:bCs/>
                <w:color w:val="FF0000"/>
                <w:sz w:val="4"/>
                <w:szCs w:val="10"/>
              </w:rPr>
              <w:t>Shërbimi</w:t>
            </w:r>
            <w:r w:rsidRPr="00B457F5">
              <w:rPr>
                <w:rFonts w:ascii="Garamond" w:eastAsia="Times New Roman" w:hAnsi="Garamond" w:cs="Times New Roman"/>
                <w:b/>
                <w:bCs/>
                <w:color w:val="FF0000"/>
                <w:sz w:val="4"/>
                <w:szCs w:val="10"/>
              </w:rPr>
              <w:t xml:space="preserve"> i </w:t>
            </w:r>
            <w:r w:rsidR="00E92B0D" w:rsidRPr="00B457F5">
              <w:rPr>
                <w:rFonts w:ascii="Garamond" w:eastAsia="Times New Roman" w:hAnsi="Garamond" w:cs="Times New Roman"/>
                <w:b/>
                <w:bCs/>
                <w:color w:val="FF0000"/>
                <w:sz w:val="4"/>
                <w:szCs w:val="10"/>
              </w:rPr>
              <w:t>avokatisë</w:t>
            </w:r>
            <w:r w:rsidRPr="00B457F5">
              <w:rPr>
                <w:rFonts w:ascii="Garamond" w:eastAsia="Times New Roman" w:hAnsi="Garamond" w:cs="Times New Roman"/>
                <w:b/>
                <w:bCs/>
                <w:color w:val="FF0000"/>
                <w:sz w:val="4"/>
                <w:szCs w:val="10"/>
              </w:rPr>
              <w:t xml:space="preserve">, 10550 Tregu i </w:t>
            </w:r>
            <w:r w:rsidR="00E92B0D" w:rsidRPr="00B457F5">
              <w:rPr>
                <w:rFonts w:ascii="Garamond" w:eastAsia="Times New Roman" w:hAnsi="Garamond" w:cs="Times New Roman"/>
                <w:b/>
                <w:bCs/>
                <w:color w:val="FF0000"/>
                <w:sz w:val="4"/>
                <w:szCs w:val="10"/>
              </w:rPr>
              <w:t>Punës</w:t>
            </w:r>
            <w:r w:rsidRPr="00B457F5">
              <w:rPr>
                <w:rFonts w:ascii="Garamond" w:eastAsia="Times New Roman" w:hAnsi="Garamond" w:cs="Times New Roman"/>
                <w:b/>
                <w:bCs/>
                <w:color w:val="FF0000"/>
                <w:sz w:val="4"/>
                <w:szCs w:val="10"/>
              </w:rPr>
              <w:t>, 06190 Strehimi, 09240 Arsimi i</w:t>
            </w:r>
            <w:r w:rsidR="0006016F" w:rsidRPr="00B457F5">
              <w:rPr>
                <w:rFonts w:ascii="Garamond" w:eastAsia="Times New Roman" w:hAnsi="Garamond" w:cs="Times New Roman"/>
                <w:b/>
                <w:bCs/>
                <w:color w:val="FF0000"/>
                <w:sz w:val="4"/>
                <w:szCs w:val="10"/>
              </w:rPr>
              <w:t xml:space="preserve"> </w:t>
            </w:r>
            <w:r w:rsidR="00E92B0D" w:rsidRPr="00B457F5">
              <w:rPr>
                <w:rFonts w:ascii="Garamond" w:eastAsia="Times New Roman" w:hAnsi="Garamond" w:cs="Times New Roman"/>
                <w:b/>
                <w:bCs/>
                <w:color w:val="FF0000"/>
                <w:sz w:val="4"/>
                <w:szCs w:val="10"/>
              </w:rPr>
              <w:t>Mesëm</w:t>
            </w:r>
            <w:r w:rsidRPr="00B457F5">
              <w:rPr>
                <w:rFonts w:ascii="Garamond" w:eastAsia="Times New Roman" w:hAnsi="Garamond" w:cs="Times New Roman"/>
                <w:b/>
                <w:bCs/>
                <w:color w:val="FF0000"/>
                <w:sz w:val="4"/>
                <w:szCs w:val="10"/>
              </w:rPr>
              <w:t xml:space="preserve"> (profesional), 09120 Arsimi Baz</w:t>
            </w:r>
            <w:r w:rsidR="00E92B0D" w:rsidRPr="00B457F5">
              <w:rPr>
                <w:rFonts w:ascii="Garamond" w:eastAsia="Times New Roman" w:hAnsi="Garamond" w:cs="Times New Roman"/>
                <w:b/>
                <w:bCs/>
                <w:color w:val="FF0000"/>
                <w:sz w:val="4"/>
                <w:szCs w:val="10"/>
              </w:rPr>
              <w:t>ë</w:t>
            </w:r>
            <w:r w:rsidRPr="00B457F5">
              <w:rPr>
                <w:rFonts w:ascii="Garamond" w:eastAsia="Times New Roman" w:hAnsi="Garamond" w:cs="Times New Roman"/>
                <w:b/>
                <w:bCs/>
                <w:color w:val="FF0000"/>
                <w:sz w:val="4"/>
                <w:szCs w:val="10"/>
              </w:rPr>
              <w:t xml:space="preserve"> (</w:t>
            </w:r>
            <w:r w:rsidR="00E92B0D" w:rsidRPr="00B457F5">
              <w:rPr>
                <w:rFonts w:ascii="Garamond" w:eastAsia="Times New Roman" w:hAnsi="Garamond" w:cs="Times New Roman"/>
                <w:b/>
                <w:bCs/>
                <w:color w:val="FF0000"/>
                <w:sz w:val="4"/>
                <w:szCs w:val="10"/>
              </w:rPr>
              <w:t>përfshirë</w:t>
            </w:r>
            <w:r w:rsidRPr="00B457F5">
              <w:rPr>
                <w:rFonts w:ascii="Garamond" w:eastAsia="Times New Roman" w:hAnsi="Garamond" w:cs="Times New Roman"/>
                <w:b/>
                <w:bCs/>
                <w:color w:val="FF0000"/>
                <w:sz w:val="4"/>
                <w:szCs w:val="10"/>
              </w:rPr>
              <w:t xml:space="preserve"> parashkollorin)</w:t>
            </w:r>
          </w:p>
        </w:tc>
      </w:tr>
      <w:tr w:rsidR="00C260C3" w:rsidRPr="00B457F5" w14:paraId="235975A0" w14:textId="77777777" w:rsidTr="00C260C3">
        <w:trPr>
          <w:trHeight w:val="20"/>
        </w:trPr>
        <w:tc>
          <w:tcPr>
            <w:tcW w:w="131" w:type="pct"/>
            <w:vMerge w:val="restart"/>
            <w:tcBorders>
              <w:top w:val="nil"/>
              <w:left w:val="single" w:sz="8" w:space="0" w:color="auto"/>
              <w:bottom w:val="single" w:sz="8" w:space="0" w:color="000000"/>
              <w:right w:val="single" w:sz="4" w:space="0" w:color="auto"/>
            </w:tcBorders>
            <w:shd w:val="clear" w:color="auto" w:fill="auto"/>
            <w:vAlign w:val="center"/>
            <w:hideMark/>
          </w:tcPr>
          <w:p w14:paraId="26BFD1E8"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Nr.</w:t>
            </w:r>
          </w:p>
        </w:tc>
        <w:tc>
          <w:tcPr>
            <w:tcW w:w="281" w:type="pct"/>
            <w:vMerge w:val="restart"/>
            <w:tcBorders>
              <w:top w:val="nil"/>
              <w:left w:val="single" w:sz="4" w:space="0" w:color="auto"/>
              <w:bottom w:val="single" w:sz="8" w:space="0" w:color="000000"/>
              <w:right w:val="single" w:sz="4" w:space="0" w:color="auto"/>
            </w:tcBorders>
            <w:shd w:val="clear" w:color="auto" w:fill="auto"/>
            <w:vAlign w:val="center"/>
            <w:hideMark/>
          </w:tcPr>
          <w:p w14:paraId="27E4701C"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Titulli</w:t>
            </w:r>
          </w:p>
        </w:tc>
        <w:tc>
          <w:tcPr>
            <w:tcW w:w="186" w:type="pct"/>
            <w:tcBorders>
              <w:top w:val="nil"/>
              <w:left w:val="nil"/>
              <w:bottom w:val="single" w:sz="4" w:space="0" w:color="auto"/>
              <w:right w:val="single" w:sz="4" w:space="0" w:color="auto"/>
            </w:tcBorders>
            <w:shd w:val="clear" w:color="auto" w:fill="auto"/>
            <w:vAlign w:val="center"/>
            <w:hideMark/>
          </w:tcPr>
          <w:p w14:paraId="01ADB48F"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Programi buxhetor</w:t>
            </w:r>
          </w:p>
        </w:tc>
        <w:tc>
          <w:tcPr>
            <w:tcW w:w="412" w:type="pct"/>
            <w:gridSpan w:val="2"/>
            <w:tcBorders>
              <w:top w:val="single" w:sz="8" w:space="0" w:color="auto"/>
              <w:left w:val="nil"/>
              <w:bottom w:val="single" w:sz="4" w:space="0" w:color="auto"/>
              <w:right w:val="single" w:sz="4" w:space="0" w:color="auto"/>
            </w:tcBorders>
            <w:shd w:val="clear" w:color="auto" w:fill="auto"/>
            <w:vAlign w:val="center"/>
            <w:hideMark/>
          </w:tcPr>
          <w:p w14:paraId="7FF48DA0"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Institucionet përgjegjëse</w:t>
            </w:r>
          </w:p>
        </w:tc>
        <w:tc>
          <w:tcPr>
            <w:tcW w:w="287" w:type="pct"/>
            <w:gridSpan w:val="2"/>
            <w:tcBorders>
              <w:top w:val="single" w:sz="8" w:space="0" w:color="auto"/>
              <w:left w:val="nil"/>
              <w:bottom w:val="single" w:sz="4" w:space="0" w:color="auto"/>
              <w:right w:val="single" w:sz="4" w:space="0" w:color="auto"/>
            </w:tcBorders>
            <w:shd w:val="clear" w:color="auto" w:fill="auto"/>
            <w:vAlign w:val="center"/>
            <w:hideMark/>
          </w:tcPr>
          <w:p w14:paraId="63EA3A1C" w14:textId="5159641A"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Afati i </w:t>
            </w:r>
            <w:r w:rsidR="00E92B0D" w:rsidRPr="00B457F5">
              <w:rPr>
                <w:rFonts w:ascii="Garamond" w:eastAsia="Times New Roman" w:hAnsi="Garamond" w:cs="Times New Roman"/>
                <w:b/>
                <w:bCs/>
                <w:color w:val="000000"/>
                <w:sz w:val="4"/>
                <w:szCs w:val="10"/>
              </w:rPr>
              <w:t>z</w:t>
            </w:r>
            <w:r w:rsidRPr="00B457F5">
              <w:rPr>
                <w:rFonts w:ascii="Garamond" w:eastAsia="Times New Roman" w:hAnsi="Garamond" w:cs="Times New Roman"/>
                <w:b/>
                <w:bCs/>
                <w:color w:val="000000"/>
                <w:sz w:val="4"/>
                <w:szCs w:val="10"/>
              </w:rPr>
              <w:t xml:space="preserve">batimit </w:t>
            </w:r>
          </w:p>
        </w:tc>
        <w:tc>
          <w:tcPr>
            <w:tcW w:w="480" w:type="pct"/>
            <w:gridSpan w:val="3"/>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2BC42A9A"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Kostot treguese/2024</w:t>
            </w:r>
          </w:p>
        </w:tc>
        <w:tc>
          <w:tcPr>
            <w:tcW w:w="491" w:type="pct"/>
            <w:gridSpan w:val="3"/>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1FA3150A"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Kostot treguese/2025</w:t>
            </w:r>
          </w:p>
        </w:tc>
        <w:tc>
          <w:tcPr>
            <w:tcW w:w="473" w:type="pct"/>
            <w:gridSpan w:val="3"/>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4E6AD1DC"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Kostot treguese/2026</w:t>
            </w:r>
          </w:p>
        </w:tc>
        <w:tc>
          <w:tcPr>
            <w:tcW w:w="493" w:type="pct"/>
            <w:gridSpan w:val="3"/>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7301CBB8"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Kostot treguese totale</w:t>
            </w:r>
          </w:p>
        </w:tc>
        <w:tc>
          <w:tcPr>
            <w:tcW w:w="1180" w:type="pct"/>
            <w:gridSpan w:val="7"/>
            <w:tcBorders>
              <w:top w:val="single" w:sz="8" w:space="0" w:color="auto"/>
              <w:left w:val="nil"/>
              <w:bottom w:val="single" w:sz="4" w:space="0" w:color="auto"/>
              <w:right w:val="single" w:sz="4" w:space="0" w:color="auto"/>
            </w:tcBorders>
            <w:shd w:val="clear" w:color="auto" w:fill="auto"/>
            <w:vAlign w:val="center"/>
            <w:hideMark/>
          </w:tcPr>
          <w:p w14:paraId="26F15A24" w14:textId="5D1D4142"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Burimi </w:t>
            </w:r>
            <w:r w:rsidR="00E92B0D" w:rsidRPr="00B457F5">
              <w:rPr>
                <w:rFonts w:ascii="Garamond" w:eastAsia="Times New Roman" w:hAnsi="Garamond" w:cs="Times New Roman"/>
                <w:b/>
                <w:bCs/>
                <w:color w:val="000000"/>
                <w:sz w:val="4"/>
                <w:szCs w:val="10"/>
              </w:rPr>
              <w:t>i</w:t>
            </w:r>
            <w:r w:rsidRPr="00B457F5">
              <w:rPr>
                <w:rFonts w:ascii="Garamond" w:eastAsia="Times New Roman" w:hAnsi="Garamond" w:cs="Times New Roman"/>
                <w:b/>
                <w:bCs/>
                <w:color w:val="000000"/>
                <w:sz w:val="4"/>
                <w:szCs w:val="10"/>
              </w:rPr>
              <w:t xml:space="preserve"> financimit</w:t>
            </w:r>
          </w:p>
        </w:tc>
        <w:tc>
          <w:tcPr>
            <w:tcW w:w="409" w:type="pct"/>
            <w:gridSpan w:val="3"/>
            <w:tcBorders>
              <w:top w:val="single" w:sz="8" w:space="0" w:color="auto"/>
              <w:left w:val="nil"/>
              <w:bottom w:val="single" w:sz="4" w:space="0" w:color="auto"/>
              <w:right w:val="single" w:sz="4" w:space="0" w:color="auto"/>
            </w:tcBorders>
            <w:shd w:val="clear" w:color="auto" w:fill="auto"/>
            <w:vAlign w:val="center"/>
            <w:hideMark/>
          </w:tcPr>
          <w:p w14:paraId="141BDA24" w14:textId="293260CF"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Burimi i </w:t>
            </w:r>
            <w:r w:rsidR="00E92B0D" w:rsidRPr="00B457F5">
              <w:rPr>
                <w:rFonts w:ascii="Garamond" w:eastAsia="Times New Roman" w:hAnsi="Garamond" w:cs="Times New Roman"/>
                <w:b/>
                <w:bCs/>
                <w:color w:val="000000"/>
                <w:sz w:val="4"/>
                <w:szCs w:val="10"/>
              </w:rPr>
              <w:t>f</w:t>
            </w:r>
            <w:r w:rsidRPr="00B457F5">
              <w:rPr>
                <w:rFonts w:ascii="Garamond" w:eastAsia="Times New Roman" w:hAnsi="Garamond" w:cs="Times New Roman"/>
                <w:b/>
                <w:bCs/>
                <w:color w:val="000000"/>
                <w:sz w:val="4"/>
                <w:szCs w:val="10"/>
              </w:rPr>
              <w:t>inancimit</w:t>
            </w:r>
          </w:p>
        </w:tc>
        <w:tc>
          <w:tcPr>
            <w:tcW w:w="177" w:type="pct"/>
            <w:vMerge w:val="restart"/>
            <w:tcBorders>
              <w:top w:val="nil"/>
              <w:left w:val="single" w:sz="4" w:space="0" w:color="auto"/>
              <w:bottom w:val="single" w:sz="4" w:space="0" w:color="auto"/>
              <w:right w:val="single" w:sz="8" w:space="0" w:color="auto"/>
            </w:tcBorders>
            <w:shd w:val="clear" w:color="auto" w:fill="auto"/>
            <w:vAlign w:val="center"/>
            <w:hideMark/>
          </w:tcPr>
          <w:p w14:paraId="0B8C605D"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Hendeku financiar </w:t>
            </w:r>
          </w:p>
        </w:tc>
      </w:tr>
      <w:tr w:rsidR="00C260C3" w:rsidRPr="00B457F5" w14:paraId="1A054B6B" w14:textId="77777777" w:rsidTr="00C260C3">
        <w:trPr>
          <w:trHeight w:val="20"/>
        </w:trPr>
        <w:tc>
          <w:tcPr>
            <w:tcW w:w="131" w:type="pct"/>
            <w:vMerge/>
            <w:tcBorders>
              <w:top w:val="nil"/>
              <w:left w:val="single" w:sz="8" w:space="0" w:color="auto"/>
              <w:bottom w:val="single" w:sz="8" w:space="0" w:color="000000"/>
              <w:right w:val="single" w:sz="4" w:space="0" w:color="auto"/>
            </w:tcBorders>
            <w:vAlign w:val="center"/>
            <w:hideMark/>
          </w:tcPr>
          <w:p w14:paraId="3A024A8D"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281" w:type="pct"/>
            <w:vMerge/>
            <w:tcBorders>
              <w:top w:val="nil"/>
              <w:left w:val="single" w:sz="4" w:space="0" w:color="auto"/>
              <w:bottom w:val="single" w:sz="8" w:space="0" w:color="000000"/>
              <w:right w:val="single" w:sz="4" w:space="0" w:color="auto"/>
            </w:tcBorders>
            <w:vAlign w:val="center"/>
            <w:hideMark/>
          </w:tcPr>
          <w:p w14:paraId="04F2CB62"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186" w:type="pct"/>
            <w:vMerge w:val="restart"/>
            <w:tcBorders>
              <w:top w:val="nil"/>
              <w:left w:val="single" w:sz="4" w:space="0" w:color="auto"/>
              <w:bottom w:val="single" w:sz="8" w:space="0" w:color="000000"/>
              <w:right w:val="single" w:sz="4" w:space="0" w:color="auto"/>
            </w:tcBorders>
            <w:shd w:val="clear" w:color="auto" w:fill="auto"/>
            <w:vAlign w:val="center"/>
            <w:hideMark/>
          </w:tcPr>
          <w:p w14:paraId="71711F01" w14:textId="21C3F5FF"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Emri i BP/dhe kodi</w:t>
            </w:r>
            <w:r w:rsidR="0006016F" w:rsidRPr="00B457F5">
              <w:rPr>
                <w:rFonts w:ascii="Garamond" w:eastAsia="Times New Roman" w:hAnsi="Garamond" w:cs="Times New Roman"/>
                <w:b/>
                <w:bCs/>
                <w:color w:val="000000"/>
                <w:sz w:val="4"/>
                <w:szCs w:val="10"/>
              </w:rPr>
              <w:t xml:space="preserve"> </w:t>
            </w:r>
          </w:p>
        </w:tc>
        <w:tc>
          <w:tcPr>
            <w:tcW w:w="169" w:type="pct"/>
            <w:vMerge w:val="restart"/>
            <w:tcBorders>
              <w:top w:val="nil"/>
              <w:left w:val="single" w:sz="4" w:space="0" w:color="auto"/>
              <w:bottom w:val="single" w:sz="8" w:space="0" w:color="000000"/>
              <w:right w:val="single" w:sz="4" w:space="0" w:color="auto"/>
            </w:tcBorders>
            <w:shd w:val="clear" w:color="auto" w:fill="auto"/>
            <w:vAlign w:val="center"/>
            <w:hideMark/>
          </w:tcPr>
          <w:p w14:paraId="1BBF503E"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Institucioni përgjegjës</w:t>
            </w:r>
          </w:p>
        </w:tc>
        <w:tc>
          <w:tcPr>
            <w:tcW w:w="244" w:type="pct"/>
            <w:vMerge w:val="restart"/>
            <w:tcBorders>
              <w:top w:val="nil"/>
              <w:left w:val="single" w:sz="4" w:space="0" w:color="auto"/>
              <w:bottom w:val="single" w:sz="8" w:space="0" w:color="000000"/>
              <w:right w:val="single" w:sz="4" w:space="0" w:color="auto"/>
            </w:tcBorders>
            <w:shd w:val="clear" w:color="auto" w:fill="auto"/>
            <w:vAlign w:val="center"/>
            <w:hideMark/>
          </w:tcPr>
          <w:p w14:paraId="15761D23" w14:textId="222C6C43"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Institucionet </w:t>
            </w:r>
            <w:r w:rsidR="00AF12C0" w:rsidRPr="00B457F5">
              <w:rPr>
                <w:rFonts w:ascii="Garamond" w:eastAsia="Times New Roman" w:hAnsi="Garamond" w:cs="Times New Roman"/>
                <w:b/>
                <w:bCs/>
                <w:color w:val="000000"/>
                <w:sz w:val="4"/>
                <w:szCs w:val="10"/>
              </w:rPr>
              <w:t>kontribuuese</w:t>
            </w:r>
          </w:p>
        </w:tc>
        <w:tc>
          <w:tcPr>
            <w:tcW w:w="135"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6F488D8C" w14:textId="7BF4668A"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Afati </w:t>
            </w:r>
            <w:r w:rsidR="00E92B0D" w:rsidRPr="00B457F5">
              <w:rPr>
                <w:rFonts w:ascii="Garamond" w:eastAsia="Times New Roman" w:hAnsi="Garamond" w:cs="Times New Roman"/>
                <w:b/>
                <w:bCs/>
                <w:color w:val="000000"/>
                <w:sz w:val="4"/>
                <w:szCs w:val="10"/>
              </w:rPr>
              <w:t>i f</w:t>
            </w:r>
            <w:r w:rsidRPr="00B457F5">
              <w:rPr>
                <w:rFonts w:ascii="Garamond" w:eastAsia="Times New Roman" w:hAnsi="Garamond" w:cs="Times New Roman"/>
                <w:b/>
                <w:bCs/>
                <w:color w:val="000000"/>
                <w:sz w:val="4"/>
                <w:szCs w:val="10"/>
              </w:rPr>
              <w:t>illimit</w:t>
            </w:r>
          </w:p>
        </w:tc>
        <w:tc>
          <w:tcPr>
            <w:tcW w:w="152"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4D6B18CA" w14:textId="3B15F7A0" w:rsidR="00C260C3" w:rsidRPr="00B457F5" w:rsidRDefault="00C260C3" w:rsidP="00C260C3">
            <w:pPr>
              <w:spacing w:before="0" w:after="0"/>
              <w:jc w:val="center"/>
              <w:rPr>
                <w:rFonts w:ascii="Garamond" w:eastAsia="Times New Roman" w:hAnsi="Garamond" w:cs="Times New Roman"/>
                <w:b/>
                <w:bCs/>
                <w:color w:val="000000"/>
                <w:sz w:val="4"/>
                <w:szCs w:val="10"/>
              </w:rPr>
            </w:pPr>
            <w:r w:rsidRPr="00FD7666">
              <w:rPr>
                <w:rFonts w:ascii="Garamond" w:eastAsia="Times New Roman" w:hAnsi="Garamond" w:cs="Times New Roman"/>
                <w:b/>
                <w:bCs/>
                <w:color w:val="000000"/>
                <w:sz w:val="4"/>
                <w:szCs w:val="10"/>
              </w:rPr>
              <w:t xml:space="preserve">Afati </w:t>
            </w:r>
            <w:r w:rsidR="00E92B0D" w:rsidRPr="00FD7666">
              <w:rPr>
                <w:rFonts w:ascii="Garamond" w:eastAsia="Times New Roman" w:hAnsi="Garamond" w:cs="Times New Roman"/>
                <w:b/>
                <w:bCs/>
                <w:color w:val="000000"/>
                <w:sz w:val="4"/>
                <w:szCs w:val="10"/>
              </w:rPr>
              <w:t>i f</w:t>
            </w:r>
            <w:r w:rsidRPr="00FD7666">
              <w:rPr>
                <w:rFonts w:ascii="Garamond" w:eastAsia="Times New Roman" w:hAnsi="Garamond" w:cs="Times New Roman"/>
                <w:b/>
                <w:bCs/>
                <w:color w:val="000000"/>
                <w:sz w:val="4"/>
                <w:szCs w:val="10"/>
              </w:rPr>
              <w:t>illimit</w:t>
            </w:r>
          </w:p>
        </w:tc>
        <w:tc>
          <w:tcPr>
            <w:tcW w:w="480" w:type="pct"/>
            <w:gridSpan w:val="3"/>
            <w:vMerge/>
            <w:tcBorders>
              <w:top w:val="nil"/>
              <w:left w:val="single" w:sz="4" w:space="0" w:color="auto"/>
              <w:bottom w:val="single" w:sz="8" w:space="0" w:color="000000"/>
              <w:right w:val="single" w:sz="4" w:space="0" w:color="auto"/>
            </w:tcBorders>
            <w:vAlign w:val="center"/>
            <w:hideMark/>
          </w:tcPr>
          <w:p w14:paraId="20A2CAA3"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491" w:type="pct"/>
            <w:gridSpan w:val="3"/>
            <w:vMerge/>
            <w:tcBorders>
              <w:top w:val="nil"/>
              <w:left w:val="single" w:sz="4" w:space="0" w:color="auto"/>
              <w:bottom w:val="single" w:sz="8" w:space="0" w:color="000000"/>
              <w:right w:val="single" w:sz="4" w:space="0" w:color="auto"/>
            </w:tcBorders>
            <w:vAlign w:val="center"/>
            <w:hideMark/>
          </w:tcPr>
          <w:p w14:paraId="20448D1C"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473" w:type="pct"/>
            <w:gridSpan w:val="3"/>
            <w:vMerge/>
            <w:tcBorders>
              <w:top w:val="nil"/>
              <w:left w:val="single" w:sz="4" w:space="0" w:color="auto"/>
              <w:bottom w:val="single" w:sz="8" w:space="0" w:color="000000"/>
              <w:right w:val="single" w:sz="4" w:space="0" w:color="auto"/>
            </w:tcBorders>
            <w:vAlign w:val="center"/>
            <w:hideMark/>
          </w:tcPr>
          <w:p w14:paraId="00E62000"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493" w:type="pct"/>
            <w:gridSpan w:val="3"/>
            <w:vMerge/>
            <w:tcBorders>
              <w:top w:val="nil"/>
              <w:left w:val="single" w:sz="4" w:space="0" w:color="auto"/>
              <w:bottom w:val="single" w:sz="8" w:space="0" w:color="000000"/>
              <w:right w:val="single" w:sz="4" w:space="0" w:color="auto"/>
            </w:tcBorders>
            <w:vAlign w:val="center"/>
            <w:hideMark/>
          </w:tcPr>
          <w:p w14:paraId="176655A7"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481" w:type="pct"/>
            <w:gridSpan w:val="3"/>
            <w:tcBorders>
              <w:top w:val="single" w:sz="4" w:space="0" w:color="auto"/>
              <w:left w:val="nil"/>
              <w:bottom w:val="single" w:sz="4" w:space="0" w:color="auto"/>
              <w:right w:val="single" w:sz="4" w:space="0" w:color="auto"/>
            </w:tcBorders>
            <w:shd w:val="clear" w:color="auto" w:fill="auto"/>
            <w:vAlign w:val="center"/>
            <w:hideMark/>
          </w:tcPr>
          <w:p w14:paraId="4BF09D3E" w14:textId="282C63D0"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PBA 2024</w:t>
            </w:r>
            <w:r w:rsidR="00E92B0D" w:rsidRPr="00B457F5">
              <w:rPr>
                <w:rFonts w:ascii="Garamond" w:eastAsia="Times New Roman" w:hAnsi="Garamond" w:cs="Times New Roman"/>
                <w:b/>
                <w:bCs/>
                <w:color w:val="000000"/>
                <w:sz w:val="4"/>
                <w:szCs w:val="10"/>
              </w:rPr>
              <w:t>–</w:t>
            </w:r>
            <w:r w:rsidRPr="00B457F5">
              <w:rPr>
                <w:rFonts w:ascii="Garamond" w:eastAsia="Times New Roman" w:hAnsi="Garamond" w:cs="Times New Roman"/>
                <w:b/>
                <w:bCs/>
                <w:color w:val="000000"/>
                <w:sz w:val="4"/>
                <w:szCs w:val="10"/>
              </w:rPr>
              <w:t>2026 (në lekë)</w:t>
            </w:r>
          </w:p>
        </w:tc>
        <w:tc>
          <w:tcPr>
            <w:tcW w:w="698" w:type="pct"/>
            <w:gridSpan w:val="4"/>
            <w:tcBorders>
              <w:top w:val="single" w:sz="4" w:space="0" w:color="auto"/>
              <w:left w:val="nil"/>
              <w:bottom w:val="single" w:sz="4" w:space="0" w:color="auto"/>
              <w:right w:val="single" w:sz="4" w:space="0" w:color="auto"/>
            </w:tcBorders>
            <w:shd w:val="clear" w:color="auto" w:fill="auto"/>
            <w:vAlign w:val="center"/>
            <w:hideMark/>
          </w:tcPr>
          <w:p w14:paraId="68CD33FE" w14:textId="69174165"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Financim i </w:t>
            </w:r>
            <w:r w:rsidR="00E92B0D" w:rsidRPr="00B457F5">
              <w:rPr>
                <w:rFonts w:ascii="Garamond" w:eastAsia="Times New Roman" w:hAnsi="Garamond" w:cs="Times New Roman"/>
                <w:b/>
                <w:bCs/>
                <w:color w:val="000000"/>
                <w:sz w:val="4"/>
                <w:szCs w:val="10"/>
              </w:rPr>
              <w:t>h</w:t>
            </w:r>
            <w:r w:rsidRPr="00B457F5">
              <w:rPr>
                <w:rFonts w:ascii="Garamond" w:eastAsia="Times New Roman" w:hAnsi="Garamond" w:cs="Times New Roman"/>
                <w:b/>
                <w:bCs/>
                <w:color w:val="000000"/>
                <w:sz w:val="4"/>
                <w:szCs w:val="10"/>
              </w:rPr>
              <w:t>uaj</w:t>
            </w:r>
            <w:r w:rsidR="0006016F" w:rsidRPr="00B457F5">
              <w:rPr>
                <w:rFonts w:ascii="Garamond" w:eastAsia="Times New Roman" w:hAnsi="Garamond" w:cs="Times New Roman"/>
                <w:b/>
                <w:bCs/>
                <w:color w:val="000000"/>
                <w:sz w:val="4"/>
                <w:szCs w:val="10"/>
              </w:rPr>
              <w:t xml:space="preserve"> </w:t>
            </w:r>
            <w:r w:rsidRPr="00B457F5">
              <w:rPr>
                <w:rFonts w:ascii="Garamond" w:eastAsia="Times New Roman" w:hAnsi="Garamond" w:cs="Times New Roman"/>
                <w:b/>
                <w:bCs/>
                <w:color w:val="000000"/>
                <w:sz w:val="4"/>
                <w:szCs w:val="10"/>
              </w:rPr>
              <w:t>(në</w:t>
            </w:r>
            <w:r w:rsidR="0006016F" w:rsidRPr="00B457F5">
              <w:rPr>
                <w:rFonts w:ascii="Garamond" w:eastAsia="Times New Roman" w:hAnsi="Garamond" w:cs="Times New Roman"/>
                <w:b/>
                <w:bCs/>
                <w:color w:val="000000"/>
                <w:sz w:val="4"/>
                <w:szCs w:val="10"/>
              </w:rPr>
              <w:t xml:space="preserve"> </w:t>
            </w:r>
            <w:r w:rsidRPr="00B457F5">
              <w:rPr>
                <w:rFonts w:ascii="Garamond" w:eastAsia="Times New Roman" w:hAnsi="Garamond" w:cs="Times New Roman"/>
                <w:b/>
                <w:bCs/>
                <w:color w:val="000000"/>
                <w:sz w:val="4"/>
                <w:szCs w:val="10"/>
              </w:rPr>
              <w:t>lekë)</w:t>
            </w:r>
          </w:p>
        </w:tc>
        <w:tc>
          <w:tcPr>
            <w:tcW w:w="409" w:type="pct"/>
            <w:gridSpan w:val="3"/>
            <w:tcBorders>
              <w:top w:val="single" w:sz="4" w:space="0" w:color="auto"/>
              <w:left w:val="nil"/>
              <w:bottom w:val="single" w:sz="4" w:space="0" w:color="auto"/>
              <w:right w:val="single" w:sz="4" w:space="0" w:color="auto"/>
            </w:tcBorders>
            <w:shd w:val="clear" w:color="auto" w:fill="auto"/>
            <w:noWrap/>
            <w:vAlign w:val="center"/>
            <w:hideMark/>
          </w:tcPr>
          <w:p w14:paraId="23507EFA" w14:textId="0B1C0709"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Buxheti 2027</w:t>
            </w:r>
            <w:r w:rsidR="00E92B0D" w:rsidRPr="00B457F5">
              <w:rPr>
                <w:rFonts w:ascii="Garamond" w:eastAsia="Times New Roman" w:hAnsi="Garamond" w:cs="Times New Roman"/>
                <w:b/>
                <w:bCs/>
                <w:color w:val="000000"/>
                <w:sz w:val="4"/>
                <w:szCs w:val="10"/>
              </w:rPr>
              <w:t>–</w:t>
            </w:r>
            <w:r w:rsidRPr="00B457F5">
              <w:rPr>
                <w:rFonts w:ascii="Garamond" w:eastAsia="Times New Roman" w:hAnsi="Garamond" w:cs="Times New Roman"/>
                <w:b/>
                <w:bCs/>
                <w:color w:val="000000"/>
                <w:sz w:val="4"/>
                <w:szCs w:val="10"/>
              </w:rPr>
              <w:t>2030 (në lekë)</w:t>
            </w:r>
          </w:p>
        </w:tc>
        <w:tc>
          <w:tcPr>
            <w:tcW w:w="177" w:type="pct"/>
            <w:vMerge/>
            <w:tcBorders>
              <w:top w:val="nil"/>
              <w:left w:val="single" w:sz="4" w:space="0" w:color="auto"/>
              <w:bottom w:val="single" w:sz="4" w:space="0" w:color="auto"/>
              <w:right w:val="single" w:sz="8" w:space="0" w:color="auto"/>
            </w:tcBorders>
            <w:vAlign w:val="center"/>
            <w:hideMark/>
          </w:tcPr>
          <w:p w14:paraId="6223FF48"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r>
      <w:tr w:rsidR="00C260C3" w:rsidRPr="00B457F5" w14:paraId="1AD93975" w14:textId="77777777" w:rsidTr="00C260C3">
        <w:trPr>
          <w:trHeight w:val="20"/>
        </w:trPr>
        <w:tc>
          <w:tcPr>
            <w:tcW w:w="131" w:type="pct"/>
            <w:vMerge/>
            <w:tcBorders>
              <w:top w:val="nil"/>
              <w:left w:val="single" w:sz="8" w:space="0" w:color="auto"/>
              <w:bottom w:val="single" w:sz="8" w:space="0" w:color="000000"/>
              <w:right w:val="single" w:sz="4" w:space="0" w:color="auto"/>
            </w:tcBorders>
            <w:vAlign w:val="center"/>
            <w:hideMark/>
          </w:tcPr>
          <w:p w14:paraId="582B0EAD"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281" w:type="pct"/>
            <w:vMerge/>
            <w:tcBorders>
              <w:top w:val="nil"/>
              <w:left w:val="single" w:sz="4" w:space="0" w:color="auto"/>
              <w:bottom w:val="single" w:sz="8" w:space="0" w:color="000000"/>
              <w:right w:val="single" w:sz="4" w:space="0" w:color="auto"/>
            </w:tcBorders>
            <w:vAlign w:val="center"/>
            <w:hideMark/>
          </w:tcPr>
          <w:p w14:paraId="06DEF5A4"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186" w:type="pct"/>
            <w:vMerge/>
            <w:tcBorders>
              <w:top w:val="nil"/>
              <w:left w:val="single" w:sz="4" w:space="0" w:color="auto"/>
              <w:bottom w:val="single" w:sz="8" w:space="0" w:color="000000"/>
              <w:right w:val="single" w:sz="4" w:space="0" w:color="auto"/>
            </w:tcBorders>
            <w:vAlign w:val="center"/>
            <w:hideMark/>
          </w:tcPr>
          <w:p w14:paraId="3282528C"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169" w:type="pct"/>
            <w:vMerge/>
            <w:tcBorders>
              <w:top w:val="nil"/>
              <w:left w:val="single" w:sz="4" w:space="0" w:color="auto"/>
              <w:bottom w:val="single" w:sz="8" w:space="0" w:color="000000"/>
              <w:right w:val="single" w:sz="4" w:space="0" w:color="auto"/>
            </w:tcBorders>
            <w:vAlign w:val="center"/>
            <w:hideMark/>
          </w:tcPr>
          <w:p w14:paraId="4CA580A7"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244" w:type="pct"/>
            <w:vMerge/>
            <w:tcBorders>
              <w:top w:val="nil"/>
              <w:left w:val="single" w:sz="4" w:space="0" w:color="auto"/>
              <w:bottom w:val="single" w:sz="8" w:space="0" w:color="000000"/>
              <w:right w:val="single" w:sz="4" w:space="0" w:color="auto"/>
            </w:tcBorders>
            <w:vAlign w:val="center"/>
            <w:hideMark/>
          </w:tcPr>
          <w:p w14:paraId="04455E90"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135" w:type="pct"/>
            <w:vMerge/>
            <w:tcBorders>
              <w:top w:val="nil"/>
              <w:left w:val="single" w:sz="4" w:space="0" w:color="auto"/>
              <w:bottom w:val="single" w:sz="8" w:space="0" w:color="000000"/>
              <w:right w:val="single" w:sz="4" w:space="0" w:color="auto"/>
            </w:tcBorders>
            <w:vAlign w:val="center"/>
            <w:hideMark/>
          </w:tcPr>
          <w:p w14:paraId="74497042"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152" w:type="pct"/>
            <w:vMerge/>
            <w:tcBorders>
              <w:top w:val="nil"/>
              <w:left w:val="single" w:sz="4" w:space="0" w:color="auto"/>
              <w:bottom w:val="single" w:sz="8" w:space="0" w:color="000000"/>
              <w:right w:val="single" w:sz="4" w:space="0" w:color="auto"/>
            </w:tcBorders>
            <w:vAlign w:val="center"/>
            <w:hideMark/>
          </w:tcPr>
          <w:p w14:paraId="40648BCA" w14:textId="77777777" w:rsidR="00C260C3" w:rsidRPr="00B457F5" w:rsidRDefault="00C260C3" w:rsidP="00C260C3">
            <w:pPr>
              <w:spacing w:before="0" w:after="0"/>
              <w:jc w:val="left"/>
              <w:rPr>
                <w:rFonts w:ascii="Garamond" w:eastAsia="Times New Roman" w:hAnsi="Garamond" w:cs="Times New Roman"/>
                <w:b/>
                <w:bCs/>
                <w:color w:val="000000"/>
                <w:sz w:val="4"/>
                <w:szCs w:val="10"/>
              </w:rPr>
            </w:pPr>
          </w:p>
        </w:tc>
        <w:tc>
          <w:tcPr>
            <w:tcW w:w="163" w:type="pct"/>
            <w:tcBorders>
              <w:top w:val="nil"/>
              <w:left w:val="nil"/>
              <w:bottom w:val="single" w:sz="8" w:space="0" w:color="auto"/>
              <w:right w:val="single" w:sz="4" w:space="0" w:color="auto"/>
            </w:tcBorders>
            <w:shd w:val="clear" w:color="auto" w:fill="auto"/>
            <w:vAlign w:val="center"/>
            <w:hideMark/>
          </w:tcPr>
          <w:p w14:paraId="6C5388F1" w14:textId="6D6226B0"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Kor</w:t>
            </w:r>
            <w:r w:rsidR="00E92B0D" w:rsidRPr="00B457F5">
              <w:rPr>
                <w:rFonts w:ascii="Garamond" w:eastAsia="Times New Roman" w:hAnsi="Garamond" w:cs="Times New Roman"/>
                <w:b/>
                <w:bCs/>
                <w:color w:val="000000"/>
                <w:sz w:val="4"/>
                <w:szCs w:val="10"/>
              </w:rPr>
              <w:t>r</w:t>
            </w:r>
            <w:r w:rsidRPr="00B457F5">
              <w:rPr>
                <w:rFonts w:ascii="Garamond" w:eastAsia="Times New Roman" w:hAnsi="Garamond" w:cs="Times New Roman"/>
                <w:b/>
                <w:bCs/>
                <w:color w:val="000000"/>
                <w:sz w:val="4"/>
                <w:szCs w:val="10"/>
              </w:rPr>
              <w:t>ente</w:t>
            </w:r>
          </w:p>
        </w:tc>
        <w:tc>
          <w:tcPr>
            <w:tcW w:w="155" w:type="pct"/>
            <w:tcBorders>
              <w:top w:val="nil"/>
              <w:left w:val="nil"/>
              <w:bottom w:val="single" w:sz="8" w:space="0" w:color="auto"/>
              <w:right w:val="single" w:sz="4" w:space="0" w:color="auto"/>
            </w:tcBorders>
            <w:shd w:val="clear" w:color="auto" w:fill="auto"/>
            <w:vAlign w:val="center"/>
            <w:hideMark/>
          </w:tcPr>
          <w:p w14:paraId="5BB9671B"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Kapitale</w:t>
            </w:r>
          </w:p>
        </w:tc>
        <w:tc>
          <w:tcPr>
            <w:tcW w:w="162" w:type="pct"/>
            <w:tcBorders>
              <w:top w:val="nil"/>
              <w:left w:val="nil"/>
              <w:bottom w:val="single" w:sz="8" w:space="0" w:color="auto"/>
              <w:right w:val="single" w:sz="4" w:space="0" w:color="auto"/>
            </w:tcBorders>
            <w:shd w:val="clear" w:color="auto" w:fill="auto"/>
            <w:vAlign w:val="center"/>
            <w:hideMark/>
          </w:tcPr>
          <w:p w14:paraId="72B563D4" w14:textId="6BC8BAC2"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 Kosto</w:t>
            </w:r>
            <w:r w:rsidR="00E92B0D" w:rsidRPr="00B457F5">
              <w:rPr>
                <w:rFonts w:ascii="Garamond" w:eastAsia="Times New Roman" w:hAnsi="Garamond" w:cs="Times New Roman"/>
                <w:b/>
                <w:bCs/>
                <w:color w:val="000000"/>
                <w:sz w:val="4"/>
                <w:szCs w:val="10"/>
              </w:rPr>
              <w:t>ja</w:t>
            </w:r>
            <w:r w:rsidRPr="00B457F5">
              <w:rPr>
                <w:rFonts w:ascii="Garamond" w:eastAsia="Times New Roman" w:hAnsi="Garamond" w:cs="Times New Roman"/>
                <w:b/>
                <w:bCs/>
                <w:color w:val="000000"/>
                <w:sz w:val="4"/>
                <w:szCs w:val="10"/>
              </w:rPr>
              <w:t xml:space="preserve"> </w:t>
            </w:r>
            <w:r w:rsidR="00E92B0D" w:rsidRPr="00B457F5">
              <w:rPr>
                <w:rFonts w:ascii="Garamond" w:eastAsia="Times New Roman" w:hAnsi="Garamond" w:cs="Times New Roman"/>
                <w:b/>
                <w:bCs/>
                <w:color w:val="000000"/>
                <w:sz w:val="4"/>
                <w:szCs w:val="10"/>
              </w:rPr>
              <w:t>t</w:t>
            </w:r>
            <w:r w:rsidRPr="00B457F5">
              <w:rPr>
                <w:rFonts w:ascii="Garamond" w:eastAsia="Times New Roman" w:hAnsi="Garamond" w:cs="Times New Roman"/>
                <w:b/>
                <w:bCs/>
                <w:color w:val="000000"/>
                <w:sz w:val="4"/>
                <w:szCs w:val="10"/>
              </w:rPr>
              <w:t>otale</w:t>
            </w:r>
          </w:p>
        </w:tc>
        <w:tc>
          <w:tcPr>
            <w:tcW w:w="165" w:type="pct"/>
            <w:tcBorders>
              <w:top w:val="nil"/>
              <w:left w:val="nil"/>
              <w:bottom w:val="single" w:sz="8" w:space="0" w:color="auto"/>
              <w:right w:val="single" w:sz="4" w:space="0" w:color="auto"/>
            </w:tcBorders>
            <w:shd w:val="clear" w:color="auto" w:fill="auto"/>
            <w:vAlign w:val="center"/>
            <w:hideMark/>
          </w:tcPr>
          <w:p w14:paraId="33C3A0DF" w14:textId="1BCC140C"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Kor</w:t>
            </w:r>
            <w:r w:rsidR="00684F97" w:rsidRPr="00B457F5">
              <w:rPr>
                <w:rFonts w:ascii="Garamond" w:eastAsia="Times New Roman" w:hAnsi="Garamond" w:cs="Times New Roman"/>
                <w:b/>
                <w:bCs/>
                <w:color w:val="000000"/>
                <w:sz w:val="4"/>
                <w:szCs w:val="10"/>
              </w:rPr>
              <w:t>r</w:t>
            </w:r>
            <w:r w:rsidRPr="00B457F5">
              <w:rPr>
                <w:rFonts w:ascii="Garamond" w:eastAsia="Times New Roman" w:hAnsi="Garamond" w:cs="Times New Roman"/>
                <w:b/>
                <w:bCs/>
                <w:color w:val="000000"/>
                <w:sz w:val="4"/>
                <w:szCs w:val="10"/>
              </w:rPr>
              <w:t>ente</w:t>
            </w:r>
          </w:p>
        </w:tc>
        <w:tc>
          <w:tcPr>
            <w:tcW w:w="163" w:type="pct"/>
            <w:tcBorders>
              <w:top w:val="nil"/>
              <w:left w:val="nil"/>
              <w:bottom w:val="single" w:sz="8" w:space="0" w:color="auto"/>
              <w:right w:val="single" w:sz="4" w:space="0" w:color="auto"/>
            </w:tcBorders>
            <w:shd w:val="clear" w:color="auto" w:fill="auto"/>
            <w:vAlign w:val="center"/>
            <w:hideMark/>
          </w:tcPr>
          <w:p w14:paraId="72FF515E"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Kapitale</w:t>
            </w:r>
          </w:p>
        </w:tc>
        <w:tc>
          <w:tcPr>
            <w:tcW w:w="163" w:type="pct"/>
            <w:tcBorders>
              <w:top w:val="nil"/>
              <w:left w:val="nil"/>
              <w:bottom w:val="single" w:sz="8" w:space="0" w:color="auto"/>
              <w:right w:val="single" w:sz="4" w:space="0" w:color="auto"/>
            </w:tcBorders>
            <w:shd w:val="clear" w:color="auto" w:fill="auto"/>
            <w:vAlign w:val="center"/>
            <w:hideMark/>
          </w:tcPr>
          <w:p w14:paraId="47E1727E" w14:textId="775891D2"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 Kosto</w:t>
            </w:r>
            <w:r w:rsidR="00E92B0D" w:rsidRPr="00B457F5">
              <w:rPr>
                <w:rFonts w:ascii="Garamond" w:eastAsia="Times New Roman" w:hAnsi="Garamond" w:cs="Times New Roman"/>
                <w:b/>
                <w:bCs/>
                <w:color w:val="000000"/>
                <w:sz w:val="4"/>
                <w:szCs w:val="10"/>
              </w:rPr>
              <w:t>ja</w:t>
            </w:r>
            <w:r w:rsidRPr="00B457F5">
              <w:rPr>
                <w:rFonts w:ascii="Garamond" w:eastAsia="Times New Roman" w:hAnsi="Garamond" w:cs="Times New Roman"/>
                <w:b/>
                <w:bCs/>
                <w:color w:val="000000"/>
                <w:sz w:val="4"/>
                <w:szCs w:val="10"/>
              </w:rPr>
              <w:t xml:space="preserve"> </w:t>
            </w:r>
            <w:r w:rsidR="00E92B0D" w:rsidRPr="00B457F5">
              <w:rPr>
                <w:rFonts w:ascii="Garamond" w:eastAsia="Times New Roman" w:hAnsi="Garamond" w:cs="Times New Roman"/>
                <w:b/>
                <w:bCs/>
                <w:color w:val="000000"/>
                <w:sz w:val="4"/>
                <w:szCs w:val="10"/>
              </w:rPr>
              <w:t>t</w:t>
            </w:r>
            <w:r w:rsidRPr="00B457F5">
              <w:rPr>
                <w:rFonts w:ascii="Garamond" w:eastAsia="Times New Roman" w:hAnsi="Garamond" w:cs="Times New Roman"/>
                <w:b/>
                <w:bCs/>
                <w:color w:val="000000"/>
                <w:sz w:val="4"/>
                <w:szCs w:val="10"/>
              </w:rPr>
              <w:t>otale</w:t>
            </w:r>
          </w:p>
        </w:tc>
        <w:tc>
          <w:tcPr>
            <w:tcW w:w="163" w:type="pct"/>
            <w:tcBorders>
              <w:top w:val="nil"/>
              <w:left w:val="nil"/>
              <w:bottom w:val="single" w:sz="8" w:space="0" w:color="auto"/>
              <w:right w:val="single" w:sz="4" w:space="0" w:color="auto"/>
            </w:tcBorders>
            <w:shd w:val="clear" w:color="auto" w:fill="auto"/>
            <w:vAlign w:val="center"/>
            <w:hideMark/>
          </w:tcPr>
          <w:p w14:paraId="2EF2229E" w14:textId="1BDF103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w:t>
            </w:r>
            <w:r w:rsidR="00E92B0D" w:rsidRPr="00B457F5">
              <w:rPr>
                <w:rFonts w:ascii="Garamond" w:eastAsia="Times New Roman" w:hAnsi="Garamond" w:cs="Times New Roman"/>
                <w:b/>
                <w:bCs/>
                <w:color w:val="000000"/>
                <w:sz w:val="4"/>
                <w:szCs w:val="10"/>
              </w:rPr>
              <w:t>r</w:t>
            </w:r>
            <w:r w:rsidRPr="00B457F5">
              <w:rPr>
                <w:rFonts w:ascii="Garamond" w:eastAsia="Times New Roman" w:hAnsi="Garamond" w:cs="Times New Roman"/>
                <w:b/>
                <w:bCs/>
                <w:color w:val="000000"/>
                <w:sz w:val="4"/>
                <w:szCs w:val="10"/>
              </w:rPr>
              <w:t>rente</w:t>
            </w:r>
          </w:p>
        </w:tc>
        <w:tc>
          <w:tcPr>
            <w:tcW w:w="148" w:type="pct"/>
            <w:tcBorders>
              <w:top w:val="nil"/>
              <w:left w:val="nil"/>
              <w:bottom w:val="single" w:sz="8" w:space="0" w:color="auto"/>
              <w:right w:val="single" w:sz="4" w:space="0" w:color="auto"/>
            </w:tcBorders>
            <w:shd w:val="clear" w:color="auto" w:fill="auto"/>
            <w:vAlign w:val="center"/>
            <w:hideMark/>
          </w:tcPr>
          <w:p w14:paraId="1A26CEE2"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Kapitale</w:t>
            </w:r>
          </w:p>
        </w:tc>
        <w:tc>
          <w:tcPr>
            <w:tcW w:w="162" w:type="pct"/>
            <w:tcBorders>
              <w:top w:val="nil"/>
              <w:left w:val="nil"/>
              <w:bottom w:val="single" w:sz="8" w:space="0" w:color="auto"/>
              <w:right w:val="single" w:sz="4" w:space="0" w:color="auto"/>
            </w:tcBorders>
            <w:shd w:val="clear" w:color="auto" w:fill="auto"/>
            <w:vAlign w:val="center"/>
            <w:hideMark/>
          </w:tcPr>
          <w:p w14:paraId="5DDB7284" w14:textId="1134FFFA"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 Kosto</w:t>
            </w:r>
            <w:r w:rsidR="00E92B0D" w:rsidRPr="00B457F5">
              <w:rPr>
                <w:rFonts w:ascii="Garamond" w:eastAsia="Times New Roman" w:hAnsi="Garamond" w:cs="Times New Roman"/>
                <w:b/>
                <w:bCs/>
                <w:color w:val="000000"/>
                <w:sz w:val="4"/>
                <w:szCs w:val="10"/>
              </w:rPr>
              <w:t>ja</w:t>
            </w:r>
            <w:r w:rsidRPr="00B457F5">
              <w:rPr>
                <w:rFonts w:ascii="Garamond" w:eastAsia="Times New Roman" w:hAnsi="Garamond" w:cs="Times New Roman"/>
                <w:b/>
                <w:bCs/>
                <w:color w:val="000000"/>
                <w:sz w:val="4"/>
                <w:szCs w:val="10"/>
              </w:rPr>
              <w:t xml:space="preserve"> </w:t>
            </w:r>
            <w:r w:rsidR="00E92B0D" w:rsidRPr="00B457F5">
              <w:rPr>
                <w:rFonts w:ascii="Garamond" w:eastAsia="Times New Roman" w:hAnsi="Garamond" w:cs="Times New Roman"/>
                <w:b/>
                <w:bCs/>
                <w:color w:val="000000"/>
                <w:sz w:val="4"/>
                <w:szCs w:val="10"/>
              </w:rPr>
              <w:t>t</w:t>
            </w:r>
            <w:r w:rsidRPr="00B457F5">
              <w:rPr>
                <w:rFonts w:ascii="Garamond" w:eastAsia="Times New Roman" w:hAnsi="Garamond" w:cs="Times New Roman"/>
                <w:b/>
                <w:bCs/>
                <w:color w:val="000000"/>
                <w:sz w:val="4"/>
                <w:szCs w:val="10"/>
              </w:rPr>
              <w:t>otale</w:t>
            </w:r>
          </w:p>
        </w:tc>
        <w:tc>
          <w:tcPr>
            <w:tcW w:w="165" w:type="pct"/>
            <w:tcBorders>
              <w:top w:val="nil"/>
              <w:left w:val="nil"/>
              <w:bottom w:val="single" w:sz="8" w:space="0" w:color="auto"/>
              <w:right w:val="single" w:sz="4" w:space="0" w:color="auto"/>
            </w:tcBorders>
            <w:shd w:val="clear" w:color="auto" w:fill="auto"/>
            <w:vAlign w:val="center"/>
            <w:hideMark/>
          </w:tcPr>
          <w:p w14:paraId="46C5178E" w14:textId="75462AE8"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Kor</w:t>
            </w:r>
            <w:r w:rsidR="00E92B0D" w:rsidRPr="00B457F5">
              <w:rPr>
                <w:rFonts w:ascii="Garamond" w:eastAsia="Times New Roman" w:hAnsi="Garamond" w:cs="Times New Roman"/>
                <w:b/>
                <w:bCs/>
                <w:color w:val="000000"/>
                <w:sz w:val="4"/>
                <w:szCs w:val="10"/>
              </w:rPr>
              <w:t>r</w:t>
            </w:r>
            <w:r w:rsidRPr="00B457F5">
              <w:rPr>
                <w:rFonts w:ascii="Garamond" w:eastAsia="Times New Roman" w:hAnsi="Garamond" w:cs="Times New Roman"/>
                <w:b/>
                <w:bCs/>
                <w:color w:val="000000"/>
                <w:sz w:val="4"/>
                <w:szCs w:val="10"/>
              </w:rPr>
              <w:t>ente</w:t>
            </w:r>
          </w:p>
        </w:tc>
        <w:tc>
          <w:tcPr>
            <w:tcW w:w="163" w:type="pct"/>
            <w:tcBorders>
              <w:top w:val="nil"/>
              <w:left w:val="nil"/>
              <w:bottom w:val="single" w:sz="8" w:space="0" w:color="auto"/>
              <w:right w:val="single" w:sz="4" w:space="0" w:color="auto"/>
            </w:tcBorders>
            <w:shd w:val="clear" w:color="auto" w:fill="auto"/>
            <w:vAlign w:val="center"/>
            <w:hideMark/>
          </w:tcPr>
          <w:p w14:paraId="1225881E"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Kapitale</w:t>
            </w:r>
          </w:p>
        </w:tc>
        <w:tc>
          <w:tcPr>
            <w:tcW w:w="165" w:type="pct"/>
            <w:tcBorders>
              <w:top w:val="nil"/>
              <w:left w:val="nil"/>
              <w:bottom w:val="single" w:sz="8" w:space="0" w:color="auto"/>
              <w:right w:val="single" w:sz="4" w:space="0" w:color="auto"/>
            </w:tcBorders>
            <w:shd w:val="clear" w:color="auto" w:fill="auto"/>
            <w:vAlign w:val="center"/>
            <w:hideMark/>
          </w:tcPr>
          <w:p w14:paraId="44E39F18" w14:textId="3E5888B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 Kosto</w:t>
            </w:r>
            <w:r w:rsidR="00E92B0D" w:rsidRPr="00B457F5">
              <w:rPr>
                <w:rFonts w:ascii="Garamond" w:eastAsia="Times New Roman" w:hAnsi="Garamond" w:cs="Times New Roman"/>
                <w:b/>
                <w:bCs/>
                <w:color w:val="000000"/>
                <w:sz w:val="4"/>
                <w:szCs w:val="10"/>
              </w:rPr>
              <w:t>ja</w:t>
            </w:r>
            <w:r w:rsidRPr="00B457F5">
              <w:rPr>
                <w:rFonts w:ascii="Garamond" w:eastAsia="Times New Roman" w:hAnsi="Garamond" w:cs="Times New Roman"/>
                <w:b/>
                <w:bCs/>
                <w:color w:val="000000"/>
                <w:sz w:val="4"/>
                <w:szCs w:val="10"/>
              </w:rPr>
              <w:t xml:space="preserve"> </w:t>
            </w:r>
            <w:r w:rsidR="00E92B0D" w:rsidRPr="00B457F5">
              <w:rPr>
                <w:rFonts w:ascii="Garamond" w:eastAsia="Times New Roman" w:hAnsi="Garamond" w:cs="Times New Roman"/>
                <w:b/>
                <w:bCs/>
                <w:color w:val="000000"/>
                <w:sz w:val="4"/>
                <w:szCs w:val="10"/>
              </w:rPr>
              <w:t>t</w:t>
            </w:r>
            <w:r w:rsidRPr="00B457F5">
              <w:rPr>
                <w:rFonts w:ascii="Garamond" w:eastAsia="Times New Roman" w:hAnsi="Garamond" w:cs="Times New Roman"/>
                <w:b/>
                <w:bCs/>
                <w:color w:val="000000"/>
                <w:sz w:val="4"/>
                <w:szCs w:val="10"/>
              </w:rPr>
              <w:t>otale</w:t>
            </w:r>
          </w:p>
        </w:tc>
        <w:tc>
          <w:tcPr>
            <w:tcW w:w="163" w:type="pct"/>
            <w:tcBorders>
              <w:top w:val="nil"/>
              <w:left w:val="nil"/>
              <w:bottom w:val="single" w:sz="8" w:space="0" w:color="auto"/>
              <w:right w:val="single" w:sz="4" w:space="0" w:color="auto"/>
            </w:tcBorders>
            <w:shd w:val="clear" w:color="auto" w:fill="auto"/>
            <w:vAlign w:val="center"/>
            <w:hideMark/>
          </w:tcPr>
          <w:p w14:paraId="6B5B3E66" w14:textId="5D5EC86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Kor</w:t>
            </w:r>
            <w:r w:rsidR="00E92B0D" w:rsidRPr="00B457F5">
              <w:rPr>
                <w:rFonts w:ascii="Garamond" w:eastAsia="Times New Roman" w:hAnsi="Garamond" w:cs="Times New Roman"/>
                <w:b/>
                <w:bCs/>
                <w:color w:val="000000"/>
                <w:sz w:val="4"/>
                <w:szCs w:val="10"/>
              </w:rPr>
              <w:t>r</w:t>
            </w:r>
            <w:r w:rsidRPr="00B457F5">
              <w:rPr>
                <w:rFonts w:ascii="Garamond" w:eastAsia="Times New Roman" w:hAnsi="Garamond" w:cs="Times New Roman"/>
                <w:b/>
                <w:bCs/>
                <w:color w:val="000000"/>
                <w:sz w:val="4"/>
                <w:szCs w:val="10"/>
              </w:rPr>
              <w:t>ente</w:t>
            </w:r>
          </w:p>
        </w:tc>
        <w:tc>
          <w:tcPr>
            <w:tcW w:w="155" w:type="pct"/>
            <w:tcBorders>
              <w:top w:val="nil"/>
              <w:left w:val="nil"/>
              <w:bottom w:val="single" w:sz="8" w:space="0" w:color="auto"/>
              <w:right w:val="single" w:sz="4" w:space="0" w:color="auto"/>
            </w:tcBorders>
            <w:shd w:val="clear" w:color="auto" w:fill="auto"/>
            <w:vAlign w:val="center"/>
            <w:hideMark/>
          </w:tcPr>
          <w:p w14:paraId="2675B15D"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Kapitale</w:t>
            </w:r>
          </w:p>
        </w:tc>
        <w:tc>
          <w:tcPr>
            <w:tcW w:w="163" w:type="pct"/>
            <w:tcBorders>
              <w:top w:val="nil"/>
              <w:left w:val="nil"/>
              <w:bottom w:val="single" w:sz="8" w:space="0" w:color="auto"/>
              <w:right w:val="single" w:sz="4" w:space="0" w:color="auto"/>
            </w:tcBorders>
            <w:shd w:val="clear" w:color="auto" w:fill="auto"/>
            <w:vAlign w:val="center"/>
            <w:hideMark/>
          </w:tcPr>
          <w:p w14:paraId="0C21FC41"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Totali BSH</w:t>
            </w:r>
          </w:p>
        </w:tc>
        <w:tc>
          <w:tcPr>
            <w:tcW w:w="162" w:type="pct"/>
            <w:tcBorders>
              <w:top w:val="nil"/>
              <w:left w:val="nil"/>
              <w:bottom w:val="single" w:sz="8" w:space="0" w:color="auto"/>
              <w:right w:val="single" w:sz="4" w:space="0" w:color="auto"/>
            </w:tcBorders>
            <w:shd w:val="clear" w:color="auto" w:fill="auto"/>
            <w:vAlign w:val="center"/>
            <w:hideMark/>
          </w:tcPr>
          <w:p w14:paraId="0ED6F753" w14:textId="49FDFAAE"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w:t>
            </w:r>
            <w:r w:rsidR="00E92B0D" w:rsidRPr="00B457F5">
              <w:rPr>
                <w:rFonts w:ascii="Garamond" w:eastAsia="Times New Roman" w:hAnsi="Garamond" w:cs="Times New Roman"/>
                <w:b/>
                <w:bCs/>
                <w:color w:val="000000"/>
                <w:sz w:val="4"/>
                <w:szCs w:val="10"/>
              </w:rPr>
              <w:t>r</w:t>
            </w:r>
            <w:r w:rsidRPr="00B457F5">
              <w:rPr>
                <w:rFonts w:ascii="Garamond" w:eastAsia="Times New Roman" w:hAnsi="Garamond" w:cs="Times New Roman"/>
                <w:b/>
                <w:bCs/>
                <w:color w:val="000000"/>
                <w:sz w:val="4"/>
                <w:szCs w:val="10"/>
              </w:rPr>
              <w:t>rente</w:t>
            </w:r>
          </w:p>
        </w:tc>
        <w:tc>
          <w:tcPr>
            <w:tcW w:w="155" w:type="pct"/>
            <w:tcBorders>
              <w:top w:val="nil"/>
              <w:left w:val="nil"/>
              <w:bottom w:val="single" w:sz="8" w:space="0" w:color="auto"/>
              <w:right w:val="single" w:sz="4" w:space="0" w:color="auto"/>
            </w:tcBorders>
            <w:shd w:val="clear" w:color="auto" w:fill="auto"/>
            <w:vAlign w:val="center"/>
            <w:hideMark/>
          </w:tcPr>
          <w:p w14:paraId="67DAD6FC"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Kapitale</w:t>
            </w:r>
          </w:p>
        </w:tc>
        <w:tc>
          <w:tcPr>
            <w:tcW w:w="218" w:type="pct"/>
            <w:tcBorders>
              <w:top w:val="nil"/>
              <w:left w:val="nil"/>
              <w:bottom w:val="single" w:sz="8" w:space="0" w:color="auto"/>
              <w:right w:val="single" w:sz="4" w:space="0" w:color="auto"/>
            </w:tcBorders>
            <w:shd w:val="clear" w:color="auto" w:fill="auto"/>
            <w:vAlign w:val="center"/>
            <w:hideMark/>
          </w:tcPr>
          <w:p w14:paraId="5176655A" w14:textId="7E6765BD"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Emri </w:t>
            </w:r>
            <w:r w:rsidR="00E92B0D" w:rsidRPr="00B457F5">
              <w:rPr>
                <w:rFonts w:ascii="Garamond" w:eastAsia="Times New Roman" w:hAnsi="Garamond" w:cs="Times New Roman"/>
                <w:b/>
                <w:bCs/>
                <w:color w:val="000000"/>
                <w:sz w:val="4"/>
                <w:szCs w:val="10"/>
              </w:rPr>
              <w:t xml:space="preserve">i </w:t>
            </w:r>
            <w:r w:rsidRPr="00B457F5">
              <w:rPr>
                <w:rFonts w:ascii="Garamond" w:eastAsia="Times New Roman" w:hAnsi="Garamond" w:cs="Times New Roman"/>
                <w:b/>
                <w:bCs/>
                <w:color w:val="000000"/>
                <w:sz w:val="4"/>
                <w:szCs w:val="10"/>
              </w:rPr>
              <w:t>donatorit/</w:t>
            </w:r>
            <w:r w:rsidR="00E92B0D" w:rsidRPr="00B457F5">
              <w:rPr>
                <w:rFonts w:ascii="Garamond" w:eastAsia="Times New Roman" w:hAnsi="Garamond" w:cs="Times New Roman"/>
                <w:b/>
                <w:bCs/>
                <w:color w:val="000000"/>
                <w:sz w:val="4"/>
                <w:szCs w:val="10"/>
              </w:rPr>
              <w:t>t</w:t>
            </w:r>
            <w:r w:rsidRPr="00B457F5">
              <w:rPr>
                <w:rFonts w:ascii="Garamond" w:eastAsia="Times New Roman" w:hAnsi="Garamond" w:cs="Times New Roman"/>
                <w:b/>
                <w:bCs/>
                <w:color w:val="000000"/>
                <w:sz w:val="4"/>
                <w:szCs w:val="10"/>
              </w:rPr>
              <w:t xml:space="preserve">itulli </w:t>
            </w:r>
            <w:r w:rsidR="00E92B0D" w:rsidRPr="00B457F5">
              <w:rPr>
                <w:rFonts w:ascii="Garamond" w:eastAsia="Times New Roman" w:hAnsi="Garamond" w:cs="Times New Roman"/>
                <w:b/>
                <w:bCs/>
                <w:color w:val="000000"/>
                <w:sz w:val="4"/>
                <w:szCs w:val="10"/>
              </w:rPr>
              <w:t>i</w:t>
            </w:r>
            <w:r w:rsidRPr="00B457F5">
              <w:rPr>
                <w:rFonts w:ascii="Garamond" w:eastAsia="Times New Roman" w:hAnsi="Garamond" w:cs="Times New Roman"/>
                <w:b/>
                <w:bCs/>
                <w:color w:val="000000"/>
                <w:sz w:val="4"/>
                <w:szCs w:val="10"/>
              </w:rPr>
              <w:t xml:space="preserve"> projektit </w:t>
            </w:r>
          </w:p>
        </w:tc>
        <w:tc>
          <w:tcPr>
            <w:tcW w:w="163" w:type="pct"/>
            <w:tcBorders>
              <w:top w:val="nil"/>
              <w:left w:val="nil"/>
              <w:bottom w:val="single" w:sz="8" w:space="0" w:color="auto"/>
              <w:right w:val="single" w:sz="4" w:space="0" w:color="auto"/>
            </w:tcBorders>
            <w:shd w:val="clear" w:color="auto" w:fill="auto"/>
            <w:vAlign w:val="center"/>
            <w:hideMark/>
          </w:tcPr>
          <w:p w14:paraId="461B0570" w14:textId="44F096F1"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Total </w:t>
            </w:r>
            <w:r w:rsidR="00E92B0D" w:rsidRPr="00B457F5">
              <w:rPr>
                <w:rFonts w:ascii="Garamond" w:eastAsia="Times New Roman" w:hAnsi="Garamond" w:cs="Times New Roman"/>
                <w:b/>
                <w:bCs/>
                <w:color w:val="000000"/>
                <w:sz w:val="4"/>
                <w:szCs w:val="10"/>
              </w:rPr>
              <w:t>financim i huaj</w:t>
            </w:r>
          </w:p>
        </w:tc>
        <w:tc>
          <w:tcPr>
            <w:tcW w:w="139" w:type="pct"/>
            <w:tcBorders>
              <w:top w:val="nil"/>
              <w:left w:val="nil"/>
              <w:bottom w:val="single" w:sz="8" w:space="0" w:color="auto"/>
              <w:right w:val="single" w:sz="4" w:space="0" w:color="auto"/>
            </w:tcBorders>
            <w:shd w:val="clear" w:color="auto" w:fill="auto"/>
            <w:vAlign w:val="center"/>
            <w:hideMark/>
          </w:tcPr>
          <w:p w14:paraId="15AC6811" w14:textId="5CDB751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Kor</w:t>
            </w:r>
            <w:r w:rsidR="00E92B0D" w:rsidRPr="00B457F5">
              <w:rPr>
                <w:rFonts w:ascii="Garamond" w:eastAsia="Times New Roman" w:hAnsi="Garamond" w:cs="Times New Roman"/>
                <w:b/>
                <w:bCs/>
                <w:color w:val="000000"/>
                <w:sz w:val="4"/>
                <w:szCs w:val="10"/>
              </w:rPr>
              <w:t>r</w:t>
            </w:r>
            <w:r w:rsidRPr="00B457F5">
              <w:rPr>
                <w:rFonts w:ascii="Garamond" w:eastAsia="Times New Roman" w:hAnsi="Garamond" w:cs="Times New Roman"/>
                <w:b/>
                <w:bCs/>
                <w:color w:val="000000"/>
                <w:sz w:val="4"/>
                <w:szCs w:val="10"/>
              </w:rPr>
              <w:t>ente</w:t>
            </w:r>
          </w:p>
        </w:tc>
        <w:tc>
          <w:tcPr>
            <w:tcW w:w="142" w:type="pct"/>
            <w:tcBorders>
              <w:top w:val="nil"/>
              <w:left w:val="nil"/>
              <w:bottom w:val="single" w:sz="8" w:space="0" w:color="auto"/>
              <w:right w:val="single" w:sz="4" w:space="0" w:color="auto"/>
            </w:tcBorders>
            <w:shd w:val="clear" w:color="auto" w:fill="auto"/>
            <w:vAlign w:val="center"/>
            <w:hideMark/>
          </w:tcPr>
          <w:p w14:paraId="12210781"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Kapitale</w:t>
            </w:r>
          </w:p>
        </w:tc>
        <w:tc>
          <w:tcPr>
            <w:tcW w:w="128" w:type="pct"/>
            <w:tcBorders>
              <w:top w:val="nil"/>
              <w:left w:val="nil"/>
              <w:bottom w:val="single" w:sz="8" w:space="0" w:color="auto"/>
              <w:right w:val="single" w:sz="4" w:space="0" w:color="auto"/>
            </w:tcBorders>
            <w:shd w:val="clear" w:color="auto" w:fill="auto"/>
            <w:vAlign w:val="center"/>
            <w:hideMark/>
          </w:tcPr>
          <w:p w14:paraId="1829A39A" w14:textId="7CB971B0"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 Kosto</w:t>
            </w:r>
            <w:r w:rsidR="00E92B0D" w:rsidRPr="00B457F5">
              <w:rPr>
                <w:rFonts w:ascii="Garamond" w:eastAsia="Times New Roman" w:hAnsi="Garamond" w:cs="Times New Roman"/>
                <w:b/>
                <w:bCs/>
                <w:color w:val="000000"/>
                <w:sz w:val="4"/>
                <w:szCs w:val="10"/>
              </w:rPr>
              <w:t>ja</w:t>
            </w:r>
            <w:r w:rsidRPr="00B457F5">
              <w:rPr>
                <w:rFonts w:ascii="Garamond" w:eastAsia="Times New Roman" w:hAnsi="Garamond" w:cs="Times New Roman"/>
                <w:b/>
                <w:bCs/>
                <w:color w:val="000000"/>
                <w:sz w:val="4"/>
                <w:szCs w:val="10"/>
              </w:rPr>
              <w:t xml:space="preserve"> </w:t>
            </w:r>
            <w:r w:rsidR="00E92B0D" w:rsidRPr="00B457F5">
              <w:rPr>
                <w:rFonts w:ascii="Garamond" w:eastAsia="Times New Roman" w:hAnsi="Garamond" w:cs="Times New Roman"/>
                <w:b/>
                <w:bCs/>
                <w:color w:val="000000"/>
                <w:sz w:val="4"/>
                <w:szCs w:val="10"/>
              </w:rPr>
              <w:t>t</w:t>
            </w:r>
            <w:r w:rsidRPr="00B457F5">
              <w:rPr>
                <w:rFonts w:ascii="Garamond" w:eastAsia="Times New Roman" w:hAnsi="Garamond" w:cs="Times New Roman"/>
                <w:b/>
                <w:bCs/>
                <w:color w:val="000000"/>
                <w:sz w:val="4"/>
                <w:szCs w:val="10"/>
              </w:rPr>
              <w:t>otale</w:t>
            </w:r>
          </w:p>
        </w:tc>
        <w:tc>
          <w:tcPr>
            <w:tcW w:w="177" w:type="pct"/>
            <w:tcBorders>
              <w:top w:val="nil"/>
              <w:left w:val="nil"/>
              <w:bottom w:val="single" w:sz="8" w:space="0" w:color="auto"/>
              <w:right w:val="single" w:sz="8" w:space="0" w:color="auto"/>
            </w:tcBorders>
            <w:shd w:val="clear" w:color="auto" w:fill="auto"/>
            <w:vAlign w:val="center"/>
            <w:hideMark/>
          </w:tcPr>
          <w:p w14:paraId="10760638"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r>
      <w:tr w:rsidR="00C260C3" w:rsidRPr="00B457F5" w14:paraId="76385FE0"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center"/>
            <w:hideMark/>
          </w:tcPr>
          <w:p w14:paraId="1A7E104D"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4.1</w:t>
            </w:r>
          </w:p>
        </w:tc>
        <w:tc>
          <w:tcPr>
            <w:tcW w:w="281" w:type="pct"/>
            <w:tcBorders>
              <w:top w:val="nil"/>
              <w:left w:val="nil"/>
              <w:bottom w:val="single" w:sz="4" w:space="0" w:color="auto"/>
              <w:right w:val="single" w:sz="4" w:space="0" w:color="auto"/>
            </w:tcBorders>
            <w:shd w:val="clear" w:color="auto" w:fill="auto"/>
            <w:vAlign w:val="center"/>
            <w:hideMark/>
          </w:tcPr>
          <w:p w14:paraId="714428CB" w14:textId="073C170D"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Objektivi </w:t>
            </w:r>
            <w:r w:rsidR="00E92B0D" w:rsidRPr="00B457F5">
              <w:rPr>
                <w:rFonts w:ascii="Garamond" w:eastAsia="Times New Roman" w:hAnsi="Garamond" w:cs="Times New Roman"/>
                <w:b/>
                <w:bCs/>
                <w:color w:val="000000"/>
                <w:sz w:val="4"/>
                <w:szCs w:val="10"/>
              </w:rPr>
              <w:t>s</w:t>
            </w:r>
            <w:r w:rsidRPr="00B457F5">
              <w:rPr>
                <w:rFonts w:ascii="Garamond" w:eastAsia="Times New Roman" w:hAnsi="Garamond" w:cs="Times New Roman"/>
                <w:b/>
                <w:bCs/>
                <w:color w:val="000000"/>
                <w:sz w:val="4"/>
                <w:szCs w:val="10"/>
              </w:rPr>
              <w:t xml:space="preserve">pecifik: 4.1: Përmirësimi </w:t>
            </w:r>
            <w:r w:rsidR="00AF12C0" w:rsidRPr="00B457F5">
              <w:rPr>
                <w:rFonts w:ascii="Garamond" w:eastAsia="Times New Roman" w:hAnsi="Garamond" w:cs="Times New Roman"/>
                <w:b/>
                <w:bCs/>
                <w:color w:val="000000"/>
                <w:sz w:val="4"/>
                <w:szCs w:val="10"/>
              </w:rPr>
              <w:t xml:space="preserve">i </w:t>
            </w:r>
            <w:r w:rsidRPr="00B457F5">
              <w:rPr>
                <w:rFonts w:ascii="Garamond" w:eastAsia="Times New Roman" w:hAnsi="Garamond" w:cs="Times New Roman"/>
                <w:b/>
                <w:bCs/>
                <w:color w:val="000000"/>
                <w:sz w:val="4"/>
                <w:szCs w:val="10"/>
              </w:rPr>
              <w:t>efikasitetit, aksesit dhe apelimit</w:t>
            </w:r>
            <w:r w:rsidR="0006016F" w:rsidRPr="00B457F5">
              <w:rPr>
                <w:rFonts w:ascii="Garamond" w:eastAsia="Times New Roman" w:hAnsi="Garamond" w:cs="Times New Roman"/>
                <w:b/>
                <w:bCs/>
                <w:color w:val="000000"/>
                <w:sz w:val="4"/>
                <w:szCs w:val="10"/>
              </w:rPr>
              <w:t xml:space="preserve"> </w:t>
            </w:r>
            <w:r w:rsidRPr="00B457F5">
              <w:rPr>
                <w:rFonts w:ascii="Garamond" w:eastAsia="Times New Roman" w:hAnsi="Garamond" w:cs="Times New Roman"/>
                <w:b/>
                <w:bCs/>
                <w:color w:val="000000"/>
                <w:sz w:val="4"/>
                <w:szCs w:val="10"/>
              </w:rPr>
              <w:t xml:space="preserve">në procedurën e azilit </w:t>
            </w:r>
          </w:p>
        </w:tc>
        <w:tc>
          <w:tcPr>
            <w:tcW w:w="186" w:type="pct"/>
            <w:tcBorders>
              <w:top w:val="nil"/>
              <w:left w:val="nil"/>
              <w:bottom w:val="single" w:sz="4" w:space="0" w:color="auto"/>
              <w:right w:val="single" w:sz="4" w:space="0" w:color="auto"/>
            </w:tcBorders>
            <w:shd w:val="clear" w:color="auto" w:fill="auto"/>
            <w:vAlign w:val="center"/>
            <w:hideMark/>
          </w:tcPr>
          <w:p w14:paraId="5EDDF73E"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9" w:type="pct"/>
            <w:tcBorders>
              <w:top w:val="nil"/>
              <w:left w:val="nil"/>
              <w:bottom w:val="single" w:sz="4" w:space="0" w:color="auto"/>
              <w:right w:val="single" w:sz="4" w:space="0" w:color="auto"/>
            </w:tcBorders>
            <w:shd w:val="clear" w:color="auto" w:fill="auto"/>
            <w:noWrap/>
            <w:vAlign w:val="bottom"/>
            <w:hideMark/>
          </w:tcPr>
          <w:p w14:paraId="0462FD56"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44" w:type="pct"/>
            <w:tcBorders>
              <w:top w:val="nil"/>
              <w:left w:val="nil"/>
              <w:bottom w:val="single" w:sz="4" w:space="0" w:color="auto"/>
              <w:right w:val="single" w:sz="4" w:space="0" w:color="auto"/>
            </w:tcBorders>
            <w:shd w:val="clear" w:color="auto" w:fill="auto"/>
            <w:noWrap/>
            <w:vAlign w:val="bottom"/>
            <w:hideMark/>
          </w:tcPr>
          <w:p w14:paraId="649D90BA"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35" w:type="pct"/>
            <w:tcBorders>
              <w:top w:val="nil"/>
              <w:left w:val="nil"/>
              <w:bottom w:val="single" w:sz="4" w:space="0" w:color="auto"/>
              <w:right w:val="single" w:sz="4" w:space="0" w:color="auto"/>
            </w:tcBorders>
            <w:shd w:val="clear" w:color="auto" w:fill="auto"/>
            <w:noWrap/>
            <w:vAlign w:val="bottom"/>
            <w:hideMark/>
          </w:tcPr>
          <w:p w14:paraId="0BC60A2A"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2" w:type="pct"/>
            <w:tcBorders>
              <w:top w:val="nil"/>
              <w:left w:val="nil"/>
              <w:bottom w:val="single" w:sz="4" w:space="0" w:color="auto"/>
              <w:right w:val="single" w:sz="4" w:space="0" w:color="auto"/>
            </w:tcBorders>
            <w:shd w:val="clear" w:color="auto" w:fill="auto"/>
            <w:noWrap/>
            <w:vAlign w:val="bottom"/>
            <w:hideMark/>
          </w:tcPr>
          <w:p w14:paraId="47809186"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2A5B9839"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5" w:type="pct"/>
            <w:tcBorders>
              <w:top w:val="nil"/>
              <w:left w:val="nil"/>
              <w:bottom w:val="single" w:sz="4" w:space="0" w:color="auto"/>
              <w:right w:val="single" w:sz="4" w:space="0" w:color="auto"/>
            </w:tcBorders>
            <w:shd w:val="clear" w:color="auto" w:fill="auto"/>
            <w:noWrap/>
            <w:vAlign w:val="center"/>
            <w:hideMark/>
          </w:tcPr>
          <w:p w14:paraId="16EB94AE"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2" w:type="pct"/>
            <w:tcBorders>
              <w:top w:val="nil"/>
              <w:left w:val="nil"/>
              <w:bottom w:val="single" w:sz="4" w:space="0" w:color="auto"/>
              <w:right w:val="single" w:sz="4" w:space="0" w:color="auto"/>
            </w:tcBorders>
            <w:shd w:val="clear" w:color="auto" w:fill="auto"/>
            <w:noWrap/>
            <w:vAlign w:val="center"/>
            <w:hideMark/>
          </w:tcPr>
          <w:p w14:paraId="66B3A61C"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5" w:type="pct"/>
            <w:tcBorders>
              <w:top w:val="nil"/>
              <w:left w:val="nil"/>
              <w:bottom w:val="single" w:sz="4" w:space="0" w:color="auto"/>
              <w:right w:val="single" w:sz="4" w:space="0" w:color="auto"/>
            </w:tcBorders>
            <w:shd w:val="clear" w:color="auto" w:fill="auto"/>
            <w:noWrap/>
            <w:vAlign w:val="center"/>
            <w:hideMark/>
          </w:tcPr>
          <w:p w14:paraId="14F86447"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182BC50C"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62331B40"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5DA94170"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48" w:type="pct"/>
            <w:tcBorders>
              <w:top w:val="nil"/>
              <w:left w:val="nil"/>
              <w:bottom w:val="single" w:sz="4" w:space="0" w:color="auto"/>
              <w:right w:val="single" w:sz="4" w:space="0" w:color="auto"/>
            </w:tcBorders>
            <w:shd w:val="clear" w:color="auto" w:fill="auto"/>
            <w:noWrap/>
            <w:vAlign w:val="center"/>
            <w:hideMark/>
          </w:tcPr>
          <w:p w14:paraId="414041B3"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2" w:type="pct"/>
            <w:tcBorders>
              <w:top w:val="nil"/>
              <w:left w:val="nil"/>
              <w:bottom w:val="single" w:sz="4" w:space="0" w:color="auto"/>
              <w:right w:val="single" w:sz="4" w:space="0" w:color="auto"/>
            </w:tcBorders>
            <w:shd w:val="clear" w:color="auto" w:fill="auto"/>
            <w:noWrap/>
            <w:vAlign w:val="center"/>
            <w:hideMark/>
          </w:tcPr>
          <w:p w14:paraId="59254BF7"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5" w:type="pct"/>
            <w:tcBorders>
              <w:top w:val="nil"/>
              <w:left w:val="nil"/>
              <w:bottom w:val="single" w:sz="4" w:space="0" w:color="auto"/>
              <w:right w:val="single" w:sz="4" w:space="0" w:color="auto"/>
            </w:tcBorders>
            <w:shd w:val="clear" w:color="auto" w:fill="auto"/>
            <w:noWrap/>
            <w:vAlign w:val="center"/>
            <w:hideMark/>
          </w:tcPr>
          <w:p w14:paraId="06E017B4"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5DFA071E"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5" w:type="pct"/>
            <w:tcBorders>
              <w:top w:val="nil"/>
              <w:left w:val="nil"/>
              <w:bottom w:val="single" w:sz="4" w:space="0" w:color="auto"/>
              <w:right w:val="single" w:sz="4" w:space="0" w:color="auto"/>
            </w:tcBorders>
            <w:shd w:val="clear" w:color="auto" w:fill="auto"/>
            <w:noWrap/>
            <w:vAlign w:val="center"/>
            <w:hideMark/>
          </w:tcPr>
          <w:p w14:paraId="5BEFE29D"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1CD57D46"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5" w:type="pct"/>
            <w:tcBorders>
              <w:top w:val="nil"/>
              <w:left w:val="nil"/>
              <w:bottom w:val="single" w:sz="4" w:space="0" w:color="auto"/>
              <w:right w:val="single" w:sz="4" w:space="0" w:color="auto"/>
            </w:tcBorders>
            <w:shd w:val="clear" w:color="auto" w:fill="auto"/>
            <w:noWrap/>
            <w:vAlign w:val="center"/>
            <w:hideMark/>
          </w:tcPr>
          <w:p w14:paraId="4533B0E9"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6B16A33F"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2" w:type="pct"/>
            <w:tcBorders>
              <w:top w:val="nil"/>
              <w:left w:val="nil"/>
              <w:bottom w:val="single" w:sz="4" w:space="0" w:color="auto"/>
              <w:right w:val="single" w:sz="4" w:space="0" w:color="auto"/>
            </w:tcBorders>
            <w:shd w:val="clear" w:color="auto" w:fill="auto"/>
            <w:noWrap/>
            <w:vAlign w:val="center"/>
            <w:hideMark/>
          </w:tcPr>
          <w:p w14:paraId="5E81A876"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5" w:type="pct"/>
            <w:tcBorders>
              <w:top w:val="nil"/>
              <w:left w:val="nil"/>
              <w:bottom w:val="single" w:sz="4" w:space="0" w:color="auto"/>
              <w:right w:val="single" w:sz="4" w:space="0" w:color="auto"/>
            </w:tcBorders>
            <w:shd w:val="clear" w:color="auto" w:fill="auto"/>
            <w:noWrap/>
            <w:vAlign w:val="center"/>
            <w:hideMark/>
          </w:tcPr>
          <w:p w14:paraId="2F28AB62"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18" w:type="pct"/>
            <w:tcBorders>
              <w:top w:val="nil"/>
              <w:left w:val="nil"/>
              <w:bottom w:val="single" w:sz="4" w:space="0" w:color="auto"/>
              <w:right w:val="single" w:sz="4" w:space="0" w:color="auto"/>
            </w:tcBorders>
            <w:shd w:val="clear" w:color="auto" w:fill="auto"/>
            <w:noWrap/>
            <w:vAlign w:val="center"/>
            <w:hideMark/>
          </w:tcPr>
          <w:p w14:paraId="46439363"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297A0D11"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39" w:type="pct"/>
            <w:tcBorders>
              <w:top w:val="nil"/>
              <w:left w:val="nil"/>
              <w:bottom w:val="single" w:sz="4" w:space="0" w:color="auto"/>
              <w:right w:val="single" w:sz="4" w:space="0" w:color="auto"/>
            </w:tcBorders>
            <w:shd w:val="clear" w:color="auto" w:fill="auto"/>
            <w:noWrap/>
            <w:vAlign w:val="center"/>
            <w:hideMark/>
          </w:tcPr>
          <w:p w14:paraId="4A53FF52"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42" w:type="pct"/>
            <w:tcBorders>
              <w:top w:val="nil"/>
              <w:left w:val="nil"/>
              <w:bottom w:val="single" w:sz="4" w:space="0" w:color="auto"/>
              <w:right w:val="single" w:sz="4" w:space="0" w:color="auto"/>
            </w:tcBorders>
            <w:shd w:val="clear" w:color="auto" w:fill="auto"/>
            <w:noWrap/>
            <w:vAlign w:val="center"/>
            <w:hideMark/>
          </w:tcPr>
          <w:p w14:paraId="1376C4D5"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28" w:type="pct"/>
            <w:tcBorders>
              <w:top w:val="nil"/>
              <w:left w:val="nil"/>
              <w:bottom w:val="single" w:sz="4" w:space="0" w:color="auto"/>
              <w:right w:val="single" w:sz="4" w:space="0" w:color="auto"/>
            </w:tcBorders>
            <w:shd w:val="clear" w:color="auto" w:fill="auto"/>
            <w:noWrap/>
            <w:vAlign w:val="center"/>
            <w:hideMark/>
          </w:tcPr>
          <w:p w14:paraId="4E69E343"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77" w:type="pct"/>
            <w:tcBorders>
              <w:top w:val="nil"/>
              <w:left w:val="nil"/>
              <w:bottom w:val="single" w:sz="4" w:space="0" w:color="auto"/>
              <w:right w:val="single" w:sz="8" w:space="0" w:color="auto"/>
            </w:tcBorders>
            <w:shd w:val="clear" w:color="auto" w:fill="auto"/>
            <w:noWrap/>
            <w:vAlign w:val="center"/>
            <w:hideMark/>
          </w:tcPr>
          <w:p w14:paraId="4F4070E8"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r>
      <w:tr w:rsidR="00C260C3" w:rsidRPr="00B457F5" w14:paraId="23CBDFA8" w14:textId="77777777" w:rsidTr="00C260C3">
        <w:trPr>
          <w:trHeight w:val="20"/>
        </w:trPr>
        <w:tc>
          <w:tcPr>
            <w:tcW w:w="131" w:type="pct"/>
            <w:tcBorders>
              <w:top w:val="nil"/>
              <w:left w:val="single" w:sz="8" w:space="0" w:color="auto"/>
              <w:bottom w:val="single" w:sz="4" w:space="0" w:color="auto"/>
              <w:right w:val="single" w:sz="4" w:space="0" w:color="auto"/>
            </w:tcBorders>
            <w:shd w:val="clear" w:color="auto" w:fill="auto"/>
            <w:vAlign w:val="center"/>
            <w:hideMark/>
          </w:tcPr>
          <w:p w14:paraId="6BC30E48"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81" w:type="pct"/>
            <w:tcBorders>
              <w:top w:val="nil"/>
              <w:left w:val="nil"/>
              <w:bottom w:val="single" w:sz="4" w:space="0" w:color="auto"/>
              <w:right w:val="single" w:sz="4" w:space="0" w:color="auto"/>
            </w:tcBorders>
            <w:shd w:val="clear" w:color="auto" w:fill="auto"/>
            <w:vAlign w:val="center"/>
            <w:hideMark/>
          </w:tcPr>
          <w:p w14:paraId="3507CE60" w14:textId="77777777" w:rsidR="00C260C3" w:rsidRPr="00B457F5" w:rsidRDefault="00C260C3" w:rsidP="00C260C3">
            <w:pPr>
              <w:spacing w:before="0" w:after="0"/>
              <w:jc w:val="left"/>
              <w:rPr>
                <w:rFonts w:ascii="Garamond" w:eastAsia="Times New Roman" w:hAnsi="Garamond" w:cs="Times New Roman"/>
                <w:b/>
                <w:bCs/>
                <w:i/>
                <w:iCs/>
                <w:color w:val="0066CC"/>
                <w:sz w:val="4"/>
                <w:szCs w:val="10"/>
              </w:rPr>
            </w:pPr>
            <w:r w:rsidRPr="00B457F5">
              <w:rPr>
                <w:rFonts w:ascii="Garamond" w:eastAsia="Times New Roman" w:hAnsi="Garamond" w:cs="Times New Roman"/>
                <w:b/>
                <w:bCs/>
                <w:i/>
                <w:iCs/>
                <w:color w:val="0066CC"/>
                <w:sz w:val="4"/>
                <w:szCs w:val="10"/>
              </w:rPr>
              <w:t>Masat</w:t>
            </w:r>
          </w:p>
        </w:tc>
        <w:tc>
          <w:tcPr>
            <w:tcW w:w="186" w:type="pct"/>
            <w:tcBorders>
              <w:top w:val="nil"/>
              <w:left w:val="nil"/>
              <w:bottom w:val="single" w:sz="4" w:space="0" w:color="auto"/>
              <w:right w:val="single" w:sz="4" w:space="0" w:color="auto"/>
            </w:tcBorders>
            <w:shd w:val="clear" w:color="auto" w:fill="auto"/>
            <w:vAlign w:val="center"/>
            <w:hideMark/>
          </w:tcPr>
          <w:p w14:paraId="07851A36"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9" w:type="pct"/>
            <w:tcBorders>
              <w:top w:val="nil"/>
              <w:left w:val="nil"/>
              <w:bottom w:val="single" w:sz="4" w:space="0" w:color="auto"/>
              <w:right w:val="single" w:sz="4" w:space="0" w:color="auto"/>
            </w:tcBorders>
            <w:shd w:val="clear" w:color="auto" w:fill="auto"/>
            <w:noWrap/>
            <w:vAlign w:val="bottom"/>
            <w:hideMark/>
          </w:tcPr>
          <w:p w14:paraId="184B3B3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244" w:type="pct"/>
            <w:tcBorders>
              <w:top w:val="nil"/>
              <w:left w:val="nil"/>
              <w:bottom w:val="single" w:sz="4" w:space="0" w:color="auto"/>
              <w:right w:val="single" w:sz="4" w:space="0" w:color="auto"/>
            </w:tcBorders>
            <w:shd w:val="clear" w:color="auto" w:fill="auto"/>
            <w:noWrap/>
            <w:vAlign w:val="bottom"/>
            <w:hideMark/>
          </w:tcPr>
          <w:p w14:paraId="192BB6A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35" w:type="pct"/>
            <w:tcBorders>
              <w:top w:val="nil"/>
              <w:left w:val="nil"/>
              <w:bottom w:val="single" w:sz="4" w:space="0" w:color="auto"/>
              <w:right w:val="single" w:sz="4" w:space="0" w:color="auto"/>
            </w:tcBorders>
            <w:shd w:val="clear" w:color="auto" w:fill="auto"/>
            <w:noWrap/>
            <w:vAlign w:val="bottom"/>
            <w:hideMark/>
          </w:tcPr>
          <w:p w14:paraId="3D09E57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2" w:type="pct"/>
            <w:tcBorders>
              <w:top w:val="nil"/>
              <w:left w:val="nil"/>
              <w:bottom w:val="single" w:sz="4" w:space="0" w:color="auto"/>
              <w:right w:val="single" w:sz="4" w:space="0" w:color="auto"/>
            </w:tcBorders>
            <w:shd w:val="clear" w:color="auto" w:fill="auto"/>
            <w:noWrap/>
            <w:vAlign w:val="bottom"/>
            <w:hideMark/>
          </w:tcPr>
          <w:p w14:paraId="3FB4580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04A0CF1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nil"/>
              <w:left w:val="nil"/>
              <w:bottom w:val="single" w:sz="4" w:space="0" w:color="auto"/>
              <w:right w:val="single" w:sz="4" w:space="0" w:color="auto"/>
            </w:tcBorders>
            <w:shd w:val="clear" w:color="auto" w:fill="auto"/>
            <w:noWrap/>
            <w:vAlign w:val="center"/>
            <w:hideMark/>
          </w:tcPr>
          <w:p w14:paraId="28349B9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nil"/>
              <w:left w:val="nil"/>
              <w:bottom w:val="single" w:sz="4" w:space="0" w:color="auto"/>
              <w:right w:val="single" w:sz="4" w:space="0" w:color="auto"/>
            </w:tcBorders>
            <w:shd w:val="clear" w:color="auto" w:fill="auto"/>
            <w:noWrap/>
            <w:vAlign w:val="center"/>
            <w:hideMark/>
          </w:tcPr>
          <w:p w14:paraId="0540BBB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nil"/>
              <w:left w:val="nil"/>
              <w:bottom w:val="single" w:sz="4" w:space="0" w:color="auto"/>
              <w:right w:val="single" w:sz="4" w:space="0" w:color="auto"/>
            </w:tcBorders>
            <w:shd w:val="clear" w:color="auto" w:fill="auto"/>
            <w:noWrap/>
            <w:vAlign w:val="center"/>
            <w:hideMark/>
          </w:tcPr>
          <w:p w14:paraId="1F6EB54D"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752DFF9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00B2718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58B9709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48" w:type="pct"/>
            <w:tcBorders>
              <w:top w:val="nil"/>
              <w:left w:val="nil"/>
              <w:bottom w:val="single" w:sz="4" w:space="0" w:color="auto"/>
              <w:right w:val="single" w:sz="4" w:space="0" w:color="auto"/>
            </w:tcBorders>
            <w:shd w:val="clear" w:color="auto" w:fill="auto"/>
            <w:noWrap/>
            <w:vAlign w:val="center"/>
            <w:hideMark/>
          </w:tcPr>
          <w:p w14:paraId="5D219EC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nil"/>
              <w:left w:val="nil"/>
              <w:bottom w:val="single" w:sz="4" w:space="0" w:color="auto"/>
              <w:right w:val="single" w:sz="4" w:space="0" w:color="auto"/>
            </w:tcBorders>
            <w:shd w:val="clear" w:color="auto" w:fill="auto"/>
            <w:noWrap/>
            <w:vAlign w:val="center"/>
            <w:hideMark/>
          </w:tcPr>
          <w:p w14:paraId="6DD4637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nil"/>
              <w:left w:val="nil"/>
              <w:bottom w:val="single" w:sz="4" w:space="0" w:color="auto"/>
              <w:right w:val="single" w:sz="4" w:space="0" w:color="auto"/>
            </w:tcBorders>
            <w:shd w:val="clear" w:color="auto" w:fill="auto"/>
            <w:noWrap/>
            <w:vAlign w:val="center"/>
            <w:hideMark/>
          </w:tcPr>
          <w:p w14:paraId="07F9017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76BAB48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5" w:type="pct"/>
            <w:tcBorders>
              <w:top w:val="nil"/>
              <w:left w:val="nil"/>
              <w:bottom w:val="single" w:sz="4" w:space="0" w:color="auto"/>
              <w:right w:val="single" w:sz="4" w:space="0" w:color="auto"/>
            </w:tcBorders>
            <w:shd w:val="clear" w:color="auto" w:fill="auto"/>
            <w:noWrap/>
            <w:vAlign w:val="center"/>
            <w:hideMark/>
          </w:tcPr>
          <w:p w14:paraId="73ABBD7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1E912B5F"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nil"/>
              <w:left w:val="nil"/>
              <w:bottom w:val="single" w:sz="4" w:space="0" w:color="auto"/>
              <w:right w:val="single" w:sz="4" w:space="0" w:color="auto"/>
            </w:tcBorders>
            <w:shd w:val="clear" w:color="auto" w:fill="auto"/>
            <w:noWrap/>
            <w:vAlign w:val="center"/>
            <w:hideMark/>
          </w:tcPr>
          <w:p w14:paraId="42398F9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3546508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2" w:type="pct"/>
            <w:tcBorders>
              <w:top w:val="nil"/>
              <w:left w:val="nil"/>
              <w:bottom w:val="single" w:sz="4" w:space="0" w:color="auto"/>
              <w:right w:val="single" w:sz="4" w:space="0" w:color="auto"/>
            </w:tcBorders>
            <w:shd w:val="clear" w:color="auto" w:fill="auto"/>
            <w:noWrap/>
            <w:vAlign w:val="center"/>
            <w:hideMark/>
          </w:tcPr>
          <w:p w14:paraId="658CE9A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55" w:type="pct"/>
            <w:tcBorders>
              <w:top w:val="nil"/>
              <w:left w:val="nil"/>
              <w:bottom w:val="single" w:sz="4" w:space="0" w:color="auto"/>
              <w:right w:val="single" w:sz="4" w:space="0" w:color="auto"/>
            </w:tcBorders>
            <w:shd w:val="clear" w:color="auto" w:fill="auto"/>
            <w:noWrap/>
            <w:vAlign w:val="center"/>
            <w:hideMark/>
          </w:tcPr>
          <w:p w14:paraId="69EC302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218" w:type="pct"/>
            <w:tcBorders>
              <w:top w:val="nil"/>
              <w:left w:val="nil"/>
              <w:bottom w:val="single" w:sz="4" w:space="0" w:color="auto"/>
              <w:right w:val="single" w:sz="4" w:space="0" w:color="auto"/>
            </w:tcBorders>
            <w:shd w:val="clear" w:color="auto" w:fill="auto"/>
            <w:noWrap/>
            <w:vAlign w:val="center"/>
            <w:hideMark/>
          </w:tcPr>
          <w:p w14:paraId="25009134"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21CF387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39" w:type="pct"/>
            <w:tcBorders>
              <w:top w:val="nil"/>
              <w:left w:val="nil"/>
              <w:bottom w:val="single" w:sz="4" w:space="0" w:color="auto"/>
              <w:right w:val="single" w:sz="4" w:space="0" w:color="auto"/>
            </w:tcBorders>
            <w:shd w:val="clear" w:color="auto" w:fill="auto"/>
            <w:noWrap/>
            <w:vAlign w:val="center"/>
            <w:hideMark/>
          </w:tcPr>
          <w:p w14:paraId="25B6903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42" w:type="pct"/>
            <w:tcBorders>
              <w:top w:val="nil"/>
              <w:left w:val="nil"/>
              <w:bottom w:val="single" w:sz="4" w:space="0" w:color="auto"/>
              <w:right w:val="single" w:sz="4" w:space="0" w:color="auto"/>
            </w:tcBorders>
            <w:shd w:val="clear" w:color="auto" w:fill="auto"/>
            <w:noWrap/>
            <w:vAlign w:val="center"/>
            <w:hideMark/>
          </w:tcPr>
          <w:p w14:paraId="67C6628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28" w:type="pct"/>
            <w:tcBorders>
              <w:top w:val="nil"/>
              <w:left w:val="nil"/>
              <w:bottom w:val="single" w:sz="4" w:space="0" w:color="auto"/>
              <w:right w:val="single" w:sz="4" w:space="0" w:color="auto"/>
            </w:tcBorders>
            <w:shd w:val="clear" w:color="auto" w:fill="auto"/>
            <w:noWrap/>
            <w:vAlign w:val="center"/>
            <w:hideMark/>
          </w:tcPr>
          <w:p w14:paraId="40BF57E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c>
          <w:tcPr>
            <w:tcW w:w="177" w:type="pct"/>
            <w:tcBorders>
              <w:top w:val="nil"/>
              <w:left w:val="nil"/>
              <w:bottom w:val="single" w:sz="4" w:space="0" w:color="auto"/>
              <w:right w:val="single" w:sz="8" w:space="0" w:color="auto"/>
            </w:tcBorders>
            <w:shd w:val="clear" w:color="auto" w:fill="auto"/>
            <w:noWrap/>
            <w:vAlign w:val="center"/>
            <w:hideMark/>
          </w:tcPr>
          <w:p w14:paraId="079CC20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w:t>
            </w:r>
          </w:p>
        </w:tc>
      </w:tr>
      <w:tr w:rsidR="00C260C3" w:rsidRPr="00B457F5" w14:paraId="63AB6E0C" w14:textId="77777777" w:rsidTr="00C260C3">
        <w:trPr>
          <w:trHeight w:val="20"/>
        </w:trPr>
        <w:tc>
          <w:tcPr>
            <w:tcW w:w="131" w:type="pct"/>
            <w:tcBorders>
              <w:top w:val="nil"/>
              <w:left w:val="single" w:sz="4" w:space="0" w:color="auto"/>
              <w:bottom w:val="single" w:sz="4" w:space="0" w:color="auto"/>
              <w:right w:val="single" w:sz="4" w:space="0" w:color="auto"/>
            </w:tcBorders>
            <w:shd w:val="clear" w:color="000000" w:fill="D9D9D9"/>
            <w:vAlign w:val="center"/>
            <w:hideMark/>
          </w:tcPr>
          <w:p w14:paraId="5F4FFF74"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4.1.1</w:t>
            </w:r>
          </w:p>
        </w:tc>
        <w:tc>
          <w:tcPr>
            <w:tcW w:w="281" w:type="pct"/>
            <w:tcBorders>
              <w:top w:val="nil"/>
              <w:left w:val="nil"/>
              <w:bottom w:val="single" w:sz="4" w:space="0" w:color="auto"/>
              <w:right w:val="single" w:sz="4" w:space="0" w:color="auto"/>
            </w:tcBorders>
            <w:shd w:val="clear" w:color="auto" w:fill="auto"/>
            <w:vAlign w:val="center"/>
            <w:hideMark/>
          </w:tcPr>
          <w:p w14:paraId="1B07F3AA" w14:textId="382C2D8B" w:rsidR="00C260C3" w:rsidRPr="00B457F5" w:rsidRDefault="00C260C3" w:rsidP="00C260C3">
            <w:pPr>
              <w:spacing w:before="0" w:after="0"/>
              <w:jc w:val="left"/>
              <w:rPr>
                <w:rFonts w:ascii="Garamond" w:eastAsia="Times New Roman" w:hAnsi="Garamond" w:cs="Times New Roman"/>
                <w:b/>
                <w:bCs/>
                <w:sz w:val="4"/>
                <w:szCs w:val="10"/>
              </w:rPr>
            </w:pPr>
            <w:r w:rsidRPr="00B457F5">
              <w:rPr>
                <w:rFonts w:ascii="Garamond" w:eastAsia="Times New Roman" w:hAnsi="Garamond" w:cs="Times New Roman"/>
                <w:b/>
                <w:bCs/>
                <w:sz w:val="4"/>
                <w:szCs w:val="10"/>
              </w:rPr>
              <w:t>4.1.1 Përafrimi i kuadrit ligjor kombëtar për azilin</w:t>
            </w:r>
            <w:r w:rsidR="0006016F" w:rsidRPr="00B457F5">
              <w:rPr>
                <w:rFonts w:ascii="Garamond" w:eastAsia="Times New Roman" w:hAnsi="Garamond" w:cs="Times New Roman"/>
                <w:b/>
                <w:bCs/>
                <w:sz w:val="4"/>
                <w:szCs w:val="10"/>
              </w:rPr>
              <w:t xml:space="preserve"> </w:t>
            </w:r>
            <w:r w:rsidRPr="00B457F5">
              <w:rPr>
                <w:rFonts w:ascii="Garamond" w:eastAsia="Times New Roman" w:hAnsi="Garamond" w:cs="Times New Roman"/>
                <w:b/>
                <w:bCs/>
                <w:sz w:val="4"/>
                <w:szCs w:val="10"/>
              </w:rPr>
              <w:t>me kuadrin e BE-së dhe kuadrin ndërkombëtar</w:t>
            </w:r>
          </w:p>
        </w:tc>
        <w:tc>
          <w:tcPr>
            <w:tcW w:w="186" w:type="pct"/>
            <w:tcBorders>
              <w:top w:val="nil"/>
              <w:left w:val="nil"/>
              <w:bottom w:val="single" w:sz="4" w:space="0" w:color="auto"/>
              <w:right w:val="single" w:sz="4" w:space="0" w:color="auto"/>
            </w:tcBorders>
            <w:shd w:val="clear" w:color="000000" w:fill="D9D9D9"/>
            <w:vAlign w:val="center"/>
            <w:hideMark/>
          </w:tcPr>
          <w:p w14:paraId="1B1B712A"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000000" w:fill="D9D9D9"/>
            <w:vAlign w:val="center"/>
            <w:hideMark/>
          </w:tcPr>
          <w:p w14:paraId="06D118C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w:t>
            </w:r>
          </w:p>
        </w:tc>
        <w:tc>
          <w:tcPr>
            <w:tcW w:w="244" w:type="pct"/>
            <w:tcBorders>
              <w:top w:val="nil"/>
              <w:left w:val="nil"/>
              <w:bottom w:val="single" w:sz="4" w:space="0" w:color="auto"/>
              <w:right w:val="single" w:sz="4" w:space="0" w:color="auto"/>
            </w:tcBorders>
            <w:shd w:val="clear" w:color="000000" w:fill="D9D9D9"/>
            <w:vAlign w:val="center"/>
            <w:hideMark/>
          </w:tcPr>
          <w:p w14:paraId="1EB02678" w14:textId="5EDA323E"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MSHMS, MEKI, MEPJ, EUAA, UNHCR, IOM, </w:t>
            </w:r>
            <w:r w:rsidR="00E92B0D" w:rsidRPr="00B457F5">
              <w:rPr>
                <w:rFonts w:ascii="Garamond" w:eastAsia="Times New Roman" w:hAnsi="Garamond" w:cs="Times New Roman"/>
                <w:color w:val="000000"/>
                <w:sz w:val="4"/>
                <w:szCs w:val="10"/>
              </w:rPr>
              <w:t>t</w:t>
            </w:r>
            <w:r w:rsidRPr="00B457F5">
              <w:rPr>
                <w:rFonts w:ascii="Garamond" w:eastAsia="Times New Roman" w:hAnsi="Garamond" w:cs="Times New Roman"/>
                <w:color w:val="000000"/>
                <w:sz w:val="4"/>
                <w:szCs w:val="10"/>
              </w:rPr>
              <w:t>ë gjitha ministritë e linjës</w:t>
            </w:r>
          </w:p>
        </w:tc>
        <w:tc>
          <w:tcPr>
            <w:tcW w:w="135" w:type="pct"/>
            <w:tcBorders>
              <w:top w:val="nil"/>
              <w:left w:val="nil"/>
              <w:bottom w:val="single" w:sz="4" w:space="0" w:color="auto"/>
              <w:right w:val="single" w:sz="4" w:space="0" w:color="auto"/>
            </w:tcBorders>
            <w:shd w:val="clear" w:color="000000" w:fill="D9D9D9"/>
            <w:vAlign w:val="center"/>
            <w:hideMark/>
          </w:tcPr>
          <w:p w14:paraId="66C08875"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9D9D9"/>
            <w:vAlign w:val="center"/>
            <w:hideMark/>
          </w:tcPr>
          <w:p w14:paraId="033FD98F"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000000" w:fill="D9D9D9"/>
            <w:vAlign w:val="center"/>
            <w:hideMark/>
          </w:tcPr>
          <w:p w14:paraId="4389E96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7,264,099</w:t>
            </w:r>
          </w:p>
        </w:tc>
        <w:tc>
          <w:tcPr>
            <w:tcW w:w="155" w:type="pct"/>
            <w:tcBorders>
              <w:top w:val="nil"/>
              <w:left w:val="nil"/>
              <w:bottom w:val="single" w:sz="4" w:space="0" w:color="auto"/>
              <w:right w:val="single" w:sz="4" w:space="0" w:color="auto"/>
            </w:tcBorders>
            <w:shd w:val="clear" w:color="000000" w:fill="D9D9D9"/>
            <w:vAlign w:val="center"/>
            <w:hideMark/>
          </w:tcPr>
          <w:p w14:paraId="1CCB5BC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D9D9D9"/>
            <w:noWrap/>
            <w:vAlign w:val="center"/>
            <w:hideMark/>
          </w:tcPr>
          <w:p w14:paraId="408C9F7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7,264,099</w:t>
            </w:r>
          </w:p>
        </w:tc>
        <w:tc>
          <w:tcPr>
            <w:tcW w:w="165" w:type="pct"/>
            <w:tcBorders>
              <w:top w:val="nil"/>
              <w:left w:val="nil"/>
              <w:bottom w:val="single" w:sz="4" w:space="0" w:color="auto"/>
              <w:right w:val="single" w:sz="4" w:space="0" w:color="auto"/>
            </w:tcBorders>
            <w:shd w:val="clear" w:color="000000" w:fill="D9D9D9"/>
            <w:vAlign w:val="center"/>
            <w:hideMark/>
          </w:tcPr>
          <w:p w14:paraId="6DCF28B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4,648,323</w:t>
            </w:r>
          </w:p>
        </w:tc>
        <w:tc>
          <w:tcPr>
            <w:tcW w:w="163" w:type="pct"/>
            <w:tcBorders>
              <w:top w:val="nil"/>
              <w:left w:val="nil"/>
              <w:bottom w:val="single" w:sz="4" w:space="0" w:color="auto"/>
              <w:right w:val="single" w:sz="4" w:space="0" w:color="auto"/>
            </w:tcBorders>
            <w:shd w:val="clear" w:color="000000" w:fill="D9D9D9"/>
            <w:vAlign w:val="center"/>
            <w:hideMark/>
          </w:tcPr>
          <w:p w14:paraId="3F5AF2E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D9D9D9"/>
            <w:noWrap/>
            <w:vAlign w:val="center"/>
            <w:hideMark/>
          </w:tcPr>
          <w:p w14:paraId="1F25D87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4,648,323</w:t>
            </w:r>
          </w:p>
        </w:tc>
        <w:tc>
          <w:tcPr>
            <w:tcW w:w="163" w:type="pct"/>
            <w:tcBorders>
              <w:top w:val="nil"/>
              <w:left w:val="nil"/>
              <w:bottom w:val="single" w:sz="4" w:space="0" w:color="auto"/>
              <w:right w:val="single" w:sz="4" w:space="0" w:color="auto"/>
            </w:tcBorders>
            <w:shd w:val="clear" w:color="000000" w:fill="D9D9D9"/>
            <w:vAlign w:val="center"/>
            <w:hideMark/>
          </w:tcPr>
          <w:p w14:paraId="09ED544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2,578,882</w:t>
            </w:r>
          </w:p>
        </w:tc>
        <w:tc>
          <w:tcPr>
            <w:tcW w:w="148" w:type="pct"/>
            <w:tcBorders>
              <w:top w:val="nil"/>
              <w:left w:val="nil"/>
              <w:bottom w:val="single" w:sz="4" w:space="0" w:color="auto"/>
              <w:right w:val="single" w:sz="4" w:space="0" w:color="auto"/>
            </w:tcBorders>
            <w:shd w:val="clear" w:color="000000" w:fill="D9D9D9"/>
            <w:vAlign w:val="center"/>
            <w:hideMark/>
          </w:tcPr>
          <w:p w14:paraId="70C7BB0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D9D9D9"/>
            <w:noWrap/>
            <w:vAlign w:val="center"/>
            <w:hideMark/>
          </w:tcPr>
          <w:p w14:paraId="395DF59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2,578,882</w:t>
            </w:r>
          </w:p>
        </w:tc>
        <w:tc>
          <w:tcPr>
            <w:tcW w:w="165" w:type="pct"/>
            <w:tcBorders>
              <w:top w:val="nil"/>
              <w:left w:val="nil"/>
              <w:bottom w:val="single" w:sz="4" w:space="0" w:color="auto"/>
              <w:right w:val="single" w:sz="4" w:space="0" w:color="auto"/>
            </w:tcBorders>
            <w:shd w:val="clear" w:color="000000" w:fill="D9D9D9"/>
            <w:noWrap/>
            <w:vAlign w:val="center"/>
            <w:hideMark/>
          </w:tcPr>
          <w:p w14:paraId="64A2C49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14,491,304</w:t>
            </w:r>
          </w:p>
        </w:tc>
        <w:tc>
          <w:tcPr>
            <w:tcW w:w="163" w:type="pct"/>
            <w:tcBorders>
              <w:top w:val="nil"/>
              <w:left w:val="nil"/>
              <w:bottom w:val="single" w:sz="4" w:space="0" w:color="auto"/>
              <w:right w:val="single" w:sz="4" w:space="0" w:color="auto"/>
            </w:tcBorders>
            <w:shd w:val="clear" w:color="000000" w:fill="D9D9D9"/>
            <w:noWrap/>
            <w:vAlign w:val="center"/>
            <w:hideMark/>
          </w:tcPr>
          <w:p w14:paraId="535BE96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D9D9D9"/>
            <w:noWrap/>
            <w:vAlign w:val="center"/>
            <w:hideMark/>
          </w:tcPr>
          <w:p w14:paraId="081628D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14,491,304</w:t>
            </w:r>
          </w:p>
        </w:tc>
        <w:tc>
          <w:tcPr>
            <w:tcW w:w="163" w:type="pct"/>
            <w:tcBorders>
              <w:top w:val="nil"/>
              <w:left w:val="nil"/>
              <w:bottom w:val="single" w:sz="4" w:space="0" w:color="auto"/>
              <w:right w:val="single" w:sz="4" w:space="0" w:color="auto"/>
            </w:tcBorders>
            <w:shd w:val="clear" w:color="000000" w:fill="D9D9D9"/>
            <w:noWrap/>
            <w:vAlign w:val="center"/>
            <w:hideMark/>
          </w:tcPr>
          <w:p w14:paraId="552A068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8,311,304</w:t>
            </w:r>
          </w:p>
        </w:tc>
        <w:tc>
          <w:tcPr>
            <w:tcW w:w="155" w:type="pct"/>
            <w:tcBorders>
              <w:top w:val="nil"/>
              <w:left w:val="nil"/>
              <w:bottom w:val="single" w:sz="4" w:space="0" w:color="auto"/>
              <w:right w:val="single" w:sz="4" w:space="0" w:color="auto"/>
            </w:tcBorders>
            <w:shd w:val="clear" w:color="000000" w:fill="D9D9D9"/>
            <w:noWrap/>
            <w:vAlign w:val="center"/>
            <w:hideMark/>
          </w:tcPr>
          <w:p w14:paraId="4848CF3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D9D9D9"/>
            <w:noWrap/>
            <w:vAlign w:val="center"/>
            <w:hideMark/>
          </w:tcPr>
          <w:p w14:paraId="2C41717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8,311,304</w:t>
            </w:r>
          </w:p>
        </w:tc>
        <w:tc>
          <w:tcPr>
            <w:tcW w:w="162" w:type="pct"/>
            <w:tcBorders>
              <w:top w:val="nil"/>
              <w:left w:val="nil"/>
              <w:bottom w:val="single" w:sz="4" w:space="0" w:color="auto"/>
              <w:right w:val="single" w:sz="4" w:space="0" w:color="auto"/>
            </w:tcBorders>
            <w:shd w:val="clear" w:color="000000" w:fill="D9D9D9"/>
            <w:noWrap/>
            <w:vAlign w:val="center"/>
            <w:hideMark/>
          </w:tcPr>
          <w:p w14:paraId="65AA432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6,180,000</w:t>
            </w:r>
          </w:p>
        </w:tc>
        <w:tc>
          <w:tcPr>
            <w:tcW w:w="155" w:type="pct"/>
            <w:tcBorders>
              <w:top w:val="nil"/>
              <w:left w:val="nil"/>
              <w:bottom w:val="single" w:sz="4" w:space="0" w:color="auto"/>
              <w:right w:val="single" w:sz="4" w:space="0" w:color="auto"/>
            </w:tcBorders>
            <w:shd w:val="clear" w:color="000000" w:fill="D9D9D9"/>
            <w:noWrap/>
            <w:vAlign w:val="center"/>
            <w:hideMark/>
          </w:tcPr>
          <w:p w14:paraId="4FDE60F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000000" w:fill="D9D9D9"/>
            <w:vAlign w:val="center"/>
            <w:hideMark/>
          </w:tcPr>
          <w:p w14:paraId="2139E57B"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000000" w:fill="D9D9D9"/>
            <w:noWrap/>
            <w:vAlign w:val="center"/>
            <w:hideMark/>
          </w:tcPr>
          <w:p w14:paraId="452550B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6,180,000</w:t>
            </w:r>
          </w:p>
        </w:tc>
        <w:tc>
          <w:tcPr>
            <w:tcW w:w="139" w:type="pct"/>
            <w:tcBorders>
              <w:top w:val="nil"/>
              <w:left w:val="nil"/>
              <w:bottom w:val="single" w:sz="4" w:space="0" w:color="auto"/>
              <w:right w:val="single" w:sz="4" w:space="0" w:color="auto"/>
            </w:tcBorders>
            <w:shd w:val="clear" w:color="000000" w:fill="D9D9D9"/>
            <w:noWrap/>
            <w:vAlign w:val="center"/>
            <w:hideMark/>
          </w:tcPr>
          <w:p w14:paraId="439541D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000000" w:fill="D9D9D9"/>
            <w:noWrap/>
            <w:vAlign w:val="center"/>
            <w:hideMark/>
          </w:tcPr>
          <w:p w14:paraId="500B76A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D9D9D9"/>
            <w:noWrap/>
            <w:vAlign w:val="center"/>
            <w:hideMark/>
          </w:tcPr>
          <w:p w14:paraId="62D48CB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000000" w:fill="D9D9D9"/>
            <w:vAlign w:val="center"/>
            <w:hideMark/>
          </w:tcPr>
          <w:p w14:paraId="0F26EEFF" w14:textId="221A7DAB"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0C579B36"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42A9B227"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4.1.1.1</w:t>
            </w:r>
          </w:p>
        </w:tc>
        <w:tc>
          <w:tcPr>
            <w:tcW w:w="281" w:type="pct"/>
            <w:tcBorders>
              <w:top w:val="nil"/>
              <w:left w:val="nil"/>
              <w:bottom w:val="single" w:sz="4" w:space="0" w:color="auto"/>
              <w:right w:val="single" w:sz="4" w:space="0" w:color="auto"/>
            </w:tcBorders>
            <w:shd w:val="clear" w:color="auto" w:fill="auto"/>
            <w:vAlign w:val="center"/>
            <w:hideMark/>
          </w:tcPr>
          <w:p w14:paraId="03245C50" w14:textId="77777777"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4.1.1.1 Vlerësimi i kuadrit ligjor kombëtar i cili trajton çështje të azilit dhe parashikon të drejtat dhe trajtimin e azilkërkuesve dhe refugjatëve në RSH</w:t>
            </w:r>
          </w:p>
        </w:tc>
        <w:tc>
          <w:tcPr>
            <w:tcW w:w="186" w:type="pct"/>
            <w:tcBorders>
              <w:top w:val="nil"/>
              <w:left w:val="nil"/>
              <w:bottom w:val="single" w:sz="4" w:space="0" w:color="auto"/>
              <w:right w:val="single" w:sz="4" w:space="0" w:color="auto"/>
            </w:tcBorders>
            <w:shd w:val="clear" w:color="auto" w:fill="auto"/>
            <w:vAlign w:val="center"/>
            <w:hideMark/>
          </w:tcPr>
          <w:p w14:paraId="24F609E2"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0DE5EC0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489BEF7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MSHMS, MEKI, MEPJ, EUAA, UNHCR</w:t>
            </w:r>
          </w:p>
        </w:tc>
        <w:tc>
          <w:tcPr>
            <w:tcW w:w="135" w:type="pct"/>
            <w:tcBorders>
              <w:top w:val="nil"/>
              <w:left w:val="nil"/>
              <w:bottom w:val="single" w:sz="4" w:space="0" w:color="auto"/>
              <w:right w:val="single" w:sz="4" w:space="0" w:color="auto"/>
            </w:tcBorders>
            <w:shd w:val="clear" w:color="000000" w:fill="DDEBF7"/>
            <w:vAlign w:val="center"/>
            <w:hideMark/>
          </w:tcPr>
          <w:p w14:paraId="213E101B"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64FCA2EA"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63" w:type="pct"/>
            <w:tcBorders>
              <w:top w:val="nil"/>
              <w:left w:val="nil"/>
              <w:bottom w:val="single" w:sz="4" w:space="0" w:color="auto"/>
              <w:right w:val="single" w:sz="4" w:space="0" w:color="auto"/>
            </w:tcBorders>
            <w:shd w:val="clear" w:color="auto" w:fill="auto"/>
            <w:vAlign w:val="center"/>
            <w:hideMark/>
          </w:tcPr>
          <w:p w14:paraId="4B02D34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3,209,441</w:t>
            </w:r>
          </w:p>
        </w:tc>
        <w:tc>
          <w:tcPr>
            <w:tcW w:w="155" w:type="pct"/>
            <w:tcBorders>
              <w:top w:val="nil"/>
              <w:left w:val="nil"/>
              <w:bottom w:val="single" w:sz="4" w:space="0" w:color="auto"/>
              <w:right w:val="single" w:sz="4" w:space="0" w:color="auto"/>
            </w:tcBorders>
            <w:shd w:val="clear" w:color="auto" w:fill="auto"/>
            <w:vAlign w:val="center"/>
            <w:hideMark/>
          </w:tcPr>
          <w:p w14:paraId="4671518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noWrap/>
            <w:vAlign w:val="center"/>
            <w:hideMark/>
          </w:tcPr>
          <w:p w14:paraId="0452252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3,209,441</w:t>
            </w:r>
          </w:p>
        </w:tc>
        <w:tc>
          <w:tcPr>
            <w:tcW w:w="165" w:type="pct"/>
            <w:tcBorders>
              <w:top w:val="nil"/>
              <w:left w:val="nil"/>
              <w:bottom w:val="single" w:sz="4" w:space="0" w:color="auto"/>
              <w:right w:val="single" w:sz="4" w:space="0" w:color="auto"/>
            </w:tcBorders>
            <w:shd w:val="clear" w:color="auto" w:fill="auto"/>
            <w:vAlign w:val="center"/>
            <w:hideMark/>
          </w:tcPr>
          <w:p w14:paraId="5E6812F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59ACB11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5111FED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3A6A6F3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8" w:type="pct"/>
            <w:tcBorders>
              <w:top w:val="nil"/>
              <w:left w:val="nil"/>
              <w:bottom w:val="single" w:sz="4" w:space="0" w:color="auto"/>
              <w:right w:val="single" w:sz="4" w:space="0" w:color="auto"/>
            </w:tcBorders>
            <w:shd w:val="clear" w:color="auto" w:fill="auto"/>
            <w:vAlign w:val="center"/>
            <w:hideMark/>
          </w:tcPr>
          <w:p w14:paraId="203AA85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0559E7E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auto" w:fill="auto"/>
            <w:noWrap/>
            <w:vAlign w:val="center"/>
            <w:hideMark/>
          </w:tcPr>
          <w:p w14:paraId="6521726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3,209,441</w:t>
            </w:r>
          </w:p>
        </w:tc>
        <w:tc>
          <w:tcPr>
            <w:tcW w:w="163" w:type="pct"/>
            <w:tcBorders>
              <w:top w:val="nil"/>
              <w:left w:val="nil"/>
              <w:bottom w:val="single" w:sz="4" w:space="0" w:color="auto"/>
              <w:right w:val="single" w:sz="4" w:space="0" w:color="auto"/>
            </w:tcBorders>
            <w:shd w:val="clear" w:color="auto" w:fill="auto"/>
            <w:noWrap/>
            <w:vAlign w:val="center"/>
            <w:hideMark/>
          </w:tcPr>
          <w:p w14:paraId="4F2E1D0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371C5FF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3,209,441</w:t>
            </w:r>
          </w:p>
        </w:tc>
        <w:tc>
          <w:tcPr>
            <w:tcW w:w="163" w:type="pct"/>
            <w:tcBorders>
              <w:top w:val="nil"/>
              <w:left w:val="nil"/>
              <w:bottom w:val="single" w:sz="4" w:space="0" w:color="auto"/>
              <w:right w:val="single" w:sz="4" w:space="0" w:color="auto"/>
            </w:tcBorders>
            <w:shd w:val="clear" w:color="auto" w:fill="auto"/>
            <w:vAlign w:val="center"/>
            <w:hideMark/>
          </w:tcPr>
          <w:p w14:paraId="5699AEE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989,441</w:t>
            </w:r>
          </w:p>
        </w:tc>
        <w:tc>
          <w:tcPr>
            <w:tcW w:w="155" w:type="pct"/>
            <w:tcBorders>
              <w:top w:val="nil"/>
              <w:left w:val="nil"/>
              <w:bottom w:val="single" w:sz="4" w:space="0" w:color="auto"/>
              <w:right w:val="single" w:sz="4" w:space="0" w:color="auto"/>
            </w:tcBorders>
            <w:shd w:val="clear" w:color="auto" w:fill="auto"/>
            <w:vAlign w:val="center"/>
            <w:hideMark/>
          </w:tcPr>
          <w:p w14:paraId="60D8255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5F1D6EB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989,441</w:t>
            </w:r>
          </w:p>
        </w:tc>
        <w:tc>
          <w:tcPr>
            <w:tcW w:w="162" w:type="pct"/>
            <w:tcBorders>
              <w:top w:val="nil"/>
              <w:left w:val="nil"/>
              <w:bottom w:val="single" w:sz="4" w:space="0" w:color="auto"/>
              <w:right w:val="single" w:sz="4" w:space="0" w:color="auto"/>
            </w:tcBorders>
            <w:shd w:val="clear" w:color="auto" w:fill="auto"/>
            <w:vAlign w:val="center"/>
            <w:hideMark/>
          </w:tcPr>
          <w:p w14:paraId="072E5DB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2,220,000</w:t>
            </w:r>
          </w:p>
        </w:tc>
        <w:tc>
          <w:tcPr>
            <w:tcW w:w="155" w:type="pct"/>
            <w:tcBorders>
              <w:top w:val="nil"/>
              <w:left w:val="nil"/>
              <w:bottom w:val="single" w:sz="4" w:space="0" w:color="auto"/>
              <w:right w:val="single" w:sz="4" w:space="0" w:color="auto"/>
            </w:tcBorders>
            <w:shd w:val="clear" w:color="auto" w:fill="auto"/>
            <w:vAlign w:val="center"/>
            <w:hideMark/>
          </w:tcPr>
          <w:p w14:paraId="18CD340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1350E90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EUAA, UNHCR</w:t>
            </w:r>
          </w:p>
        </w:tc>
        <w:tc>
          <w:tcPr>
            <w:tcW w:w="163" w:type="pct"/>
            <w:tcBorders>
              <w:top w:val="nil"/>
              <w:left w:val="nil"/>
              <w:bottom w:val="single" w:sz="4" w:space="0" w:color="auto"/>
              <w:right w:val="single" w:sz="4" w:space="0" w:color="auto"/>
            </w:tcBorders>
            <w:shd w:val="clear" w:color="000000" w:fill="FFF2CC"/>
            <w:vAlign w:val="center"/>
            <w:hideMark/>
          </w:tcPr>
          <w:p w14:paraId="2207684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2,220,000</w:t>
            </w:r>
          </w:p>
        </w:tc>
        <w:tc>
          <w:tcPr>
            <w:tcW w:w="139" w:type="pct"/>
            <w:tcBorders>
              <w:top w:val="nil"/>
              <w:left w:val="nil"/>
              <w:bottom w:val="single" w:sz="4" w:space="0" w:color="auto"/>
              <w:right w:val="single" w:sz="4" w:space="0" w:color="auto"/>
            </w:tcBorders>
            <w:shd w:val="clear" w:color="auto" w:fill="auto"/>
            <w:vAlign w:val="center"/>
            <w:hideMark/>
          </w:tcPr>
          <w:p w14:paraId="113896B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42FA5D9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19E560C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0FBE2329" w14:textId="6D53D0E6"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2C60714E"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17EA2CC1"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4.1.1.2</w:t>
            </w:r>
          </w:p>
        </w:tc>
        <w:tc>
          <w:tcPr>
            <w:tcW w:w="281" w:type="pct"/>
            <w:tcBorders>
              <w:top w:val="nil"/>
              <w:left w:val="nil"/>
              <w:bottom w:val="single" w:sz="4" w:space="0" w:color="auto"/>
              <w:right w:val="single" w:sz="4" w:space="0" w:color="auto"/>
            </w:tcBorders>
            <w:shd w:val="clear" w:color="auto" w:fill="auto"/>
            <w:vAlign w:val="center"/>
            <w:hideMark/>
          </w:tcPr>
          <w:p w14:paraId="0DC39C31" w14:textId="18DE71C2"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 xml:space="preserve">4.1.1.2 Hartimi i propozime për amendimin e ligjeve specifike si </w:t>
            </w:r>
            <w:r w:rsidR="00A313AE" w:rsidRPr="00B457F5">
              <w:rPr>
                <w:rFonts w:ascii="Garamond" w:eastAsia="Times New Roman" w:hAnsi="Garamond" w:cs="Times New Roman"/>
                <w:sz w:val="4"/>
                <w:szCs w:val="10"/>
              </w:rPr>
              <w:t>“</w:t>
            </w:r>
            <w:r w:rsidRPr="00B457F5">
              <w:rPr>
                <w:rFonts w:ascii="Garamond" w:eastAsia="Times New Roman" w:hAnsi="Garamond" w:cs="Times New Roman"/>
                <w:sz w:val="4"/>
                <w:szCs w:val="10"/>
              </w:rPr>
              <w:t xml:space="preserve">Strehimi </w:t>
            </w:r>
            <w:r w:rsidR="00AF12C0" w:rsidRPr="00B457F5">
              <w:rPr>
                <w:rFonts w:ascii="Garamond" w:eastAsia="Times New Roman" w:hAnsi="Garamond" w:cs="Times New Roman"/>
                <w:sz w:val="4"/>
                <w:szCs w:val="10"/>
              </w:rPr>
              <w:t>s</w:t>
            </w:r>
            <w:r w:rsidRPr="00B457F5">
              <w:rPr>
                <w:rFonts w:ascii="Garamond" w:eastAsia="Times New Roman" w:hAnsi="Garamond" w:cs="Times New Roman"/>
                <w:sz w:val="4"/>
                <w:szCs w:val="10"/>
              </w:rPr>
              <w:t>ocial</w:t>
            </w:r>
            <w:r w:rsidR="00A313AE" w:rsidRPr="00B457F5">
              <w:rPr>
                <w:rFonts w:ascii="Garamond" w:eastAsia="Times New Roman" w:hAnsi="Garamond" w:cs="Times New Roman"/>
                <w:sz w:val="4"/>
                <w:szCs w:val="10"/>
              </w:rPr>
              <w:t>”</w:t>
            </w:r>
            <w:r w:rsidR="00E92B0D" w:rsidRPr="00B457F5">
              <w:rPr>
                <w:rFonts w:ascii="Garamond" w:eastAsia="Times New Roman" w:hAnsi="Garamond" w:cs="Times New Roman"/>
                <w:sz w:val="4"/>
                <w:szCs w:val="10"/>
              </w:rPr>
              <w:t>,</w:t>
            </w:r>
            <w:r w:rsidRPr="00B457F5">
              <w:rPr>
                <w:rFonts w:ascii="Garamond" w:eastAsia="Times New Roman" w:hAnsi="Garamond" w:cs="Times New Roman"/>
                <w:sz w:val="4"/>
                <w:szCs w:val="10"/>
              </w:rPr>
              <w:t xml:space="preserve"> </w:t>
            </w:r>
            <w:r w:rsidR="00E92B0D" w:rsidRPr="00B457F5">
              <w:rPr>
                <w:rFonts w:ascii="Garamond" w:eastAsia="Times New Roman" w:hAnsi="Garamond" w:cs="Times New Roman"/>
                <w:sz w:val="4"/>
                <w:szCs w:val="10"/>
              </w:rPr>
              <w:t>l</w:t>
            </w:r>
            <w:r w:rsidRPr="00B457F5">
              <w:rPr>
                <w:rFonts w:ascii="Garamond" w:eastAsia="Times New Roman" w:hAnsi="Garamond" w:cs="Times New Roman"/>
                <w:sz w:val="4"/>
                <w:szCs w:val="10"/>
              </w:rPr>
              <w:t>igji për mbrojtjen e të drejtave të fëmijëve</w:t>
            </w:r>
            <w:r w:rsidR="00E92B0D" w:rsidRPr="00B457F5">
              <w:rPr>
                <w:rFonts w:ascii="Garamond" w:eastAsia="Times New Roman" w:hAnsi="Garamond" w:cs="Times New Roman"/>
                <w:sz w:val="4"/>
                <w:szCs w:val="10"/>
              </w:rPr>
              <w:t>,</w:t>
            </w:r>
            <w:r w:rsidRPr="00B457F5">
              <w:rPr>
                <w:rFonts w:ascii="Garamond" w:eastAsia="Times New Roman" w:hAnsi="Garamond" w:cs="Times New Roman"/>
                <w:sz w:val="4"/>
                <w:szCs w:val="10"/>
              </w:rPr>
              <w:t xml:space="preserve"> </w:t>
            </w:r>
            <w:r w:rsidR="00E92B0D" w:rsidRPr="00B457F5">
              <w:rPr>
                <w:rFonts w:ascii="Garamond" w:eastAsia="Times New Roman" w:hAnsi="Garamond" w:cs="Times New Roman"/>
                <w:sz w:val="4"/>
                <w:szCs w:val="10"/>
              </w:rPr>
              <w:t>l</w:t>
            </w:r>
            <w:r w:rsidRPr="00B457F5">
              <w:rPr>
                <w:rFonts w:ascii="Garamond" w:eastAsia="Times New Roman" w:hAnsi="Garamond" w:cs="Times New Roman"/>
                <w:sz w:val="4"/>
                <w:szCs w:val="10"/>
              </w:rPr>
              <w:t>igji</w:t>
            </w:r>
            <w:r w:rsidR="0006016F" w:rsidRPr="00B457F5">
              <w:rPr>
                <w:rFonts w:ascii="Garamond" w:eastAsia="Times New Roman" w:hAnsi="Garamond" w:cs="Times New Roman"/>
                <w:sz w:val="4"/>
                <w:szCs w:val="10"/>
              </w:rPr>
              <w:t xml:space="preserve"> </w:t>
            </w:r>
            <w:r w:rsidRPr="00B457F5">
              <w:rPr>
                <w:rFonts w:ascii="Garamond" w:eastAsia="Times New Roman" w:hAnsi="Garamond" w:cs="Times New Roman"/>
                <w:sz w:val="4"/>
                <w:szCs w:val="10"/>
              </w:rPr>
              <w:t xml:space="preserve">i </w:t>
            </w:r>
            <w:r w:rsidR="00E92B0D" w:rsidRPr="00B457F5">
              <w:rPr>
                <w:rFonts w:ascii="Garamond" w:eastAsia="Times New Roman" w:hAnsi="Garamond" w:cs="Times New Roman"/>
                <w:sz w:val="4"/>
                <w:szCs w:val="10"/>
              </w:rPr>
              <w:t>ndihmës</w:t>
            </w:r>
            <w:r w:rsidRPr="00B457F5">
              <w:rPr>
                <w:rFonts w:ascii="Garamond" w:eastAsia="Times New Roman" w:hAnsi="Garamond" w:cs="Times New Roman"/>
                <w:sz w:val="4"/>
                <w:szCs w:val="10"/>
              </w:rPr>
              <w:t xml:space="preserve"> ekonomike,</w:t>
            </w:r>
            <w:r w:rsidR="0006016F" w:rsidRPr="00B457F5">
              <w:rPr>
                <w:rFonts w:ascii="Garamond" w:eastAsia="Times New Roman" w:hAnsi="Garamond" w:cs="Times New Roman"/>
                <w:sz w:val="4"/>
                <w:szCs w:val="10"/>
              </w:rPr>
              <w:t xml:space="preserve"> </w:t>
            </w:r>
            <w:r w:rsidRPr="00B457F5">
              <w:rPr>
                <w:rFonts w:ascii="Garamond" w:eastAsia="Times New Roman" w:hAnsi="Garamond" w:cs="Times New Roman"/>
                <w:sz w:val="4"/>
                <w:szCs w:val="10"/>
              </w:rPr>
              <w:t>me fokus azilkërkuesit dhe refugjatët</w:t>
            </w:r>
          </w:p>
        </w:tc>
        <w:tc>
          <w:tcPr>
            <w:tcW w:w="186" w:type="pct"/>
            <w:tcBorders>
              <w:top w:val="nil"/>
              <w:left w:val="nil"/>
              <w:bottom w:val="single" w:sz="4" w:space="0" w:color="auto"/>
              <w:right w:val="single" w:sz="4" w:space="0" w:color="auto"/>
            </w:tcBorders>
            <w:shd w:val="clear" w:color="auto" w:fill="auto"/>
            <w:vAlign w:val="center"/>
            <w:hideMark/>
          </w:tcPr>
          <w:p w14:paraId="244BC07F"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0924809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5864BF2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Të gjitha minstritë e linjës, EUAA, UNHCR, IOM</w:t>
            </w:r>
          </w:p>
        </w:tc>
        <w:tc>
          <w:tcPr>
            <w:tcW w:w="135" w:type="pct"/>
            <w:tcBorders>
              <w:top w:val="nil"/>
              <w:left w:val="nil"/>
              <w:bottom w:val="single" w:sz="4" w:space="0" w:color="auto"/>
              <w:right w:val="single" w:sz="4" w:space="0" w:color="auto"/>
            </w:tcBorders>
            <w:shd w:val="clear" w:color="000000" w:fill="DDEBF7"/>
            <w:vAlign w:val="center"/>
            <w:hideMark/>
          </w:tcPr>
          <w:p w14:paraId="2C06D0EE"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1C89FB0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7470EB3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1,289,441</w:t>
            </w:r>
          </w:p>
        </w:tc>
        <w:tc>
          <w:tcPr>
            <w:tcW w:w="155" w:type="pct"/>
            <w:tcBorders>
              <w:top w:val="nil"/>
              <w:left w:val="nil"/>
              <w:bottom w:val="single" w:sz="4" w:space="0" w:color="auto"/>
              <w:right w:val="single" w:sz="4" w:space="0" w:color="auto"/>
            </w:tcBorders>
            <w:shd w:val="clear" w:color="auto" w:fill="auto"/>
            <w:vAlign w:val="center"/>
            <w:hideMark/>
          </w:tcPr>
          <w:p w14:paraId="2AFCF12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noWrap/>
            <w:vAlign w:val="center"/>
            <w:hideMark/>
          </w:tcPr>
          <w:p w14:paraId="44BD34C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1,289,441</w:t>
            </w:r>
          </w:p>
        </w:tc>
        <w:tc>
          <w:tcPr>
            <w:tcW w:w="165" w:type="pct"/>
            <w:tcBorders>
              <w:top w:val="nil"/>
              <w:left w:val="nil"/>
              <w:bottom w:val="single" w:sz="4" w:space="0" w:color="auto"/>
              <w:right w:val="single" w:sz="4" w:space="0" w:color="auto"/>
            </w:tcBorders>
            <w:shd w:val="clear" w:color="auto" w:fill="auto"/>
            <w:vAlign w:val="center"/>
            <w:hideMark/>
          </w:tcPr>
          <w:p w14:paraId="299E593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1,289,441</w:t>
            </w:r>
          </w:p>
        </w:tc>
        <w:tc>
          <w:tcPr>
            <w:tcW w:w="163" w:type="pct"/>
            <w:tcBorders>
              <w:top w:val="nil"/>
              <w:left w:val="nil"/>
              <w:bottom w:val="single" w:sz="4" w:space="0" w:color="auto"/>
              <w:right w:val="single" w:sz="4" w:space="0" w:color="auto"/>
            </w:tcBorders>
            <w:shd w:val="clear" w:color="auto" w:fill="auto"/>
            <w:vAlign w:val="center"/>
            <w:hideMark/>
          </w:tcPr>
          <w:p w14:paraId="3AD138D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077D9FB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1,289,441</w:t>
            </w:r>
          </w:p>
        </w:tc>
        <w:tc>
          <w:tcPr>
            <w:tcW w:w="163" w:type="pct"/>
            <w:tcBorders>
              <w:top w:val="nil"/>
              <w:left w:val="nil"/>
              <w:bottom w:val="single" w:sz="4" w:space="0" w:color="auto"/>
              <w:right w:val="single" w:sz="4" w:space="0" w:color="auto"/>
            </w:tcBorders>
            <w:shd w:val="clear" w:color="auto" w:fill="auto"/>
            <w:vAlign w:val="center"/>
            <w:hideMark/>
          </w:tcPr>
          <w:p w14:paraId="7964F7A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1,289,441</w:t>
            </w:r>
          </w:p>
        </w:tc>
        <w:tc>
          <w:tcPr>
            <w:tcW w:w="148" w:type="pct"/>
            <w:tcBorders>
              <w:top w:val="nil"/>
              <w:left w:val="nil"/>
              <w:bottom w:val="single" w:sz="4" w:space="0" w:color="auto"/>
              <w:right w:val="single" w:sz="4" w:space="0" w:color="auto"/>
            </w:tcBorders>
            <w:shd w:val="clear" w:color="auto" w:fill="auto"/>
            <w:vAlign w:val="center"/>
            <w:hideMark/>
          </w:tcPr>
          <w:p w14:paraId="317CFEF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234ECA3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1,289,441</w:t>
            </w:r>
          </w:p>
        </w:tc>
        <w:tc>
          <w:tcPr>
            <w:tcW w:w="165" w:type="pct"/>
            <w:tcBorders>
              <w:top w:val="nil"/>
              <w:left w:val="nil"/>
              <w:bottom w:val="single" w:sz="4" w:space="0" w:color="auto"/>
              <w:right w:val="single" w:sz="4" w:space="0" w:color="auto"/>
            </w:tcBorders>
            <w:shd w:val="clear" w:color="auto" w:fill="auto"/>
            <w:noWrap/>
            <w:vAlign w:val="center"/>
            <w:hideMark/>
          </w:tcPr>
          <w:p w14:paraId="20B04A1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3,868,323</w:t>
            </w:r>
          </w:p>
        </w:tc>
        <w:tc>
          <w:tcPr>
            <w:tcW w:w="163" w:type="pct"/>
            <w:tcBorders>
              <w:top w:val="nil"/>
              <w:left w:val="nil"/>
              <w:bottom w:val="single" w:sz="4" w:space="0" w:color="auto"/>
              <w:right w:val="single" w:sz="4" w:space="0" w:color="auto"/>
            </w:tcBorders>
            <w:shd w:val="clear" w:color="auto" w:fill="auto"/>
            <w:noWrap/>
            <w:vAlign w:val="center"/>
            <w:hideMark/>
          </w:tcPr>
          <w:p w14:paraId="2617315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62CCC06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3,868,323</w:t>
            </w:r>
          </w:p>
        </w:tc>
        <w:tc>
          <w:tcPr>
            <w:tcW w:w="163" w:type="pct"/>
            <w:tcBorders>
              <w:top w:val="nil"/>
              <w:left w:val="nil"/>
              <w:bottom w:val="single" w:sz="4" w:space="0" w:color="auto"/>
              <w:right w:val="single" w:sz="4" w:space="0" w:color="auto"/>
            </w:tcBorders>
            <w:shd w:val="clear" w:color="auto" w:fill="auto"/>
            <w:vAlign w:val="center"/>
            <w:hideMark/>
          </w:tcPr>
          <w:p w14:paraId="63FE1B8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2,968,323</w:t>
            </w:r>
          </w:p>
        </w:tc>
        <w:tc>
          <w:tcPr>
            <w:tcW w:w="155" w:type="pct"/>
            <w:tcBorders>
              <w:top w:val="nil"/>
              <w:left w:val="nil"/>
              <w:bottom w:val="single" w:sz="4" w:space="0" w:color="auto"/>
              <w:right w:val="single" w:sz="4" w:space="0" w:color="auto"/>
            </w:tcBorders>
            <w:shd w:val="clear" w:color="auto" w:fill="auto"/>
            <w:vAlign w:val="center"/>
            <w:hideMark/>
          </w:tcPr>
          <w:p w14:paraId="26735B1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327A790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2,968,323</w:t>
            </w:r>
          </w:p>
        </w:tc>
        <w:tc>
          <w:tcPr>
            <w:tcW w:w="162" w:type="pct"/>
            <w:tcBorders>
              <w:top w:val="nil"/>
              <w:left w:val="nil"/>
              <w:bottom w:val="single" w:sz="4" w:space="0" w:color="auto"/>
              <w:right w:val="single" w:sz="4" w:space="0" w:color="auto"/>
            </w:tcBorders>
            <w:shd w:val="clear" w:color="auto" w:fill="auto"/>
            <w:vAlign w:val="center"/>
            <w:hideMark/>
          </w:tcPr>
          <w:p w14:paraId="1F816B5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900,000</w:t>
            </w:r>
          </w:p>
        </w:tc>
        <w:tc>
          <w:tcPr>
            <w:tcW w:w="155" w:type="pct"/>
            <w:tcBorders>
              <w:top w:val="nil"/>
              <w:left w:val="nil"/>
              <w:bottom w:val="single" w:sz="4" w:space="0" w:color="auto"/>
              <w:right w:val="single" w:sz="4" w:space="0" w:color="auto"/>
            </w:tcBorders>
            <w:shd w:val="clear" w:color="auto" w:fill="auto"/>
            <w:vAlign w:val="center"/>
            <w:hideMark/>
          </w:tcPr>
          <w:p w14:paraId="4300B19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0CAAC44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EUAA, UNHCR</w:t>
            </w:r>
          </w:p>
        </w:tc>
        <w:tc>
          <w:tcPr>
            <w:tcW w:w="163" w:type="pct"/>
            <w:tcBorders>
              <w:top w:val="nil"/>
              <w:left w:val="nil"/>
              <w:bottom w:val="single" w:sz="4" w:space="0" w:color="auto"/>
              <w:right w:val="single" w:sz="4" w:space="0" w:color="auto"/>
            </w:tcBorders>
            <w:shd w:val="clear" w:color="000000" w:fill="FFF2CC"/>
            <w:vAlign w:val="center"/>
            <w:hideMark/>
          </w:tcPr>
          <w:p w14:paraId="0E38B56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900,000</w:t>
            </w:r>
          </w:p>
        </w:tc>
        <w:tc>
          <w:tcPr>
            <w:tcW w:w="139" w:type="pct"/>
            <w:tcBorders>
              <w:top w:val="nil"/>
              <w:left w:val="nil"/>
              <w:bottom w:val="single" w:sz="4" w:space="0" w:color="auto"/>
              <w:right w:val="single" w:sz="4" w:space="0" w:color="auto"/>
            </w:tcBorders>
            <w:shd w:val="clear" w:color="auto" w:fill="auto"/>
            <w:vAlign w:val="center"/>
            <w:hideMark/>
          </w:tcPr>
          <w:p w14:paraId="30931F0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171B4D9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0D7CEDE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0CBF9269" w14:textId="43820835"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2633A234"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0AE788CB"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4.1.1.3</w:t>
            </w:r>
          </w:p>
        </w:tc>
        <w:tc>
          <w:tcPr>
            <w:tcW w:w="281" w:type="pct"/>
            <w:tcBorders>
              <w:top w:val="nil"/>
              <w:left w:val="nil"/>
              <w:bottom w:val="single" w:sz="4" w:space="0" w:color="auto"/>
              <w:right w:val="single" w:sz="4" w:space="0" w:color="auto"/>
            </w:tcBorders>
            <w:shd w:val="clear" w:color="auto" w:fill="auto"/>
            <w:vAlign w:val="center"/>
            <w:hideMark/>
          </w:tcPr>
          <w:p w14:paraId="6F7783D9" w14:textId="4CEA8F2A"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 xml:space="preserve">4.1.1.3 Amendimi i </w:t>
            </w:r>
            <w:r w:rsidR="00AF12C0" w:rsidRPr="00B457F5">
              <w:rPr>
                <w:rFonts w:ascii="Garamond" w:eastAsia="Times New Roman" w:hAnsi="Garamond" w:cs="Times New Roman"/>
                <w:sz w:val="4"/>
                <w:szCs w:val="10"/>
              </w:rPr>
              <w:t xml:space="preserve">ligjit për azilin </w:t>
            </w:r>
            <w:r w:rsidRPr="00B457F5">
              <w:rPr>
                <w:rFonts w:ascii="Garamond" w:eastAsia="Times New Roman" w:hAnsi="Garamond" w:cs="Times New Roman"/>
                <w:sz w:val="4"/>
                <w:szCs w:val="10"/>
              </w:rPr>
              <w:t xml:space="preserve">dhe përafrimi i tij me sistemin e përbashkët evropian </w:t>
            </w:r>
            <w:r w:rsidR="00AF12C0" w:rsidRPr="00B457F5">
              <w:rPr>
                <w:rFonts w:ascii="Garamond" w:eastAsia="Times New Roman" w:hAnsi="Garamond" w:cs="Times New Roman"/>
                <w:sz w:val="4"/>
                <w:szCs w:val="10"/>
              </w:rPr>
              <w:t>për</w:t>
            </w:r>
            <w:r w:rsidRPr="00B457F5">
              <w:rPr>
                <w:rFonts w:ascii="Garamond" w:eastAsia="Times New Roman" w:hAnsi="Garamond" w:cs="Times New Roman"/>
                <w:sz w:val="4"/>
                <w:szCs w:val="10"/>
              </w:rPr>
              <w:t xml:space="preserve"> azili</w:t>
            </w:r>
            <w:r w:rsidR="00AF12C0" w:rsidRPr="00B457F5">
              <w:rPr>
                <w:rFonts w:ascii="Garamond" w:eastAsia="Times New Roman" w:hAnsi="Garamond" w:cs="Times New Roman"/>
                <w:sz w:val="4"/>
                <w:szCs w:val="10"/>
              </w:rPr>
              <w:t>n</w:t>
            </w:r>
            <w:r w:rsidRPr="00B457F5">
              <w:rPr>
                <w:rFonts w:ascii="Garamond" w:eastAsia="Times New Roman" w:hAnsi="Garamond" w:cs="Times New Roman"/>
                <w:sz w:val="4"/>
                <w:szCs w:val="10"/>
              </w:rPr>
              <w:t xml:space="preserve"> dhe standardet e BE-së</w:t>
            </w:r>
          </w:p>
        </w:tc>
        <w:tc>
          <w:tcPr>
            <w:tcW w:w="186" w:type="pct"/>
            <w:tcBorders>
              <w:top w:val="nil"/>
              <w:left w:val="nil"/>
              <w:bottom w:val="single" w:sz="4" w:space="0" w:color="auto"/>
              <w:right w:val="single" w:sz="4" w:space="0" w:color="auto"/>
            </w:tcBorders>
            <w:shd w:val="clear" w:color="auto" w:fill="auto"/>
            <w:vAlign w:val="center"/>
            <w:hideMark/>
          </w:tcPr>
          <w:p w14:paraId="570A0D33"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37A930A0"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70BB2E75" w14:textId="12BC21FD"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MSHMS, MEKI, MEPJ</w:t>
            </w:r>
            <w:r w:rsidR="0006016F" w:rsidRPr="00B457F5">
              <w:rPr>
                <w:rFonts w:ascii="Garamond" w:eastAsia="Times New Roman" w:hAnsi="Garamond" w:cs="Times New Roman"/>
                <w:sz w:val="4"/>
                <w:szCs w:val="10"/>
              </w:rPr>
              <w:t xml:space="preserve"> </w:t>
            </w:r>
            <w:r w:rsidRPr="00B457F5">
              <w:rPr>
                <w:rFonts w:ascii="Garamond" w:eastAsia="Times New Roman" w:hAnsi="Garamond" w:cs="Times New Roman"/>
                <w:sz w:val="4"/>
                <w:szCs w:val="10"/>
              </w:rPr>
              <w:t>EUAA,UNHCR</w:t>
            </w:r>
          </w:p>
        </w:tc>
        <w:tc>
          <w:tcPr>
            <w:tcW w:w="135" w:type="pct"/>
            <w:tcBorders>
              <w:top w:val="nil"/>
              <w:left w:val="nil"/>
              <w:bottom w:val="single" w:sz="4" w:space="0" w:color="auto"/>
              <w:right w:val="single" w:sz="4" w:space="0" w:color="auto"/>
            </w:tcBorders>
            <w:shd w:val="clear" w:color="000000" w:fill="DDEBF7"/>
            <w:vAlign w:val="center"/>
            <w:hideMark/>
          </w:tcPr>
          <w:p w14:paraId="57F23185"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01628E44" w14:textId="77777777" w:rsidR="00C260C3" w:rsidRPr="00B457F5" w:rsidRDefault="00C260C3" w:rsidP="00C260C3">
            <w:pPr>
              <w:spacing w:before="0" w:after="0"/>
              <w:jc w:val="center"/>
              <w:rPr>
                <w:rFonts w:ascii="Garamond" w:eastAsia="Times New Roman" w:hAnsi="Garamond" w:cs="Times New Roman"/>
                <w:color w:val="00B050"/>
                <w:sz w:val="4"/>
                <w:szCs w:val="10"/>
              </w:rPr>
            </w:pPr>
            <w:r w:rsidRPr="00B457F5">
              <w:rPr>
                <w:rFonts w:ascii="Garamond" w:eastAsia="Times New Roman" w:hAnsi="Garamond" w:cs="Times New Roman"/>
                <w:color w:val="00B05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3CF87D1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2,069,441</w:t>
            </w:r>
          </w:p>
        </w:tc>
        <w:tc>
          <w:tcPr>
            <w:tcW w:w="155" w:type="pct"/>
            <w:tcBorders>
              <w:top w:val="nil"/>
              <w:left w:val="nil"/>
              <w:bottom w:val="single" w:sz="4" w:space="0" w:color="auto"/>
              <w:right w:val="single" w:sz="4" w:space="0" w:color="auto"/>
            </w:tcBorders>
            <w:shd w:val="clear" w:color="auto" w:fill="auto"/>
            <w:vAlign w:val="center"/>
            <w:hideMark/>
          </w:tcPr>
          <w:p w14:paraId="23E4235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noWrap/>
            <w:vAlign w:val="center"/>
            <w:hideMark/>
          </w:tcPr>
          <w:p w14:paraId="022C9E3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2,069,441</w:t>
            </w:r>
          </w:p>
        </w:tc>
        <w:tc>
          <w:tcPr>
            <w:tcW w:w="165" w:type="pct"/>
            <w:tcBorders>
              <w:top w:val="nil"/>
              <w:left w:val="nil"/>
              <w:bottom w:val="single" w:sz="4" w:space="0" w:color="auto"/>
              <w:right w:val="single" w:sz="4" w:space="0" w:color="auto"/>
            </w:tcBorders>
            <w:shd w:val="clear" w:color="auto" w:fill="auto"/>
            <w:vAlign w:val="center"/>
            <w:hideMark/>
          </w:tcPr>
          <w:p w14:paraId="04BD92A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2,069,441</w:t>
            </w:r>
          </w:p>
        </w:tc>
        <w:tc>
          <w:tcPr>
            <w:tcW w:w="163" w:type="pct"/>
            <w:tcBorders>
              <w:top w:val="nil"/>
              <w:left w:val="nil"/>
              <w:bottom w:val="single" w:sz="4" w:space="0" w:color="auto"/>
              <w:right w:val="single" w:sz="4" w:space="0" w:color="auto"/>
            </w:tcBorders>
            <w:shd w:val="clear" w:color="auto" w:fill="auto"/>
            <w:vAlign w:val="center"/>
            <w:hideMark/>
          </w:tcPr>
          <w:p w14:paraId="77AEA8E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029310F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2,069,441</w:t>
            </w:r>
          </w:p>
        </w:tc>
        <w:tc>
          <w:tcPr>
            <w:tcW w:w="163" w:type="pct"/>
            <w:tcBorders>
              <w:top w:val="nil"/>
              <w:left w:val="nil"/>
              <w:bottom w:val="single" w:sz="4" w:space="0" w:color="auto"/>
              <w:right w:val="single" w:sz="4" w:space="0" w:color="auto"/>
            </w:tcBorders>
            <w:shd w:val="clear" w:color="auto" w:fill="auto"/>
            <w:vAlign w:val="center"/>
            <w:hideMark/>
          </w:tcPr>
          <w:p w14:paraId="5EFE709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8" w:type="pct"/>
            <w:tcBorders>
              <w:top w:val="nil"/>
              <w:left w:val="nil"/>
              <w:bottom w:val="single" w:sz="4" w:space="0" w:color="auto"/>
              <w:right w:val="single" w:sz="4" w:space="0" w:color="auto"/>
            </w:tcBorders>
            <w:shd w:val="clear" w:color="auto" w:fill="auto"/>
            <w:vAlign w:val="center"/>
            <w:hideMark/>
          </w:tcPr>
          <w:p w14:paraId="6231B4F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27F9028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auto" w:fill="auto"/>
            <w:noWrap/>
            <w:vAlign w:val="center"/>
            <w:hideMark/>
          </w:tcPr>
          <w:p w14:paraId="16E222B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4,138,882</w:t>
            </w:r>
          </w:p>
        </w:tc>
        <w:tc>
          <w:tcPr>
            <w:tcW w:w="163" w:type="pct"/>
            <w:tcBorders>
              <w:top w:val="nil"/>
              <w:left w:val="nil"/>
              <w:bottom w:val="single" w:sz="4" w:space="0" w:color="auto"/>
              <w:right w:val="single" w:sz="4" w:space="0" w:color="auto"/>
            </w:tcBorders>
            <w:shd w:val="clear" w:color="auto" w:fill="auto"/>
            <w:noWrap/>
            <w:vAlign w:val="center"/>
            <w:hideMark/>
          </w:tcPr>
          <w:p w14:paraId="7C59EEF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21314D9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4,138,882</w:t>
            </w:r>
          </w:p>
        </w:tc>
        <w:tc>
          <w:tcPr>
            <w:tcW w:w="163" w:type="pct"/>
            <w:tcBorders>
              <w:top w:val="nil"/>
              <w:left w:val="nil"/>
              <w:bottom w:val="single" w:sz="4" w:space="0" w:color="auto"/>
              <w:right w:val="single" w:sz="4" w:space="0" w:color="auto"/>
            </w:tcBorders>
            <w:shd w:val="clear" w:color="auto" w:fill="auto"/>
            <w:vAlign w:val="center"/>
            <w:hideMark/>
          </w:tcPr>
          <w:p w14:paraId="7B79E42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1,978,882</w:t>
            </w:r>
          </w:p>
        </w:tc>
        <w:tc>
          <w:tcPr>
            <w:tcW w:w="155" w:type="pct"/>
            <w:tcBorders>
              <w:top w:val="nil"/>
              <w:left w:val="nil"/>
              <w:bottom w:val="single" w:sz="4" w:space="0" w:color="auto"/>
              <w:right w:val="single" w:sz="4" w:space="0" w:color="auto"/>
            </w:tcBorders>
            <w:shd w:val="clear" w:color="auto" w:fill="auto"/>
            <w:vAlign w:val="center"/>
            <w:hideMark/>
          </w:tcPr>
          <w:p w14:paraId="0E31BD2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531474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1,978,882</w:t>
            </w:r>
          </w:p>
        </w:tc>
        <w:tc>
          <w:tcPr>
            <w:tcW w:w="162" w:type="pct"/>
            <w:tcBorders>
              <w:top w:val="nil"/>
              <w:left w:val="nil"/>
              <w:bottom w:val="single" w:sz="4" w:space="0" w:color="auto"/>
              <w:right w:val="single" w:sz="4" w:space="0" w:color="auto"/>
            </w:tcBorders>
            <w:shd w:val="clear" w:color="auto" w:fill="auto"/>
            <w:vAlign w:val="center"/>
            <w:hideMark/>
          </w:tcPr>
          <w:p w14:paraId="6E88095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2,160,000</w:t>
            </w:r>
          </w:p>
        </w:tc>
        <w:tc>
          <w:tcPr>
            <w:tcW w:w="155" w:type="pct"/>
            <w:tcBorders>
              <w:top w:val="nil"/>
              <w:left w:val="nil"/>
              <w:bottom w:val="single" w:sz="4" w:space="0" w:color="auto"/>
              <w:right w:val="single" w:sz="4" w:space="0" w:color="auto"/>
            </w:tcBorders>
            <w:shd w:val="clear" w:color="auto" w:fill="auto"/>
            <w:vAlign w:val="center"/>
            <w:hideMark/>
          </w:tcPr>
          <w:p w14:paraId="73DA4DC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18E7A88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EUAA, UNHCR</w:t>
            </w:r>
          </w:p>
        </w:tc>
        <w:tc>
          <w:tcPr>
            <w:tcW w:w="163" w:type="pct"/>
            <w:tcBorders>
              <w:top w:val="nil"/>
              <w:left w:val="nil"/>
              <w:bottom w:val="single" w:sz="4" w:space="0" w:color="auto"/>
              <w:right w:val="single" w:sz="4" w:space="0" w:color="auto"/>
            </w:tcBorders>
            <w:shd w:val="clear" w:color="000000" w:fill="FFF2CC"/>
            <w:vAlign w:val="center"/>
            <w:hideMark/>
          </w:tcPr>
          <w:p w14:paraId="0A395B6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2,160,000</w:t>
            </w:r>
          </w:p>
        </w:tc>
        <w:tc>
          <w:tcPr>
            <w:tcW w:w="139" w:type="pct"/>
            <w:tcBorders>
              <w:top w:val="nil"/>
              <w:left w:val="nil"/>
              <w:bottom w:val="single" w:sz="4" w:space="0" w:color="auto"/>
              <w:right w:val="single" w:sz="4" w:space="0" w:color="auto"/>
            </w:tcBorders>
            <w:shd w:val="clear" w:color="auto" w:fill="auto"/>
            <w:vAlign w:val="center"/>
            <w:hideMark/>
          </w:tcPr>
          <w:p w14:paraId="55732FE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3F020D2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4CBEA51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48D172F3" w14:textId="6E81AE72"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6D8DBC6E"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25E27B23"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4.1.1.4</w:t>
            </w:r>
          </w:p>
        </w:tc>
        <w:tc>
          <w:tcPr>
            <w:tcW w:w="281" w:type="pct"/>
            <w:tcBorders>
              <w:top w:val="nil"/>
              <w:left w:val="nil"/>
              <w:bottom w:val="single" w:sz="4" w:space="0" w:color="auto"/>
              <w:right w:val="single" w:sz="4" w:space="0" w:color="auto"/>
            </w:tcBorders>
            <w:shd w:val="clear" w:color="auto" w:fill="auto"/>
            <w:vAlign w:val="center"/>
            <w:hideMark/>
          </w:tcPr>
          <w:p w14:paraId="7C9AA3CF" w14:textId="08C1CE73"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 xml:space="preserve">4.1.1.4 Rishikimi i akteve nënligjore dhe draftimi i procedurave </w:t>
            </w:r>
            <w:r w:rsidR="00E92B0D" w:rsidRPr="00B457F5">
              <w:rPr>
                <w:rFonts w:ascii="Garamond" w:eastAsia="Times New Roman" w:hAnsi="Garamond" w:cs="Times New Roman"/>
                <w:sz w:val="4"/>
                <w:szCs w:val="10"/>
              </w:rPr>
              <w:t>standarde</w:t>
            </w:r>
            <w:r w:rsidRPr="00B457F5">
              <w:rPr>
                <w:rFonts w:ascii="Garamond" w:eastAsia="Times New Roman" w:hAnsi="Garamond" w:cs="Times New Roman"/>
                <w:sz w:val="4"/>
                <w:szCs w:val="10"/>
              </w:rPr>
              <w:t xml:space="preserve"> në zbatim të </w:t>
            </w:r>
            <w:r w:rsidR="00AF12C0" w:rsidRPr="00B457F5">
              <w:rPr>
                <w:rFonts w:ascii="Garamond" w:eastAsia="Times New Roman" w:hAnsi="Garamond" w:cs="Times New Roman"/>
                <w:sz w:val="4"/>
                <w:szCs w:val="10"/>
              </w:rPr>
              <w:t>ligjit për azilin</w:t>
            </w:r>
          </w:p>
        </w:tc>
        <w:tc>
          <w:tcPr>
            <w:tcW w:w="186" w:type="pct"/>
            <w:tcBorders>
              <w:top w:val="nil"/>
              <w:left w:val="nil"/>
              <w:bottom w:val="single" w:sz="4" w:space="0" w:color="auto"/>
              <w:right w:val="single" w:sz="4" w:space="0" w:color="auto"/>
            </w:tcBorders>
            <w:shd w:val="clear" w:color="auto" w:fill="auto"/>
            <w:vAlign w:val="center"/>
            <w:hideMark/>
          </w:tcPr>
          <w:p w14:paraId="538B41F2"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206DC39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2DF5808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MSHMS, MEKI, MEPJ, EUAA, UNHCR</w:t>
            </w:r>
          </w:p>
        </w:tc>
        <w:tc>
          <w:tcPr>
            <w:tcW w:w="135" w:type="pct"/>
            <w:tcBorders>
              <w:top w:val="nil"/>
              <w:left w:val="nil"/>
              <w:bottom w:val="single" w:sz="4" w:space="0" w:color="auto"/>
              <w:right w:val="single" w:sz="4" w:space="0" w:color="auto"/>
            </w:tcBorders>
            <w:shd w:val="clear" w:color="000000" w:fill="DDEBF7"/>
            <w:vAlign w:val="center"/>
            <w:hideMark/>
          </w:tcPr>
          <w:p w14:paraId="3E507A82"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2025</w:t>
            </w:r>
          </w:p>
        </w:tc>
        <w:tc>
          <w:tcPr>
            <w:tcW w:w="152" w:type="pct"/>
            <w:tcBorders>
              <w:top w:val="nil"/>
              <w:left w:val="nil"/>
              <w:bottom w:val="single" w:sz="4" w:space="0" w:color="auto"/>
              <w:right w:val="single" w:sz="4" w:space="0" w:color="auto"/>
            </w:tcBorders>
            <w:shd w:val="clear" w:color="000000" w:fill="DDEBF7"/>
            <w:vAlign w:val="center"/>
            <w:hideMark/>
          </w:tcPr>
          <w:p w14:paraId="3078A14C"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1ED0B2C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47686CA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noWrap/>
            <w:vAlign w:val="center"/>
            <w:hideMark/>
          </w:tcPr>
          <w:p w14:paraId="0C1CA75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auto" w:fill="auto"/>
            <w:vAlign w:val="center"/>
            <w:hideMark/>
          </w:tcPr>
          <w:p w14:paraId="424BC32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1,289,441</w:t>
            </w:r>
          </w:p>
        </w:tc>
        <w:tc>
          <w:tcPr>
            <w:tcW w:w="163" w:type="pct"/>
            <w:tcBorders>
              <w:top w:val="nil"/>
              <w:left w:val="nil"/>
              <w:bottom w:val="single" w:sz="4" w:space="0" w:color="auto"/>
              <w:right w:val="single" w:sz="4" w:space="0" w:color="auto"/>
            </w:tcBorders>
            <w:shd w:val="clear" w:color="auto" w:fill="auto"/>
            <w:vAlign w:val="center"/>
            <w:hideMark/>
          </w:tcPr>
          <w:p w14:paraId="6F8AFBF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41F05D0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1,289,441</w:t>
            </w:r>
          </w:p>
        </w:tc>
        <w:tc>
          <w:tcPr>
            <w:tcW w:w="163" w:type="pct"/>
            <w:tcBorders>
              <w:top w:val="nil"/>
              <w:left w:val="nil"/>
              <w:bottom w:val="single" w:sz="4" w:space="0" w:color="auto"/>
              <w:right w:val="single" w:sz="4" w:space="0" w:color="auto"/>
            </w:tcBorders>
            <w:shd w:val="clear" w:color="auto" w:fill="auto"/>
            <w:vAlign w:val="center"/>
            <w:hideMark/>
          </w:tcPr>
          <w:p w14:paraId="3D2D1DB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1,289,441</w:t>
            </w:r>
          </w:p>
        </w:tc>
        <w:tc>
          <w:tcPr>
            <w:tcW w:w="148" w:type="pct"/>
            <w:tcBorders>
              <w:top w:val="nil"/>
              <w:left w:val="nil"/>
              <w:bottom w:val="single" w:sz="4" w:space="0" w:color="auto"/>
              <w:right w:val="single" w:sz="4" w:space="0" w:color="auto"/>
            </w:tcBorders>
            <w:shd w:val="clear" w:color="auto" w:fill="auto"/>
            <w:vAlign w:val="center"/>
            <w:hideMark/>
          </w:tcPr>
          <w:p w14:paraId="06DA0FB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76987F5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1,289,441</w:t>
            </w:r>
          </w:p>
        </w:tc>
        <w:tc>
          <w:tcPr>
            <w:tcW w:w="165" w:type="pct"/>
            <w:tcBorders>
              <w:top w:val="nil"/>
              <w:left w:val="nil"/>
              <w:bottom w:val="single" w:sz="4" w:space="0" w:color="auto"/>
              <w:right w:val="single" w:sz="4" w:space="0" w:color="auto"/>
            </w:tcBorders>
            <w:shd w:val="clear" w:color="auto" w:fill="auto"/>
            <w:noWrap/>
            <w:vAlign w:val="center"/>
            <w:hideMark/>
          </w:tcPr>
          <w:p w14:paraId="535B2E5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2,578,882</w:t>
            </w:r>
          </w:p>
        </w:tc>
        <w:tc>
          <w:tcPr>
            <w:tcW w:w="163" w:type="pct"/>
            <w:tcBorders>
              <w:top w:val="nil"/>
              <w:left w:val="nil"/>
              <w:bottom w:val="single" w:sz="4" w:space="0" w:color="auto"/>
              <w:right w:val="single" w:sz="4" w:space="0" w:color="auto"/>
            </w:tcBorders>
            <w:shd w:val="clear" w:color="auto" w:fill="auto"/>
            <w:noWrap/>
            <w:vAlign w:val="center"/>
            <w:hideMark/>
          </w:tcPr>
          <w:p w14:paraId="6C0D766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5B83389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2,578,882</w:t>
            </w:r>
          </w:p>
        </w:tc>
        <w:tc>
          <w:tcPr>
            <w:tcW w:w="163" w:type="pct"/>
            <w:tcBorders>
              <w:top w:val="nil"/>
              <w:left w:val="nil"/>
              <w:bottom w:val="single" w:sz="4" w:space="0" w:color="auto"/>
              <w:right w:val="single" w:sz="4" w:space="0" w:color="auto"/>
            </w:tcBorders>
            <w:shd w:val="clear" w:color="auto" w:fill="auto"/>
            <w:vAlign w:val="center"/>
            <w:hideMark/>
          </w:tcPr>
          <w:p w14:paraId="541F9CB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1,978,882</w:t>
            </w:r>
          </w:p>
        </w:tc>
        <w:tc>
          <w:tcPr>
            <w:tcW w:w="155" w:type="pct"/>
            <w:tcBorders>
              <w:top w:val="nil"/>
              <w:left w:val="nil"/>
              <w:bottom w:val="single" w:sz="4" w:space="0" w:color="auto"/>
              <w:right w:val="single" w:sz="4" w:space="0" w:color="auto"/>
            </w:tcBorders>
            <w:shd w:val="clear" w:color="auto" w:fill="auto"/>
            <w:vAlign w:val="center"/>
            <w:hideMark/>
          </w:tcPr>
          <w:p w14:paraId="5BCB6BA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5EE8DD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1,978,882</w:t>
            </w:r>
          </w:p>
        </w:tc>
        <w:tc>
          <w:tcPr>
            <w:tcW w:w="162" w:type="pct"/>
            <w:tcBorders>
              <w:top w:val="nil"/>
              <w:left w:val="nil"/>
              <w:bottom w:val="single" w:sz="4" w:space="0" w:color="auto"/>
              <w:right w:val="single" w:sz="4" w:space="0" w:color="auto"/>
            </w:tcBorders>
            <w:shd w:val="clear" w:color="auto" w:fill="auto"/>
            <w:vAlign w:val="center"/>
            <w:hideMark/>
          </w:tcPr>
          <w:p w14:paraId="4BC50BB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600,000</w:t>
            </w:r>
          </w:p>
        </w:tc>
        <w:tc>
          <w:tcPr>
            <w:tcW w:w="155" w:type="pct"/>
            <w:tcBorders>
              <w:top w:val="nil"/>
              <w:left w:val="nil"/>
              <w:bottom w:val="single" w:sz="4" w:space="0" w:color="auto"/>
              <w:right w:val="single" w:sz="4" w:space="0" w:color="auto"/>
            </w:tcBorders>
            <w:shd w:val="clear" w:color="auto" w:fill="auto"/>
            <w:vAlign w:val="center"/>
            <w:hideMark/>
          </w:tcPr>
          <w:p w14:paraId="61600AD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3C8C578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EUAA, UNHCR</w:t>
            </w:r>
          </w:p>
        </w:tc>
        <w:tc>
          <w:tcPr>
            <w:tcW w:w="163" w:type="pct"/>
            <w:tcBorders>
              <w:top w:val="nil"/>
              <w:left w:val="nil"/>
              <w:bottom w:val="single" w:sz="4" w:space="0" w:color="auto"/>
              <w:right w:val="single" w:sz="4" w:space="0" w:color="auto"/>
            </w:tcBorders>
            <w:shd w:val="clear" w:color="000000" w:fill="FFF2CC"/>
            <w:vAlign w:val="center"/>
            <w:hideMark/>
          </w:tcPr>
          <w:p w14:paraId="6F07DC0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600,000</w:t>
            </w:r>
          </w:p>
        </w:tc>
        <w:tc>
          <w:tcPr>
            <w:tcW w:w="139" w:type="pct"/>
            <w:tcBorders>
              <w:top w:val="nil"/>
              <w:left w:val="nil"/>
              <w:bottom w:val="single" w:sz="4" w:space="0" w:color="auto"/>
              <w:right w:val="single" w:sz="4" w:space="0" w:color="auto"/>
            </w:tcBorders>
            <w:shd w:val="clear" w:color="auto" w:fill="auto"/>
            <w:vAlign w:val="center"/>
            <w:hideMark/>
          </w:tcPr>
          <w:p w14:paraId="1B917CB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3769855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662C474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4BB80467" w14:textId="000E396A"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45651DD6"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7182C011"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4.1.1.5</w:t>
            </w:r>
          </w:p>
        </w:tc>
        <w:tc>
          <w:tcPr>
            <w:tcW w:w="281" w:type="pct"/>
            <w:tcBorders>
              <w:top w:val="nil"/>
              <w:left w:val="nil"/>
              <w:bottom w:val="single" w:sz="4" w:space="0" w:color="auto"/>
              <w:right w:val="single" w:sz="4" w:space="0" w:color="auto"/>
            </w:tcBorders>
            <w:shd w:val="clear" w:color="auto" w:fill="auto"/>
            <w:vAlign w:val="center"/>
            <w:hideMark/>
          </w:tcPr>
          <w:p w14:paraId="400F52F9" w14:textId="7DD62043"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4.1.1.5 Hartimi, rishikimi, testimi dhe miratimi i Planit të Kontigjencës për t</w:t>
            </w:r>
            <w:r w:rsidR="00E92B0D" w:rsidRPr="00B457F5">
              <w:rPr>
                <w:rFonts w:ascii="Garamond" w:eastAsia="Times New Roman" w:hAnsi="Garamond" w:cs="Times New Roman"/>
                <w:sz w:val="4"/>
                <w:szCs w:val="10"/>
              </w:rPr>
              <w:t>’</w:t>
            </w:r>
            <w:r w:rsidRPr="00B457F5">
              <w:rPr>
                <w:rFonts w:ascii="Garamond" w:eastAsia="Times New Roman" w:hAnsi="Garamond" w:cs="Times New Roman"/>
                <w:sz w:val="4"/>
                <w:szCs w:val="10"/>
              </w:rPr>
              <w:t xml:space="preserve">ju përgjigjur flukseve të përziera migratore sipas </w:t>
            </w:r>
            <w:r w:rsidR="00AF12C0" w:rsidRPr="00B457F5">
              <w:rPr>
                <w:rFonts w:ascii="Garamond" w:eastAsia="Times New Roman" w:hAnsi="Garamond" w:cs="Times New Roman"/>
                <w:sz w:val="4"/>
                <w:szCs w:val="10"/>
              </w:rPr>
              <w:t>metodologjisë</w:t>
            </w:r>
            <w:r w:rsidRPr="00B457F5">
              <w:rPr>
                <w:rFonts w:ascii="Garamond" w:eastAsia="Times New Roman" w:hAnsi="Garamond" w:cs="Times New Roman"/>
                <w:sz w:val="4"/>
                <w:szCs w:val="10"/>
              </w:rPr>
              <w:t xml:space="preserve"> s</w:t>
            </w:r>
            <w:r w:rsidR="00AF12C0" w:rsidRPr="00B457F5">
              <w:rPr>
                <w:rFonts w:ascii="Garamond" w:eastAsia="Times New Roman" w:hAnsi="Garamond" w:cs="Times New Roman"/>
                <w:sz w:val="4"/>
                <w:szCs w:val="10"/>
              </w:rPr>
              <w:t>ë</w:t>
            </w:r>
            <w:r w:rsidRPr="00B457F5">
              <w:rPr>
                <w:rFonts w:ascii="Garamond" w:eastAsia="Times New Roman" w:hAnsi="Garamond" w:cs="Times New Roman"/>
                <w:sz w:val="4"/>
                <w:szCs w:val="10"/>
              </w:rPr>
              <w:t xml:space="preserve"> Bashkimit Evropian</w:t>
            </w:r>
          </w:p>
        </w:tc>
        <w:tc>
          <w:tcPr>
            <w:tcW w:w="186" w:type="pct"/>
            <w:tcBorders>
              <w:top w:val="nil"/>
              <w:left w:val="nil"/>
              <w:bottom w:val="single" w:sz="4" w:space="0" w:color="auto"/>
              <w:right w:val="single" w:sz="4" w:space="0" w:color="auto"/>
            </w:tcBorders>
            <w:shd w:val="clear" w:color="auto" w:fill="auto"/>
            <w:vAlign w:val="center"/>
            <w:hideMark/>
          </w:tcPr>
          <w:p w14:paraId="26EEEB9B"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36D1684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1A9A7D3B" w14:textId="1AA0AC0B"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Të gjitha </w:t>
            </w:r>
            <w:r w:rsidR="00E92B0D" w:rsidRPr="00B457F5">
              <w:rPr>
                <w:rFonts w:ascii="Garamond" w:eastAsia="Times New Roman" w:hAnsi="Garamond" w:cs="Times New Roman"/>
                <w:sz w:val="4"/>
                <w:szCs w:val="10"/>
              </w:rPr>
              <w:t>ministritë</w:t>
            </w:r>
            <w:r w:rsidRPr="00B457F5">
              <w:rPr>
                <w:rFonts w:ascii="Garamond" w:eastAsia="Times New Roman" w:hAnsi="Garamond" w:cs="Times New Roman"/>
                <w:sz w:val="4"/>
                <w:szCs w:val="10"/>
              </w:rPr>
              <w:t xml:space="preserve"> e linjës, EUAA,</w:t>
            </w:r>
            <w:r w:rsidR="00AF12C0" w:rsidRPr="00B457F5">
              <w:rPr>
                <w:rFonts w:ascii="Garamond" w:eastAsia="Times New Roman" w:hAnsi="Garamond" w:cs="Times New Roman"/>
                <w:sz w:val="4"/>
                <w:szCs w:val="10"/>
              </w:rPr>
              <w:t xml:space="preserve"> </w:t>
            </w:r>
            <w:r w:rsidRPr="00B457F5">
              <w:rPr>
                <w:rFonts w:ascii="Garamond" w:eastAsia="Times New Roman" w:hAnsi="Garamond" w:cs="Times New Roman"/>
                <w:sz w:val="4"/>
                <w:szCs w:val="10"/>
              </w:rPr>
              <w:t>UNHCR, IOM</w:t>
            </w:r>
          </w:p>
        </w:tc>
        <w:tc>
          <w:tcPr>
            <w:tcW w:w="135" w:type="pct"/>
            <w:tcBorders>
              <w:top w:val="nil"/>
              <w:left w:val="nil"/>
              <w:bottom w:val="single" w:sz="4" w:space="0" w:color="auto"/>
              <w:right w:val="single" w:sz="4" w:space="0" w:color="auto"/>
            </w:tcBorders>
            <w:shd w:val="clear" w:color="000000" w:fill="DDEBF7"/>
            <w:vAlign w:val="center"/>
            <w:hideMark/>
          </w:tcPr>
          <w:p w14:paraId="33C3099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5C52BDF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6D4D9E3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695,776</w:t>
            </w:r>
          </w:p>
        </w:tc>
        <w:tc>
          <w:tcPr>
            <w:tcW w:w="155" w:type="pct"/>
            <w:tcBorders>
              <w:top w:val="nil"/>
              <w:left w:val="nil"/>
              <w:bottom w:val="single" w:sz="4" w:space="0" w:color="auto"/>
              <w:right w:val="single" w:sz="4" w:space="0" w:color="auto"/>
            </w:tcBorders>
            <w:shd w:val="clear" w:color="auto" w:fill="auto"/>
            <w:vAlign w:val="center"/>
            <w:hideMark/>
          </w:tcPr>
          <w:p w14:paraId="55BB91C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noWrap/>
            <w:vAlign w:val="center"/>
            <w:hideMark/>
          </w:tcPr>
          <w:p w14:paraId="17D350A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695,776</w:t>
            </w:r>
          </w:p>
        </w:tc>
        <w:tc>
          <w:tcPr>
            <w:tcW w:w="165" w:type="pct"/>
            <w:tcBorders>
              <w:top w:val="nil"/>
              <w:left w:val="nil"/>
              <w:bottom w:val="single" w:sz="4" w:space="0" w:color="auto"/>
              <w:right w:val="single" w:sz="4" w:space="0" w:color="auto"/>
            </w:tcBorders>
            <w:shd w:val="clear" w:color="auto" w:fill="auto"/>
            <w:vAlign w:val="center"/>
            <w:hideMark/>
          </w:tcPr>
          <w:p w14:paraId="20C9478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64CA808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47B19D8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03F404E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8" w:type="pct"/>
            <w:tcBorders>
              <w:top w:val="nil"/>
              <w:left w:val="nil"/>
              <w:bottom w:val="single" w:sz="4" w:space="0" w:color="auto"/>
              <w:right w:val="single" w:sz="4" w:space="0" w:color="auto"/>
            </w:tcBorders>
            <w:shd w:val="clear" w:color="auto" w:fill="auto"/>
            <w:vAlign w:val="center"/>
            <w:hideMark/>
          </w:tcPr>
          <w:p w14:paraId="436CDDB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4283BB5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auto" w:fill="auto"/>
            <w:noWrap/>
            <w:vAlign w:val="center"/>
            <w:hideMark/>
          </w:tcPr>
          <w:p w14:paraId="52B688A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695,776</w:t>
            </w:r>
          </w:p>
        </w:tc>
        <w:tc>
          <w:tcPr>
            <w:tcW w:w="163" w:type="pct"/>
            <w:tcBorders>
              <w:top w:val="nil"/>
              <w:left w:val="nil"/>
              <w:bottom w:val="single" w:sz="4" w:space="0" w:color="auto"/>
              <w:right w:val="single" w:sz="4" w:space="0" w:color="auto"/>
            </w:tcBorders>
            <w:shd w:val="clear" w:color="auto" w:fill="auto"/>
            <w:noWrap/>
            <w:vAlign w:val="center"/>
            <w:hideMark/>
          </w:tcPr>
          <w:p w14:paraId="3FA4D07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30DE841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695,776</w:t>
            </w:r>
          </w:p>
        </w:tc>
        <w:tc>
          <w:tcPr>
            <w:tcW w:w="163" w:type="pct"/>
            <w:tcBorders>
              <w:top w:val="nil"/>
              <w:left w:val="nil"/>
              <w:bottom w:val="single" w:sz="4" w:space="0" w:color="auto"/>
              <w:right w:val="single" w:sz="4" w:space="0" w:color="auto"/>
            </w:tcBorders>
            <w:shd w:val="clear" w:color="auto" w:fill="auto"/>
            <w:vAlign w:val="center"/>
            <w:hideMark/>
          </w:tcPr>
          <w:p w14:paraId="637DD01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395,776</w:t>
            </w:r>
          </w:p>
        </w:tc>
        <w:tc>
          <w:tcPr>
            <w:tcW w:w="155" w:type="pct"/>
            <w:tcBorders>
              <w:top w:val="nil"/>
              <w:left w:val="nil"/>
              <w:bottom w:val="single" w:sz="4" w:space="0" w:color="auto"/>
              <w:right w:val="single" w:sz="4" w:space="0" w:color="auto"/>
            </w:tcBorders>
            <w:shd w:val="clear" w:color="auto" w:fill="auto"/>
            <w:vAlign w:val="center"/>
            <w:hideMark/>
          </w:tcPr>
          <w:p w14:paraId="6CA5514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1D2D11B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395,776</w:t>
            </w:r>
          </w:p>
        </w:tc>
        <w:tc>
          <w:tcPr>
            <w:tcW w:w="162" w:type="pct"/>
            <w:tcBorders>
              <w:top w:val="nil"/>
              <w:left w:val="nil"/>
              <w:bottom w:val="single" w:sz="4" w:space="0" w:color="auto"/>
              <w:right w:val="single" w:sz="4" w:space="0" w:color="auto"/>
            </w:tcBorders>
            <w:shd w:val="clear" w:color="auto" w:fill="auto"/>
            <w:vAlign w:val="center"/>
            <w:hideMark/>
          </w:tcPr>
          <w:p w14:paraId="650CDD5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300,000</w:t>
            </w:r>
          </w:p>
        </w:tc>
        <w:tc>
          <w:tcPr>
            <w:tcW w:w="155" w:type="pct"/>
            <w:tcBorders>
              <w:top w:val="nil"/>
              <w:left w:val="nil"/>
              <w:bottom w:val="single" w:sz="4" w:space="0" w:color="auto"/>
              <w:right w:val="single" w:sz="4" w:space="0" w:color="auto"/>
            </w:tcBorders>
            <w:shd w:val="clear" w:color="auto" w:fill="auto"/>
            <w:vAlign w:val="center"/>
            <w:hideMark/>
          </w:tcPr>
          <w:p w14:paraId="3993255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5D0D892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EUAA, UNHCR</w:t>
            </w:r>
          </w:p>
        </w:tc>
        <w:tc>
          <w:tcPr>
            <w:tcW w:w="163" w:type="pct"/>
            <w:tcBorders>
              <w:top w:val="nil"/>
              <w:left w:val="nil"/>
              <w:bottom w:val="single" w:sz="4" w:space="0" w:color="auto"/>
              <w:right w:val="single" w:sz="4" w:space="0" w:color="auto"/>
            </w:tcBorders>
            <w:shd w:val="clear" w:color="000000" w:fill="FFF2CC"/>
            <w:vAlign w:val="center"/>
            <w:hideMark/>
          </w:tcPr>
          <w:p w14:paraId="6B53564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300,000</w:t>
            </w:r>
          </w:p>
        </w:tc>
        <w:tc>
          <w:tcPr>
            <w:tcW w:w="139" w:type="pct"/>
            <w:tcBorders>
              <w:top w:val="nil"/>
              <w:left w:val="nil"/>
              <w:bottom w:val="single" w:sz="4" w:space="0" w:color="auto"/>
              <w:right w:val="single" w:sz="4" w:space="0" w:color="auto"/>
            </w:tcBorders>
            <w:shd w:val="clear" w:color="auto" w:fill="auto"/>
            <w:vAlign w:val="center"/>
            <w:hideMark/>
          </w:tcPr>
          <w:p w14:paraId="772131E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4F84B54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312C15F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0353EAD8" w14:textId="3CBD3D7F"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782AE2DD" w14:textId="77777777" w:rsidTr="00C260C3">
        <w:trPr>
          <w:trHeight w:val="20"/>
        </w:trPr>
        <w:tc>
          <w:tcPr>
            <w:tcW w:w="131" w:type="pct"/>
            <w:tcBorders>
              <w:top w:val="nil"/>
              <w:left w:val="single" w:sz="4" w:space="0" w:color="auto"/>
              <w:bottom w:val="single" w:sz="4" w:space="0" w:color="auto"/>
              <w:right w:val="single" w:sz="4" w:space="0" w:color="auto"/>
            </w:tcBorders>
            <w:shd w:val="clear" w:color="000000" w:fill="D9D9D9"/>
            <w:vAlign w:val="center"/>
            <w:hideMark/>
          </w:tcPr>
          <w:p w14:paraId="53366B84"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4.1.2</w:t>
            </w:r>
          </w:p>
        </w:tc>
        <w:tc>
          <w:tcPr>
            <w:tcW w:w="281" w:type="pct"/>
            <w:tcBorders>
              <w:top w:val="nil"/>
              <w:left w:val="nil"/>
              <w:bottom w:val="single" w:sz="4" w:space="0" w:color="auto"/>
              <w:right w:val="single" w:sz="4" w:space="0" w:color="auto"/>
            </w:tcBorders>
            <w:shd w:val="clear" w:color="000000" w:fill="D9D9D9"/>
            <w:vAlign w:val="center"/>
            <w:hideMark/>
          </w:tcPr>
          <w:p w14:paraId="69C79073" w14:textId="5797DCA3" w:rsidR="00C260C3" w:rsidRPr="00B457F5" w:rsidRDefault="00C260C3" w:rsidP="00C260C3">
            <w:pPr>
              <w:spacing w:before="0" w:after="0"/>
              <w:jc w:val="left"/>
              <w:rPr>
                <w:rFonts w:ascii="Garamond" w:eastAsia="Times New Roman" w:hAnsi="Garamond" w:cs="Times New Roman"/>
                <w:b/>
                <w:bCs/>
                <w:sz w:val="4"/>
                <w:szCs w:val="10"/>
              </w:rPr>
            </w:pPr>
            <w:r w:rsidRPr="00B457F5">
              <w:rPr>
                <w:rFonts w:ascii="Garamond" w:eastAsia="Times New Roman" w:hAnsi="Garamond" w:cs="Times New Roman"/>
                <w:b/>
                <w:bCs/>
                <w:sz w:val="4"/>
                <w:szCs w:val="10"/>
              </w:rPr>
              <w:t>4.1.2 Sigurimi i praktikave efi</w:t>
            </w:r>
            <w:r w:rsidR="00E92B0D" w:rsidRPr="00B457F5">
              <w:rPr>
                <w:rFonts w:ascii="Garamond" w:eastAsia="Times New Roman" w:hAnsi="Garamond" w:cs="Times New Roman"/>
                <w:b/>
                <w:bCs/>
                <w:sz w:val="4"/>
                <w:szCs w:val="10"/>
              </w:rPr>
              <w:t>ci</w:t>
            </w:r>
            <w:r w:rsidRPr="00B457F5">
              <w:rPr>
                <w:rFonts w:ascii="Garamond" w:eastAsia="Times New Roman" w:hAnsi="Garamond" w:cs="Times New Roman"/>
                <w:b/>
                <w:bCs/>
                <w:sz w:val="4"/>
                <w:szCs w:val="10"/>
              </w:rPr>
              <w:t xml:space="preserve">ente dhe </w:t>
            </w:r>
            <w:r w:rsidR="00E92B0D" w:rsidRPr="00B457F5">
              <w:rPr>
                <w:rFonts w:ascii="Garamond" w:eastAsia="Times New Roman" w:hAnsi="Garamond" w:cs="Times New Roman"/>
                <w:b/>
                <w:bCs/>
                <w:sz w:val="4"/>
                <w:szCs w:val="10"/>
              </w:rPr>
              <w:t>standarde</w:t>
            </w:r>
            <w:r w:rsidRPr="00B457F5">
              <w:rPr>
                <w:rFonts w:ascii="Garamond" w:eastAsia="Times New Roman" w:hAnsi="Garamond" w:cs="Times New Roman"/>
                <w:b/>
                <w:bCs/>
                <w:sz w:val="4"/>
                <w:szCs w:val="10"/>
              </w:rPr>
              <w:t xml:space="preserve"> për aksesin në azil dhe procedurat e ankimit</w:t>
            </w:r>
          </w:p>
        </w:tc>
        <w:tc>
          <w:tcPr>
            <w:tcW w:w="186" w:type="pct"/>
            <w:tcBorders>
              <w:top w:val="nil"/>
              <w:left w:val="nil"/>
              <w:bottom w:val="single" w:sz="4" w:space="0" w:color="auto"/>
              <w:right w:val="single" w:sz="4" w:space="0" w:color="auto"/>
            </w:tcBorders>
            <w:shd w:val="clear" w:color="000000" w:fill="D9D9D9"/>
            <w:vAlign w:val="center"/>
            <w:hideMark/>
          </w:tcPr>
          <w:p w14:paraId="27FD8264"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 01110 Planifikimi, Menaxhimi dhe Administrimi (14)</w:t>
            </w:r>
          </w:p>
        </w:tc>
        <w:tc>
          <w:tcPr>
            <w:tcW w:w="169" w:type="pct"/>
            <w:tcBorders>
              <w:top w:val="nil"/>
              <w:left w:val="nil"/>
              <w:bottom w:val="single" w:sz="4" w:space="0" w:color="auto"/>
              <w:right w:val="single" w:sz="4" w:space="0" w:color="auto"/>
            </w:tcBorders>
            <w:shd w:val="clear" w:color="000000" w:fill="D9D9D9"/>
            <w:vAlign w:val="center"/>
            <w:hideMark/>
          </w:tcPr>
          <w:p w14:paraId="437FFE6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 MD</w:t>
            </w:r>
          </w:p>
        </w:tc>
        <w:tc>
          <w:tcPr>
            <w:tcW w:w="244" w:type="pct"/>
            <w:tcBorders>
              <w:top w:val="nil"/>
              <w:left w:val="nil"/>
              <w:bottom w:val="single" w:sz="4" w:space="0" w:color="auto"/>
              <w:right w:val="single" w:sz="4" w:space="0" w:color="auto"/>
            </w:tcBorders>
            <w:shd w:val="clear" w:color="000000" w:fill="D9D9D9"/>
            <w:vAlign w:val="center"/>
            <w:hideMark/>
          </w:tcPr>
          <w:p w14:paraId="204FD1F2" w14:textId="77F84B1A"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EUAA,</w:t>
            </w:r>
            <w:r w:rsidR="00E92B0D" w:rsidRPr="00B457F5">
              <w:rPr>
                <w:rFonts w:ascii="Garamond" w:eastAsia="Times New Roman" w:hAnsi="Garamond" w:cs="Times New Roman"/>
                <w:color w:val="000000"/>
                <w:sz w:val="4"/>
                <w:szCs w:val="10"/>
              </w:rPr>
              <w:t xml:space="preserve"> </w:t>
            </w:r>
            <w:r w:rsidRPr="00B457F5">
              <w:rPr>
                <w:rFonts w:ascii="Garamond" w:eastAsia="Times New Roman" w:hAnsi="Garamond" w:cs="Times New Roman"/>
                <w:color w:val="000000"/>
                <w:sz w:val="4"/>
                <w:szCs w:val="10"/>
              </w:rPr>
              <w:t>UNHCR</w:t>
            </w:r>
          </w:p>
        </w:tc>
        <w:tc>
          <w:tcPr>
            <w:tcW w:w="135" w:type="pct"/>
            <w:tcBorders>
              <w:top w:val="nil"/>
              <w:left w:val="nil"/>
              <w:bottom w:val="single" w:sz="4" w:space="0" w:color="auto"/>
              <w:right w:val="single" w:sz="4" w:space="0" w:color="auto"/>
            </w:tcBorders>
            <w:shd w:val="clear" w:color="000000" w:fill="D9D9D9"/>
            <w:vAlign w:val="center"/>
            <w:hideMark/>
          </w:tcPr>
          <w:p w14:paraId="3135F58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9D9D9"/>
            <w:vAlign w:val="center"/>
            <w:hideMark/>
          </w:tcPr>
          <w:p w14:paraId="7E19E462"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000000" w:fill="D9D9D9"/>
            <w:vAlign w:val="center"/>
            <w:hideMark/>
          </w:tcPr>
          <w:p w14:paraId="425B6C5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5,358,885</w:t>
            </w:r>
          </w:p>
        </w:tc>
        <w:tc>
          <w:tcPr>
            <w:tcW w:w="155" w:type="pct"/>
            <w:tcBorders>
              <w:top w:val="nil"/>
              <w:left w:val="nil"/>
              <w:bottom w:val="single" w:sz="4" w:space="0" w:color="auto"/>
              <w:right w:val="single" w:sz="4" w:space="0" w:color="auto"/>
            </w:tcBorders>
            <w:shd w:val="clear" w:color="000000" w:fill="D9D9D9"/>
            <w:vAlign w:val="center"/>
            <w:hideMark/>
          </w:tcPr>
          <w:p w14:paraId="4858902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089E679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5,358,885</w:t>
            </w:r>
          </w:p>
        </w:tc>
        <w:tc>
          <w:tcPr>
            <w:tcW w:w="165" w:type="pct"/>
            <w:tcBorders>
              <w:top w:val="nil"/>
              <w:left w:val="nil"/>
              <w:bottom w:val="single" w:sz="4" w:space="0" w:color="auto"/>
              <w:right w:val="single" w:sz="4" w:space="0" w:color="auto"/>
            </w:tcBorders>
            <w:shd w:val="clear" w:color="000000" w:fill="D9D9D9"/>
            <w:vAlign w:val="center"/>
            <w:hideMark/>
          </w:tcPr>
          <w:p w14:paraId="3FF882F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1,744,800</w:t>
            </w:r>
          </w:p>
        </w:tc>
        <w:tc>
          <w:tcPr>
            <w:tcW w:w="163" w:type="pct"/>
            <w:tcBorders>
              <w:top w:val="nil"/>
              <w:left w:val="nil"/>
              <w:bottom w:val="single" w:sz="4" w:space="0" w:color="auto"/>
              <w:right w:val="single" w:sz="4" w:space="0" w:color="auto"/>
            </w:tcBorders>
            <w:shd w:val="clear" w:color="000000" w:fill="D9D9D9"/>
            <w:vAlign w:val="center"/>
            <w:hideMark/>
          </w:tcPr>
          <w:p w14:paraId="3BC419C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6D1E23B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1,744,800</w:t>
            </w:r>
          </w:p>
        </w:tc>
        <w:tc>
          <w:tcPr>
            <w:tcW w:w="163" w:type="pct"/>
            <w:tcBorders>
              <w:top w:val="nil"/>
              <w:left w:val="nil"/>
              <w:bottom w:val="single" w:sz="4" w:space="0" w:color="auto"/>
              <w:right w:val="single" w:sz="4" w:space="0" w:color="auto"/>
            </w:tcBorders>
            <w:shd w:val="clear" w:color="000000" w:fill="D9D9D9"/>
            <w:vAlign w:val="center"/>
            <w:hideMark/>
          </w:tcPr>
          <w:p w14:paraId="384DDCD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964,800</w:t>
            </w:r>
          </w:p>
        </w:tc>
        <w:tc>
          <w:tcPr>
            <w:tcW w:w="148" w:type="pct"/>
            <w:tcBorders>
              <w:top w:val="nil"/>
              <w:left w:val="nil"/>
              <w:bottom w:val="single" w:sz="4" w:space="0" w:color="auto"/>
              <w:right w:val="single" w:sz="4" w:space="0" w:color="auto"/>
            </w:tcBorders>
            <w:shd w:val="clear" w:color="000000" w:fill="D9D9D9"/>
            <w:vAlign w:val="center"/>
            <w:hideMark/>
          </w:tcPr>
          <w:p w14:paraId="1E1DA2D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71FC9BD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964,800</w:t>
            </w:r>
          </w:p>
        </w:tc>
        <w:tc>
          <w:tcPr>
            <w:tcW w:w="165" w:type="pct"/>
            <w:tcBorders>
              <w:top w:val="nil"/>
              <w:left w:val="nil"/>
              <w:bottom w:val="single" w:sz="4" w:space="0" w:color="auto"/>
              <w:right w:val="single" w:sz="4" w:space="0" w:color="auto"/>
            </w:tcBorders>
            <w:shd w:val="clear" w:color="000000" w:fill="D9D9D9"/>
            <w:vAlign w:val="center"/>
            <w:hideMark/>
          </w:tcPr>
          <w:p w14:paraId="02F39ED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8,068,485</w:t>
            </w:r>
          </w:p>
        </w:tc>
        <w:tc>
          <w:tcPr>
            <w:tcW w:w="163" w:type="pct"/>
            <w:tcBorders>
              <w:top w:val="nil"/>
              <w:left w:val="nil"/>
              <w:bottom w:val="single" w:sz="4" w:space="0" w:color="auto"/>
              <w:right w:val="single" w:sz="4" w:space="0" w:color="auto"/>
            </w:tcBorders>
            <w:shd w:val="clear" w:color="000000" w:fill="D9D9D9"/>
            <w:vAlign w:val="center"/>
            <w:hideMark/>
          </w:tcPr>
          <w:p w14:paraId="57214AD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D9D9D9"/>
            <w:vAlign w:val="center"/>
            <w:hideMark/>
          </w:tcPr>
          <w:p w14:paraId="3340DE7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8,068,485</w:t>
            </w:r>
          </w:p>
        </w:tc>
        <w:tc>
          <w:tcPr>
            <w:tcW w:w="163" w:type="pct"/>
            <w:tcBorders>
              <w:top w:val="nil"/>
              <w:left w:val="nil"/>
              <w:bottom w:val="single" w:sz="4" w:space="0" w:color="auto"/>
              <w:right w:val="single" w:sz="4" w:space="0" w:color="auto"/>
            </w:tcBorders>
            <w:shd w:val="clear" w:color="000000" w:fill="D9D9D9"/>
            <w:vAlign w:val="center"/>
            <w:hideMark/>
          </w:tcPr>
          <w:p w14:paraId="5AA278B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404,065</w:t>
            </w:r>
          </w:p>
        </w:tc>
        <w:tc>
          <w:tcPr>
            <w:tcW w:w="155" w:type="pct"/>
            <w:tcBorders>
              <w:top w:val="nil"/>
              <w:left w:val="nil"/>
              <w:bottom w:val="single" w:sz="4" w:space="0" w:color="auto"/>
              <w:right w:val="single" w:sz="4" w:space="0" w:color="auto"/>
            </w:tcBorders>
            <w:shd w:val="clear" w:color="000000" w:fill="D9D9D9"/>
            <w:vAlign w:val="center"/>
            <w:hideMark/>
          </w:tcPr>
          <w:p w14:paraId="25FD818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0960219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404,065</w:t>
            </w:r>
          </w:p>
        </w:tc>
        <w:tc>
          <w:tcPr>
            <w:tcW w:w="162" w:type="pct"/>
            <w:tcBorders>
              <w:top w:val="nil"/>
              <w:left w:val="nil"/>
              <w:bottom w:val="single" w:sz="4" w:space="0" w:color="auto"/>
              <w:right w:val="single" w:sz="4" w:space="0" w:color="auto"/>
            </w:tcBorders>
            <w:shd w:val="clear" w:color="000000" w:fill="D9D9D9"/>
            <w:vAlign w:val="center"/>
            <w:hideMark/>
          </w:tcPr>
          <w:p w14:paraId="47F4909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7,664,420</w:t>
            </w:r>
          </w:p>
        </w:tc>
        <w:tc>
          <w:tcPr>
            <w:tcW w:w="155" w:type="pct"/>
            <w:tcBorders>
              <w:top w:val="nil"/>
              <w:left w:val="nil"/>
              <w:bottom w:val="single" w:sz="4" w:space="0" w:color="auto"/>
              <w:right w:val="single" w:sz="4" w:space="0" w:color="auto"/>
            </w:tcBorders>
            <w:shd w:val="clear" w:color="000000" w:fill="D9D9D9"/>
            <w:vAlign w:val="center"/>
            <w:hideMark/>
          </w:tcPr>
          <w:p w14:paraId="0C5CC82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000000" w:fill="D9D9D9"/>
            <w:vAlign w:val="center"/>
            <w:hideMark/>
          </w:tcPr>
          <w:p w14:paraId="5E784AD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47DB70B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7,664,420</w:t>
            </w:r>
          </w:p>
        </w:tc>
        <w:tc>
          <w:tcPr>
            <w:tcW w:w="139" w:type="pct"/>
            <w:tcBorders>
              <w:top w:val="nil"/>
              <w:left w:val="nil"/>
              <w:bottom w:val="single" w:sz="4" w:space="0" w:color="auto"/>
              <w:right w:val="single" w:sz="4" w:space="0" w:color="auto"/>
            </w:tcBorders>
            <w:shd w:val="clear" w:color="000000" w:fill="D9D9D9"/>
            <w:vAlign w:val="center"/>
            <w:hideMark/>
          </w:tcPr>
          <w:p w14:paraId="48811F0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000000" w:fill="D9D9D9"/>
            <w:vAlign w:val="center"/>
            <w:hideMark/>
          </w:tcPr>
          <w:p w14:paraId="1C90795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D9D9D9"/>
            <w:vAlign w:val="center"/>
            <w:hideMark/>
          </w:tcPr>
          <w:p w14:paraId="6D8B7C4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000000" w:fill="D9D9D9"/>
            <w:vAlign w:val="center"/>
            <w:hideMark/>
          </w:tcPr>
          <w:p w14:paraId="1B2BBE29" w14:textId="42ED0E80"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 - </w:t>
            </w:r>
          </w:p>
        </w:tc>
      </w:tr>
      <w:tr w:rsidR="00C260C3" w:rsidRPr="00B457F5" w14:paraId="22B42902"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204E2C6D"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4.1.2.1</w:t>
            </w:r>
          </w:p>
        </w:tc>
        <w:tc>
          <w:tcPr>
            <w:tcW w:w="281" w:type="pct"/>
            <w:tcBorders>
              <w:top w:val="nil"/>
              <w:left w:val="nil"/>
              <w:bottom w:val="single" w:sz="4" w:space="0" w:color="auto"/>
              <w:right w:val="single" w:sz="4" w:space="0" w:color="auto"/>
            </w:tcBorders>
            <w:shd w:val="clear" w:color="auto" w:fill="auto"/>
            <w:vAlign w:val="center"/>
            <w:hideMark/>
          </w:tcPr>
          <w:p w14:paraId="720B1A0D" w14:textId="20F4E5A9"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4.1.2.1</w:t>
            </w:r>
            <w:r w:rsidR="0006016F" w:rsidRPr="00B457F5">
              <w:rPr>
                <w:rFonts w:ascii="Garamond" w:eastAsia="Times New Roman" w:hAnsi="Garamond" w:cs="Times New Roman"/>
                <w:sz w:val="4"/>
                <w:szCs w:val="10"/>
              </w:rPr>
              <w:t xml:space="preserve"> </w:t>
            </w:r>
            <w:r w:rsidRPr="00B457F5">
              <w:rPr>
                <w:rFonts w:ascii="Garamond" w:eastAsia="Times New Roman" w:hAnsi="Garamond" w:cs="Times New Roman"/>
                <w:sz w:val="4"/>
                <w:szCs w:val="10"/>
              </w:rPr>
              <w:t>Hartimi i procedurave standarde operative dhe formularëve për aplikimin e mbrojtjes ndërkombëtare në gjuhët kryesore</w:t>
            </w:r>
            <w:r w:rsidR="00AF12C0" w:rsidRPr="00B457F5">
              <w:rPr>
                <w:rFonts w:ascii="Garamond" w:eastAsia="Times New Roman" w:hAnsi="Garamond" w:cs="Times New Roman"/>
                <w:sz w:val="4"/>
                <w:szCs w:val="10"/>
              </w:rPr>
              <w:t>,</w:t>
            </w:r>
            <w:r w:rsidRPr="00B457F5">
              <w:rPr>
                <w:rFonts w:ascii="Garamond" w:eastAsia="Times New Roman" w:hAnsi="Garamond" w:cs="Times New Roman"/>
                <w:sz w:val="4"/>
                <w:szCs w:val="10"/>
              </w:rPr>
              <w:t xml:space="preserve"> duke përfshirë procedurën e ankimit sipas dispozitave ligjore</w:t>
            </w:r>
          </w:p>
        </w:tc>
        <w:tc>
          <w:tcPr>
            <w:tcW w:w="186" w:type="pct"/>
            <w:tcBorders>
              <w:top w:val="nil"/>
              <w:left w:val="nil"/>
              <w:bottom w:val="single" w:sz="4" w:space="0" w:color="auto"/>
              <w:right w:val="single" w:sz="4" w:space="0" w:color="auto"/>
            </w:tcBorders>
            <w:shd w:val="clear" w:color="auto" w:fill="auto"/>
            <w:vAlign w:val="center"/>
            <w:hideMark/>
          </w:tcPr>
          <w:p w14:paraId="2EF3575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486B615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5A81A57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EUAA, UNHCR</w:t>
            </w:r>
          </w:p>
        </w:tc>
        <w:tc>
          <w:tcPr>
            <w:tcW w:w="135" w:type="pct"/>
            <w:tcBorders>
              <w:top w:val="nil"/>
              <w:left w:val="nil"/>
              <w:bottom w:val="single" w:sz="4" w:space="0" w:color="auto"/>
              <w:right w:val="single" w:sz="4" w:space="0" w:color="auto"/>
            </w:tcBorders>
            <w:shd w:val="clear" w:color="000000" w:fill="DDEBF7"/>
            <w:vAlign w:val="center"/>
            <w:hideMark/>
          </w:tcPr>
          <w:p w14:paraId="3AB67B4F"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05A569CF"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63" w:type="pct"/>
            <w:tcBorders>
              <w:top w:val="nil"/>
              <w:left w:val="nil"/>
              <w:bottom w:val="single" w:sz="4" w:space="0" w:color="auto"/>
              <w:right w:val="single" w:sz="4" w:space="0" w:color="auto"/>
            </w:tcBorders>
            <w:shd w:val="clear" w:color="auto" w:fill="auto"/>
            <w:vAlign w:val="center"/>
            <w:hideMark/>
          </w:tcPr>
          <w:p w14:paraId="35D8D11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2,294,085</w:t>
            </w:r>
          </w:p>
        </w:tc>
        <w:tc>
          <w:tcPr>
            <w:tcW w:w="155" w:type="pct"/>
            <w:tcBorders>
              <w:top w:val="nil"/>
              <w:left w:val="nil"/>
              <w:bottom w:val="single" w:sz="4" w:space="0" w:color="auto"/>
              <w:right w:val="single" w:sz="4" w:space="0" w:color="auto"/>
            </w:tcBorders>
            <w:shd w:val="clear" w:color="auto" w:fill="auto"/>
            <w:vAlign w:val="center"/>
            <w:hideMark/>
          </w:tcPr>
          <w:p w14:paraId="59DA1D3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1FA0D51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2,294,085</w:t>
            </w:r>
          </w:p>
        </w:tc>
        <w:tc>
          <w:tcPr>
            <w:tcW w:w="165" w:type="pct"/>
            <w:tcBorders>
              <w:top w:val="nil"/>
              <w:left w:val="nil"/>
              <w:bottom w:val="single" w:sz="4" w:space="0" w:color="auto"/>
              <w:right w:val="single" w:sz="4" w:space="0" w:color="auto"/>
            </w:tcBorders>
            <w:shd w:val="clear" w:color="auto" w:fill="auto"/>
            <w:vAlign w:val="center"/>
            <w:hideMark/>
          </w:tcPr>
          <w:p w14:paraId="781B15E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42248DF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0F6651F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6363040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8" w:type="pct"/>
            <w:tcBorders>
              <w:top w:val="nil"/>
              <w:left w:val="nil"/>
              <w:bottom w:val="single" w:sz="4" w:space="0" w:color="auto"/>
              <w:right w:val="single" w:sz="4" w:space="0" w:color="auto"/>
            </w:tcBorders>
            <w:shd w:val="clear" w:color="auto" w:fill="auto"/>
            <w:vAlign w:val="center"/>
            <w:hideMark/>
          </w:tcPr>
          <w:p w14:paraId="689FAE6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50F2A86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auto" w:fill="auto"/>
            <w:vAlign w:val="center"/>
            <w:hideMark/>
          </w:tcPr>
          <w:p w14:paraId="0832F1A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2,294,085</w:t>
            </w:r>
          </w:p>
        </w:tc>
        <w:tc>
          <w:tcPr>
            <w:tcW w:w="163" w:type="pct"/>
            <w:tcBorders>
              <w:top w:val="nil"/>
              <w:left w:val="nil"/>
              <w:bottom w:val="single" w:sz="4" w:space="0" w:color="auto"/>
              <w:right w:val="single" w:sz="4" w:space="0" w:color="auto"/>
            </w:tcBorders>
            <w:shd w:val="clear" w:color="auto" w:fill="auto"/>
            <w:vAlign w:val="center"/>
            <w:hideMark/>
          </w:tcPr>
          <w:p w14:paraId="256D47A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6C63473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2,294,085</w:t>
            </w:r>
          </w:p>
        </w:tc>
        <w:tc>
          <w:tcPr>
            <w:tcW w:w="163" w:type="pct"/>
            <w:tcBorders>
              <w:top w:val="nil"/>
              <w:left w:val="nil"/>
              <w:bottom w:val="single" w:sz="4" w:space="0" w:color="auto"/>
              <w:right w:val="single" w:sz="4" w:space="0" w:color="auto"/>
            </w:tcBorders>
            <w:shd w:val="clear" w:color="auto" w:fill="auto"/>
            <w:vAlign w:val="center"/>
            <w:hideMark/>
          </w:tcPr>
          <w:p w14:paraId="37AF9F2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404,065</w:t>
            </w:r>
          </w:p>
        </w:tc>
        <w:tc>
          <w:tcPr>
            <w:tcW w:w="155" w:type="pct"/>
            <w:tcBorders>
              <w:top w:val="nil"/>
              <w:left w:val="nil"/>
              <w:bottom w:val="single" w:sz="4" w:space="0" w:color="auto"/>
              <w:right w:val="single" w:sz="4" w:space="0" w:color="auto"/>
            </w:tcBorders>
            <w:shd w:val="clear" w:color="auto" w:fill="auto"/>
            <w:vAlign w:val="center"/>
            <w:hideMark/>
          </w:tcPr>
          <w:p w14:paraId="6779B8B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43B12A7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404,065</w:t>
            </w:r>
          </w:p>
        </w:tc>
        <w:tc>
          <w:tcPr>
            <w:tcW w:w="162" w:type="pct"/>
            <w:tcBorders>
              <w:top w:val="nil"/>
              <w:left w:val="nil"/>
              <w:bottom w:val="single" w:sz="4" w:space="0" w:color="auto"/>
              <w:right w:val="single" w:sz="4" w:space="0" w:color="auto"/>
            </w:tcBorders>
            <w:shd w:val="clear" w:color="auto" w:fill="auto"/>
            <w:vAlign w:val="center"/>
            <w:hideMark/>
          </w:tcPr>
          <w:p w14:paraId="7EB7D29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1,890,020</w:t>
            </w:r>
          </w:p>
        </w:tc>
        <w:tc>
          <w:tcPr>
            <w:tcW w:w="155" w:type="pct"/>
            <w:tcBorders>
              <w:top w:val="nil"/>
              <w:left w:val="nil"/>
              <w:bottom w:val="single" w:sz="4" w:space="0" w:color="auto"/>
              <w:right w:val="single" w:sz="4" w:space="0" w:color="auto"/>
            </w:tcBorders>
            <w:shd w:val="clear" w:color="auto" w:fill="auto"/>
            <w:vAlign w:val="center"/>
            <w:hideMark/>
          </w:tcPr>
          <w:p w14:paraId="6D174BF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31C928E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EUAA, UNHCR</w:t>
            </w:r>
          </w:p>
        </w:tc>
        <w:tc>
          <w:tcPr>
            <w:tcW w:w="163" w:type="pct"/>
            <w:tcBorders>
              <w:top w:val="nil"/>
              <w:left w:val="nil"/>
              <w:bottom w:val="single" w:sz="4" w:space="0" w:color="auto"/>
              <w:right w:val="single" w:sz="4" w:space="0" w:color="auto"/>
            </w:tcBorders>
            <w:shd w:val="clear" w:color="000000" w:fill="FFF2CC"/>
            <w:vAlign w:val="center"/>
            <w:hideMark/>
          </w:tcPr>
          <w:p w14:paraId="0D33035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1,890,020</w:t>
            </w:r>
          </w:p>
        </w:tc>
        <w:tc>
          <w:tcPr>
            <w:tcW w:w="139" w:type="pct"/>
            <w:tcBorders>
              <w:top w:val="nil"/>
              <w:left w:val="nil"/>
              <w:bottom w:val="single" w:sz="4" w:space="0" w:color="auto"/>
              <w:right w:val="single" w:sz="4" w:space="0" w:color="auto"/>
            </w:tcBorders>
            <w:shd w:val="clear" w:color="auto" w:fill="auto"/>
            <w:vAlign w:val="center"/>
            <w:hideMark/>
          </w:tcPr>
          <w:p w14:paraId="791480F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22A370F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7330D43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33496BAA" w14:textId="1B52120E"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4105F506"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7495F9CE"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4.1.2.2</w:t>
            </w:r>
          </w:p>
        </w:tc>
        <w:tc>
          <w:tcPr>
            <w:tcW w:w="281" w:type="pct"/>
            <w:tcBorders>
              <w:top w:val="nil"/>
              <w:left w:val="nil"/>
              <w:bottom w:val="single" w:sz="4" w:space="0" w:color="auto"/>
              <w:right w:val="single" w:sz="4" w:space="0" w:color="auto"/>
            </w:tcBorders>
            <w:shd w:val="clear" w:color="auto" w:fill="auto"/>
            <w:vAlign w:val="center"/>
            <w:hideMark/>
          </w:tcPr>
          <w:p w14:paraId="389D4A00" w14:textId="65351677"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4.1.2.2 Ofrimi i përkthimit të licencuar/zyrtar për grupet vulnerabël në procesin e përzgjedhjes/</w:t>
            </w:r>
            <w:r w:rsidRPr="00B457F5">
              <w:rPr>
                <w:rFonts w:ascii="Garamond" w:eastAsia="Times New Roman" w:hAnsi="Garamond" w:cs="Times New Roman"/>
                <w:i/>
                <w:sz w:val="4"/>
                <w:szCs w:val="10"/>
              </w:rPr>
              <w:t>prescreening</w:t>
            </w:r>
          </w:p>
        </w:tc>
        <w:tc>
          <w:tcPr>
            <w:tcW w:w="186" w:type="pct"/>
            <w:tcBorders>
              <w:top w:val="nil"/>
              <w:left w:val="nil"/>
              <w:bottom w:val="single" w:sz="4" w:space="0" w:color="auto"/>
              <w:right w:val="single" w:sz="4" w:space="0" w:color="auto"/>
            </w:tcBorders>
            <w:shd w:val="clear" w:color="auto" w:fill="auto"/>
            <w:vAlign w:val="center"/>
            <w:hideMark/>
          </w:tcPr>
          <w:p w14:paraId="052CA6B7"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(14)</w:t>
            </w:r>
          </w:p>
        </w:tc>
        <w:tc>
          <w:tcPr>
            <w:tcW w:w="169" w:type="pct"/>
            <w:tcBorders>
              <w:top w:val="nil"/>
              <w:left w:val="nil"/>
              <w:bottom w:val="single" w:sz="4" w:space="0" w:color="auto"/>
              <w:right w:val="single" w:sz="4" w:space="0" w:color="auto"/>
            </w:tcBorders>
            <w:shd w:val="clear" w:color="auto" w:fill="auto"/>
            <w:vAlign w:val="center"/>
            <w:hideMark/>
          </w:tcPr>
          <w:p w14:paraId="1D045D4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MD</w:t>
            </w:r>
          </w:p>
        </w:tc>
        <w:tc>
          <w:tcPr>
            <w:tcW w:w="244" w:type="pct"/>
            <w:tcBorders>
              <w:top w:val="nil"/>
              <w:left w:val="nil"/>
              <w:bottom w:val="single" w:sz="4" w:space="0" w:color="auto"/>
              <w:right w:val="single" w:sz="4" w:space="0" w:color="auto"/>
            </w:tcBorders>
            <w:shd w:val="clear" w:color="auto" w:fill="auto"/>
            <w:vAlign w:val="center"/>
            <w:hideMark/>
          </w:tcPr>
          <w:p w14:paraId="4B7A1E8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UNHCR</w:t>
            </w:r>
          </w:p>
        </w:tc>
        <w:tc>
          <w:tcPr>
            <w:tcW w:w="135" w:type="pct"/>
            <w:tcBorders>
              <w:top w:val="nil"/>
              <w:left w:val="nil"/>
              <w:bottom w:val="single" w:sz="4" w:space="0" w:color="auto"/>
              <w:right w:val="single" w:sz="4" w:space="0" w:color="auto"/>
            </w:tcBorders>
            <w:shd w:val="clear" w:color="000000" w:fill="DDEBF7"/>
            <w:vAlign w:val="center"/>
            <w:hideMark/>
          </w:tcPr>
          <w:p w14:paraId="26F1859F"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1A9FEC2C"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04340B6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604,800</w:t>
            </w:r>
          </w:p>
        </w:tc>
        <w:tc>
          <w:tcPr>
            <w:tcW w:w="155" w:type="pct"/>
            <w:tcBorders>
              <w:top w:val="nil"/>
              <w:left w:val="nil"/>
              <w:bottom w:val="single" w:sz="4" w:space="0" w:color="auto"/>
              <w:right w:val="single" w:sz="4" w:space="0" w:color="auto"/>
            </w:tcBorders>
            <w:shd w:val="clear" w:color="auto" w:fill="auto"/>
            <w:vAlign w:val="center"/>
            <w:hideMark/>
          </w:tcPr>
          <w:p w14:paraId="5BA764A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3FCE72B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604,800</w:t>
            </w:r>
          </w:p>
        </w:tc>
        <w:tc>
          <w:tcPr>
            <w:tcW w:w="165" w:type="pct"/>
            <w:tcBorders>
              <w:top w:val="nil"/>
              <w:left w:val="nil"/>
              <w:bottom w:val="single" w:sz="4" w:space="0" w:color="auto"/>
              <w:right w:val="single" w:sz="4" w:space="0" w:color="auto"/>
            </w:tcBorders>
            <w:shd w:val="clear" w:color="auto" w:fill="auto"/>
            <w:vAlign w:val="center"/>
            <w:hideMark/>
          </w:tcPr>
          <w:p w14:paraId="6E142BA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604,800</w:t>
            </w:r>
          </w:p>
        </w:tc>
        <w:tc>
          <w:tcPr>
            <w:tcW w:w="163" w:type="pct"/>
            <w:tcBorders>
              <w:top w:val="nil"/>
              <w:left w:val="nil"/>
              <w:bottom w:val="single" w:sz="4" w:space="0" w:color="auto"/>
              <w:right w:val="single" w:sz="4" w:space="0" w:color="auto"/>
            </w:tcBorders>
            <w:shd w:val="clear" w:color="auto" w:fill="auto"/>
            <w:vAlign w:val="center"/>
            <w:hideMark/>
          </w:tcPr>
          <w:p w14:paraId="16DB769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7C615F4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604,800</w:t>
            </w:r>
          </w:p>
        </w:tc>
        <w:tc>
          <w:tcPr>
            <w:tcW w:w="163" w:type="pct"/>
            <w:tcBorders>
              <w:top w:val="nil"/>
              <w:left w:val="nil"/>
              <w:bottom w:val="single" w:sz="4" w:space="0" w:color="auto"/>
              <w:right w:val="single" w:sz="4" w:space="0" w:color="auto"/>
            </w:tcBorders>
            <w:shd w:val="clear" w:color="auto" w:fill="auto"/>
            <w:vAlign w:val="center"/>
            <w:hideMark/>
          </w:tcPr>
          <w:p w14:paraId="3E916AF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604,800</w:t>
            </w:r>
          </w:p>
        </w:tc>
        <w:tc>
          <w:tcPr>
            <w:tcW w:w="148" w:type="pct"/>
            <w:tcBorders>
              <w:top w:val="nil"/>
              <w:left w:val="nil"/>
              <w:bottom w:val="single" w:sz="4" w:space="0" w:color="auto"/>
              <w:right w:val="single" w:sz="4" w:space="0" w:color="auto"/>
            </w:tcBorders>
            <w:shd w:val="clear" w:color="auto" w:fill="auto"/>
            <w:vAlign w:val="center"/>
            <w:hideMark/>
          </w:tcPr>
          <w:p w14:paraId="6BC1012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665658A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604,800</w:t>
            </w:r>
          </w:p>
        </w:tc>
        <w:tc>
          <w:tcPr>
            <w:tcW w:w="165" w:type="pct"/>
            <w:tcBorders>
              <w:top w:val="nil"/>
              <w:left w:val="nil"/>
              <w:bottom w:val="single" w:sz="4" w:space="0" w:color="auto"/>
              <w:right w:val="single" w:sz="4" w:space="0" w:color="auto"/>
            </w:tcBorders>
            <w:shd w:val="clear" w:color="auto" w:fill="auto"/>
            <w:vAlign w:val="center"/>
            <w:hideMark/>
          </w:tcPr>
          <w:p w14:paraId="1994326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1,814,400</w:t>
            </w:r>
          </w:p>
        </w:tc>
        <w:tc>
          <w:tcPr>
            <w:tcW w:w="163" w:type="pct"/>
            <w:tcBorders>
              <w:top w:val="nil"/>
              <w:left w:val="nil"/>
              <w:bottom w:val="single" w:sz="4" w:space="0" w:color="auto"/>
              <w:right w:val="single" w:sz="4" w:space="0" w:color="auto"/>
            </w:tcBorders>
            <w:shd w:val="clear" w:color="auto" w:fill="auto"/>
            <w:vAlign w:val="center"/>
            <w:hideMark/>
          </w:tcPr>
          <w:p w14:paraId="655F29B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0ECFE1B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1,814,400</w:t>
            </w:r>
          </w:p>
        </w:tc>
        <w:tc>
          <w:tcPr>
            <w:tcW w:w="163" w:type="pct"/>
            <w:tcBorders>
              <w:top w:val="nil"/>
              <w:left w:val="nil"/>
              <w:bottom w:val="single" w:sz="4" w:space="0" w:color="auto"/>
              <w:right w:val="single" w:sz="4" w:space="0" w:color="auto"/>
            </w:tcBorders>
            <w:shd w:val="clear" w:color="auto" w:fill="auto"/>
            <w:vAlign w:val="center"/>
            <w:hideMark/>
          </w:tcPr>
          <w:p w14:paraId="5813F97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1155E9A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7F07D1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4FFB864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1,814,400</w:t>
            </w:r>
          </w:p>
        </w:tc>
        <w:tc>
          <w:tcPr>
            <w:tcW w:w="155" w:type="pct"/>
            <w:tcBorders>
              <w:top w:val="nil"/>
              <w:left w:val="nil"/>
              <w:bottom w:val="single" w:sz="4" w:space="0" w:color="auto"/>
              <w:right w:val="single" w:sz="4" w:space="0" w:color="auto"/>
            </w:tcBorders>
            <w:shd w:val="clear" w:color="auto" w:fill="auto"/>
            <w:vAlign w:val="center"/>
            <w:hideMark/>
          </w:tcPr>
          <w:p w14:paraId="7F5BA1C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795ACB9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UNHCR</w:t>
            </w:r>
          </w:p>
        </w:tc>
        <w:tc>
          <w:tcPr>
            <w:tcW w:w="163" w:type="pct"/>
            <w:tcBorders>
              <w:top w:val="nil"/>
              <w:left w:val="nil"/>
              <w:bottom w:val="single" w:sz="4" w:space="0" w:color="auto"/>
              <w:right w:val="single" w:sz="4" w:space="0" w:color="auto"/>
            </w:tcBorders>
            <w:shd w:val="clear" w:color="000000" w:fill="FFF2CC"/>
            <w:vAlign w:val="center"/>
            <w:hideMark/>
          </w:tcPr>
          <w:p w14:paraId="2B40B6B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1,814,400</w:t>
            </w:r>
          </w:p>
        </w:tc>
        <w:tc>
          <w:tcPr>
            <w:tcW w:w="139" w:type="pct"/>
            <w:tcBorders>
              <w:top w:val="nil"/>
              <w:left w:val="nil"/>
              <w:bottom w:val="single" w:sz="4" w:space="0" w:color="auto"/>
              <w:right w:val="single" w:sz="4" w:space="0" w:color="auto"/>
            </w:tcBorders>
            <w:shd w:val="clear" w:color="auto" w:fill="auto"/>
            <w:vAlign w:val="center"/>
            <w:hideMark/>
          </w:tcPr>
          <w:p w14:paraId="6CAE957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00A91AA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726F33A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2F1E85F6" w14:textId="368B567D"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7BFF1707"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1C95CC09"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4.1.2.3</w:t>
            </w:r>
          </w:p>
        </w:tc>
        <w:tc>
          <w:tcPr>
            <w:tcW w:w="281" w:type="pct"/>
            <w:tcBorders>
              <w:top w:val="nil"/>
              <w:left w:val="nil"/>
              <w:bottom w:val="single" w:sz="4" w:space="0" w:color="auto"/>
              <w:right w:val="single" w:sz="4" w:space="0" w:color="auto"/>
            </w:tcBorders>
            <w:shd w:val="clear" w:color="auto" w:fill="auto"/>
            <w:vAlign w:val="center"/>
            <w:hideMark/>
          </w:tcPr>
          <w:p w14:paraId="39C13B7A" w14:textId="77777777"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4.1.2.3 Prodhimi i materialeve informuese për kushtet, të drejtat dhe detyrimet gjatë procesit të azilit dhe vendosja në të gjitha pikat e kalimit të kufitar</w:t>
            </w:r>
          </w:p>
        </w:tc>
        <w:tc>
          <w:tcPr>
            <w:tcW w:w="186" w:type="pct"/>
            <w:tcBorders>
              <w:top w:val="nil"/>
              <w:left w:val="nil"/>
              <w:bottom w:val="single" w:sz="4" w:space="0" w:color="auto"/>
              <w:right w:val="single" w:sz="4" w:space="0" w:color="auto"/>
            </w:tcBorders>
            <w:shd w:val="clear" w:color="auto" w:fill="auto"/>
            <w:vAlign w:val="center"/>
            <w:hideMark/>
          </w:tcPr>
          <w:p w14:paraId="451398BA"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1BD6F68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20BB920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EUAA, UNHCR</w:t>
            </w:r>
          </w:p>
        </w:tc>
        <w:tc>
          <w:tcPr>
            <w:tcW w:w="135" w:type="pct"/>
            <w:tcBorders>
              <w:top w:val="nil"/>
              <w:left w:val="nil"/>
              <w:bottom w:val="single" w:sz="4" w:space="0" w:color="auto"/>
              <w:right w:val="single" w:sz="4" w:space="0" w:color="auto"/>
            </w:tcBorders>
            <w:shd w:val="clear" w:color="000000" w:fill="DDEBF7"/>
            <w:vAlign w:val="center"/>
            <w:hideMark/>
          </w:tcPr>
          <w:p w14:paraId="56DDBDE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13CA487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2025</w:t>
            </w:r>
          </w:p>
        </w:tc>
        <w:tc>
          <w:tcPr>
            <w:tcW w:w="163" w:type="pct"/>
            <w:tcBorders>
              <w:top w:val="nil"/>
              <w:left w:val="nil"/>
              <w:bottom w:val="single" w:sz="4" w:space="0" w:color="auto"/>
              <w:right w:val="single" w:sz="4" w:space="0" w:color="auto"/>
            </w:tcBorders>
            <w:shd w:val="clear" w:color="auto" w:fill="auto"/>
            <w:vAlign w:val="center"/>
            <w:hideMark/>
          </w:tcPr>
          <w:p w14:paraId="5249D98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540,000</w:t>
            </w:r>
          </w:p>
        </w:tc>
        <w:tc>
          <w:tcPr>
            <w:tcW w:w="155" w:type="pct"/>
            <w:tcBorders>
              <w:top w:val="nil"/>
              <w:left w:val="nil"/>
              <w:bottom w:val="single" w:sz="4" w:space="0" w:color="auto"/>
              <w:right w:val="single" w:sz="4" w:space="0" w:color="auto"/>
            </w:tcBorders>
            <w:shd w:val="clear" w:color="auto" w:fill="auto"/>
            <w:vAlign w:val="center"/>
            <w:hideMark/>
          </w:tcPr>
          <w:p w14:paraId="762A54D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5105F60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540,000</w:t>
            </w:r>
          </w:p>
        </w:tc>
        <w:tc>
          <w:tcPr>
            <w:tcW w:w="165" w:type="pct"/>
            <w:tcBorders>
              <w:top w:val="nil"/>
              <w:left w:val="nil"/>
              <w:bottom w:val="single" w:sz="4" w:space="0" w:color="auto"/>
              <w:right w:val="single" w:sz="4" w:space="0" w:color="auto"/>
            </w:tcBorders>
            <w:shd w:val="clear" w:color="auto" w:fill="auto"/>
            <w:vAlign w:val="center"/>
            <w:hideMark/>
          </w:tcPr>
          <w:p w14:paraId="6CBB50D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540,000</w:t>
            </w:r>
          </w:p>
        </w:tc>
        <w:tc>
          <w:tcPr>
            <w:tcW w:w="163" w:type="pct"/>
            <w:tcBorders>
              <w:top w:val="nil"/>
              <w:left w:val="nil"/>
              <w:bottom w:val="single" w:sz="4" w:space="0" w:color="auto"/>
              <w:right w:val="single" w:sz="4" w:space="0" w:color="auto"/>
            </w:tcBorders>
            <w:shd w:val="clear" w:color="auto" w:fill="auto"/>
            <w:vAlign w:val="center"/>
            <w:hideMark/>
          </w:tcPr>
          <w:p w14:paraId="691A199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954472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540,000</w:t>
            </w:r>
          </w:p>
        </w:tc>
        <w:tc>
          <w:tcPr>
            <w:tcW w:w="163" w:type="pct"/>
            <w:tcBorders>
              <w:top w:val="nil"/>
              <w:left w:val="nil"/>
              <w:bottom w:val="single" w:sz="4" w:space="0" w:color="auto"/>
              <w:right w:val="single" w:sz="4" w:space="0" w:color="auto"/>
            </w:tcBorders>
            <w:shd w:val="clear" w:color="auto" w:fill="auto"/>
            <w:vAlign w:val="center"/>
            <w:hideMark/>
          </w:tcPr>
          <w:p w14:paraId="213AEE8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8" w:type="pct"/>
            <w:tcBorders>
              <w:top w:val="nil"/>
              <w:left w:val="nil"/>
              <w:bottom w:val="single" w:sz="4" w:space="0" w:color="auto"/>
              <w:right w:val="single" w:sz="4" w:space="0" w:color="auto"/>
            </w:tcBorders>
            <w:shd w:val="clear" w:color="auto" w:fill="auto"/>
            <w:vAlign w:val="center"/>
            <w:hideMark/>
          </w:tcPr>
          <w:p w14:paraId="6CDD637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043DD5C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auto" w:fill="auto"/>
            <w:vAlign w:val="center"/>
            <w:hideMark/>
          </w:tcPr>
          <w:p w14:paraId="533FDFD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1,080,000</w:t>
            </w:r>
          </w:p>
        </w:tc>
        <w:tc>
          <w:tcPr>
            <w:tcW w:w="163" w:type="pct"/>
            <w:tcBorders>
              <w:top w:val="nil"/>
              <w:left w:val="nil"/>
              <w:bottom w:val="single" w:sz="4" w:space="0" w:color="auto"/>
              <w:right w:val="single" w:sz="4" w:space="0" w:color="auto"/>
            </w:tcBorders>
            <w:shd w:val="clear" w:color="auto" w:fill="auto"/>
            <w:vAlign w:val="center"/>
            <w:hideMark/>
          </w:tcPr>
          <w:p w14:paraId="547AB75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02D91B1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1,080,000</w:t>
            </w:r>
          </w:p>
        </w:tc>
        <w:tc>
          <w:tcPr>
            <w:tcW w:w="163" w:type="pct"/>
            <w:tcBorders>
              <w:top w:val="nil"/>
              <w:left w:val="nil"/>
              <w:bottom w:val="single" w:sz="4" w:space="0" w:color="auto"/>
              <w:right w:val="single" w:sz="4" w:space="0" w:color="auto"/>
            </w:tcBorders>
            <w:shd w:val="clear" w:color="auto" w:fill="auto"/>
            <w:vAlign w:val="center"/>
            <w:hideMark/>
          </w:tcPr>
          <w:p w14:paraId="5DF2077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2914671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0EC3196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6DB21B3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1,080,000</w:t>
            </w:r>
          </w:p>
        </w:tc>
        <w:tc>
          <w:tcPr>
            <w:tcW w:w="155" w:type="pct"/>
            <w:tcBorders>
              <w:top w:val="nil"/>
              <w:left w:val="nil"/>
              <w:bottom w:val="single" w:sz="4" w:space="0" w:color="auto"/>
              <w:right w:val="single" w:sz="4" w:space="0" w:color="auto"/>
            </w:tcBorders>
            <w:shd w:val="clear" w:color="auto" w:fill="auto"/>
            <w:vAlign w:val="center"/>
            <w:hideMark/>
          </w:tcPr>
          <w:p w14:paraId="64CA2F6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3B8914A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EUAA, UNHCR</w:t>
            </w:r>
          </w:p>
        </w:tc>
        <w:tc>
          <w:tcPr>
            <w:tcW w:w="163" w:type="pct"/>
            <w:tcBorders>
              <w:top w:val="nil"/>
              <w:left w:val="nil"/>
              <w:bottom w:val="single" w:sz="4" w:space="0" w:color="auto"/>
              <w:right w:val="single" w:sz="4" w:space="0" w:color="auto"/>
            </w:tcBorders>
            <w:shd w:val="clear" w:color="000000" w:fill="FFF2CC"/>
            <w:vAlign w:val="center"/>
            <w:hideMark/>
          </w:tcPr>
          <w:p w14:paraId="14E91D4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1,080,000</w:t>
            </w:r>
          </w:p>
        </w:tc>
        <w:tc>
          <w:tcPr>
            <w:tcW w:w="139" w:type="pct"/>
            <w:tcBorders>
              <w:top w:val="nil"/>
              <w:left w:val="nil"/>
              <w:bottom w:val="single" w:sz="4" w:space="0" w:color="auto"/>
              <w:right w:val="single" w:sz="4" w:space="0" w:color="auto"/>
            </w:tcBorders>
            <w:shd w:val="clear" w:color="auto" w:fill="auto"/>
            <w:vAlign w:val="center"/>
            <w:hideMark/>
          </w:tcPr>
          <w:p w14:paraId="4E15473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215A170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1832E9D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7440FB8C" w14:textId="1A81C41E"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129F77D2"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04235A69"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4.1.2.4</w:t>
            </w:r>
          </w:p>
        </w:tc>
        <w:tc>
          <w:tcPr>
            <w:tcW w:w="281" w:type="pct"/>
            <w:tcBorders>
              <w:top w:val="nil"/>
              <w:left w:val="nil"/>
              <w:bottom w:val="single" w:sz="4" w:space="0" w:color="auto"/>
              <w:right w:val="single" w:sz="4" w:space="0" w:color="auto"/>
            </w:tcBorders>
            <w:shd w:val="clear" w:color="auto" w:fill="auto"/>
            <w:vAlign w:val="center"/>
            <w:hideMark/>
          </w:tcPr>
          <w:p w14:paraId="5B503327" w14:textId="6572DD0E"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 xml:space="preserve">4.1.2.4 Zhvillimi i një </w:t>
            </w:r>
            <w:r w:rsidR="00AF12C0" w:rsidRPr="00B457F5">
              <w:rPr>
                <w:rFonts w:ascii="Garamond" w:eastAsia="Times New Roman" w:hAnsi="Garamond" w:cs="Times New Roman"/>
                <w:sz w:val="4"/>
                <w:szCs w:val="10"/>
              </w:rPr>
              <w:t>u</w:t>
            </w:r>
            <w:r w:rsidRPr="00B457F5">
              <w:rPr>
                <w:rFonts w:ascii="Garamond" w:eastAsia="Times New Roman" w:hAnsi="Garamond" w:cs="Times New Roman"/>
                <w:sz w:val="4"/>
                <w:szCs w:val="10"/>
              </w:rPr>
              <w:t>dhërrëfyesi mes EUAA dhe Shqipërisë në fushën e mbrojtjes ndërkombëtare dhe implementimi i një plani bashkëpunimi trevjeçar</w:t>
            </w:r>
          </w:p>
        </w:tc>
        <w:tc>
          <w:tcPr>
            <w:tcW w:w="186" w:type="pct"/>
            <w:tcBorders>
              <w:top w:val="nil"/>
              <w:left w:val="nil"/>
              <w:bottom w:val="single" w:sz="4" w:space="0" w:color="auto"/>
              <w:right w:val="single" w:sz="4" w:space="0" w:color="auto"/>
            </w:tcBorders>
            <w:shd w:val="clear" w:color="auto" w:fill="auto"/>
            <w:vAlign w:val="center"/>
            <w:hideMark/>
          </w:tcPr>
          <w:p w14:paraId="2EC7442C"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2D8F202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66D06B2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EUAA</w:t>
            </w:r>
          </w:p>
        </w:tc>
        <w:tc>
          <w:tcPr>
            <w:tcW w:w="135" w:type="pct"/>
            <w:tcBorders>
              <w:top w:val="nil"/>
              <w:left w:val="nil"/>
              <w:bottom w:val="single" w:sz="4" w:space="0" w:color="auto"/>
              <w:right w:val="single" w:sz="4" w:space="0" w:color="auto"/>
            </w:tcBorders>
            <w:shd w:val="clear" w:color="000000" w:fill="DDEBF7"/>
            <w:vAlign w:val="center"/>
            <w:hideMark/>
          </w:tcPr>
          <w:p w14:paraId="64AB96D9"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25C70150"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5E8A24E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1,920,000</w:t>
            </w:r>
          </w:p>
        </w:tc>
        <w:tc>
          <w:tcPr>
            <w:tcW w:w="155" w:type="pct"/>
            <w:tcBorders>
              <w:top w:val="nil"/>
              <w:left w:val="nil"/>
              <w:bottom w:val="single" w:sz="4" w:space="0" w:color="auto"/>
              <w:right w:val="single" w:sz="4" w:space="0" w:color="auto"/>
            </w:tcBorders>
            <w:shd w:val="clear" w:color="auto" w:fill="auto"/>
            <w:vAlign w:val="center"/>
            <w:hideMark/>
          </w:tcPr>
          <w:p w14:paraId="74B7107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2DFF1E1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1,920,000</w:t>
            </w:r>
          </w:p>
        </w:tc>
        <w:tc>
          <w:tcPr>
            <w:tcW w:w="165" w:type="pct"/>
            <w:tcBorders>
              <w:top w:val="nil"/>
              <w:left w:val="nil"/>
              <w:bottom w:val="single" w:sz="4" w:space="0" w:color="auto"/>
              <w:right w:val="single" w:sz="4" w:space="0" w:color="auto"/>
            </w:tcBorders>
            <w:shd w:val="clear" w:color="auto" w:fill="auto"/>
            <w:vAlign w:val="center"/>
            <w:hideMark/>
          </w:tcPr>
          <w:p w14:paraId="2F330EA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600,000</w:t>
            </w:r>
          </w:p>
        </w:tc>
        <w:tc>
          <w:tcPr>
            <w:tcW w:w="163" w:type="pct"/>
            <w:tcBorders>
              <w:top w:val="nil"/>
              <w:left w:val="nil"/>
              <w:bottom w:val="single" w:sz="4" w:space="0" w:color="auto"/>
              <w:right w:val="single" w:sz="4" w:space="0" w:color="auto"/>
            </w:tcBorders>
            <w:shd w:val="clear" w:color="auto" w:fill="auto"/>
            <w:vAlign w:val="center"/>
            <w:hideMark/>
          </w:tcPr>
          <w:p w14:paraId="54C53D5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DCFCA7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600,000</w:t>
            </w:r>
          </w:p>
        </w:tc>
        <w:tc>
          <w:tcPr>
            <w:tcW w:w="163" w:type="pct"/>
            <w:tcBorders>
              <w:top w:val="nil"/>
              <w:left w:val="nil"/>
              <w:bottom w:val="single" w:sz="4" w:space="0" w:color="auto"/>
              <w:right w:val="single" w:sz="4" w:space="0" w:color="auto"/>
            </w:tcBorders>
            <w:shd w:val="clear" w:color="auto" w:fill="auto"/>
            <w:vAlign w:val="center"/>
            <w:hideMark/>
          </w:tcPr>
          <w:p w14:paraId="1796FB1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360,000</w:t>
            </w:r>
          </w:p>
        </w:tc>
        <w:tc>
          <w:tcPr>
            <w:tcW w:w="148" w:type="pct"/>
            <w:tcBorders>
              <w:top w:val="nil"/>
              <w:left w:val="nil"/>
              <w:bottom w:val="single" w:sz="4" w:space="0" w:color="auto"/>
              <w:right w:val="single" w:sz="4" w:space="0" w:color="auto"/>
            </w:tcBorders>
            <w:shd w:val="clear" w:color="auto" w:fill="auto"/>
            <w:vAlign w:val="center"/>
            <w:hideMark/>
          </w:tcPr>
          <w:p w14:paraId="162C771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42E20C0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360,000</w:t>
            </w:r>
          </w:p>
        </w:tc>
        <w:tc>
          <w:tcPr>
            <w:tcW w:w="165" w:type="pct"/>
            <w:tcBorders>
              <w:top w:val="nil"/>
              <w:left w:val="nil"/>
              <w:bottom w:val="single" w:sz="4" w:space="0" w:color="auto"/>
              <w:right w:val="single" w:sz="4" w:space="0" w:color="auto"/>
            </w:tcBorders>
            <w:shd w:val="clear" w:color="auto" w:fill="auto"/>
            <w:vAlign w:val="center"/>
            <w:hideMark/>
          </w:tcPr>
          <w:p w14:paraId="74F4D58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2,880,000</w:t>
            </w:r>
          </w:p>
        </w:tc>
        <w:tc>
          <w:tcPr>
            <w:tcW w:w="163" w:type="pct"/>
            <w:tcBorders>
              <w:top w:val="nil"/>
              <w:left w:val="nil"/>
              <w:bottom w:val="single" w:sz="4" w:space="0" w:color="auto"/>
              <w:right w:val="single" w:sz="4" w:space="0" w:color="auto"/>
            </w:tcBorders>
            <w:shd w:val="clear" w:color="auto" w:fill="auto"/>
            <w:vAlign w:val="center"/>
            <w:hideMark/>
          </w:tcPr>
          <w:p w14:paraId="6FB0FD4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73F1673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2,880,000</w:t>
            </w:r>
          </w:p>
        </w:tc>
        <w:tc>
          <w:tcPr>
            <w:tcW w:w="163" w:type="pct"/>
            <w:tcBorders>
              <w:top w:val="nil"/>
              <w:left w:val="nil"/>
              <w:bottom w:val="single" w:sz="4" w:space="0" w:color="auto"/>
              <w:right w:val="single" w:sz="4" w:space="0" w:color="auto"/>
            </w:tcBorders>
            <w:shd w:val="clear" w:color="auto" w:fill="auto"/>
            <w:vAlign w:val="center"/>
            <w:hideMark/>
          </w:tcPr>
          <w:p w14:paraId="0F12259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4637EB2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6A44982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648DBC0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2,880,000</w:t>
            </w:r>
          </w:p>
        </w:tc>
        <w:tc>
          <w:tcPr>
            <w:tcW w:w="155" w:type="pct"/>
            <w:tcBorders>
              <w:top w:val="nil"/>
              <w:left w:val="nil"/>
              <w:bottom w:val="single" w:sz="4" w:space="0" w:color="auto"/>
              <w:right w:val="single" w:sz="4" w:space="0" w:color="auto"/>
            </w:tcBorders>
            <w:shd w:val="clear" w:color="auto" w:fill="auto"/>
            <w:vAlign w:val="center"/>
            <w:hideMark/>
          </w:tcPr>
          <w:p w14:paraId="2C722FC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33A0C99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EUAA</w:t>
            </w:r>
          </w:p>
        </w:tc>
        <w:tc>
          <w:tcPr>
            <w:tcW w:w="163" w:type="pct"/>
            <w:tcBorders>
              <w:top w:val="nil"/>
              <w:left w:val="nil"/>
              <w:bottom w:val="single" w:sz="4" w:space="0" w:color="auto"/>
              <w:right w:val="single" w:sz="4" w:space="0" w:color="auto"/>
            </w:tcBorders>
            <w:shd w:val="clear" w:color="000000" w:fill="FFF2CC"/>
            <w:vAlign w:val="center"/>
            <w:hideMark/>
          </w:tcPr>
          <w:p w14:paraId="3A62012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2,880,000</w:t>
            </w:r>
          </w:p>
        </w:tc>
        <w:tc>
          <w:tcPr>
            <w:tcW w:w="139" w:type="pct"/>
            <w:tcBorders>
              <w:top w:val="nil"/>
              <w:left w:val="nil"/>
              <w:bottom w:val="single" w:sz="4" w:space="0" w:color="auto"/>
              <w:right w:val="single" w:sz="4" w:space="0" w:color="auto"/>
            </w:tcBorders>
            <w:shd w:val="clear" w:color="auto" w:fill="auto"/>
            <w:vAlign w:val="center"/>
            <w:hideMark/>
          </w:tcPr>
          <w:p w14:paraId="5CD29BC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16AE984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4315A39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30323EC9" w14:textId="7F4D6A0B"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6DB09B13" w14:textId="77777777" w:rsidTr="00C260C3">
        <w:trPr>
          <w:trHeight w:val="20"/>
        </w:trPr>
        <w:tc>
          <w:tcPr>
            <w:tcW w:w="131" w:type="pct"/>
            <w:tcBorders>
              <w:top w:val="nil"/>
              <w:left w:val="single" w:sz="4" w:space="0" w:color="auto"/>
              <w:bottom w:val="single" w:sz="4" w:space="0" w:color="auto"/>
              <w:right w:val="single" w:sz="4" w:space="0" w:color="auto"/>
            </w:tcBorders>
            <w:shd w:val="clear" w:color="000000" w:fill="D9D9D9"/>
            <w:vAlign w:val="center"/>
            <w:hideMark/>
          </w:tcPr>
          <w:p w14:paraId="0AC45BC1"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4.1.3</w:t>
            </w:r>
          </w:p>
        </w:tc>
        <w:tc>
          <w:tcPr>
            <w:tcW w:w="281" w:type="pct"/>
            <w:tcBorders>
              <w:top w:val="nil"/>
              <w:left w:val="nil"/>
              <w:bottom w:val="single" w:sz="4" w:space="0" w:color="auto"/>
              <w:right w:val="single" w:sz="4" w:space="0" w:color="auto"/>
            </w:tcBorders>
            <w:shd w:val="clear" w:color="000000" w:fill="D9D9D9"/>
            <w:vAlign w:val="center"/>
            <w:hideMark/>
          </w:tcPr>
          <w:p w14:paraId="2A00B1E3" w14:textId="48F1E5B0"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xml:space="preserve">4.1.3 Rritja e </w:t>
            </w:r>
            <w:r w:rsidR="00E92B0D" w:rsidRPr="00B457F5">
              <w:rPr>
                <w:rFonts w:ascii="Garamond" w:eastAsia="Times New Roman" w:hAnsi="Garamond" w:cs="Times New Roman"/>
                <w:b/>
                <w:bCs/>
                <w:color w:val="000000"/>
                <w:sz w:val="4"/>
                <w:szCs w:val="10"/>
              </w:rPr>
              <w:t>kapaciteteve</w:t>
            </w:r>
            <w:r w:rsidRPr="00B457F5">
              <w:rPr>
                <w:rFonts w:ascii="Garamond" w:eastAsia="Times New Roman" w:hAnsi="Garamond" w:cs="Times New Roman"/>
                <w:b/>
                <w:bCs/>
                <w:color w:val="000000"/>
                <w:sz w:val="4"/>
                <w:szCs w:val="10"/>
              </w:rPr>
              <w:t xml:space="preserve"> të stafit përgjegjës për procedurat e azilit </w:t>
            </w:r>
          </w:p>
        </w:tc>
        <w:tc>
          <w:tcPr>
            <w:tcW w:w="186" w:type="pct"/>
            <w:tcBorders>
              <w:top w:val="nil"/>
              <w:left w:val="nil"/>
              <w:bottom w:val="single" w:sz="4" w:space="0" w:color="auto"/>
              <w:right w:val="single" w:sz="4" w:space="0" w:color="auto"/>
            </w:tcBorders>
            <w:shd w:val="clear" w:color="000000" w:fill="D9D9D9"/>
            <w:vAlign w:val="center"/>
            <w:hideMark/>
          </w:tcPr>
          <w:p w14:paraId="77B522D5" w14:textId="00A1F4D2"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01110 Planifikimi, Menaxhimi dhe Administrimi (16), 03310 Buxheti </w:t>
            </w:r>
            <w:r w:rsidR="00E92B0D" w:rsidRPr="00B457F5">
              <w:rPr>
                <w:rFonts w:ascii="Garamond" w:eastAsia="Times New Roman" w:hAnsi="Garamond" w:cs="Times New Roman"/>
                <w:color w:val="FF0000"/>
                <w:sz w:val="4"/>
                <w:szCs w:val="10"/>
              </w:rPr>
              <w:t>Gjyqësor</w:t>
            </w:r>
            <w:r w:rsidRPr="00B457F5">
              <w:rPr>
                <w:rFonts w:ascii="Garamond" w:eastAsia="Times New Roman" w:hAnsi="Garamond" w:cs="Times New Roman"/>
                <w:color w:val="FF0000"/>
                <w:sz w:val="4"/>
                <w:szCs w:val="10"/>
              </w:rPr>
              <w:t xml:space="preserve"> (29)</w:t>
            </w:r>
          </w:p>
        </w:tc>
        <w:tc>
          <w:tcPr>
            <w:tcW w:w="169" w:type="pct"/>
            <w:tcBorders>
              <w:top w:val="nil"/>
              <w:left w:val="nil"/>
              <w:bottom w:val="single" w:sz="4" w:space="0" w:color="auto"/>
              <w:right w:val="single" w:sz="4" w:space="0" w:color="auto"/>
            </w:tcBorders>
            <w:shd w:val="clear" w:color="000000" w:fill="D9D9D9"/>
            <w:vAlign w:val="center"/>
            <w:hideMark/>
          </w:tcPr>
          <w:p w14:paraId="7B064F9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 KLGJ</w:t>
            </w:r>
          </w:p>
        </w:tc>
        <w:tc>
          <w:tcPr>
            <w:tcW w:w="244" w:type="pct"/>
            <w:tcBorders>
              <w:top w:val="nil"/>
              <w:left w:val="nil"/>
              <w:bottom w:val="single" w:sz="4" w:space="0" w:color="auto"/>
              <w:right w:val="single" w:sz="4" w:space="0" w:color="auto"/>
            </w:tcBorders>
            <w:shd w:val="clear" w:color="000000" w:fill="D9D9D9"/>
            <w:vAlign w:val="center"/>
            <w:hideMark/>
          </w:tcPr>
          <w:p w14:paraId="3C29658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Të gjitha ministritë e linjës, MEKI, EUAA, UNHCR</w:t>
            </w:r>
          </w:p>
        </w:tc>
        <w:tc>
          <w:tcPr>
            <w:tcW w:w="135" w:type="pct"/>
            <w:tcBorders>
              <w:top w:val="nil"/>
              <w:left w:val="nil"/>
              <w:bottom w:val="single" w:sz="4" w:space="0" w:color="auto"/>
              <w:right w:val="single" w:sz="4" w:space="0" w:color="auto"/>
            </w:tcBorders>
            <w:shd w:val="clear" w:color="000000" w:fill="D9D9D9"/>
            <w:vAlign w:val="center"/>
            <w:hideMark/>
          </w:tcPr>
          <w:p w14:paraId="1B297D29"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9D9D9"/>
            <w:vAlign w:val="center"/>
            <w:hideMark/>
          </w:tcPr>
          <w:p w14:paraId="21B34472"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000000" w:fill="D9D9D9"/>
            <w:vAlign w:val="center"/>
            <w:hideMark/>
          </w:tcPr>
          <w:p w14:paraId="755585E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5,803,755</w:t>
            </w:r>
          </w:p>
        </w:tc>
        <w:tc>
          <w:tcPr>
            <w:tcW w:w="155" w:type="pct"/>
            <w:tcBorders>
              <w:top w:val="nil"/>
              <w:left w:val="nil"/>
              <w:bottom w:val="single" w:sz="4" w:space="0" w:color="auto"/>
              <w:right w:val="single" w:sz="4" w:space="0" w:color="auto"/>
            </w:tcBorders>
            <w:shd w:val="clear" w:color="000000" w:fill="D9D9D9"/>
            <w:vAlign w:val="center"/>
            <w:hideMark/>
          </w:tcPr>
          <w:p w14:paraId="6CFDF8F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664592E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5,803,755</w:t>
            </w:r>
          </w:p>
        </w:tc>
        <w:tc>
          <w:tcPr>
            <w:tcW w:w="165" w:type="pct"/>
            <w:tcBorders>
              <w:top w:val="nil"/>
              <w:left w:val="nil"/>
              <w:bottom w:val="single" w:sz="4" w:space="0" w:color="auto"/>
              <w:right w:val="single" w:sz="4" w:space="0" w:color="auto"/>
            </w:tcBorders>
            <w:shd w:val="clear" w:color="000000" w:fill="D9D9D9"/>
            <w:vAlign w:val="center"/>
            <w:hideMark/>
          </w:tcPr>
          <w:p w14:paraId="1622243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3,913,755</w:t>
            </w:r>
          </w:p>
        </w:tc>
        <w:tc>
          <w:tcPr>
            <w:tcW w:w="163" w:type="pct"/>
            <w:tcBorders>
              <w:top w:val="nil"/>
              <w:left w:val="nil"/>
              <w:bottom w:val="single" w:sz="4" w:space="0" w:color="auto"/>
              <w:right w:val="single" w:sz="4" w:space="0" w:color="auto"/>
            </w:tcBorders>
            <w:shd w:val="clear" w:color="000000" w:fill="D9D9D9"/>
            <w:vAlign w:val="center"/>
            <w:hideMark/>
          </w:tcPr>
          <w:p w14:paraId="36D3A8C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70FE6B2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3,913,755</w:t>
            </w:r>
          </w:p>
        </w:tc>
        <w:tc>
          <w:tcPr>
            <w:tcW w:w="163" w:type="pct"/>
            <w:tcBorders>
              <w:top w:val="nil"/>
              <w:left w:val="nil"/>
              <w:bottom w:val="single" w:sz="4" w:space="0" w:color="auto"/>
              <w:right w:val="single" w:sz="4" w:space="0" w:color="auto"/>
            </w:tcBorders>
            <w:shd w:val="clear" w:color="000000" w:fill="D9D9D9"/>
            <w:vAlign w:val="center"/>
            <w:hideMark/>
          </w:tcPr>
          <w:p w14:paraId="6B618BF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3,913,755</w:t>
            </w:r>
          </w:p>
        </w:tc>
        <w:tc>
          <w:tcPr>
            <w:tcW w:w="148" w:type="pct"/>
            <w:tcBorders>
              <w:top w:val="nil"/>
              <w:left w:val="nil"/>
              <w:bottom w:val="single" w:sz="4" w:space="0" w:color="auto"/>
              <w:right w:val="single" w:sz="4" w:space="0" w:color="auto"/>
            </w:tcBorders>
            <w:shd w:val="clear" w:color="000000" w:fill="D9D9D9"/>
            <w:vAlign w:val="center"/>
            <w:hideMark/>
          </w:tcPr>
          <w:p w14:paraId="1844341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0B8E2AD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3,913,755</w:t>
            </w:r>
          </w:p>
        </w:tc>
        <w:tc>
          <w:tcPr>
            <w:tcW w:w="165" w:type="pct"/>
            <w:tcBorders>
              <w:top w:val="nil"/>
              <w:left w:val="nil"/>
              <w:bottom w:val="single" w:sz="4" w:space="0" w:color="auto"/>
              <w:right w:val="single" w:sz="4" w:space="0" w:color="auto"/>
            </w:tcBorders>
            <w:shd w:val="clear" w:color="000000" w:fill="D9D9D9"/>
            <w:vAlign w:val="center"/>
            <w:hideMark/>
          </w:tcPr>
          <w:p w14:paraId="680E82E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13,631,265</w:t>
            </w:r>
          </w:p>
        </w:tc>
        <w:tc>
          <w:tcPr>
            <w:tcW w:w="163" w:type="pct"/>
            <w:tcBorders>
              <w:top w:val="nil"/>
              <w:left w:val="nil"/>
              <w:bottom w:val="single" w:sz="4" w:space="0" w:color="auto"/>
              <w:right w:val="single" w:sz="4" w:space="0" w:color="auto"/>
            </w:tcBorders>
            <w:shd w:val="clear" w:color="000000" w:fill="D9D9D9"/>
            <w:vAlign w:val="center"/>
            <w:hideMark/>
          </w:tcPr>
          <w:p w14:paraId="0FC18B8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D9D9D9"/>
            <w:vAlign w:val="center"/>
            <w:hideMark/>
          </w:tcPr>
          <w:p w14:paraId="0F11795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13,631,265</w:t>
            </w:r>
          </w:p>
        </w:tc>
        <w:tc>
          <w:tcPr>
            <w:tcW w:w="163" w:type="pct"/>
            <w:tcBorders>
              <w:top w:val="nil"/>
              <w:left w:val="nil"/>
              <w:bottom w:val="single" w:sz="4" w:space="0" w:color="auto"/>
              <w:right w:val="single" w:sz="4" w:space="0" w:color="auto"/>
            </w:tcBorders>
            <w:shd w:val="clear" w:color="000000" w:fill="D9D9D9"/>
            <w:vAlign w:val="center"/>
            <w:hideMark/>
          </w:tcPr>
          <w:p w14:paraId="2C685E7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8,353,665</w:t>
            </w:r>
          </w:p>
        </w:tc>
        <w:tc>
          <w:tcPr>
            <w:tcW w:w="155" w:type="pct"/>
            <w:tcBorders>
              <w:top w:val="nil"/>
              <w:left w:val="nil"/>
              <w:bottom w:val="single" w:sz="4" w:space="0" w:color="auto"/>
              <w:right w:val="single" w:sz="4" w:space="0" w:color="auto"/>
            </w:tcBorders>
            <w:shd w:val="clear" w:color="000000" w:fill="D9D9D9"/>
            <w:vAlign w:val="center"/>
            <w:hideMark/>
          </w:tcPr>
          <w:p w14:paraId="3AFCB1A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0B37426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8,353,665</w:t>
            </w:r>
          </w:p>
        </w:tc>
        <w:tc>
          <w:tcPr>
            <w:tcW w:w="162" w:type="pct"/>
            <w:tcBorders>
              <w:top w:val="nil"/>
              <w:left w:val="nil"/>
              <w:bottom w:val="single" w:sz="4" w:space="0" w:color="auto"/>
              <w:right w:val="single" w:sz="4" w:space="0" w:color="auto"/>
            </w:tcBorders>
            <w:shd w:val="clear" w:color="000000" w:fill="D9D9D9"/>
            <w:vAlign w:val="center"/>
            <w:hideMark/>
          </w:tcPr>
          <w:p w14:paraId="61FA7BB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5,277,600</w:t>
            </w:r>
          </w:p>
        </w:tc>
        <w:tc>
          <w:tcPr>
            <w:tcW w:w="155" w:type="pct"/>
            <w:tcBorders>
              <w:top w:val="nil"/>
              <w:left w:val="nil"/>
              <w:bottom w:val="single" w:sz="4" w:space="0" w:color="auto"/>
              <w:right w:val="single" w:sz="4" w:space="0" w:color="auto"/>
            </w:tcBorders>
            <w:shd w:val="clear" w:color="000000" w:fill="D9D9D9"/>
            <w:vAlign w:val="center"/>
            <w:hideMark/>
          </w:tcPr>
          <w:p w14:paraId="6169450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000000" w:fill="D9D9D9"/>
            <w:vAlign w:val="center"/>
            <w:hideMark/>
          </w:tcPr>
          <w:p w14:paraId="1E8A92D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4530CFE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5,277,600</w:t>
            </w:r>
          </w:p>
        </w:tc>
        <w:tc>
          <w:tcPr>
            <w:tcW w:w="139" w:type="pct"/>
            <w:tcBorders>
              <w:top w:val="nil"/>
              <w:left w:val="nil"/>
              <w:bottom w:val="single" w:sz="4" w:space="0" w:color="auto"/>
              <w:right w:val="single" w:sz="4" w:space="0" w:color="auto"/>
            </w:tcBorders>
            <w:shd w:val="clear" w:color="000000" w:fill="D9D9D9"/>
            <w:vAlign w:val="center"/>
            <w:hideMark/>
          </w:tcPr>
          <w:p w14:paraId="7CA56DF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000000" w:fill="D9D9D9"/>
            <w:vAlign w:val="center"/>
            <w:hideMark/>
          </w:tcPr>
          <w:p w14:paraId="7177B54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D9D9D9"/>
            <w:vAlign w:val="center"/>
            <w:hideMark/>
          </w:tcPr>
          <w:p w14:paraId="18715E7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000000" w:fill="D9D9D9"/>
            <w:vAlign w:val="center"/>
            <w:hideMark/>
          </w:tcPr>
          <w:p w14:paraId="5041218A" w14:textId="57EA1C35"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 - </w:t>
            </w:r>
          </w:p>
        </w:tc>
      </w:tr>
      <w:tr w:rsidR="00C260C3" w:rsidRPr="00B457F5" w14:paraId="00659B56"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2B3A0FFB" w14:textId="77777777"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4.1.3.1</w:t>
            </w:r>
          </w:p>
        </w:tc>
        <w:tc>
          <w:tcPr>
            <w:tcW w:w="281" w:type="pct"/>
            <w:tcBorders>
              <w:top w:val="nil"/>
              <w:left w:val="nil"/>
              <w:bottom w:val="single" w:sz="4" w:space="0" w:color="auto"/>
              <w:right w:val="single" w:sz="4" w:space="0" w:color="auto"/>
            </w:tcBorders>
            <w:shd w:val="clear" w:color="auto" w:fill="auto"/>
            <w:vAlign w:val="center"/>
            <w:hideMark/>
          </w:tcPr>
          <w:p w14:paraId="6D83CF32" w14:textId="02974FB6"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4.1.3.1 Organizimi i trajnimeve të vazhdueshme të oficerëve në kufi lidhur me aksesin në procedurat e azilit</w:t>
            </w:r>
          </w:p>
        </w:tc>
        <w:tc>
          <w:tcPr>
            <w:tcW w:w="186" w:type="pct"/>
            <w:tcBorders>
              <w:top w:val="nil"/>
              <w:left w:val="nil"/>
              <w:bottom w:val="single" w:sz="4" w:space="0" w:color="auto"/>
              <w:right w:val="single" w:sz="4" w:space="0" w:color="auto"/>
            </w:tcBorders>
            <w:shd w:val="clear" w:color="auto" w:fill="auto"/>
            <w:vAlign w:val="center"/>
            <w:hideMark/>
          </w:tcPr>
          <w:p w14:paraId="74B0A826"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382FA4B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 MB </w:t>
            </w:r>
          </w:p>
        </w:tc>
        <w:tc>
          <w:tcPr>
            <w:tcW w:w="244" w:type="pct"/>
            <w:tcBorders>
              <w:top w:val="nil"/>
              <w:left w:val="nil"/>
              <w:bottom w:val="single" w:sz="4" w:space="0" w:color="auto"/>
              <w:right w:val="single" w:sz="4" w:space="0" w:color="auto"/>
            </w:tcBorders>
            <w:shd w:val="clear" w:color="auto" w:fill="auto"/>
            <w:vAlign w:val="center"/>
            <w:hideMark/>
          </w:tcPr>
          <w:p w14:paraId="16CF553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EUAA, UNHCR</w:t>
            </w:r>
          </w:p>
        </w:tc>
        <w:tc>
          <w:tcPr>
            <w:tcW w:w="135" w:type="pct"/>
            <w:tcBorders>
              <w:top w:val="nil"/>
              <w:left w:val="nil"/>
              <w:bottom w:val="single" w:sz="4" w:space="0" w:color="auto"/>
              <w:right w:val="single" w:sz="4" w:space="0" w:color="auto"/>
            </w:tcBorders>
            <w:shd w:val="clear" w:color="000000" w:fill="DDEBF7"/>
            <w:vAlign w:val="center"/>
            <w:hideMark/>
          </w:tcPr>
          <w:p w14:paraId="2B04795E"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65B0DDF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4D3F5BB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532,800</w:t>
            </w:r>
          </w:p>
        </w:tc>
        <w:tc>
          <w:tcPr>
            <w:tcW w:w="155" w:type="pct"/>
            <w:tcBorders>
              <w:top w:val="nil"/>
              <w:left w:val="nil"/>
              <w:bottom w:val="single" w:sz="4" w:space="0" w:color="auto"/>
              <w:right w:val="single" w:sz="4" w:space="0" w:color="auto"/>
            </w:tcBorders>
            <w:shd w:val="clear" w:color="auto" w:fill="auto"/>
            <w:vAlign w:val="center"/>
            <w:hideMark/>
          </w:tcPr>
          <w:p w14:paraId="12AF3EC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6808E97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532,800</w:t>
            </w:r>
          </w:p>
        </w:tc>
        <w:tc>
          <w:tcPr>
            <w:tcW w:w="165" w:type="pct"/>
            <w:tcBorders>
              <w:top w:val="nil"/>
              <w:left w:val="nil"/>
              <w:bottom w:val="single" w:sz="4" w:space="0" w:color="auto"/>
              <w:right w:val="single" w:sz="4" w:space="0" w:color="auto"/>
            </w:tcBorders>
            <w:shd w:val="clear" w:color="auto" w:fill="auto"/>
            <w:vAlign w:val="center"/>
            <w:hideMark/>
          </w:tcPr>
          <w:p w14:paraId="38F1F79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532,800</w:t>
            </w:r>
          </w:p>
        </w:tc>
        <w:tc>
          <w:tcPr>
            <w:tcW w:w="163" w:type="pct"/>
            <w:tcBorders>
              <w:top w:val="nil"/>
              <w:left w:val="nil"/>
              <w:bottom w:val="single" w:sz="4" w:space="0" w:color="auto"/>
              <w:right w:val="single" w:sz="4" w:space="0" w:color="auto"/>
            </w:tcBorders>
            <w:shd w:val="clear" w:color="auto" w:fill="auto"/>
            <w:vAlign w:val="center"/>
            <w:hideMark/>
          </w:tcPr>
          <w:p w14:paraId="35B32E0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35F9666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532,800</w:t>
            </w:r>
          </w:p>
        </w:tc>
        <w:tc>
          <w:tcPr>
            <w:tcW w:w="163" w:type="pct"/>
            <w:tcBorders>
              <w:top w:val="nil"/>
              <w:left w:val="nil"/>
              <w:bottom w:val="single" w:sz="4" w:space="0" w:color="auto"/>
              <w:right w:val="single" w:sz="4" w:space="0" w:color="auto"/>
            </w:tcBorders>
            <w:shd w:val="clear" w:color="auto" w:fill="auto"/>
            <w:vAlign w:val="center"/>
            <w:hideMark/>
          </w:tcPr>
          <w:p w14:paraId="3BDB8A6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532,800</w:t>
            </w:r>
          </w:p>
        </w:tc>
        <w:tc>
          <w:tcPr>
            <w:tcW w:w="148" w:type="pct"/>
            <w:tcBorders>
              <w:top w:val="nil"/>
              <w:left w:val="nil"/>
              <w:bottom w:val="single" w:sz="4" w:space="0" w:color="auto"/>
              <w:right w:val="single" w:sz="4" w:space="0" w:color="auto"/>
            </w:tcBorders>
            <w:shd w:val="clear" w:color="auto" w:fill="auto"/>
            <w:vAlign w:val="center"/>
            <w:hideMark/>
          </w:tcPr>
          <w:p w14:paraId="7058DE8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1C5E478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532,800</w:t>
            </w:r>
          </w:p>
        </w:tc>
        <w:tc>
          <w:tcPr>
            <w:tcW w:w="165" w:type="pct"/>
            <w:tcBorders>
              <w:top w:val="nil"/>
              <w:left w:val="nil"/>
              <w:bottom w:val="single" w:sz="4" w:space="0" w:color="auto"/>
              <w:right w:val="single" w:sz="4" w:space="0" w:color="auto"/>
            </w:tcBorders>
            <w:shd w:val="clear" w:color="auto" w:fill="auto"/>
            <w:vAlign w:val="center"/>
            <w:hideMark/>
          </w:tcPr>
          <w:p w14:paraId="67EAAF0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1,598,400</w:t>
            </w:r>
          </w:p>
        </w:tc>
        <w:tc>
          <w:tcPr>
            <w:tcW w:w="163" w:type="pct"/>
            <w:tcBorders>
              <w:top w:val="nil"/>
              <w:left w:val="nil"/>
              <w:bottom w:val="single" w:sz="4" w:space="0" w:color="auto"/>
              <w:right w:val="single" w:sz="4" w:space="0" w:color="auto"/>
            </w:tcBorders>
            <w:shd w:val="clear" w:color="auto" w:fill="auto"/>
            <w:vAlign w:val="center"/>
            <w:hideMark/>
          </w:tcPr>
          <w:p w14:paraId="3149871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6CD07E9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1,598,400</w:t>
            </w:r>
          </w:p>
        </w:tc>
        <w:tc>
          <w:tcPr>
            <w:tcW w:w="163" w:type="pct"/>
            <w:tcBorders>
              <w:top w:val="nil"/>
              <w:left w:val="nil"/>
              <w:bottom w:val="single" w:sz="4" w:space="0" w:color="auto"/>
              <w:right w:val="single" w:sz="4" w:space="0" w:color="auto"/>
            </w:tcBorders>
            <w:shd w:val="clear" w:color="auto" w:fill="auto"/>
            <w:vAlign w:val="center"/>
            <w:hideMark/>
          </w:tcPr>
          <w:p w14:paraId="1595E6D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32C47F9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3760CA3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173B209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1,598,400</w:t>
            </w:r>
          </w:p>
        </w:tc>
        <w:tc>
          <w:tcPr>
            <w:tcW w:w="155" w:type="pct"/>
            <w:tcBorders>
              <w:top w:val="nil"/>
              <w:left w:val="nil"/>
              <w:bottom w:val="single" w:sz="4" w:space="0" w:color="auto"/>
              <w:right w:val="single" w:sz="4" w:space="0" w:color="auto"/>
            </w:tcBorders>
            <w:shd w:val="clear" w:color="auto" w:fill="auto"/>
            <w:vAlign w:val="center"/>
            <w:hideMark/>
          </w:tcPr>
          <w:p w14:paraId="525EDF1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1CA0FD6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EUAA, UNHCR</w:t>
            </w:r>
          </w:p>
        </w:tc>
        <w:tc>
          <w:tcPr>
            <w:tcW w:w="163" w:type="pct"/>
            <w:tcBorders>
              <w:top w:val="nil"/>
              <w:left w:val="nil"/>
              <w:bottom w:val="single" w:sz="4" w:space="0" w:color="auto"/>
              <w:right w:val="single" w:sz="4" w:space="0" w:color="auto"/>
            </w:tcBorders>
            <w:shd w:val="clear" w:color="000000" w:fill="FFF2CC"/>
            <w:vAlign w:val="center"/>
            <w:hideMark/>
          </w:tcPr>
          <w:p w14:paraId="6725100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1,598,400</w:t>
            </w:r>
          </w:p>
        </w:tc>
        <w:tc>
          <w:tcPr>
            <w:tcW w:w="139" w:type="pct"/>
            <w:tcBorders>
              <w:top w:val="nil"/>
              <w:left w:val="nil"/>
              <w:bottom w:val="single" w:sz="4" w:space="0" w:color="auto"/>
              <w:right w:val="single" w:sz="4" w:space="0" w:color="auto"/>
            </w:tcBorders>
            <w:shd w:val="clear" w:color="auto" w:fill="auto"/>
            <w:vAlign w:val="center"/>
            <w:hideMark/>
          </w:tcPr>
          <w:p w14:paraId="13E5F48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77E2BA2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500C659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06A1988A" w14:textId="4B4912F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042781DB"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5504E45E" w14:textId="77777777"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4.1.3.2</w:t>
            </w:r>
          </w:p>
        </w:tc>
        <w:tc>
          <w:tcPr>
            <w:tcW w:w="281" w:type="pct"/>
            <w:tcBorders>
              <w:top w:val="nil"/>
              <w:left w:val="nil"/>
              <w:bottom w:val="single" w:sz="4" w:space="0" w:color="auto"/>
              <w:right w:val="single" w:sz="4" w:space="0" w:color="auto"/>
            </w:tcBorders>
            <w:shd w:val="clear" w:color="auto" w:fill="auto"/>
            <w:vAlign w:val="center"/>
            <w:hideMark/>
          </w:tcPr>
          <w:p w14:paraId="37B9D7D9" w14:textId="1540C619"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4.1.3.2 Rritja e aftësive teknike të anëtarëve të Komisionit Kombëtar për Azilin dhe Refugjatët për Mbrojtjen Ndërkombëtare. Organizimi i trajnimeve të vazhdueshme të autoritetit për azilin për shqyrtimin e aplikimeve dhe marrjen e vendimeve</w:t>
            </w:r>
            <w:r w:rsidR="00AF12C0" w:rsidRPr="00B457F5">
              <w:rPr>
                <w:rFonts w:ascii="Garamond" w:eastAsia="Times New Roman" w:hAnsi="Garamond" w:cs="Times New Roman"/>
                <w:sz w:val="4"/>
                <w:szCs w:val="10"/>
              </w:rPr>
              <w:t>.</w:t>
            </w:r>
          </w:p>
        </w:tc>
        <w:tc>
          <w:tcPr>
            <w:tcW w:w="186" w:type="pct"/>
            <w:tcBorders>
              <w:top w:val="nil"/>
              <w:left w:val="nil"/>
              <w:bottom w:val="single" w:sz="4" w:space="0" w:color="auto"/>
              <w:right w:val="single" w:sz="4" w:space="0" w:color="auto"/>
            </w:tcBorders>
            <w:shd w:val="clear" w:color="auto" w:fill="auto"/>
            <w:vAlign w:val="center"/>
            <w:hideMark/>
          </w:tcPr>
          <w:p w14:paraId="6F9A5EB2"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102FBBB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 MB </w:t>
            </w:r>
          </w:p>
        </w:tc>
        <w:tc>
          <w:tcPr>
            <w:tcW w:w="244" w:type="pct"/>
            <w:tcBorders>
              <w:top w:val="nil"/>
              <w:left w:val="nil"/>
              <w:bottom w:val="single" w:sz="4" w:space="0" w:color="auto"/>
              <w:right w:val="single" w:sz="4" w:space="0" w:color="auto"/>
            </w:tcBorders>
            <w:shd w:val="clear" w:color="auto" w:fill="auto"/>
            <w:vAlign w:val="center"/>
            <w:hideMark/>
          </w:tcPr>
          <w:p w14:paraId="1241286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EUAA, UNHCR</w:t>
            </w:r>
          </w:p>
        </w:tc>
        <w:tc>
          <w:tcPr>
            <w:tcW w:w="135" w:type="pct"/>
            <w:tcBorders>
              <w:top w:val="nil"/>
              <w:left w:val="nil"/>
              <w:bottom w:val="single" w:sz="4" w:space="0" w:color="auto"/>
              <w:right w:val="single" w:sz="4" w:space="0" w:color="auto"/>
            </w:tcBorders>
            <w:shd w:val="clear" w:color="000000" w:fill="DDEBF7"/>
            <w:vAlign w:val="center"/>
            <w:hideMark/>
          </w:tcPr>
          <w:p w14:paraId="68B8F2B4"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1A43CF1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366B735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350,400</w:t>
            </w:r>
          </w:p>
        </w:tc>
        <w:tc>
          <w:tcPr>
            <w:tcW w:w="155" w:type="pct"/>
            <w:tcBorders>
              <w:top w:val="nil"/>
              <w:left w:val="nil"/>
              <w:bottom w:val="single" w:sz="4" w:space="0" w:color="auto"/>
              <w:right w:val="single" w:sz="4" w:space="0" w:color="auto"/>
            </w:tcBorders>
            <w:shd w:val="clear" w:color="auto" w:fill="auto"/>
            <w:vAlign w:val="center"/>
            <w:hideMark/>
          </w:tcPr>
          <w:p w14:paraId="5334212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11E9960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350,400</w:t>
            </w:r>
          </w:p>
        </w:tc>
        <w:tc>
          <w:tcPr>
            <w:tcW w:w="165" w:type="pct"/>
            <w:tcBorders>
              <w:top w:val="nil"/>
              <w:left w:val="nil"/>
              <w:bottom w:val="single" w:sz="4" w:space="0" w:color="auto"/>
              <w:right w:val="single" w:sz="4" w:space="0" w:color="auto"/>
            </w:tcBorders>
            <w:shd w:val="clear" w:color="auto" w:fill="auto"/>
            <w:vAlign w:val="center"/>
            <w:hideMark/>
          </w:tcPr>
          <w:p w14:paraId="492CC2B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350,400</w:t>
            </w:r>
          </w:p>
        </w:tc>
        <w:tc>
          <w:tcPr>
            <w:tcW w:w="163" w:type="pct"/>
            <w:tcBorders>
              <w:top w:val="nil"/>
              <w:left w:val="nil"/>
              <w:bottom w:val="single" w:sz="4" w:space="0" w:color="auto"/>
              <w:right w:val="single" w:sz="4" w:space="0" w:color="auto"/>
            </w:tcBorders>
            <w:shd w:val="clear" w:color="auto" w:fill="auto"/>
            <w:vAlign w:val="center"/>
            <w:hideMark/>
          </w:tcPr>
          <w:p w14:paraId="5535AC5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072217C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350,400</w:t>
            </w:r>
          </w:p>
        </w:tc>
        <w:tc>
          <w:tcPr>
            <w:tcW w:w="163" w:type="pct"/>
            <w:tcBorders>
              <w:top w:val="nil"/>
              <w:left w:val="nil"/>
              <w:bottom w:val="single" w:sz="4" w:space="0" w:color="auto"/>
              <w:right w:val="single" w:sz="4" w:space="0" w:color="auto"/>
            </w:tcBorders>
            <w:shd w:val="clear" w:color="auto" w:fill="auto"/>
            <w:vAlign w:val="center"/>
            <w:hideMark/>
          </w:tcPr>
          <w:p w14:paraId="41F6ABF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350,400</w:t>
            </w:r>
          </w:p>
        </w:tc>
        <w:tc>
          <w:tcPr>
            <w:tcW w:w="148" w:type="pct"/>
            <w:tcBorders>
              <w:top w:val="nil"/>
              <w:left w:val="nil"/>
              <w:bottom w:val="single" w:sz="4" w:space="0" w:color="auto"/>
              <w:right w:val="single" w:sz="4" w:space="0" w:color="auto"/>
            </w:tcBorders>
            <w:shd w:val="clear" w:color="auto" w:fill="auto"/>
            <w:vAlign w:val="center"/>
            <w:hideMark/>
          </w:tcPr>
          <w:p w14:paraId="2F2F326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40ADDBA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350,400</w:t>
            </w:r>
          </w:p>
        </w:tc>
        <w:tc>
          <w:tcPr>
            <w:tcW w:w="165" w:type="pct"/>
            <w:tcBorders>
              <w:top w:val="nil"/>
              <w:left w:val="nil"/>
              <w:bottom w:val="single" w:sz="4" w:space="0" w:color="auto"/>
              <w:right w:val="single" w:sz="4" w:space="0" w:color="auto"/>
            </w:tcBorders>
            <w:shd w:val="clear" w:color="auto" w:fill="auto"/>
            <w:vAlign w:val="center"/>
            <w:hideMark/>
          </w:tcPr>
          <w:p w14:paraId="68CFA87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1,051,200</w:t>
            </w:r>
          </w:p>
        </w:tc>
        <w:tc>
          <w:tcPr>
            <w:tcW w:w="163" w:type="pct"/>
            <w:tcBorders>
              <w:top w:val="nil"/>
              <w:left w:val="nil"/>
              <w:bottom w:val="single" w:sz="4" w:space="0" w:color="auto"/>
              <w:right w:val="single" w:sz="4" w:space="0" w:color="auto"/>
            </w:tcBorders>
            <w:shd w:val="clear" w:color="auto" w:fill="auto"/>
            <w:vAlign w:val="center"/>
            <w:hideMark/>
          </w:tcPr>
          <w:p w14:paraId="017FF76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2542765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1,051,200</w:t>
            </w:r>
          </w:p>
        </w:tc>
        <w:tc>
          <w:tcPr>
            <w:tcW w:w="163" w:type="pct"/>
            <w:tcBorders>
              <w:top w:val="nil"/>
              <w:left w:val="nil"/>
              <w:bottom w:val="single" w:sz="4" w:space="0" w:color="auto"/>
              <w:right w:val="single" w:sz="4" w:space="0" w:color="auto"/>
            </w:tcBorders>
            <w:shd w:val="clear" w:color="auto" w:fill="auto"/>
            <w:vAlign w:val="center"/>
            <w:hideMark/>
          </w:tcPr>
          <w:p w14:paraId="01C2DE9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2BE23D4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155BD0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714086E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1,051,200</w:t>
            </w:r>
          </w:p>
        </w:tc>
        <w:tc>
          <w:tcPr>
            <w:tcW w:w="155" w:type="pct"/>
            <w:tcBorders>
              <w:top w:val="nil"/>
              <w:left w:val="nil"/>
              <w:bottom w:val="single" w:sz="4" w:space="0" w:color="auto"/>
              <w:right w:val="single" w:sz="4" w:space="0" w:color="auto"/>
            </w:tcBorders>
            <w:shd w:val="clear" w:color="auto" w:fill="auto"/>
            <w:vAlign w:val="center"/>
            <w:hideMark/>
          </w:tcPr>
          <w:p w14:paraId="5384ECB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2D7A8DD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EUAA, UNHCR</w:t>
            </w:r>
          </w:p>
        </w:tc>
        <w:tc>
          <w:tcPr>
            <w:tcW w:w="163" w:type="pct"/>
            <w:tcBorders>
              <w:top w:val="nil"/>
              <w:left w:val="nil"/>
              <w:bottom w:val="single" w:sz="4" w:space="0" w:color="auto"/>
              <w:right w:val="single" w:sz="4" w:space="0" w:color="auto"/>
            </w:tcBorders>
            <w:shd w:val="clear" w:color="000000" w:fill="FFF2CC"/>
            <w:vAlign w:val="center"/>
            <w:hideMark/>
          </w:tcPr>
          <w:p w14:paraId="51A024A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1,051,200</w:t>
            </w:r>
          </w:p>
        </w:tc>
        <w:tc>
          <w:tcPr>
            <w:tcW w:w="139" w:type="pct"/>
            <w:tcBorders>
              <w:top w:val="nil"/>
              <w:left w:val="nil"/>
              <w:bottom w:val="single" w:sz="4" w:space="0" w:color="auto"/>
              <w:right w:val="single" w:sz="4" w:space="0" w:color="auto"/>
            </w:tcBorders>
            <w:shd w:val="clear" w:color="auto" w:fill="auto"/>
            <w:vAlign w:val="center"/>
            <w:hideMark/>
          </w:tcPr>
          <w:p w14:paraId="07AB19A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4A04B0C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30FDAAB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0E8AF6B7" w14:textId="4D697548"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0B14DD29"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7AAD6AF3" w14:textId="77777777"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4.1.3.3</w:t>
            </w:r>
          </w:p>
        </w:tc>
        <w:tc>
          <w:tcPr>
            <w:tcW w:w="281" w:type="pct"/>
            <w:tcBorders>
              <w:top w:val="nil"/>
              <w:left w:val="nil"/>
              <w:bottom w:val="single" w:sz="4" w:space="0" w:color="auto"/>
              <w:right w:val="single" w:sz="4" w:space="0" w:color="auto"/>
            </w:tcBorders>
            <w:shd w:val="clear" w:color="auto" w:fill="auto"/>
            <w:vAlign w:val="center"/>
            <w:hideMark/>
          </w:tcPr>
          <w:p w14:paraId="69ECD58D" w14:textId="77777777"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4.1.3.3 Rritja e numrit të stafit në Drejtorinë për Azilin dhe Shtetësinë në Ministrinë e Brendshme, për shqyrtimin e aplikimeve për azil</w:t>
            </w:r>
          </w:p>
        </w:tc>
        <w:tc>
          <w:tcPr>
            <w:tcW w:w="186" w:type="pct"/>
            <w:tcBorders>
              <w:top w:val="nil"/>
              <w:left w:val="nil"/>
              <w:bottom w:val="single" w:sz="4" w:space="0" w:color="auto"/>
              <w:right w:val="single" w:sz="4" w:space="0" w:color="auto"/>
            </w:tcBorders>
            <w:shd w:val="clear" w:color="auto" w:fill="auto"/>
            <w:vAlign w:val="center"/>
            <w:hideMark/>
          </w:tcPr>
          <w:p w14:paraId="3DC9640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720E55C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2AFD7DD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MEKI</w:t>
            </w:r>
          </w:p>
        </w:tc>
        <w:tc>
          <w:tcPr>
            <w:tcW w:w="135" w:type="pct"/>
            <w:tcBorders>
              <w:top w:val="nil"/>
              <w:left w:val="nil"/>
              <w:bottom w:val="single" w:sz="4" w:space="0" w:color="auto"/>
              <w:right w:val="single" w:sz="4" w:space="0" w:color="auto"/>
            </w:tcBorders>
            <w:shd w:val="clear" w:color="000000" w:fill="DDEBF7"/>
            <w:vAlign w:val="center"/>
            <w:hideMark/>
          </w:tcPr>
          <w:p w14:paraId="59D1BD7B"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5E5EF4BE"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7BE00DC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2,784,555</w:t>
            </w:r>
          </w:p>
        </w:tc>
        <w:tc>
          <w:tcPr>
            <w:tcW w:w="155" w:type="pct"/>
            <w:tcBorders>
              <w:top w:val="nil"/>
              <w:left w:val="nil"/>
              <w:bottom w:val="single" w:sz="4" w:space="0" w:color="auto"/>
              <w:right w:val="single" w:sz="4" w:space="0" w:color="auto"/>
            </w:tcBorders>
            <w:shd w:val="clear" w:color="auto" w:fill="auto"/>
            <w:vAlign w:val="center"/>
            <w:hideMark/>
          </w:tcPr>
          <w:p w14:paraId="5D7DE66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41FC1BF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2,784,555</w:t>
            </w:r>
          </w:p>
        </w:tc>
        <w:tc>
          <w:tcPr>
            <w:tcW w:w="165" w:type="pct"/>
            <w:tcBorders>
              <w:top w:val="nil"/>
              <w:left w:val="nil"/>
              <w:bottom w:val="single" w:sz="4" w:space="0" w:color="auto"/>
              <w:right w:val="single" w:sz="4" w:space="0" w:color="auto"/>
            </w:tcBorders>
            <w:shd w:val="clear" w:color="auto" w:fill="auto"/>
            <w:vAlign w:val="center"/>
            <w:hideMark/>
          </w:tcPr>
          <w:p w14:paraId="7FC893F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2,784,555</w:t>
            </w:r>
          </w:p>
        </w:tc>
        <w:tc>
          <w:tcPr>
            <w:tcW w:w="163" w:type="pct"/>
            <w:tcBorders>
              <w:top w:val="nil"/>
              <w:left w:val="nil"/>
              <w:bottom w:val="single" w:sz="4" w:space="0" w:color="auto"/>
              <w:right w:val="single" w:sz="4" w:space="0" w:color="auto"/>
            </w:tcBorders>
            <w:shd w:val="clear" w:color="auto" w:fill="auto"/>
            <w:vAlign w:val="center"/>
            <w:hideMark/>
          </w:tcPr>
          <w:p w14:paraId="4CE1330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766FC50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2,784,555</w:t>
            </w:r>
          </w:p>
        </w:tc>
        <w:tc>
          <w:tcPr>
            <w:tcW w:w="163" w:type="pct"/>
            <w:tcBorders>
              <w:top w:val="nil"/>
              <w:left w:val="nil"/>
              <w:bottom w:val="single" w:sz="4" w:space="0" w:color="auto"/>
              <w:right w:val="single" w:sz="4" w:space="0" w:color="auto"/>
            </w:tcBorders>
            <w:shd w:val="clear" w:color="auto" w:fill="auto"/>
            <w:vAlign w:val="center"/>
            <w:hideMark/>
          </w:tcPr>
          <w:p w14:paraId="38E742F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2,784,555</w:t>
            </w:r>
          </w:p>
        </w:tc>
        <w:tc>
          <w:tcPr>
            <w:tcW w:w="148" w:type="pct"/>
            <w:tcBorders>
              <w:top w:val="nil"/>
              <w:left w:val="nil"/>
              <w:bottom w:val="single" w:sz="4" w:space="0" w:color="auto"/>
              <w:right w:val="single" w:sz="4" w:space="0" w:color="auto"/>
            </w:tcBorders>
            <w:shd w:val="clear" w:color="auto" w:fill="auto"/>
            <w:vAlign w:val="center"/>
            <w:hideMark/>
          </w:tcPr>
          <w:p w14:paraId="1B00BCE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065B7BC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2,784,555</w:t>
            </w:r>
          </w:p>
        </w:tc>
        <w:tc>
          <w:tcPr>
            <w:tcW w:w="165" w:type="pct"/>
            <w:tcBorders>
              <w:top w:val="nil"/>
              <w:left w:val="nil"/>
              <w:bottom w:val="single" w:sz="4" w:space="0" w:color="auto"/>
              <w:right w:val="single" w:sz="4" w:space="0" w:color="auto"/>
            </w:tcBorders>
            <w:shd w:val="clear" w:color="auto" w:fill="auto"/>
            <w:vAlign w:val="center"/>
            <w:hideMark/>
          </w:tcPr>
          <w:p w14:paraId="7EA7576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8,353,665</w:t>
            </w:r>
          </w:p>
        </w:tc>
        <w:tc>
          <w:tcPr>
            <w:tcW w:w="163" w:type="pct"/>
            <w:tcBorders>
              <w:top w:val="nil"/>
              <w:left w:val="nil"/>
              <w:bottom w:val="single" w:sz="4" w:space="0" w:color="auto"/>
              <w:right w:val="single" w:sz="4" w:space="0" w:color="auto"/>
            </w:tcBorders>
            <w:shd w:val="clear" w:color="auto" w:fill="auto"/>
            <w:vAlign w:val="center"/>
            <w:hideMark/>
          </w:tcPr>
          <w:p w14:paraId="74D1F94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36548B8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8,353,665</w:t>
            </w:r>
          </w:p>
        </w:tc>
        <w:tc>
          <w:tcPr>
            <w:tcW w:w="163" w:type="pct"/>
            <w:tcBorders>
              <w:top w:val="nil"/>
              <w:left w:val="nil"/>
              <w:bottom w:val="single" w:sz="4" w:space="0" w:color="auto"/>
              <w:right w:val="single" w:sz="4" w:space="0" w:color="auto"/>
            </w:tcBorders>
            <w:shd w:val="clear" w:color="auto" w:fill="auto"/>
            <w:vAlign w:val="center"/>
            <w:hideMark/>
          </w:tcPr>
          <w:p w14:paraId="6479B48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8,353,665</w:t>
            </w:r>
          </w:p>
        </w:tc>
        <w:tc>
          <w:tcPr>
            <w:tcW w:w="155" w:type="pct"/>
            <w:tcBorders>
              <w:top w:val="nil"/>
              <w:left w:val="nil"/>
              <w:bottom w:val="single" w:sz="4" w:space="0" w:color="auto"/>
              <w:right w:val="single" w:sz="4" w:space="0" w:color="auto"/>
            </w:tcBorders>
            <w:shd w:val="clear" w:color="auto" w:fill="auto"/>
            <w:vAlign w:val="center"/>
            <w:hideMark/>
          </w:tcPr>
          <w:p w14:paraId="2C105E6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0B01DBA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8,353,665</w:t>
            </w:r>
          </w:p>
        </w:tc>
        <w:tc>
          <w:tcPr>
            <w:tcW w:w="162" w:type="pct"/>
            <w:tcBorders>
              <w:top w:val="nil"/>
              <w:left w:val="nil"/>
              <w:bottom w:val="single" w:sz="4" w:space="0" w:color="auto"/>
              <w:right w:val="single" w:sz="4" w:space="0" w:color="auto"/>
            </w:tcBorders>
            <w:shd w:val="clear" w:color="auto" w:fill="auto"/>
            <w:vAlign w:val="center"/>
            <w:hideMark/>
          </w:tcPr>
          <w:p w14:paraId="6154476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7944C51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5E49C87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4F9B5CC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16444F2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559DA93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1C7099B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26C5BDF3" w14:textId="61C5260B"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6C3F4AC9"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3A75251E" w14:textId="77777777"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4.1.3.4</w:t>
            </w:r>
          </w:p>
        </w:tc>
        <w:tc>
          <w:tcPr>
            <w:tcW w:w="281" w:type="pct"/>
            <w:tcBorders>
              <w:top w:val="nil"/>
              <w:left w:val="nil"/>
              <w:bottom w:val="single" w:sz="4" w:space="0" w:color="auto"/>
              <w:right w:val="single" w:sz="4" w:space="0" w:color="auto"/>
            </w:tcBorders>
            <w:shd w:val="clear" w:color="auto" w:fill="auto"/>
            <w:vAlign w:val="center"/>
            <w:hideMark/>
          </w:tcPr>
          <w:p w14:paraId="3B1DC4B8" w14:textId="77777777"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4.1.3.4 Organizimi i seminareve gjyqësore për gjyqtarët e Gjykatës Administrative për mbrojtjen ndërkombëtare</w:t>
            </w:r>
          </w:p>
        </w:tc>
        <w:tc>
          <w:tcPr>
            <w:tcW w:w="186" w:type="pct"/>
            <w:tcBorders>
              <w:top w:val="nil"/>
              <w:left w:val="nil"/>
              <w:bottom w:val="single" w:sz="4" w:space="0" w:color="auto"/>
              <w:right w:val="single" w:sz="4" w:space="0" w:color="auto"/>
            </w:tcBorders>
            <w:shd w:val="clear" w:color="auto" w:fill="auto"/>
            <w:vAlign w:val="center"/>
            <w:hideMark/>
          </w:tcPr>
          <w:p w14:paraId="00109200" w14:textId="1C58F9EA"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03310 Buxheti </w:t>
            </w:r>
            <w:r w:rsidR="00AF12C0" w:rsidRPr="00B457F5">
              <w:rPr>
                <w:rFonts w:ascii="Garamond" w:eastAsia="Times New Roman" w:hAnsi="Garamond" w:cs="Times New Roman"/>
                <w:color w:val="FF0000"/>
                <w:sz w:val="4"/>
                <w:szCs w:val="10"/>
              </w:rPr>
              <w:t>Gjyqësor</w:t>
            </w:r>
            <w:r w:rsidRPr="00B457F5">
              <w:rPr>
                <w:rFonts w:ascii="Garamond" w:eastAsia="Times New Roman" w:hAnsi="Garamond" w:cs="Times New Roman"/>
                <w:color w:val="FF0000"/>
                <w:sz w:val="4"/>
                <w:szCs w:val="10"/>
              </w:rPr>
              <w:t xml:space="preserve"> (29)</w:t>
            </w:r>
          </w:p>
        </w:tc>
        <w:tc>
          <w:tcPr>
            <w:tcW w:w="169" w:type="pct"/>
            <w:tcBorders>
              <w:top w:val="nil"/>
              <w:left w:val="nil"/>
              <w:bottom w:val="single" w:sz="4" w:space="0" w:color="auto"/>
              <w:right w:val="single" w:sz="4" w:space="0" w:color="auto"/>
            </w:tcBorders>
            <w:shd w:val="clear" w:color="auto" w:fill="auto"/>
            <w:vAlign w:val="center"/>
            <w:hideMark/>
          </w:tcPr>
          <w:p w14:paraId="16BDC49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KLGJ</w:t>
            </w:r>
          </w:p>
        </w:tc>
        <w:tc>
          <w:tcPr>
            <w:tcW w:w="244" w:type="pct"/>
            <w:tcBorders>
              <w:top w:val="nil"/>
              <w:left w:val="nil"/>
              <w:bottom w:val="single" w:sz="4" w:space="0" w:color="auto"/>
              <w:right w:val="single" w:sz="4" w:space="0" w:color="auto"/>
            </w:tcBorders>
            <w:shd w:val="clear" w:color="auto" w:fill="auto"/>
            <w:vAlign w:val="center"/>
            <w:hideMark/>
          </w:tcPr>
          <w:p w14:paraId="092BD6B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EUAA, UNHCR</w:t>
            </w:r>
          </w:p>
        </w:tc>
        <w:tc>
          <w:tcPr>
            <w:tcW w:w="135" w:type="pct"/>
            <w:tcBorders>
              <w:top w:val="nil"/>
              <w:left w:val="nil"/>
              <w:bottom w:val="single" w:sz="4" w:space="0" w:color="auto"/>
              <w:right w:val="single" w:sz="4" w:space="0" w:color="auto"/>
            </w:tcBorders>
            <w:shd w:val="clear" w:color="000000" w:fill="DDEBF7"/>
            <w:vAlign w:val="center"/>
            <w:hideMark/>
          </w:tcPr>
          <w:p w14:paraId="71D8BCEE"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22D4E2AE"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5C08E3F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246,000</w:t>
            </w:r>
          </w:p>
        </w:tc>
        <w:tc>
          <w:tcPr>
            <w:tcW w:w="155" w:type="pct"/>
            <w:tcBorders>
              <w:top w:val="nil"/>
              <w:left w:val="nil"/>
              <w:bottom w:val="single" w:sz="4" w:space="0" w:color="auto"/>
              <w:right w:val="single" w:sz="4" w:space="0" w:color="auto"/>
            </w:tcBorders>
            <w:shd w:val="clear" w:color="auto" w:fill="auto"/>
            <w:vAlign w:val="center"/>
            <w:hideMark/>
          </w:tcPr>
          <w:p w14:paraId="5C1F0BE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2E191A4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246,000</w:t>
            </w:r>
          </w:p>
        </w:tc>
        <w:tc>
          <w:tcPr>
            <w:tcW w:w="165" w:type="pct"/>
            <w:tcBorders>
              <w:top w:val="nil"/>
              <w:left w:val="nil"/>
              <w:bottom w:val="single" w:sz="4" w:space="0" w:color="auto"/>
              <w:right w:val="single" w:sz="4" w:space="0" w:color="auto"/>
            </w:tcBorders>
            <w:shd w:val="clear" w:color="auto" w:fill="auto"/>
            <w:vAlign w:val="center"/>
            <w:hideMark/>
          </w:tcPr>
          <w:p w14:paraId="1410E7F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246,000</w:t>
            </w:r>
          </w:p>
        </w:tc>
        <w:tc>
          <w:tcPr>
            <w:tcW w:w="163" w:type="pct"/>
            <w:tcBorders>
              <w:top w:val="nil"/>
              <w:left w:val="nil"/>
              <w:bottom w:val="single" w:sz="4" w:space="0" w:color="auto"/>
              <w:right w:val="single" w:sz="4" w:space="0" w:color="auto"/>
            </w:tcBorders>
            <w:shd w:val="clear" w:color="auto" w:fill="auto"/>
            <w:vAlign w:val="center"/>
            <w:hideMark/>
          </w:tcPr>
          <w:p w14:paraId="679F929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6FC8B7D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246,000</w:t>
            </w:r>
          </w:p>
        </w:tc>
        <w:tc>
          <w:tcPr>
            <w:tcW w:w="163" w:type="pct"/>
            <w:tcBorders>
              <w:top w:val="nil"/>
              <w:left w:val="nil"/>
              <w:bottom w:val="single" w:sz="4" w:space="0" w:color="auto"/>
              <w:right w:val="single" w:sz="4" w:space="0" w:color="auto"/>
            </w:tcBorders>
            <w:shd w:val="clear" w:color="auto" w:fill="auto"/>
            <w:vAlign w:val="center"/>
            <w:hideMark/>
          </w:tcPr>
          <w:p w14:paraId="0241003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246,000</w:t>
            </w:r>
          </w:p>
        </w:tc>
        <w:tc>
          <w:tcPr>
            <w:tcW w:w="148" w:type="pct"/>
            <w:tcBorders>
              <w:top w:val="nil"/>
              <w:left w:val="nil"/>
              <w:bottom w:val="single" w:sz="4" w:space="0" w:color="auto"/>
              <w:right w:val="single" w:sz="4" w:space="0" w:color="auto"/>
            </w:tcBorders>
            <w:shd w:val="clear" w:color="auto" w:fill="auto"/>
            <w:vAlign w:val="center"/>
            <w:hideMark/>
          </w:tcPr>
          <w:p w14:paraId="12B2A48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6A5EF21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246,000</w:t>
            </w:r>
          </w:p>
        </w:tc>
        <w:tc>
          <w:tcPr>
            <w:tcW w:w="165" w:type="pct"/>
            <w:tcBorders>
              <w:top w:val="nil"/>
              <w:left w:val="nil"/>
              <w:bottom w:val="single" w:sz="4" w:space="0" w:color="auto"/>
              <w:right w:val="single" w:sz="4" w:space="0" w:color="auto"/>
            </w:tcBorders>
            <w:shd w:val="clear" w:color="auto" w:fill="auto"/>
            <w:vAlign w:val="center"/>
            <w:hideMark/>
          </w:tcPr>
          <w:p w14:paraId="577A306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738,000</w:t>
            </w:r>
          </w:p>
        </w:tc>
        <w:tc>
          <w:tcPr>
            <w:tcW w:w="163" w:type="pct"/>
            <w:tcBorders>
              <w:top w:val="nil"/>
              <w:left w:val="nil"/>
              <w:bottom w:val="single" w:sz="4" w:space="0" w:color="auto"/>
              <w:right w:val="single" w:sz="4" w:space="0" w:color="auto"/>
            </w:tcBorders>
            <w:shd w:val="clear" w:color="auto" w:fill="auto"/>
            <w:vAlign w:val="center"/>
            <w:hideMark/>
          </w:tcPr>
          <w:p w14:paraId="05A097C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7CEC2A8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738,000</w:t>
            </w:r>
          </w:p>
        </w:tc>
        <w:tc>
          <w:tcPr>
            <w:tcW w:w="163" w:type="pct"/>
            <w:tcBorders>
              <w:top w:val="nil"/>
              <w:left w:val="nil"/>
              <w:bottom w:val="single" w:sz="4" w:space="0" w:color="auto"/>
              <w:right w:val="single" w:sz="4" w:space="0" w:color="auto"/>
            </w:tcBorders>
            <w:shd w:val="clear" w:color="auto" w:fill="auto"/>
            <w:vAlign w:val="center"/>
            <w:hideMark/>
          </w:tcPr>
          <w:p w14:paraId="0B293AF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47C7E42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5A89995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6BCD912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738,000</w:t>
            </w:r>
          </w:p>
        </w:tc>
        <w:tc>
          <w:tcPr>
            <w:tcW w:w="155" w:type="pct"/>
            <w:tcBorders>
              <w:top w:val="nil"/>
              <w:left w:val="nil"/>
              <w:bottom w:val="single" w:sz="4" w:space="0" w:color="auto"/>
              <w:right w:val="single" w:sz="4" w:space="0" w:color="auto"/>
            </w:tcBorders>
            <w:shd w:val="clear" w:color="auto" w:fill="auto"/>
            <w:vAlign w:val="center"/>
            <w:hideMark/>
          </w:tcPr>
          <w:p w14:paraId="48455AA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27B2C2C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EUAA</w:t>
            </w:r>
          </w:p>
        </w:tc>
        <w:tc>
          <w:tcPr>
            <w:tcW w:w="163" w:type="pct"/>
            <w:tcBorders>
              <w:top w:val="nil"/>
              <w:left w:val="nil"/>
              <w:bottom w:val="single" w:sz="4" w:space="0" w:color="auto"/>
              <w:right w:val="single" w:sz="4" w:space="0" w:color="auto"/>
            </w:tcBorders>
            <w:shd w:val="clear" w:color="000000" w:fill="FFF2CC"/>
            <w:vAlign w:val="center"/>
            <w:hideMark/>
          </w:tcPr>
          <w:p w14:paraId="0FE83D6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738,000</w:t>
            </w:r>
          </w:p>
        </w:tc>
        <w:tc>
          <w:tcPr>
            <w:tcW w:w="139" w:type="pct"/>
            <w:tcBorders>
              <w:top w:val="nil"/>
              <w:left w:val="nil"/>
              <w:bottom w:val="single" w:sz="4" w:space="0" w:color="auto"/>
              <w:right w:val="single" w:sz="4" w:space="0" w:color="auto"/>
            </w:tcBorders>
            <w:shd w:val="clear" w:color="auto" w:fill="auto"/>
            <w:vAlign w:val="center"/>
            <w:hideMark/>
          </w:tcPr>
          <w:p w14:paraId="5B87F60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09F6361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45852DF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214196B4" w14:textId="63515A7F"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75970F94"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5324E13A" w14:textId="77777777"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lastRenderedPageBreak/>
              <w:t>4.1.3.5</w:t>
            </w:r>
          </w:p>
        </w:tc>
        <w:tc>
          <w:tcPr>
            <w:tcW w:w="281" w:type="pct"/>
            <w:tcBorders>
              <w:top w:val="nil"/>
              <w:left w:val="nil"/>
              <w:bottom w:val="single" w:sz="4" w:space="0" w:color="auto"/>
              <w:right w:val="single" w:sz="4" w:space="0" w:color="auto"/>
            </w:tcBorders>
            <w:shd w:val="clear" w:color="auto" w:fill="auto"/>
            <w:vAlign w:val="center"/>
            <w:hideMark/>
          </w:tcPr>
          <w:p w14:paraId="48E1509A" w14:textId="4C0592ED"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 xml:space="preserve">4.1.3.5 Hartimi i një </w:t>
            </w:r>
            <w:r w:rsidR="00AF12C0" w:rsidRPr="00B457F5">
              <w:rPr>
                <w:rFonts w:ascii="Garamond" w:eastAsia="Times New Roman" w:hAnsi="Garamond" w:cs="Times New Roman"/>
                <w:sz w:val="4"/>
                <w:szCs w:val="10"/>
              </w:rPr>
              <w:t>u</w:t>
            </w:r>
            <w:r w:rsidRPr="00B457F5">
              <w:rPr>
                <w:rFonts w:ascii="Garamond" w:eastAsia="Times New Roman" w:hAnsi="Garamond" w:cs="Times New Roman"/>
                <w:sz w:val="4"/>
                <w:szCs w:val="10"/>
              </w:rPr>
              <w:t xml:space="preserve">dhërrëfyesi për koordinimin ndërinstitucional për procedurat e azilit </w:t>
            </w:r>
          </w:p>
        </w:tc>
        <w:tc>
          <w:tcPr>
            <w:tcW w:w="186" w:type="pct"/>
            <w:tcBorders>
              <w:top w:val="nil"/>
              <w:left w:val="nil"/>
              <w:bottom w:val="single" w:sz="4" w:space="0" w:color="auto"/>
              <w:right w:val="single" w:sz="4" w:space="0" w:color="auto"/>
            </w:tcBorders>
            <w:shd w:val="clear" w:color="auto" w:fill="auto"/>
            <w:vAlign w:val="center"/>
            <w:hideMark/>
          </w:tcPr>
          <w:p w14:paraId="06DDF852"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0C8C032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726102AB" w14:textId="4537BFE6"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Të gjitha </w:t>
            </w:r>
            <w:r w:rsidR="00E92B0D" w:rsidRPr="00B457F5">
              <w:rPr>
                <w:rFonts w:ascii="Garamond" w:eastAsia="Times New Roman" w:hAnsi="Garamond" w:cs="Times New Roman"/>
                <w:sz w:val="4"/>
                <w:szCs w:val="10"/>
              </w:rPr>
              <w:t>ministritë</w:t>
            </w:r>
            <w:r w:rsidRPr="00B457F5">
              <w:rPr>
                <w:rFonts w:ascii="Garamond" w:eastAsia="Times New Roman" w:hAnsi="Garamond" w:cs="Times New Roman"/>
                <w:sz w:val="4"/>
                <w:szCs w:val="10"/>
              </w:rPr>
              <w:t xml:space="preserve"> e linjës, EUAA, UNHCR, IOM</w:t>
            </w:r>
          </w:p>
        </w:tc>
        <w:tc>
          <w:tcPr>
            <w:tcW w:w="135" w:type="pct"/>
            <w:tcBorders>
              <w:top w:val="nil"/>
              <w:left w:val="nil"/>
              <w:bottom w:val="single" w:sz="4" w:space="0" w:color="auto"/>
              <w:right w:val="single" w:sz="4" w:space="0" w:color="auto"/>
            </w:tcBorders>
            <w:shd w:val="clear" w:color="000000" w:fill="DDEBF7"/>
            <w:vAlign w:val="center"/>
            <w:hideMark/>
          </w:tcPr>
          <w:p w14:paraId="0EB059BA"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1E6EF4F0"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63" w:type="pct"/>
            <w:tcBorders>
              <w:top w:val="nil"/>
              <w:left w:val="nil"/>
              <w:bottom w:val="single" w:sz="4" w:space="0" w:color="auto"/>
              <w:right w:val="single" w:sz="4" w:space="0" w:color="auto"/>
            </w:tcBorders>
            <w:shd w:val="clear" w:color="auto" w:fill="auto"/>
            <w:vAlign w:val="center"/>
            <w:hideMark/>
          </w:tcPr>
          <w:p w14:paraId="21B74FC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1,890,000</w:t>
            </w:r>
          </w:p>
        </w:tc>
        <w:tc>
          <w:tcPr>
            <w:tcW w:w="155" w:type="pct"/>
            <w:tcBorders>
              <w:top w:val="nil"/>
              <w:left w:val="nil"/>
              <w:bottom w:val="single" w:sz="4" w:space="0" w:color="auto"/>
              <w:right w:val="single" w:sz="4" w:space="0" w:color="auto"/>
            </w:tcBorders>
            <w:shd w:val="clear" w:color="auto" w:fill="auto"/>
            <w:vAlign w:val="center"/>
            <w:hideMark/>
          </w:tcPr>
          <w:p w14:paraId="107CBF7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1CCB06B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1,890,000</w:t>
            </w:r>
          </w:p>
        </w:tc>
        <w:tc>
          <w:tcPr>
            <w:tcW w:w="165" w:type="pct"/>
            <w:tcBorders>
              <w:top w:val="nil"/>
              <w:left w:val="nil"/>
              <w:bottom w:val="single" w:sz="4" w:space="0" w:color="auto"/>
              <w:right w:val="single" w:sz="4" w:space="0" w:color="auto"/>
            </w:tcBorders>
            <w:shd w:val="clear" w:color="auto" w:fill="auto"/>
            <w:vAlign w:val="center"/>
            <w:hideMark/>
          </w:tcPr>
          <w:p w14:paraId="33CD47F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654E8C0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115E8BF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732D192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8" w:type="pct"/>
            <w:tcBorders>
              <w:top w:val="nil"/>
              <w:left w:val="nil"/>
              <w:bottom w:val="single" w:sz="4" w:space="0" w:color="auto"/>
              <w:right w:val="single" w:sz="4" w:space="0" w:color="auto"/>
            </w:tcBorders>
            <w:shd w:val="clear" w:color="auto" w:fill="auto"/>
            <w:vAlign w:val="center"/>
            <w:hideMark/>
          </w:tcPr>
          <w:p w14:paraId="242B393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293E246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auto" w:fill="auto"/>
            <w:vAlign w:val="center"/>
            <w:hideMark/>
          </w:tcPr>
          <w:p w14:paraId="500688A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1,890,000</w:t>
            </w:r>
          </w:p>
        </w:tc>
        <w:tc>
          <w:tcPr>
            <w:tcW w:w="163" w:type="pct"/>
            <w:tcBorders>
              <w:top w:val="nil"/>
              <w:left w:val="nil"/>
              <w:bottom w:val="single" w:sz="4" w:space="0" w:color="auto"/>
              <w:right w:val="single" w:sz="4" w:space="0" w:color="auto"/>
            </w:tcBorders>
            <w:shd w:val="clear" w:color="auto" w:fill="auto"/>
            <w:vAlign w:val="center"/>
            <w:hideMark/>
          </w:tcPr>
          <w:p w14:paraId="25B68D8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676103E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1,890,000</w:t>
            </w:r>
          </w:p>
        </w:tc>
        <w:tc>
          <w:tcPr>
            <w:tcW w:w="163" w:type="pct"/>
            <w:tcBorders>
              <w:top w:val="nil"/>
              <w:left w:val="nil"/>
              <w:bottom w:val="single" w:sz="4" w:space="0" w:color="auto"/>
              <w:right w:val="single" w:sz="4" w:space="0" w:color="auto"/>
            </w:tcBorders>
            <w:shd w:val="clear" w:color="auto" w:fill="auto"/>
            <w:vAlign w:val="center"/>
            <w:hideMark/>
          </w:tcPr>
          <w:p w14:paraId="0FDECEA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71AA45B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C424D8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06A54D9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1,890,000</w:t>
            </w:r>
          </w:p>
        </w:tc>
        <w:tc>
          <w:tcPr>
            <w:tcW w:w="155" w:type="pct"/>
            <w:tcBorders>
              <w:top w:val="nil"/>
              <w:left w:val="nil"/>
              <w:bottom w:val="single" w:sz="4" w:space="0" w:color="auto"/>
              <w:right w:val="single" w:sz="4" w:space="0" w:color="auto"/>
            </w:tcBorders>
            <w:shd w:val="clear" w:color="auto" w:fill="auto"/>
            <w:vAlign w:val="center"/>
            <w:hideMark/>
          </w:tcPr>
          <w:p w14:paraId="0E9DBAD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5415E46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EUAA, UNHCR</w:t>
            </w:r>
          </w:p>
        </w:tc>
        <w:tc>
          <w:tcPr>
            <w:tcW w:w="163" w:type="pct"/>
            <w:tcBorders>
              <w:top w:val="nil"/>
              <w:left w:val="nil"/>
              <w:bottom w:val="single" w:sz="4" w:space="0" w:color="auto"/>
              <w:right w:val="single" w:sz="4" w:space="0" w:color="auto"/>
            </w:tcBorders>
            <w:shd w:val="clear" w:color="000000" w:fill="FFF2CC"/>
            <w:vAlign w:val="center"/>
            <w:hideMark/>
          </w:tcPr>
          <w:p w14:paraId="66E75D5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1,890,000</w:t>
            </w:r>
          </w:p>
        </w:tc>
        <w:tc>
          <w:tcPr>
            <w:tcW w:w="139" w:type="pct"/>
            <w:tcBorders>
              <w:top w:val="nil"/>
              <w:left w:val="nil"/>
              <w:bottom w:val="single" w:sz="4" w:space="0" w:color="auto"/>
              <w:right w:val="single" w:sz="4" w:space="0" w:color="auto"/>
            </w:tcBorders>
            <w:shd w:val="clear" w:color="auto" w:fill="auto"/>
            <w:vAlign w:val="center"/>
            <w:hideMark/>
          </w:tcPr>
          <w:p w14:paraId="54F5A9D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6F81EDB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6689069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31CF37A9" w14:textId="4309A68F"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629C2A07" w14:textId="77777777" w:rsidTr="00C260C3">
        <w:trPr>
          <w:trHeight w:val="20"/>
        </w:trPr>
        <w:tc>
          <w:tcPr>
            <w:tcW w:w="131" w:type="pct"/>
            <w:tcBorders>
              <w:top w:val="nil"/>
              <w:left w:val="single" w:sz="4" w:space="0" w:color="auto"/>
              <w:bottom w:val="single" w:sz="4" w:space="0" w:color="auto"/>
              <w:right w:val="single" w:sz="4" w:space="0" w:color="auto"/>
            </w:tcBorders>
            <w:shd w:val="clear" w:color="000000" w:fill="D9D9D9"/>
            <w:vAlign w:val="center"/>
            <w:hideMark/>
          </w:tcPr>
          <w:p w14:paraId="3F3DA204"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81" w:type="pct"/>
            <w:tcBorders>
              <w:top w:val="nil"/>
              <w:left w:val="nil"/>
              <w:bottom w:val="single" w:sz="4" w:space="0" w:color="auto"/>
              <w:right w:val="single" w:sz="4" w:space="0" w:color="auto"/>
            </w:tcBorders>
            <w:shd w:val="clear" w:color="000000" w:fill="D9D9D9"/>
            <w:vAlign w:val="center"/>
            <w:hideMark/>
          </w:tcPr>
          <w:p w14:paraId="3A7D5A08" w14:textId="223E0490" w:rsidR="00C260C3" w:rsidRPr="00B457F5" w:rsidRDefault="00C260C3" w:rsidP="00C260C3">
            <w:pPr>
              <w:spacing w:before="0" w:after="0"/>
              <w:jc w:val="lef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Kosto</w:t>
            </w:r>
            <w:r w:rsidR="00E92B0D" w:rsidRPr="00B457F5">
              <w:rPr>
                <w:rFonts w:ascii="Garamond" w:eastAsia="Times New Roman" w:hAnsi="Garamond" w:cs="Times New Roman"/>
                <w:b/>
                <w:bCs/>
                <w:color w:val="FF0000"/>
                <w:sz w:val="4"/>
                <w:szCs w:val="10"/>
              </w:rPr>
              <w:t>ja e</w:t>
            </w:r>
            <w:r w:rsidRPr="00B457F5">
              <w:rPr>
                <w:rFonts w:ascii="Garamond" w:eastAsia="Times New Roman" w:hAnsi="Garamond" w:cs="Times New Roman"/>
                <w:b/>
                <w:bCs/>
                <w:color w:val="FF0000"/>
                <w:sz w:val="4"/>
                <w:szCs w:val="10"/>
              </w:rPr>
              <w:t xml:space="preserve"> </w:t>
            </w:r>
            <w:r w:rsidR="00E92B0D" w:rsidRPr="00B457F5">
              <w:rPr>
                <w:rFonts w:ascii="Garamond" w:eastAsia="Times New Roman" w:hAnsi="Garamond" w:cs="Times New Roman"/>
                <w:b/>
                <w:bCs/>
                <w:color w:val="FF0000"/>
                <w:sz w:val="4"/>
                <w:szCs w:val="10"/>
              </w:rPr>
              <w:t>o</w:t>
            </w:r>
            <w:r w:rsidRPr="00B457F5">
              <w:rPr>
                <w:rFonts w:ascii="Garamond" w:eastAsia="Times New Roman" w:hAnsi="Garamond" w:cs="Times New Roman"/>
                <w:b/>
                <w:bCs/>
                <w:color w:val="FF0000"/>
                <w:sz w:val="4"/>
                <w:szCs w:val="10"/>
              </w:rPr>
              <w:t>bjektivi</w:t>
            </w:r>
            <w:r w:rsidR="00E92B0D" w:rsidRPr="00B457F5">
              <w:rPr>
                <w:rFonts w:ascii="Garamond" w:eastAsia="Times New Roman" w:hAnsi="Garamond" w:cs="Times New Roman"/>
                <w:b/>
                <w:bCs/>
                <w:color w:val="FF0000"/>
                <w:sz w:val="4"/>
                <w:szCs w:val="10"/>
              </w:rPr>
              <w:t>t</w:t>
            </w:r>
            <w:r w:rsidRPr="00B457F5">
              <w:rPr>
                <w:rFonts w:ascii="Garamond" w:eastAsia="Times New Roman" w:hAnsi="Garamond" w:cs="Times New Roman"/>
                <w:b/>
                <w:bCs/>
                <w:color w:val="FF0000"/>
                <w:sz w:val="4"/>
                <w:szCs w:val="10"/>
              </w:rPr>
              <w:t xml:space="preserve"> specifik 4.1</w:t>
            </w:r>
          </w:p>
        </w:tc>
        <w:tc>
          <w:tcPr>
            <w:tcW w:w="186" w:type="pct"/>
            <w:tcBorders>
              <w:top w:val="nil"/>
              <w:left w:val="nil"/>
              <w:bottom w:val="single" w:sz="4" w:space="0" w:color="auto"/>
              <w:right w:val="single" w:sz="4" w:space="0" w:color="auto"/>
            </w:tcBorders>
            <w:shd w:val="clear" w:color="000000" w:fill="D9D9D9"/>
            <w:vAlign w:val="center"/>
            <w:hideMark/>
          </w:tcPr>
          <w:p w14:paraId="75F3B1EE"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9" w:type="pct"/>
            <w:tcBorders>
              <w:top w:val="nil"/>
              <w:left w:val="nil"/>
              <w:bottom w:val="single" w:sz="4" w:space="0" w:color="auto"/>
              <w:right w:val="single" w:sz="4" w:space="0" w:color="auto"/>
            </w:tcBorders>
            <w:shd w:val="clear" w:color="000000" w:fill="D9D9D9"/>
            <w:vAlign w:val="center"/>
            <w:hideMark/>
          </w:tcPr>
          <w:p w14:paraId="20FDED2D"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44" w:type="pct"/>
            <w:tcBorders>
              <w:top w:val="nil"/>
              <w:left w:val="nil"/>
              <w:bottom w:val="single" w:sz="4" w:space="0" w:color="auto"/>
              <w:right w:val="single" w:sz="4" w:space="0" w:color="auto"/>
            </w:tcBorders>
            <w:shd w:val="clear" w:color="000000" w:fill="D9D9D9"/>
            <w:vAlign w:val="center"/>
            <w:hideMark/>
          </w:tcPr>
          <w:p w14:paraId="4880989C"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35" w:type="pct"/>
            <w:tcBorders>
              <w:top w:val="nil"/>
              <w:left w:val="nil"/>
              <w:bottom w:val="single" w:sz="4" w:space="0" w:color="auto"/>
              <w:right w:val="single" w:sz="4" w:space="0" w:color="auto"/>
            </w:tcBorders>
            <w:shd w:val="clear" w:color="000000" w:fill="D9D9D9"/>
            <w:vAlign w:val="center"/>
            <w:hideMark/>
          </w:tcPr>
          <w:p w14:paraId="086B7A88"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2" w:type="pct"/>
            <w:tcBorders>
              <w:top w:val="nil"/>
              <w:left w:val="nil"/>
              <w:bottom w:val="single" w:sz="4" w:space="0" w:color="auto"/>
              <w:right w:val="single" w:sz="4" w:space="0" w:color="auto"/>
            </w:tcBorders>
            <w:shd w:val="clear" w:color="000000" w:fill="D9D9D9"/>
            <w:vAlign w:val="center"/>
            <w:hideMark/>
          </w:tcPr>
          <w:p w14:paraId="1E486F6D"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5BE76F07"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18,426,739</w:t>
            </w:r>
          </w:p>
        </w:tc>
        <w:tc>
          <w:tcPr>
            <w:tcW w:w="155" w:type="pct"/>
            <w:tcBorders>
              <w:top w:val="nil"/>
              <w:left w:val="nil"/>
              <w:bottom w:val="single" w:sz="4" w:space="0" w:color="auto"/>
              <w:right w:val="single" w:sz="4" w:space="0" w:color="auto"/>
            </w:tcBorders>
            <w:shd w:val="clear" w:color="000000" w:fill="D9D9D9"/>
            <w:vAlign w:val="center"/>
            <w:hideMark/>
          </w:tcPr>
          <w:p w14:paraId="589B55DB"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5A398521"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18,426,739</w:t>
            </w:r>
          </w:p>
        </w:tc>
        <w:tc>
          <w:tcPr>
            <w:tcW w:w="165" w:type="pct"/>
            <w:tcBorders>
              <w:top w:val="nil"/>
              <w:left w:val="nil"/>
              <w:bottom w:val="single" w:sz="4" w:space="0" w:color="auto"/>
              <w:right w:val="single" w:sz="4" w:space="0" w:color="auto"/>
            </w:tcBorders>
            <w:shd w:val="clear" w:color="000000" w:fill="D9D9D9"/>
            <w:vAlign w:val="center"/>
            <w:hideMark/>
          </w:tcPr>
          <w:p w14:paraId="6BB52345"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10,306,878</w:t>
            </w:r>
          </w:p>
        </w:tc>
        <w:tc>
          <w:tcPr>
            <w:tcW w:w="163" w:type="pct"/>
            <w:tcBorders>
              <w:top w:val="nil"/>
              <w:left w:val="nil"/>
              <w:bottom w:val="single" w:sz="4" w:space="0" w:color="auto"/>
              <w:right w:val="single" w:sz="4" w:space="0" w:color="auto"/>
            </w:tcBorders>
            <w:shd w:val="clear" w:color="000000" w:fill="D9D9D9"/>
            <w:vAlign w:val="center"/>
            <w:hideMark/>
          </w:tcPr>
          <w:p w14:paraId="1F16F791"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4F2445EC"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10,306,878</w:t>
            </w:r>
          </w:p>
        </w:tc>
        <w:tc>
          <w:tcPr>
            <w:tcW w:w="163" w:type="pct"/>
            <w:tcBorders>
              <w:top w:val="nil"/>
              <w:left w:val="nil"/>
              <w:bottom w:val="single" w:sz="4" w:space="0" w:color="auto"/>
              <w:right w:val="single" w:sz="4" w:space="0" w:color="auto"/>
            </w:tcBorders>
            <w:shd w:val="clear" w:color="000000" w:fill="D9D9D9"/>
            <w:vAlign w:val="center"/>
            <w:hideMark/>
          </w:tcPr>
          <w:p w14:paraId="3D9B5D2E"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7,457,437</w:t>
            </w:r>
          </w:p>
        </w:tc>
        <w:tc>
          <w:tcPr>
            <w:tcW w:w="148" w:type="pct"/>
            <w:tcBorders>
              <w:top w:val="nil"/>
              <w:left w:val="nil"/>
              <w:bottom w:val="single" w:sz="4" w:space="0" w:color="auto"/>
              <w:right w:val="single" w:sz="4" w:space="0" w:color="auto"/>
            </w:tcBorders>
            <w:shd w:val="clear" w:color="000000" w:fill="D9D9D9"/>
            <w:vAlign w:val="center"/>
            <w:hideMark/>
          </w:tcPr>
          <w:p w14:paraId="0C527D83"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53A5CF39"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7,457,437</w:t>
            </w:r>
          </w:p>
        </w:tc>
        <w:tc>
          <w:tcPr>
            <w:tcW w:w="165" w:type="pct"/>
            <w:tcBorders>
              <w:top w:val="nil"/>
              <w:left w:val="nil"/>
              <w:bottom w:val="single" w:sz="4" w:space="0" w:color="auto"/>
              <w:right w:val="single" w:sz="4" w:space="0" w:color="auto"/>
            </w:tcBorders>
            <w:shd w:val="clear" w:color="000000" w:fill="D9D9D9"/>
            <w:vAlign w:val="center"/>
            <w:hideMark/>
          </w:tcPr>
          <w:p w14:paraId="1B0BA63C"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36,191,054</w:t>
            </w:r>
          </w:p>
        </w:tc>
        <w:tc>
          <w:tcPr>
            <w:tcW w:w="163" w:type="pct"/>
            <w:tcBorders>
              <w:top w:val="nil"/>
              <w:left w:val="nil"/>
              <w:bottom w:val="single" w:sz="4" w:space="0" w:color="auto"/>
              <w:right w:val="single" w:sz="4" w:space="0" w:color="auto"/>
            </w:tcBorders>
            <w:shd w:val="clear" w:color="000000" w:fill="D9D9D9"/>
            <w:vAlign w:val="center"/>
            <w:hideMark/>
          </w:tcPr>
          <w:p w14:paraId="28F50E2F"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5" w:type="pct"/>
            <w:tcBorders>
              <w:top w:val="nil"/>
              <w:left w:val="nil"/>
              <w:bottom w:val="single" w:sz="4" w:space="0" w:color="auto"/>
              <w:right w:val="single" w:sz="4" w:space="0" w:color="auto"/>
            </w:tcBorders>
            <w:shd w:val="clear" w:color="000000" w:fill="D9D9D9"/>
            <w:vAlign w:val="center"/>
            <w:hideMark/>
          </w:tcPr>
          <w:p w14:paraId="5C2DF85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36,191,054</w:t>
            </w:r>
          </w:p>
        </w:tc>
        <w:tc>
          <w:tcPr>
            <w:tcW w:w="163" w:type="pct"/>
            <w:tcBorders>
              <w:top w:val="nil"/>
              <w:left w:val="nil"/>
              <w:bottom w:val="single" w:sz="4" w:space="0" w:color="auto"/>
              <w:right w:val="single" w:sz="4" w:space="0" w:color="auto"/>
            </w:tcBorders>
            <w:shd w:val="clear" w:color="000000" w:fill="D9D9D9"/>
            <w:vAlign w:val="center"/>
            <w:hideMark/>
          </w:tcPr>
          <w:p w14:paraId="6A9DF913"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17,069,034</w:t>
            </w:r>
          </w:p>
        </w:tc>
        <w:tc>
          <w:tcPr>
            <w:tcW w:w="155" w:type="pct"/>
            <w:tcBorders>
              <w:top w:val="nil"/>
              <w:left w:val="nil"/>
              <w:bottom w:val="single" w:sz="4" w:space="0" w:color="auto"/>
              <w:right w:val="single" w:sz="4" w:space="0" w:color="auto"/>
            </w:tcBorders>
            <w:shd w:val="clear" w:color="000000" w:fill="D9D9D9"/>
            <w:vAlign w:val="center"/>
            <w:hideMark/>
          </w:tcPr>
          <w:p w14:paraId="49694051"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65D54B4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17,069,034</w:t>
            </w:r>
          </w:p>
        </w:tc>
        <w:tc>
          <w:tcPr>
            <w:tcW w:w="162" w:type="pct"/>
            <w:tcBorders>
              <w:top w:val="nil"/>
              <w:left w:val="nil"/>
              <w:bottom w:val="single" w:sz="4" w:space="0" w:color="auto"/>
              <w:right w:val="single" w:sz="4" w:space="0" w:color="auto"/>
            </w:tcBorders>
            <w:shd w:val="clear" w:color="000000" w:fill="D9D9D9"/>
            <w:vAlign w:val="center"/>
            <w:hideMark/>
          </w:tcPr>
          <w:p w14:paraId="42B5B331"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19,122,020</w:t>
            </w:r>
          </w:p>
        </w:tc>
        <w:tc>
          <w:tcPr>
            <w:tcW w:w="155" w:type="pct"/>
            <w:tcBorders>
              <w:top w:val="nil"/>
              <w:left w:val="nil"/>
              <w:bottom w:val="single" w:sz="4" w:space="0" w:color="auto"/>
              <w:right w:val="single" w:sz="4" w:space="0" w:color="auto"/>
            </w:tcBorders>
            <w:shd w:val="clear" w:color="000000" w:fill="D9D9D9"/>
            <w:vAlign w:val="center"/>
            <w:hideMark/>
          </w:tcPr>
          <w:p w14:paraId="4FA834D1"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218" w:type="pct"/>
            <w:tcBorders>
              <w:top w:val="nil"/>
              <w:left w:val="nil"/>
              <w:bottom w:val="single" w:sz="4" w:space="0" w:color="auto"/>
              <w:right w:val="single" w:sz="4" w:space="0" w:color="auto"/>
            </w:tcBorders>
            <w:shd w:val="clear" w:color="000000" w:fill="D9D9D9"/>
            <w:vAlign w:val="center"/>
            <w:hideMark/>
          </w:tcPr>
          <w:p w14:paraId="02FF23DA"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110F0138"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19,122,020</w:t>
            </w:r>
          </w:p>
        </w:tc>
        <w:tc>
          <w:tcPr>
            <w:tcW w:w="139" w:type="pct"/>
            <w:tcBorders>
              <w:top w:val="nil"/>
              <w:left w:val="nil"/>
              <w:bottom w:val="single" w:sz="4" w:space="0" w:color="auto"/>
              <w:right w:val="single" w:sz="4" w:space="0" w:color="auto"/>
            </w:tcBorders>
            <w:shd w:val="clear" w:color="000000" w:fill="D9D9D9"/>
            <w:vAlign w:val="center"/>
            <w:hideMark/>
          </w:tcPr>
          <w:p w14:paraId="07AE7C78"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42" w:type="pct"/>
            <w:tcBorders>
              <w:top w:val="nil"/>
              <w:left w:val="nil"/>
              <w:bottom w:val="single" w:sz="4" w:space="0" w:color="auto"/>
              <w:right w:val="single" w:sz="4" w:space="0" w:color="auto"/>
            </w:tcBorders>
            <w:shd w:val="clear" w:color="000000" w:fill="D9D9D9"/>
            <w:vAlign w:val="center"/>
            <w:hideMark/>
          </w:tcPr>
          <w:p w14:paraId="4BE9B7C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28" w:type="pct"/>
            <w:tcBorders>
              <w:top w:val="nil"/>
              <w:left w:val="nil"/>
              <w:bottom w:val="single" w:sz="4" w:space="0" w:color="auto"/>
              <w:right w:val="single" w:sz="4" w:space="0" w:color="auto"/>
            </w:tcBorders>
            <w:shd w:val="clear" w:color="000000" w:fill="D9D9D9"/>
            <w:vAlign w:val="center"/>
            <w:hideMark/>
          </w:tcPr>
          <w:p w14:paraId="603BF8E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77" w:type="pct"/>
            <w:tcBorders>
              <w:top w:val="nil"/>
              <w:left w:val="nil"/>
              <w:bottom w:val="single" w:sz="4" w:space="0" w:color="auto"/>
              <w:right w:val="single" w:sz="4" w:space="0" w:color="auto"/>
            </w:tcBorders>
            <w:shd w:val="clear" w:color="000000" w:fill="D9D9D9"/>
            <w:vAlign w:val="center"/>
            <w:hideMark/>
          </w:tcPr>
          <w:p w14:paraId="77C884D0" w14:textId="64478F6B"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52A63C36" w14:textId="77777777" w:rsidTr="00C260C3">
        <w:trPr>
          <w:trHeight w:val="20"/>
        </w:trPr>
        <w:tc>
          <w:tcPr>
            <w:tcW w:w="131" w:type="pct"/>
            <w:tcBorders>
              <w:top w:val="nil"/>
              <w:left w:val="single" w:sz="4" w:space="0" w:color="auto"/>
              <w:bottom w:val="single" w:sz="4" w:space="0" w:color="auto"/>
              <w:right w:val="single" w:sz="4" w:space="0" w:color="auto"/>
            </w:tcBorders>
            <w:shd w:val="clear" w:color="000000" w:fill="D9D9D9"/>
            <w:vAlign w:val="center"/>
            <w:hideMark/>
          </w:tcPr>
          <w:p w14:paraId="1C054229"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4.2</w:t>
            </w:r>
          </w:p>
        </w:tc>
        <w:tc>
          <w:tcPr>
            <w:tcW w:w="281" w:type="pct"/>
            <w:tcBorders>
              <w:top w:val="nil"/>
              <w:left w:val="nil"/>
              <w:bottom w:val="single" w:sz="4" w:space="0" w:color="auto"/>
              <w:right w:val="single" w:sz="4" w:space="0" w:color="auto"/>
            </w:tcBorders>
            <w:shd w:val="clear" w:color="000000" w:fill="D9D9D9"/>
            <w:vAlign w:val="center"/>
            <w:hideMark/>
          </w:tcPr>
          <w:p w14:paraId="10C7DCCA" w14:textId="01F40E9A" w:rsidR="00C260C3" w:rsidRPr="00B457F5" w:rsidRDefault="00C260C3" w:rsidP="00C260C3">
            <w:pPr>
              <w:spacing w:before="0" w:after="0"/>
              <w:jc w:val="left"/>
              <w:rPr>
                <w:rFonts w:ascii="Garamond" w:eastAsia="Times New Roman" w:hAnsi="Garamond" w:cs="Times New Roman"/>
                <w:b/>
                <w:bCs/>
                <w:sz w:val="4"/>
                <w:szCs w:val="10"/>
              </w:rPr>
            </w:pPr>
            <w:r w:rsidRPr="00B457F5">
              <w:rPr>
                <w:rFonts w:ascii="Garamond" w:eastAsia="Times New Roman" w:hAnsi="Garamond" w:cs="Times New Roman"/>
                <w:b/>
                <w:bCs/>
                <w:sz w:val="4"/>
                <w:szCs w:val="10"/>
              </w:rPr>
              <w:t xml:space="preserve"> 4.2 Sigurimi i identifikimit, mbrojtjes dhe pritjes</w:t>
            </w:r>
            <w:r w:rsidR="00AF12C0" w:rsidRPr="00B457F5">
              <w:rPr>
                <w:rFonts w:ascii="Garamond" w:eastAsia="Times New Roman" w:hAnsi="Garamond" w:cs="Times New Roman"/>
                <w:b/>
                <w:bCs/>
                <w:sz w:val="4"/>
                <w:szCs w:val="10"/>
              </w:rPr>
              <w:t>,</w:t>
            </w:r>
            <w:r w:rsidRPr="00B457F5">
              <w:rPr>
                <w:rFonts w:ascii="Garamond" w:eastAsia="Times New Roman" w:hAnsi="Garamond" w:cs="Times New Roman"/>
                <w:b/>
                <w:bCs/>
                <w:sz w:val="4"/>
                <w:szCs w:val="10"/>
              </w:rPr>
              <w:t xml:space="preserve"> në përputhje me standardet ndërkombëtare për persona</w:t>
            </w:r>
            <w:r w:rsidR="00D34EE7">
              <w:rPr>
                <w:rFonts w:ascii="Garamond" w:eastAsia="Times New Roman" w:hAnsi="Garamond" w:cs="Times New Roman"/>
                <w:b/>
                <w:bCs/>
                <w:sz w:val="4"/>
                <w:szCs w:val="10"/>
              </w:rPr>
              <w:t>t</w:t>
            </w:r>
            <w:r w:rsidRPr="00B457F5">
              <w:rPr>
                <w:rFonts w:ascii="Garamond" w:eastAsia="Times New Roman" w:hAnsi="Garamond" w:cs="Times New Roman"/>
                <w:b/>
                <w:bCs/>
                <w:sz w:val="4"/>
                <w:szCs w:val="10"/>
              </w:rPr>
              <w:t xml:space="preserve"> me nevoja të veçanta</w:t>
            </w:r>
          </w:p>
        </w:tc>
        <w:tc>
          <w:tcPr>
            <w:tcW w:w="186" w:type="pct"/>
            <w:tcBorders>
              <w:top w:val="nil"/>
              <w:left w:val="nil"/>
              <w:bottom w:val="single" w:sz="4" w:space="0" w:color="auto"/>
              <w:right w:val="single" w:sz="4" w:space="0" w:color="auto"/>
            </w:tcBorders>
            <w:shd w:val="clear" w:color="000000" w:fill="D9D9D9"/>
            <w:vAlign w:val="center"/>
            <w:hideMark/>
          </w:tcPr>
          <w:p w14:paraId="5E6DE635"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9" w:type="pct"/>
            <w:tcBorders>
              <w:top w:val="nil"/>
              <w:left w:val="nil"/>
              <w:bottom w:val="single" w:sz="4" w:space="0" w:color="auto"/>
              <w:right w:val="single" w:sz="4" w:space="0" w:color="auto"/>
            </w:tcBorders>
            <w:shd w:val="clear" w:color="000000" w:fill="D9D9D9"/>
            <w:vAlign w:val="center"/>
            <w:hideMark/>
          </w:tcPr>
          <w:p w14:paraId="39255B44"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44" w:type="pct"/>
            <w:tcBorders>
              <w:top w:val="nil"/>
              <w:left w:val="nil"/>
              <w:bottom w:val="single" w:sz="4" w:space="0" w:color="auto"/>
              <w:right w:val="single" w:sz="4" w:space="0" w:color="auto"/>
            </w:tcBorders>
            <w:shd w:val="clear" w:color="000000" w:fill="D9D9D9"/>
            <w:vAlign w:val="center"/>
            <w:hideMark/>
          </w:tcPr>
          <w:p w14:paraId="692B1BA3"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35" w:type="pct"/>
            <w:tcBorders>
              <w:top w:val="nil"/>
              <w:left w:val="nil"/>
              <w:bottom w:val="single" w:sz="4" w:space="0" w:color="auto"/>
              <w:right w:val="single" w:sz="4" w:space="0" w:color="auto"/>
            </w:tcBorders>
            <w:shd w:val="clear" w:color="000000" w:fill="D9D9D9"/>
            <w:vAlign w:val="center"/>
            <w:hideMark/>
          </w:tcPr>
          <w:p w14:paraId="35D0378C"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2" w:type="pct"/>
            <w:tcBorders>
              <w:top w:val="nil"/>
              <w:left w:val="nil"/>
              <w:bottom w:val="single" w:sz="4" w:space="0" w:color="auto"/>
              <w:right w:val="single" w:sz="4" w:space="0" w:color="auto"/>
            </w:tcBorders>
            <w:shd w:val="clear" w:color="000000" w:fill="D9D9D9"/>
            <w:vAlign w:val="center"/>
            <w:hideMark/>
          </w:tcPr>
          <w:p w14:paraId="0FEFCEF4"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7DE318F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55" w:type="pct"/>
            <w:tcBorders>
              <w:top w:val="nil"/>
              <w:left w:val="nil"/>
              <w:bottom w:val="single" w:sz="4" w:space="0" w:color="auto"/>
              <w:right w:val="single" w:sz="4" w:space="0" w:color="auto"/>
            </w:tcBorders>
            <w:shd w:val="clear" w:color="000000" w:fill="D9D9D9"/>
            <w:vAlign w:val="center"/>
            <w:hideMark/>
          </w:tcPr>
          <w:p w14:paraId="0C42A483"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2" w:type="pct"/>
            <w:tcBorders>
              <w:top w:val="nil"/>
              <w:left w:val="nil"/>
              <w:bottom w:val="single" w:sz="4" w:space="0" w:color="auto"/>
              <w:right w:val="single" w:sz="4" w:space="0" w:color="auto"/>
            </w:tcBorders>
            <w:shd w:val="clear" w:color="000000" w:fill="D9D9D9"/>
            <w:vAlign w:val="center"/>
            <w:hideMark/>
          </w:tcPr>
          <w:p w14:paraId="73AE002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5" w:type="pct"/>
            <w:tcBorders>
              <w:top w:val="nil"/>
              <w:left w:val="nil"/>
              <w:bottom w:val="single" w:sz="4" w:space="0" w:color="auto"/>
              <w:right w:val="single" w:sz="4" w:space="0" w:color="auto"/>
            </w:tcBorders>
            <w:shd w:val="clear" w:color="000000" w:fill="D9D9D9"/>
            <w:vAlign w:val="center"/>
            <w:hideMark/>
          </w:tcPr>
          <w:p w14:paraId="75485B03"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73D87EB1"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53814F33"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22C83DF5"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48" w:type="pct"/>
            <w:tcBorders>
              <w:top w:val="nil"/>
              <w:left w:val="nil"/>
              <w:bottom w:val="single" w:sz="4" w:space="0" w:color="auto"/>
              <w:right w:val="single" w:sz="4" w:space="0" w:color="auto"/>
            </w:tcBorders>
            <w:shd w:val="clear" w:color="000000" w:fill="D9D9D9"/>
            <w:vAlign w:val="center"/>
            <w:hideMark/>
          </w:tcPr>
          <w:p w14:paraId="76FD9F17"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2" w:type="pct"/>
            <w:tcBorders>
              <w:top w:val="nil"/>
              <w:left w:val="nil"/>
              <w:bottom w:val="single" w:sz="4" w:space="0" w:color="auto"/>
              <w:right w:val="single" w:sz="4" w:space="0" w:color="auto"/>
            </w:tcBorders>
            <w:shd w:val="clear" w:color="000000" w:fill="D9D9D9"/>
            <w:vAlign w:val="center"/>
            <w:hideMark/>
          </w:tcPr>
          <w:p w14:paraId="7ACD334F"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5" w:type="pct"/>
            <w:tcBorders>
              <w:top w:val="nil"/>
              <w:left w:val="nil"/>
              <w:bottom w:val="single" w:sz="4" w:space="0" w:color="auto"/>
              <w:right w:val="single" w:sz="4" w:space="0" w:color="auto"/>
            </w:tcBorders>
            <w:shd w:val="clear" w:color="000000" w:fill="D9D9D9"/>
            <w:vAlign w:val="center"/>
            <w:hideMark/>
          </w:tcPr>
          <w:p w14:paraId="2D36449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15F1A461"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5" w:type="pct"/>
            <w:tcBorders>
              <w:top w:val="nil"/>
              <w:left w:val="nil"/>
              <w:bottom w:val="single" w:sz="4" w:space="0" w:color="auto"/>
              <w:right w:val="single" w:sz="4" w:space="0" w:color="auto"/>
            </w:tcBorders>
            <w:shd w:val="clear" w:color="000000" w:fill="D9D9D9"/>
            <w:vAlign w:val="center"/>
            <w:hideMark/>
          </w:tcPr>
          <w:p w14:paraId="723BE31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7E830E77"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55" w:type="pct"/>
            <w:tcBorders>
              <w:top w:val="nil"/>
              <w:left w:val="nil"/>
              <w:bottom w:val="single" w:sz="4" w:space="0" w:color="auto"/>
              <w:right w:val="single" w:sz="4" w:space="0" w:color="auto"/>
            </w:tcBorders>
            <w:shd w:val="clear" w:color="000000" w:fill="D9D9D9"/>
            <w:vAlign w:val="center"/>
            <w:hideMark/>
          </w:tcPr>
          <w:p w14:paraId="04CEDED9"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0F47E8C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2" w:type="pct"/>
            <w:tcBorders>
              <w:top w:val="nil"/>
              <w:left w:val="nil"/>
              <w:bottom w:val="single" w:sz="4" w:space="0" w:color="auto"/>
              <w:right w:val="single" w:sz="4" w:space="0" w:color="auto"/>
            </w:tcBorders>
            <w:shd w:val="clear" w:color="000000" w:fill="D9D9D9"/>
            <w:vAlign w:val="center"/>
            <w:hideMark/>
          </w:tcPr>
          <w:p w14:paraId="54BABC4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55" w:type="pct"/>
            <w:tcBorders>
              <w:top w:val="nil"/>
              <w:left w:val="nil"/>
              <w:bottom w:val="single" w:sz="4" w:space="0" w:color="auto"/>
              <w:right w:val="single" w:sz="4" w:space="0" w:color="auto"/>
            </w:tcBorders>
            <w:shd w:val="clear" w:color="000000" w:fill="D9D9D9"/>
            <w:vAlign w:val="center"/>
            <w:hideMark/>
          </w:tcPr>
          <w:p w14:paraId="1AD55499"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218" w:type="pct"/>
            <w:tcBorders>
              <w:top w:val="nil"/>
              <w:left w:val="nil"/>
              <w:bottom w:val="single" w:sz="4" w:space="0" w:color="auto"/>
              <w:right w:val="single" w:sz="4" w:space="0" w:color="auto"/>
            </w:tcBorders>
            <w:shd w:val="clear" w:color="000000" w:fill="D9D9D9"/>
            <w:vAlign w:val="center"/>
            <w:hideMark/>
          </w:tcPr>
          <w:p w14:paraId="051B2789"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7DC85DDA"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39" w:type="pct"/>
            <w:tcBorders>
              <w:top w:val="nil"/>
              <w:left w:val="nil"/>
              <w:bottom w:val="single" w:sz="4" w:space="0" w:color="auto"/>
              <w:right w:val="single" w:sz="4" w:space="0" w:color="auto"/>
            </w:tcBorders>
            <w:shd w:val="clear" w:color="000000" w:fill="D9D9D9"/>
            <w:vAlign w:val="center"/>
            <w:hideMark/>
          </w:tcPr>
          <w:p w14:paraId="0AC55F0C"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42" w:type="pct"/>
            <w:tcBorders>
              <w:top w:val="nil"/>
              <w:left w:val="nil"/>
              <w:bottom w:val="single" w:sz="4" w:space="0" w:color="auto"/>
              <w:right w:val="single" w:sz="4" w:space="0" w:color="auto"/>
            </w:tcBorders>
            <w:shd w:val="clear" w:color="000000" w:fill="D9D9D9"/>
            <w:vAlign w:val="center"/>
            <w:hideMark/>
          </w:tcPr>
          <w:p w14:paraId="50DC03BC"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28" w:type="pct"/>
            <w:tcBorders>
              <w:top w:val="nil"/>
              <w:left w:val="nil"/>
              <w:bottom w:val="single" w:sz="4" w:space="0" w:color="auto"/>
              <w:right w:val="single" w:sz="4" w:space="0" w:color="auto"/>
            </w:tcBorders>
            <w:shd w:val="clear" w:color="000000" w:fill="D9D9D9"/>
            <w:vAlign w:val="center"/>
            <w:hideMark/>
          </w:tcPr>
          <w:p w14:paraId="23881BD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77" w:type="pct"/>
            <w:tcBorders>
              <w:top w:val="nil"/>
              <w:left w:val="nil"/>
              <w:bottom w:val="single" w:sz="4" w:space="0" w:color="auto"/>
              <w:right w:val="single" w:sz="4" w:space="0" w:color="auto"/>
            </w:tcBorders>
            <w:shd w:val="clear" w:color="000000" w:fill="D9D9D9"/>
            <w:vAlign w:val="center"/>
            <w:hideMark/>
          </w:tcPr>
          <w:p w14:paraId="37A1BB9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r>
      <w:tr w:rsidR="00C260C3" w:rsidRPr="00B457F5" w14:paraId="509FC86E"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4E60D1D6"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81" w:type="pct"/>
            <w:tcBorders>
              <w:top w:val="nil"/>
              <w:left w:val="nil"/>
              <w:bottom w:val="single" w:sz="4" w:space="0" w:color="auto"/>
              <w:right w:val="single" w:sz="4" w:space="0" w:color="auto"/>
            </w:tcBorders>
            <w:shd w:val="clear" w:color="auto" w:fill="auto"/>
            <w:vAlign w:val="center"/>
            <w:hideMark/>
          </w:tcPr>
          <w:p w14:paraId="735EDFFF" w14:textId="77777777" w:rsidR="00C260C3" w:rsidRPr="00B457F5" w:rsidRDefault="00C260C3" w:rsidP="00C260C3">
            <w:pPr>
              <w:spacing w:before="0" w:after="0"/>
              <w:jc w:val="left"/>
              <w:rPr>
                <w:rFonts w:ascii="Garamond" w:eastAsia="Times New Roman" w:hAnsi="Garamond" w:cs="Times New Roman"/>
                <w:b/>
                <w:bCs/>
                <w:i/>
                <w:iCs/>
                <w:color w:val="5B9BD5"/>
                <w:sz w:val="4"/>
                <w:szCs w:val="10"/>
              </w:rPr>
            </w:pPr>
            <w:r w:rsidRPr="00B457F5">
              <w:rPr>
                <w:rFonts w:ascii="Garamond" w:eastAsia="Times New Roman" w:hAnsi="Garamond" w:cs="Times New Roman"/>
                <w:b/>
                <w:bCs/>
                <w:i/>
                <w:iCs/>
                <w:color w:val="5B9BD5"/>
                <w:sz w:val="4"/>
                <w:szCs w:val="10"/>
              </w:rPr>
              <w:t>Masat</w:t>
            </w:r>
          </w:p>
        </w:tc>
        <w:tc>
          <w:tcPr>
            <w:tcW w:w="186" w:type="pct"/>
            <w:tcBorders>
              <w:top w:val="nil"/>
              <w:left w:val="nil"/>
              <w:bottom w:val="single" w:sz="4" w:space="0" w:color="auto"/>
              <w:right w:val="single" w:sz="4" w:space="0" w:color="auto"/>
            </w:tcBorders>
            <w:shd w:val="clear" w:color="auto" w:fill="auto"/>
            <w:vAlign w:val="center"/>
            <w:hideMark/>
          </w:tcPr>
          <w:p w14:paraId="19C43100"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9" w:type="pct"/>
            <w:tcBorders>
              <w:top w:val="nil"/>
              <w:left w:val="nil"/>
              <w:bottom w:val="single" w:sz="4" w:space="0" w:color="auto"/>
              <w:right w:val="single" w:sz="4" w:space="0" w:color="auto"/>
            </w:tcBorders>
            <w:shd w:val="clear" w:color="auto" w:fill="auto"/>
            <w:vAlign w:val="center"/>
            <w:hideMark/>
          </w:tcPr>
          <w:p w14:paraId="16988E1E"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44" w:type="pct"/>
            <w:tcBorders>
              <w:top w:val="nil"/>
              <w:left w:val="nil"/>
              <w:bottom w:val="single" w:sz="4" w:space="0" w:color="auto"/>
              <w:right w:val="single" w:sz="4" w:space="0" w:color="auto"/>
            </w:tcBorders>
            <w:shd w:val="clear" w:color="auto" w:fill="auto"/>
            <w:vAlign w:val="center"/>
            <w:hideMark/>
          </w:tcPr>
          <w:p w14:paraId="7590C274"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35" w:type="pct"/>
            <w:tcBorders>
              <w:top w:val="nil"/>
              <w:left w:val="nil"/>
              <w:bottom w:val="single" w:sz="4" w:space="0" w:color="auto"/>
              <w:right w:val="single" w:sz="4" w:space="0" w:color="auto"/>
            </w:tcBorders>
            <w:shd w:val="clear" w:color="auto" w:fill="auto"/>
            <w:vAlign w:val="center"/>
            <w:hideMark/>
          </w:tcPr>
          <w:p w14:paraId="4D80C6C3"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2" w:type="pct"/>
            <w:tcBorders>
              <w:top w:val="nil"/>
              <w:left w:val="nil"/>
              <w:bottom w:val="single" w:sz="4" w:space="0" w:color="auto"/>
              <w:right w:val="single" w:sz="4" w:space="0" w:color="auto"/>
            </w:tcBorders>
            <w:shd w:val="clear" w:color="auto" w:fill="auto"/>
            <w:vAlign w:val="center"/>
            <w:hideMark/>
          </w:tcPr>
          <w:p w14:paraId="605612F6"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61224553"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55" w:type="pct"/>
            <w:tcBorders>
              <w:top w:val="nil"/>
              <w:left w:val="nil"/>
              <w:bottom w:val="single" w:sz="4" w:space="0" w:color="auto"/>
              <w:right w:val="single" w:sz="4" w:space="0" w:color="auto"/>
            </w:tcBorders>
            <w:shd w:val="clear" w:color="auto" w:fill="auto"/>
            <w:vAlign w:val="center"/>
            <w:hideMark/>
          </w:tcPr>
          <w:p w14:paraId="7ACA78CF"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2" w:type="pct"/>
            <w:tcBorders>
              <w:top w:val="nil"/>
              <w:left w:val="nil"/>
              <w:bottom w:val="single" w:sz="4" w:space="0" w:color="auto"/>
              <w:right w:val="single" w:sz="4" w:space="0" w:color="auto"/>
            </w:tcBorders>
            <w:shd w:val="clear" w:color="auto" w:fill="auto"/>
            <w:vAlign w:val="center"/>
            <w:hideMark/>
          </w:tcPr>
          <w:p w14:paraId="4489A079"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5" w:type="pct"/>
            <w:tcBorders>
              <w:top w:val="nil"/>
              <w:left w:val="nil"/>
              <w:bottom w:val="single" w:sz="4" w:space="0" w:color="auto"/>
              <w:right w:val="single" w:sz="4" w:space="0" w:color="auto"/>
            </w:tcBorders>
            <w:shd w:val="clear" w:color="auto" w:fill="auto"/>
            <w:vAlign w:val="center"/>
            <w:hideMark/>
          </w:tcPr>
          <w:p w14:paraId="6EDE24C9"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5B362343"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46F39F13"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0B2A7EA9"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48" w:type="pct"/>
            <w:tcBorders>
              <w:top w:val="nil"/>
              <w:left w:val="nil"/>
              <w:bottom w:val="single" w:sz="4" w:space="0" w:color="auto"/>
              <w:right w:val="single" w:sz="4" w:space="0" w:color="auto"/>
            </w:tcBorders>
            <w:shd w:val="clear" w:color="auto" w:fill="auto"/>
            <w:vAlign w:val="center"/>
            <w:hideMark/>
          </w:tcPr>
          <w:p w14:paraId="7849DC4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2" w:type="pct"/>
            <w:tcBorders>
              <w:top w:val="nil"/>
              <w:left w:val="nil"/>
              <w:bottom w:val="single" w:sz="4" w:space="0" w:color="auto"/>
              <w:right w:val="single" w:sz="4" w:space="0" w:color="auto"/>
            </w:tcBorders>
            <w:shd w:val="clear" w:color="auto" w:fill="auto"/>
            <w:vAlign w:val="center"/>
            <w:hideMark/>
          </w:tcPr>
          <w:p w14:paraId="44957E0B"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5" w:type="pct"/>
            <w:tcBorders>
              <w:top w:val="nil"/>
              <w:left w:val="nil"/>
              <w:bottom w:val="single" w:sz="4" w:space="0" w:color="auto"/>
              <w:right w:val="single" w:sz="4" w:space="0" w:color="auto"/>
            </w:tcBorders>
            <w:shd w:val="clear" w:color="auto" w:fill="auto"/>
            <w:vAlign w:val="center"/>
            <w:hideMark/>
          </w:tcPr>
          <w:p w14:paraId="36114071"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4EE1FDBA"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5" w:type="pct"/>
            <w:tcBorders>
              <w:top w:val="nil"/>
              <w:left w:val="nil"/>
              <w:bottom w:val="single" w:sz="4" w:space="0" w:color="auto"/>
              <w:right w:val="single" w:sz="4" w:space="0" w:color="auto"/>
            </w:tcBorders>
            <w:shd w:val="clear" w:color="auto" w:fill="auto"/>
            <w:vAlign w:val="center"/>
            <w:hideMark/>
          </w:tcPr>
          <w:p w14:paraId="4ECF97C5"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0CFE3A2F"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55" w:type="pct"/>
            <w:tcBorders>
              <w:top w:val="nil"/>
              <w:left w:val="nil"/>
              <w:bottom w:val="single" w:sz="4" w:space="0" w:color="auto"/>
              <w:right w:val="single" w:sz="4" w:space="0" w:color="auto"/>
            </w:tcBorders>
            <w:shd w:val="clear" w:color="auto" w:fill="auto"/>
            <w:vAlign w:val="center"/>
            <w:hideMark/>
          </w:tcPr>
          <w:p w14:paraId="100AD9D8"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0B53F2D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2" w:type="pct"/>
            <w:tcBorders>
              <w:top w:val="nil"/>
              <w:left w:val="nil"/>
              <w:bottom w:val="single" w:sz="4" w:space="0" w:color="auto"/>
              <w:right w:val="single" w:sz="4" w:space="0" w:color="auto"/>
            </w:tcBorders>
            <w:shd w:val="clear" w:color="auto" w:fill="auto"/>
            <w:vAlign w:val="center"/>
            <w:hideMark/>
          </w:tcPr>
          <w:p w14:paraId="2E98AF0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55" w:type="pct"/>
            <w:tcBorders>
              <w:top w:val="nil"/>
              <w:left w:val="nil"/>
              <w:bottom w:val="single" w:sz="4" w:space="0" w:color="auto"/>
              <w:right w:val="single" w:sz="4" w:space="0" w:color="auto"/>
            </w:tcBorders>
            <w:shd w:val="clear" w:color="auto" w:fill="auto"/>
            <w:vAlign w:val="center"/>
            <w:hideMark/>
          </w:tcPr>
          <w:p w14:paraId="327F4F80"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218" w:type="pct"/>
            <w:tcBorders>
              <w:top w:val="nil"/>
              <w:left w:val="nil"/>
              <w:bottom w:val="single" w:sz="4" w:space="0" w:color="auto"/>
              <w:right w:val="single" w:sz="4" w:space="0" w:color="auto"/>
            </w:tcBorders>
            <w:shd w:val="clear" w:color="auto" w:fill="auto"/>
            <w:vAlign w:val="center"/>
            <w:hideMark/>
          </w:tcPr>
          <w:p w14:paraId="59199E91"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46E4FBF0"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39" w:type="pct"/>
            <w:tcBorders>
              <w:top w:val="nil"/>
              <w:left w:val="nil"/>
              <w:bottom w:val="single" w:sz="4" w:space="0" w:color="auto"/>
              <w:right w:val="single" w:sz="4" w:space="0" w:color="auto"/>
            </w:tcBorders>
            <w:shd w:val="clear" w:color="auto" w:fill="auto"/>
            <w:vAlign w:val="center"/>
            <w:hideMark/>
          </w:tcPr>
          <w:p w14:paraId="59A2092B"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42" w:type="pct"/>
            <w:tcBorders>
              <w:top w:val="nil"/>
              <w:left w:val="nil"/>
              <w:bottom w:val="single" w:sz="4" w:space="0" w:color="auto"/>
              <w:right w:val="single" w:sz="4" w:space="0" w:color="auto"/>
            </w:tcBorders>
            <w:shd w:val="clear" w:color="auto" w:fill="auto"/>
            <w:vAlign w:val="center"/>
            <w:hideMark/>
          </w:tcPr>
          <w:p w14:paraId="38468E70"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28" w:type="pct"/>
            <w:tcBorders>
              <w:top w:val="nil"/>
              <w:left w:val="nil"/>
              <w:bottom w:val="single" w:sz="4" w:space="0" w:color="auto"/>
              <w:right w:val="single" w:sz="4" w:space="0" w:color="auto"/>
            </w:tcBorders>
            <w:shd w:val="clear" w:color="auto" w:fill="auto"/>
            <w:vAlign w:val="center"/>
            <w:hideMark/>
          </w:tcPr>
          <w:p w14:paraId="05D33409"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77" w:type="pct"/>
            <w:tcBorders>
              <w:top w:val="nil"/>
              <w:left w:val="nil"/>
              <w:bottom w:val="single" w:sz="4" w:space="0" w:color="auto"/>
              <w:right w:val="single" w:sz="4" w:space="0" w:color="auto"/>
            </w:tcBorders>
            <w:shd w:val="clear" w:color="auto" w:fill="auto"/>
            <w:vAlign w:val="center"/>
            <w:hideMark/>
          </w:tcPr>
          <w:p w14:paraId="127FEC7A"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r>
      <w:tr w:rsidR="00C260C3" w:rsidRPr="00B457F5" w14:paraId="2D5E6F56" w14:textId="77777777" w:rsidTr="00C260C3">
        <w:trPr>
          <w:trHeight w:val="20"/>
        </w:trPr>
        <w:tc>
          <w:tcPr>
            <w:tcW w:w="131" w:type="pct"/>
            <w:tcBorders>
              <w:top w:val="nil"/>
              <w:left w:val="single" w:sz="4" w:space="0" w:color="auto"/>
              <w:bottom w:val="single" w:sz="4" w:space="0" w:color="auto"/>
              <w:right w:val="single" w:sz="4" w:space="0" w:color="auto"/>
            </w:tcBorders>
            <w:shd w:val="clear" w:color="000000" w:fill="D9D9D9"/>
            <w:vAlign w:val="center"/>
            <w:hideMark/>
          </w:tcPr>
          <w:p w14:paraId="1CD90213"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4.2.1</w:t>
            </w:r>
          </w:p>
        </w:tc>
        <w:tc>
          <w:tcPr>
            <w:tcW w:w="281" w:type="pct"/>
            <w:tcBorders>
              <w:top w:val="nil"/>
              <w:left w:val="nil"/>
              <w:bottom w:val="single" w:sz="4" w:space="0" w:color="auto"/>
              <w:right w:val="single" w:sz="4" w:space="0" w:color="auto"/>
            </w:tcBorders>
            <w:shd w:val="clear" w:color="000000" w:fill="D9D9D9"/>
            <w:vAlign w:val="center"/>
            <w:hideMark/>
          </w:tcPr>
          <w:p w14:paraId="4C314BC6" w14:textId="62E888CF" w:rsidR="00C260C3" w:rsidRPr="00B457F5" w:rsidRDefault="00C260C3" w:rsidP="00C260C3">
            <w:pPr>
              <w:spacing w:before="0" w:after="0"/>
              <w:jc w:val="left"/>
              <w:rPr>
                <w:rFonts w:ascii="Garamond" w:eastAsia="Times New Roman" w:hAnsi="Garamond" w:cs="Times New Roman"/>
                <w:b/>
                <w:bCs/>
                <w:sz w:val="4"/>
                <w:szCs w:val="10"/>
              </w:rPr>
            </w:pPr>
            <w:r w:rsidRPr="00B457F5">
              <w:rPr>
                <w:rFonts w:ascii="Garamond" w:eastAsia="Times New Roman" w:hAnsi="Garamond" w:cs="Times New Roman"/>
                <w:b/>
                <w:bCs/>
                <w:sz w:val="4"/>
                <w:szCs w:val="10"/>
              </w:rPr>
              <w:t>4.2.1</w:t>
            </w:r>
            <w:r w:rsidR="0006016F" w:rsidRPr="00B457F5">
              <w:rPr>
                <w:rFonts w:ascii="Garamond" w:eastAsia="Times New Roman" w:hAnsi="Garamond" w:cs="Times New Roman"/>
                <w:b/>
                <w:bCs/>
                <w:sz w:val="4"/>
                <w:szCs w:val="10"/>
              </w:rPr>
              <w:t xml:space="preserve"> </w:t>
            </w:r>
            <w:r w:rsidRPr="00B457F5">
              <w:rPr>
                <w:rFonts w:ascii="Garamond" w:eastAsia="Times New Roman" w:hAnsi="Garamond" w:cs="Times New Roman"/>
                <w:b/>
                <w:bCs/>
                <w:sz w:val="4"/>
                <w:szCs w:val="10"/>
              </w:rPr>
              <w:t>Identifikimi i shpejtë i personave me nevoja të veçanta gjatë procedurave të përzgjedhjes</w:t>
            </w:r>
          </w:p>
        </w:tc>
        <w:tc>
          <w:tcPr>
            <w:tcW w:w="186" w:type="pct"/>
            <w:tcBorders>
              <w:top w:val="nil"/>
              <w:left w:val="nil"/>
              <w:bottom w:val="single" w:sz="4" w:space="0" w:color="auto"/>
              <w:right w:val="single" w:sz="4" w:space="0" w:color="auto"/>
            </w:tcBorders>
            <w:shd w:val="clear" w:color="000000" w:fill="D9D9D9"/>
            <w:vAlign w:val="center"/>
            <w:hideMark/>
          </w:tcPr>
          <w:p w14:paraId="1A34BF9A"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000000" w:fill="D9D9D9"/>
            <w:vAlign w:val="center"/>
            <w:hideMark/>
          </w:tcPr>
          <w:p w14:paraId="74A73429"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w:t>
            </w:r>
          </w:p>
        </w:tc>
        <w:tc>
          <w:tcPr>
            <w:tcW w:w="244" w:type="pct"/>
            <w:tcBorders>
              <w:top w:val="nil"/>
              <w:left w:val="nil"/>
              <w:bottom w:val="single" w:sz="4" w:space="0" w:color="auto"/>
              <w:right w:val="single" w:sz="4" w:space="0" w:color="auto"/>
            </w:tcBorders>
            <w:shd w:val="clear" w:color="000000" w:fill="D9D9D9"/>
            <w:vAlign w:val="center"/>
            <w:hideMark/>
          </w:tcPr>
          <w:p w14:paraId="4D88F218"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MSHMS, EUAA, UNHCR, IOM</w:t>
            </w:r>
          </w:p>
        </w:tc>
        <w:tc>
          <w:tcPr>
            <w:tcW w:w="135" w:type="pct"/>
            <w:tcBorders>
              <w:top w:val="nil"/>
              <w:left w:val="nil"/>
              <w:bottom w:val="single" w:sz="4" w:space="0" w:color="auto"/>
              <w:right w:val="single" w:sz="4" w:space="0" w:color="auto"/>
            </w:tcBorders>
            <w:shd w:val="clear" w:color="000000" w:fill="D9D9D9"/>
            <w:vAlign w:val="center"/>
            <w:hideMark/>
          </w:tcPr>
          <w:p w14:paraId="19BC5D76"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9D9D9"/>
            <w:vAlign w:val="center"/>
            <w:hideMark/>
          </w:tcPr>
          <w:p w14:paraId="6A5A2A1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000000" w:fill="D9D9D9"/>
            <w:vAlign w:val="center"/>
            <w:hideMark/>
          </w:tcPr>
          <w:p w14:paraId="200CC2D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2,925,264</w:t>
            </w:r>
          </w:p>
        </w:tc>
        <w:tc>
          <w:tcPr>
            <w:tcW w:w="155" w:type="pct"/>
            <w:tcBorders>
              <w:top w:val="nil"/>
              <w:left w:val="nil"/>
              <w:bottom w:val="single" w:sz="4" w:space="0" w:color="auto"/>
              <w:right w:val="single" w:sz="4" w:space="0" w:color="auto"/>
            </w:tcBorders>
            <w:shd w:val="clear" w:color="000000" w:fill="D9D9D9"/>
            <w:vAlign w:val="center"/>
            <w:hideMark/>
          </w:tcPr>
          <w:p w14:paraId="249B84D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7D4380D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2,925,264</w:t>
            </w:r>
          </w:p>
        </w:tc>
        <w:tc>
          <w:tcPr>
            <w:tcW w:w="165" w:type="pct"/>
            <w:tcBorders>
              <w:top w:val="nil"/>
              <w:left w:val="nil"/>
              <w:bottom w:val="single" w:sz="4" w:space="0" w:color="auto"/>
              <w:right w:val="single" w:sz="4" w:space="0" w:color="auto"/>
            </w:tcBorders>
            <w:shd w:val="clear" w:color="000000" w:fill="D9D9D9"/>
            <w:vAlign w:val="center"/>
            <w:hideMark/>
          </w:tcPr>
          <w:p w14:paraId="21B3CC4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2,925,264</w:t>
            </w:r>
          </w:p>
        </w:tc>
        <w:tc>
          <w:tcPr>
            <w:tcW w:w="163" w:type="pct"/>
            <w:tcBorders>
              <w:top w:val="nil"/>
              <w:left w:val="nil"/>
              <w:bottom w:val="single" w:sz="4" w:space="0" w:color="auto"/>
              <w:right w:val="single" w:sz="4" w:space="0" w:color="auto"/>
            </w:tcBorders>
            <w:shd w:val="clear" w:color="000000" w:fill="D9D9D9"/>
            <w:vAlign w:val="center"/>
            <w:hideMark/>
          </w:tcPr>
          <w:p w14:paraId="09B0443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4A35C0F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2,925,264</w:t>
            </w:r>
          </w:p>
        </w:tc>
        <w:tc>
          <w:tcPr>
            <w:tcW w:w="163" w:type="pct"/>
            <w:tcBorders>
              <w:top w:val="nil"/>
              <w:left w:val="nil"/>
              <w:bottom w:val="single" w:sz="4" w:space="0" w:color="auto"/>
              <w:right w:val="single" w:sz="4" w:space="0" w:color="auto"/>
            </w:tcBorders>
            <w:shd w:val="clear" w:color="000000" w:fill="D9D9D9"/>
            <w:vAlign w:val="center"/>
            <w:hideMark/>
          </w:tcPr>
          <w:p w14:paraId="0B383BB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2,246,400</w:t>
            </w:r>
          </w:p>
        </w:tc>
        <w:tc>
          <w:tcPr>
            <w:tcW w:w="148" w:type="pct"/>
            <w:tcBorders>
              <w:top w:val="nil"/>
              <w:left w:val="nil"/>
              <w:bottom w:val="single" w:sz="4" w:space="0" w:color="auto"/>
              <w:right w:val="single" w:sz="4" w:space="0" w:color="auto"/>
            </w:tcBorders>
            <w:shd w:val="clear" w:color="000000" w:fill="D9D9D9"/>
            <w:vAlign w:val="center"/>
            <w:hideMark/>
          </w:tcPr>
          <w:p w14:paraId="0757A49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4852D94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2,246,400</w:t>
            </w:r>
          </w:p>
        </w:tc>
        <w:tc>
          <w:tcPr>
            <w:tcW w:w="165" w:type="pct"/>
            <w:tcBorders>
              <w:top w:val="nil"/>
              <w:left w:val="nil"/>
              <w:bottom w:val="single" w:sz="4" w:space="0" w:color="auto"/>
              <w:right w:val="single" w:sz="4" w:space="0" w:color="auto"/>
            </w:tcBorders>
            <w:shd w:val="clear" w:color="000000" w:fill="D9D9D9"/>
            <w:vAlign w:val="center"/>
            <w:hideMark/>
          </w:tcPr>
          <w:p w14:paraId="2D6736A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8,096,928</w:t>
            </w:r>
          </w:p>
        </w:tc>
        <w:tc>
          <w:tcPr>
            <w:tcW w:w="163" w:type="pct"/>
            <w:tcBorders>
              <w:top w:val="nil"/>
              <w:left w:val="nil"/>
              <w:bottom w:val="single" w:sz="4" w:space="0" w:color="auto"/>
              <w:right w:val="single" w:sz="4" w:space="0" w:color="auto"/>
            </w:tcBorders>
            <w:shd w:val="clear" w:color="000000" w:fill="D9D9D9"/>
            <w:vAlign w:val="center"/>
            <w:hideMark/>
          </w:tcPr>
          <w:p w14:paraId="6BA7F8F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D9D9D9"/>
            <w:vAlign w:val="center"/>
            <w:hideMark/>
          </w:tcPr>
          <w:p w14:paraId="2607B95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8,096,928</w:t>
            </w:r>
          </w:p>
        </w:tc>
        <w:tc>
          <w:tcPr>
            <w:tcW w:w="163" w:type="pct"/>
            <w:tcBorders>
              <w:top w:val="nil"/>
              <w:left w:val="nil"/>
              <w:bottom w:val="single" w:sz="4" w:space="0" w:color="auto"/>
              <w:right w:val="single" w:sz="4" w:space="0" w:color="auto"/>
            </w:tcBorders>
            <w:shd w:val="clear" w:color="000000" w:fill="D9D9D9"/>
            <w:vAlign w:val="center"/>
            <w:hideMark/>
          </w:tcPr>
          <w:p w14:paraId="115EC1C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000000" w:fill="D9D9D9"/>
            <w:vAlign w:val="center"/>
            <w:hideMark/>
          </w:tcPr>
          <w:p w14:paraId="7B3CFAC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6D6EB94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4BC6D02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8,096,928</w:t>
            </w:r>
          </w:p>
        </w:tc>
        <w:tc>
          <w:tcPr>
            <w:tcW w:w="155" w:type="pct"/>
            <w:tcBorders>
              <w:top w:val="nil"/>
              <w:left w:val="nil"/>
              <w:bottom w:val="single" w:sz="4" w:space="0" w:color="auto"/>
              <w:right w:val="single" w:sz="4" w:space="0" w:color="auto"/>
            </w:tcBorders>
            <w:shd w:val="clear" w:color="000000" w:fill="D9D9D9"/>
            <w:vAlign w:val="center"/>
            <w:hideMark/>
          </w:tcPr>
          <w:p w14:paraId="252C4FA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000000" w:fill="D9D9D9"/>
            <w:vAlign w:val="center"/>
            <w:hideMark/>
          </w:tcPr>
          <w:p w14:paraId="2FF840D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61DD228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8,096,928</w:t>
            </w:r>
          </w:p>
        </w:tc>
        <w:tc>
          <w:tcPr>
            <w:tcW w:w="139" w:type="pct"/>
            <w:tcBorders>
              <w:top w:val="nil"/>
              <w:left w:val="nil"/>
              <w:bottom w:val="single" w:sz="4" w:space="0" w:color="auto"/>
              <w:right w:val="single" w:sz="4" w:space="0" w:color="auto"/>
            </w:tcBorders>
            <w:shd w:val="clear" w:color="000000" w:fill="D9D9D9"/>
            <w:vAlign w:val="center"/>
            <w:hideMark/>
          </w:tcPr>
          <w:p w14:paraId="7B831A8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000000" w:fill="D9D9D9"/>
            <w:vAlign w:val="center"/>
            <w:hideMark/>
          </w:tcPr>
          <w:p w14:paraId="6F9E1D7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D9D9D9"/>
            <w:vAlign w:val="center"/>
            <w:hideMark/>
          </w:tcPr>
          <w:p w14:paraId="1FDE19E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000000" w:fill="D9D9D9"/>
            <w:vAlign w:val="center"/>
            <w:hideMark/>
          </w:tcPr>
          <w:p w14:paraId="26949680" w14:textId="2855E30D"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 - </w:t>
            </w:r>
          </w:p>
        </w:tc>
      </w:tr>
      <w:tr w:rsidR="00C260C3" w:rsidRPr="00B457F5" w14:paraId="75C0F1CF"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1AE210FC"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4.2.1.1</w:t>
            </w:r>
          </w:p>
        </w:tc>
        <w:tc>
          <w:tcPr>
            <w:tcW w:w="281" w:type="pct"/>
            <w:tcBorders>
              <w:top w:val="nil"/>
              <w:left w:val="nil"/>
              <w:bottom w:val="single" w:sz="4" w:space="0" w:color="auto"/>
              <w:right w:val="single" w:sz="4" w:space="0" w:color="auto"/>
            </w:tcBorders>
            <w:shd w:val="clear" w:color="auto" w:fill="auto"/>
            <w:vAlign w:val="center"/>
            <w:hideMark/>
          </w:tcPr>
          <w:p w14:paraId="6DB245BF" w14:textId="22B6BCF8"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4.2.1.1 Hartimi i procedurave </w:t>
            </w:r>
            <w:r w:rsidR="00E92B0D" w:rsidRPr="00B457F5">
              <w:rPr>
                <w:rFonts w:ascii="Garamond" w:eastAsia="Times New Roman" w:hAnsi="Garamond" w:cs="Times New Roman"/>
                <w:color w:val="000000"/>
                <w:sz w:val="4"/>
                <w:szCs w:val="10"/>
              </w:rPr>
              <w:t>standarde</w:t>
            </w:r>
            <w:r w:rsidRPr="00B457F5">
              <w:rPr>
                <w:rFonts w:ascii="Garamond" w:eastAsia="Times New Roman" w:hAnsi="Garamond" w:cs="Times New Roman"/>
                <w:color w:val="000000"/>
                <w:sz w:val="4"/>
                <w:szCs w:val="10"/>
              </w:rPr>
              <w:t>, me tregues të qartë për identifikimin e grupeve vulnerabël në kufi</w:t>
            </w:r>
          </w:p>
        </w:tc>
        <w:tc>
          <w:tcPr>
            <w:tcW w:w="186" w:type="pct"/>
            <w:tcBorders>
              <w:top w:val="nil"/>
              <w:left w:val="nil"/>
              <w:bottom w:val="single" w:sz="4" w:space="0" w:color="auto"/>
              <w:right w:val="single" w:sz="4" w:space="0" w:color="auto"/>
            </w:tcBorders>
            <w:shd w:val="clear" w:color="auto" w:fill="auto"/>
            <w:vAlign w:val="center"/>
            <w:hideMark/>
          </w:tcPr>
          <w:p w14:paraId="6B2AA50C"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5E0AB68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5C08DB3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MSHMS, EUAA, UNHCR, IOM</w:t>
            </w:r>
          </w:p>
        </w:tc>
        <w:tc>
          <w:tcPr>
            <w:tcW w:w="135" w:type="pct"/>
            <w:tcBorders>
              <w:top w:val="nil"/>
              <w:left w:val="nil"/>
              <w:bottom w:val="single" w:sz="4" w:space="0" w:color="auto"/>
              <w:right w:val="single" w:sz="4" w:space="0" w:color="auto"/>
            </w:tcBorders>
            <w:shd w:val="clear" w:color="000000" w:fill="DDEBF7"/>
            <w:vAlign w:val="center"/>
            <w:hideMark/>
          </w:tcPr>
          <w:p w14:paraId="5ACEB115"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466C663E"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2025</w:t>
            </w:r>
          </w:p>
        </w:tc>
        <w:tc>
          <w:tcPr>
            <w:tcW w:w="163" w:type="pct"/>
            <w:tcBorders>
              <w:top w:val="nil"/>
              <w:left w:val="nil"/>
              <w:bottom w:val="single" w:sz="4" w:space="0" w:color="auto"/>
              <w:right w:val="single" w:sz="4" w:space="0" w:color="auto"/>
            </w:tcBorders>
            <w:shd w:val="clear" w:color="auto" w:fill="auto"/>
            <w:vAlign w:val="center"/>
            <w:hideMark/>
          </w:tcPr>
          <w:p w14:paraId="479B3CC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678,864</w:t>
            </w:r>
          </w:p>
        </w:tc>
        <w:tc>
          <w:tcPr>
            <w:tcW w:w="155" w:type="pct"/>
            <w:tcBorders>
              <w:top w:val="nil"/>
              <w:left w:val="nil"/>
              <w:bottom w:val="single" w:sz="4" w:space="0" w:color="auto"/>
              <w:right w:val="single" w:sz="4" w:space="0" w:color="auto"/>
            </w:tcBorders>
            <w:shd w:val="clear" w:color="auto" w:fill="auto"/>
            <w:vAlign w:val="center"/>
            <w:hideMark/>
          </w:tcPr>
          <w:p w14:paraId="2977797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677C3FB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678,864</w:t>
            </w:r>
          </w:p>
        </w:tc>
        <w:tc>
          <w:tcPr>
            <w:tcW w:w="165" w:type="pct"/>
            <w:tcBorders>
              <w:top w:val="nil"/>
              <w:left w:val="nil"/>
              <w:bottom w:val="single" w:sz="4" w:space="0" w:color="auto"/>
              <w:right w:val="single" w:sz="4" w:space="0" w:color="auto"/>
            </w:tcBorders>
            <w:shd w:val="clear" w:color="auto" w:fill="auto"/>
            <w:vAlign w:val="center"/>
            <w:hideMark/>
          </w:tcPr>
          <w:p w14:paraId="24A46B9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678,864</w:t>
            </w:r>
          </w:p>
        </w:tc>
        <w:tc>
          <w:tcPr>
            <w:tcW w:w="163" w:type="pct"/>
            <w:tcBorders>
              <w:top w:val="nil"/>
              <w:left w:val="nil"/>
              <w:bottom w:val="single" w:sz="4" w:space="0" w:color="auto"/>
              <w:right w:val="single" w:sz="4" w:space="0" w:color="auto"/>
            </w:tcBorders>
            <w:shd w:val="clear" w:color="auto" w:fill="auto"/>
            <w:vAlign w:val="center"/>
            <w:hideMark/>
          </w:tcPr>
          <w:p w14:paraId="52C0C7E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48C2351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678,864</w:t>
            </w:r>
          </w:p>
        </w:tc>
        <w:tc>
          <w:tcPr>
            <w:tcW w:w="163" w:type="pct"/>
            <w:tcBorders>
              <w:top w:val="nil"/>
              <w:left w:val="nil"/>
              <w:bottom w:val="single" w:sz="4" w:space="0" w:color="auto"/>
              <w:right w:val="single" w:sz="4" w:space="0" w:color="auto"/>
            </w:tcBorders>
            <w:shd w:val="clear" w:color="auto" w:fill="auto"/>
            <w:vAlign w:val="center"/>
            <w:hideMark/>
          </w:tcPr>
          <w:p w14:paraId="5D7BD8C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8" w:type="pct"/>
            <w:tcBorders>
              <w:top w:val="nil"/>
              <w:left w:val="nil"/>
              <w:bottom w:val="single" w:sz="4" w:space="0" w:color="auto"/>
              <w:right w:val="single" w:sz="4" w:space="0" w:color="auto"/>
            </w:tcBorders>
            <w:shd w:val="clear" w:color="auto" w:fill="auto"/>
            <w:vAlign w:val="center"/>
            <w:hideMark/>
          </w:tcPr>
          <w:p w14:paraId="7338E65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68E9AEC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auto" w:fill="auto"/>
            <w:vAlign w:val="center"/>
            <w:hideMark/>
          </w:tcPr>
          <w:p w14:paraId="67E42A5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1,357,728</w:t>
            </w:r>
          </w:p>
        </w:tc>
        <w:tc>
          <w:tcPr>
            <w:tcW w:w="163" w:type="pct"/>
            <w:tcBorders>
              <w:top w:val="nil"/>
              <w:left w:val="nil"/>
              <w:bottom w:val="single" w:sz="4" w:space="0" w:color="auto"/>
              <w:right w:val="single" w:sz="4" w:space="0" w:color="auto"/>
            </w:tcBorders>
            <w:shd w:val="clear" w:color="auto" w:fill="auto"/>
            <w:vAlign w:val="center"/>
            <w:hideMark/>
          </w:tcPr>
          <w:p w14:paraId="37384D9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0604ECA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1,357,728</w:t>
            </w:r>
          </w:p>
        </w:tc>
        <w:tc>
          <w:tcPr>
            <w:tcW w:w="163" w:type="pct"/>
            <w:tcBorders>
              <w:top w:val="nil"/>
              <w:left w:val="nil"/>
              <w:bottom w:val="single" w:sz="4" w:space="0" w:color="auto"/>
              <w:right w:val="single" w:sz="4" w:space="0" w:color="auto"/>
            </w:tcBorders>
            <w:shd w:val="clear" w:color="auto" w:fill="auto"/>
            <w:vAlign w:val="center"/>
            <w:hideMark/>
          </w:tcPr>
          <w:p w14:paraId="05F86E6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26AF6EA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333500B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1368621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1,357,728</w:t>
            </w:r>
          </w:p>
        </w:tc>
        <w:tc>
          <w:tcPr>
            <w:tcW w:w="155" w:type="pct"/>
            <w:tcBorders>
              <w:top w:val="nil"/>
              <w:left w:val="nil"/>
              <w:bottom w:val="single" w:sz="4" w:space="0" w:color="auto"/>
              <w:right w:val="single" w:sz="4" w:space="0" w:color="auto"/>
            </w:tcBorders>
            <w:shd w:val="clear" w:color="auto" w:fill="auto"/>
            <w:vAlign w:val="center"/>
            <w:hideMark/>
          </w:tcPr>
          <w:p w14:paraId="2687D36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43C55E4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EUAA, UNHCR</w:t>
            </w:r>
          </w:p>
        </w:tc>
        <w:tc>
          <w:tcPr>
            <w:tcW w:w="163" w:type="pct"/>
            <w:tcBorders>
              <w:top w:val="nil"/>
              <w:left w:val="nil"/>
              <w:bottom w:val="single" w:sz="4" w:space="0" w:color="auto"/>
              <w:right w:val="single" w:sz="4" w:space="0" w:color="auto"/>
            </w:tcBorders>
            <w:shd w:val="clear" w:color="000000" w:fill="FFF2CC"/>
            <w:vAlign w:val="center"/>
            <w:hideMark/>
          </w:tcPr>
          <w:p w14:paraId="05BF619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1,357,728</w:t>
            </w:r>
          </w:p>
        </w:tc>
        <w:tc>
          <w:tcPr>
            <w:tcW w:w="139" w:type="pct"/>
            <w:tcBorders>
              <w:top w:val="nil"/>
              <w:left w:val="nil"/>
              <w:bottom w:val="single" w:sz="4" w:space="0" w:color="auto"/>
              <w:right w:val="single" w:sz="4" w:space="0" w:color="auto"/>
            </w:tcBorders>
            <w:shd w:val="clear" w:color="auto" w:fill="auto"/>
            <w:vAlign w:val="center"/>
            <w:hideMark/>
          </w:tcPr>
          <w:p w14:paraId="1A0F27A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527231E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01F12FC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1CC2BC5D" w14:textId="01F421C6"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29EFD502"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0609819F"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4.2.1.2</w:t>
            </w:r>
          </w:p>
        </w:tc>
        <w:tc>
          <w:tcPr>
            <w:tcW w:w="281" w:type="pct"/>
            <w:tcBorders>
              <w:top w:val="nil"/>
              <w:left w:val="nil"/>
              <w:bottom w:val="single" w:sz="4" w:space="0" w:color="auto"/>
              <w:right w:val="single" w:sz="4" w:space="0" w:color="auto"/>
            </w:tcBorders>
            <w:shd w:val="clear" w:color="auto" w:fill="auto"/>
            <w:vAlign w:val="center"/>
            <w:hideMark/>
          </w:tcPr>
          <w:p w14:paraId="35BE6822" w14:textId="577C2E70"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4.2.1.2 Ofrimi i përkthimit të licencuar/zyrtar/ ndihmës psikologjike për grupet vulnerabël në procesin e përzgjedhjes/</w:t>
            </w:r>
            <w:r w:rsidRPr="00B457F5">
              <w:rPr>
                <w:rFonts w:ascii="Garamond" w:eastAsia="Times New Roman" w:hAnsi="Garamond" w:cs="Times New Roman"/>
                <w:i/>
                <w:color w:val="000000"/>
                <w:sz w:val="4"/>
                <w:szCs w:val="10"/>
              </w:rPr>
              <w:t>prescreening</w:t>
            </w:r>
            <w:r w:rsidRPr="00B457F5">
              <w:rPr>
                <w:rFonts w:ascii="Garamond" w:eastAsia="Times New Roman" w:hAnsi="Garamond" w:cs="Times New Roman"/>
                <w:color w:val="000000"/>
                <w:sz w:val="4"/>
                <w:szCs w:val="10"/>
              </w:rPr>
              <w:t>.</w:t>
            </w:r>
          </w:p>
        </w:tc>
        <w:tc>
          <w:tcPr>
            <w:tcW w:w="186" w:type="pct"/>
            <w:tcBorders>
              <w:top w:val="nil"/>
              <w:left w:val="nil"/>
              <w:bottom w:val="single" w:sz="4" w:space="0" w:color="auto"/>
              <w:right w:val="single" w:sz="4" w:space="0" w:color="auto"/>
            </w:tcBorders>
            <w:shd w:val="clear" w:color="auto" w:fill="auto"/>
            <w:vAlign w:val="center"/>
            <w:hideMark/>
          </w:tcPr>
          <w:p w14:paraId="64ADC31B"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7922CC1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46FC235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UNHCR</w:t>
            </w:r>
          </w:p>
        </w:tc>
        <w:tc>
          <w:tcPr>
            <w:tcW w:w="135" w:type="pct"/>
            <w:tcBorders>
              <w:top w:val="nil"/>
              <w:left w:val="nil"/>
              <w:bottom w:val="single" w:sz="4" w:space="0" w:color="auto"/>
              <w:right w:val="single" w:sz="4" w:space="0" w:color="auto"/>
            </w:tcBorders>
            <w:shd w:val="clear" w:color="000000" w:fill="DDEBF7"/>
            <w:vAlign w:val="center"/>
            <w:hideMark/>
          </w:tcPr>
          <w:p w14:paraId="51E46EB0"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4377249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4CC46A3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1,814,400</w:t>
            </w:r>
          </w:p>
        </w:tc>
        <w:tc>
          <w:tcPr>
            <w:tcW w:w="155" w:type="pct"/>
            <w:tcBorders>
              <w:top w:val="nil"/>
              <w:left w:val="nil"/>
              <w:bottom w:val="single" w:sz="4" w:space="0" w:color="auto"/>
              <w:right w:val="single" w:sz="4" w:space="0" w:color="auto"/>
            </w:tcBorders>
            <w:shd w:val="clear" w:color="auto" w:fill="auto"/>
            <w:vAlign w:val="center"/>
            <w:hideMark/>
          </w:tcPr>
          <w:p w14:paraId="262C596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0E6EF44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1,814,400</w:t>
            </w:r>
          </w:p>
        </w:tc>
        <w:tc>
          <w:tcPr>
            <w:tcW w:w="165" w:type="pct"/>
            <w:tcBorders>
              <w:top w:val="nil"/>
              <w:left w:val="nil"/>
              <w:bottom w:val="single" w:sz="4" w:space="0" w:color="auto"/>
              <w:right w:val="single" w:sz="4" w:space="0" w:color="auto"/>
            </w:tcBorders>
            <w:shd w:val="clear" w:color="auto" w:fill="auto"/>
            <w:vAlign w:val="center"/>
            <w:hideMark/>
          </w:tcPr>
          <w:p w14:paraId="519E072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1,814,400</w:t>
            </w:r>
          </w:p>
        </w:tc>
        <w:tc>
          <w:tcPr>
            <w:tcW w:w="163" w:type="pct"/>
            <w:tcBorders>
              <w:top w:val="nil"/>
              <w:left w:val="nil"/>
              <w:bottom w:val="single" w:sz="4" w:space="0" w:color="auto"/>
              <w:right w:val="single" w:sz="4" w:space="0" w:color="auto"/>
            </w:tcBorders>
            <w:shd w:val="clear" w:color="auto" w:fill="auto"/>
            <w:vAlign w:val="center"/>
            <w:hideMark/>
          </w:tcPr>
          <w:p w14:paraId="3686632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5C978BA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1,814,400</w:t>
            </w:r>
          </w:p>
        </w:tc>
        <w:tc>
          <w:tcPr>
            <w:tcW w:w="163" w:type="pct"/>
            <w:tcBorders>
              <w:top w:val="nil"/>
              <w:left w:val="nil"/>
              <w:bottom w:val="single" w:sz="4" w:space="0" w:color="auto"/>
              <w:right w:val="single" w:sz="4" w:space="0" w:color="auto"/>
            </w:tcBorders>
            <w:shd w:val="clear" w:color="auto" w:fill="auto"/>
            <w:vAlign w:val="center"/>
            <w:hideMark/>
          </w:tcPr>
          <w:p w14:paraId="3CD5DC3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1,814,400</w:t>
            </w:r>
          </w:p>
        </w:tc>
        <w:tc>
          <w:tcPr>
            <w:tcW w:w="148" w:type="pct"/>
            <w:tcBorders>
              <w:top w:val="nil"/>
              <w:left w:val="nil"/>
              <w:bottom w:val="single" w:sz="4" w:space="0" w:color="auto"/>
              <w:right w:val="single" w:sz="4" w:space="0" w:color="auto"/>
            </w:tcBorders>
            <w:shd w:val="clear" w:color="auto" w:fill="auto"/>
            <w:vAlign w:val="center"/>
            <w:hideMark/>
          </w:tcPr>
          <w:p w14:paraId="736CF8B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368DCE0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1,814,400</w:t>
            </w:r>
          </w:p>
        </w:tc>
        <w:tc>
          <w:tcPr>
            <w:tcW w:w="165" w:type="pct"/>
            <w:tcBorders>
              <w:top w:val="nil"/>
              <w:left w:val="nil"/>
              <w:bottom w:val="single" w:sz="4" w:space="0" w:color="auto"/>
              <w:right w:val="single" w:sz="4" w:space="0" w:color="auto"/>
            </w:tcBorders>
            <w:shd w:val="clear" w:color="auto" w:fill="auto"/>
            <w:vAlign w:val="center"/>
            <w:hideMark/>
          </w:tcPr>
          <w:p w14:paraId="7924FA9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5,443,200</w:t>
            </w:r>
          </w:p>
        </w:tc>
        <w:tc>
          <w:tcPr>
            <w:tcW w:w="163" w:type="pct"/>
            <w:tcBorders>
              <w:top w:val="nil"/>
              <w:left w:val="nil"/>
              <w:bottom w:val="single" w:sz="4" w:space="0" w:color="auto"/>
              <w:right w:val="single" w:sz="4" w:space="0" w:color="auto"/>
            </w:tcBorders>
            <w:shd w:val="clear" w:color="auto" w:fill="auto"/>
            <w:vAlign w:val="center"/>
            <w:hideMark/>
          </w:tcPr>
          <w:p w14:paraId="1AAF5BB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545E269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5,443,200</w:t>
            </w:r>
          </w:p>
        </w:tc>
        <w:tc>
          <w:tcPr>
            <w:tcW w:w="163" w:type="pct"/>
            <w:tcBorders>
              <w:top w:val="nil"/>
              <w:left w:val="nil"/>
              <w:bottom w:val="single" w:sz="4" w:space="0" w:color="auto"/>
              <w:right w:val="single" w:sz="4" w:space="0" w:color="auto"/>
            </w:tcBorders>
            <w:shd w:val="clear" w:color="auto" w:fill="auto"/>
            <w:vAlign w:val="center"/>
            <w:hideMark/>
          </w:tcPr>
          <w:p w14:paraId="3AFA4D2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2F6EF87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4F3F77A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50DEFE6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5,443,200</w:t>
            </w:r>
          </w:p>
        </w:tc>
        <w:tc>
          <w:tcPr>
            <w:tcW w:w="155" w:type="pct"/>
            <w:tcBorders>
              <w:top w:val="nil"/>
              <w:left w:val="nil"/>
              <w:bottom w:val="single" w:sz="4" w:space="0" w:color="auto"/>
              <w:right w:val="single" w:sz="4" w:space="0" w:color="auto"/>
            </w:tcBorders>
            <w:shd w:val="clear" w:color="auto" w:fill="auto"/>
            <w:vAlign w:val="center"/>
            <w:hideMark/>
          </w:tcPr>
          <w:p w14:paraId="15D2144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37619CD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UNHCR</w:t>
            </w:r>
          </w:p>
        </w:tc>
        <w:tc>
          <w:tcPr>
            <w:tcW w:w="163" w:type="pct"/>
            <w:tcBorders>
              <w:top w:val="nil"/>
              <w:left w:val="nil"/>
              <w:bottom w:val="single" w:sz="4" w:space="0" w:color="auto"/>
              <w:right w:val="single" w:sz="4" w:space="0" w:color="auto"/>
            </w:tcBorders>
            <w:shd w:val="clear" w:color="000000" w:fill="FFF2CC"/>
            <w:vAlign w:val="center"/>
            <w:hideMark/>
          </w:tcPr>
          <w:p w14:paraId="36CBFB1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5,443,200</w:t>
            </w:r>
          </w:p>
        </w:tc>
        <w:tc>
          <w:tcPr>
            <w:tcW w:w="139" w:type="pct"/>
            <w:tcBorders>
              <w:top w:val="nil"/>
              <w:left w:val="nil"/>
              <w:bottom w:val="single" w:sz="4" w:space="0" w:color="auto"/>
              <w:right w:val="single" w:sz="4" w:space="0" w:color="auto"/>
            </w:tcBorders>
            <w:shd w:val="clear" w:color="auto" w:fill="auto"/>
            <w:vAlign w:val="center"/>
            <w:hideMark/>
          </w:tcPr>
          <w:p w14:paraId="4A6D7B2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651A450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3BD82BA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6F0EE839" w14:textId="0DC05750"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13A4BA43"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70CB82C4"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4.2.1.3</w:t>
            </w:r>
          </w:p>
        </w:tc>
        <w:tc>
          <w:tcPr>
            <w:tcW w:w="281" w:type="pct"/>
            <w:tcBorders>
              <w:top w:val="nil"/>
              <w:left w:val="nil"/>
              <w:bottom w:val="single" w:sz="4" w:space="0" w:color="auto"/>
              <w:right w:val="single" w:sz="4" w:space="0" w:color="auto"/>
            </w:tcBorders>
            <w:shd w:val="clear" w:color="auto" w:fill="auto"/>
            <w:vAlign w:val="center"/>
            <w:hideMark/>
          </w:tcPr>
          <w:p w14:paraId="4A649FA0"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4.2.1.3 Trajnimi i oficerëve të policisë në kufi për komunikimin etik dhe efektiv me grupet vulnerabël </w:t>
            </w:r>
          </w:p>
        </w:tc>
        <w:tc>
          <w:tcPr>
            <w:tcW w:w="186" w:type="pct"/>
            <w:tcBorders>
              <w:top w:val="nil"/>
              <w:left w:val="nil"/>
              <w:bottom w:val="single" w:sz="4" w:space="0" w:color="auto"/>
              <w:right w:val="single" w:sz="4" w:space="0" w:color="auto"/>
            </w:tcBorders>
            <w:shd w:val="clear" w:color="auto" w:fill="auto"/>
            <w:vAlign w:val="center"/>
            <w:hideMark/>
          </w:tcPr>
          <w:p w14:paraId="114C91DF"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4184DC3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21004F3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EUAA</w:t>
            </w:r>
          </w:p>
        </w:tc>
        <w:tc>
          <w:tcPr>
            <w:tcW w:w="135" w:type="pct"/>
            <w:tcBorders>
              <w:top w:val="nil"/>
              <w:left w:val="nil"/>
              <w:bottom w:val="single" w:sz="4" w:space="0" w:color="auto"/>
              <w:right w:val="single" w:sz="4" w:space="0" w:color="auto"/>
            </w:tcBorders>
            <w:shd w:val="clear" w:color="000000" w:fill="DDEBF7"/>
            <w:vAlign w:val="center"/>
            <w:hideMark/>
          </w:tcPr>
          <w:p w14:paraId="23ECD8A3"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503FBA42"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37D9560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432,000</w:t>
            </w:r>
          </w:p>
        </w:tc>
        <w:tc>
          <w:tcPr>
            <w:tcW w:w="155" w:type="pct"/>
            <w:tcBorders>
              <w:top w:val="nil"/>
              <w:left w:val="nil"/>
              <w:bottom w:val="single" w:sz="4" w:space="0" w:color="auto"/>
              <w:right w:val="single" w:sz="4" w:space="0" w:color="auto"/>
            </w:tcBorders>
            <w:shd w:val="clear" w:color="auto" w:fill="auto"/>
            <w:vAlign w:val="center"/>
            <w:hideMark/>
          </w:tcPr>
          <w:p w14:paraId="27C66BD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0224D9E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432,000</w:t>
            </w:r>
          </w:p>
        </w:tc>
        <w:tc>
          <w:tcPr>
            <w:tcW w:w="165" w:type="pct"/>
            <w:tcBorders>
              <w:top w:val="nil"/>
              <w:left w:val="nil"/>
              <w:bottom w:val="single" w:sz="4" w:space="0" w:color="auto"/>
              <w:right w:val="single" w:sz="4" w:space="0" w:color="auto"/>
            </w:tcBorders>
            <w:shd w:val="clear" w:color="auto" w:fill="auto"/>
            <w:vAlign w:val="center"/>
            <w:hideMark/>
          </w:tcPr>
          <w:p w14:paraId="5AC8138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432,000</w:t>
            </w:r>
          </w:p>
        </w:tc>
        <w:tc>
          <w:tcPr>
            <w:tcW w:w="163" w:type="pct"/>
            <w:tcBorders>
              <w:top w:val="nil"/>
              <w:left w:val="nil"/>
              <w:bottom w:val="single" w:sz="4" w:space="0" w:color="auto"/>
              <w:right w:val="single" w:sz="4" w:space="0" w:color="auto"/>
            </w:tcBorders>
            <w:shd w:val="clear" w:color="auto" w:fill="auto"/>
            <w:vAlign w:val="center"/>
            <w:hideMark/>
          </w:tcPr>
          <w:p w14:paraId="48A162F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725E1DB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432,000</w:t>
            </w:r>
          </w:p>
        </w:tc>
        <w:tc>
          <w:tcPr>
            <w:tcW w:w="163" w:type="pct"/>
            <w:tcBorders>
              <w:top w:val="nil"/>
              <w:left w:val="nil"/>
              <w:bottom w:val="single" w:sz="4" w:space="0" w:color="auto"/>
              <w:right w:val="single" w:sz="4" w:space="0" w:color="auto"/>
            </w:tcBorders>
            <w:shd w:val="clear" w:color="auto" w:fill="auto"/>
            <w:vAlign w:val="center"/>
            <w:hideMark/>
          </w:tcPr>
          <w:p w14:paraId="1FA768C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432,000</w:t>
            </w:r>
          </w:p>
        </w:tc>
        <w:tc>
          <w:tcPr>
            <w:tcW w:w="148" w:type="pct"/>
            <w:tcBorders>
              <w:top w:val="nil"/>
              <w:left w:val="nil"/>
              <w:bottom w:val="single" w:sz="4" w:space="0" w:color="auto"/>
              <w:right w:val="single" w:sz="4" w:space="0" w:color="auto"/>
            </w:tcBorders>
            <w:shd w:val="clear" w:color="auto" w:fill="auto"/>
            <w:vAlign w:val="center"/>
            <w:hideMark/>
          </w:tcPr>
          <w:p w14:paraId="746B45A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525CDE3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432,000</w:t>
            </w:r>
          </w:p>
        </w:tc>
        <w:tc>
          <w:tcPr>
            <w:tcW w:w="165" w:type="pct"/>
            <w:tcBorders>
              <w:top w:val="nil"/>
              <w:left w:val="nil"/>
              <w:bottom w:val="single" w:sz="4" w:space="0" w:color="auto"/>
              <w:right w:val="single" w:sz="4" w:space="0" w:color="auto"/>
            </w:tcBorders>
            <w:shd w:val="clear" w:color="auto" w:fill="auto"/>
            <w:vAlign w:val="center"/>
            <w:hideMark/>
          </w:tcPr>
          <w:p w14:paraId="4FC5618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1,296,000</w:t>
            </w:r>
          </w:p>
        </w:tc>
        <w:tc>
          <w:tcPr>
            <w:tcW w:w="163" w:type="pct"/>
            <w:tcBorders>
              <w:top w:val="nil"/>
              <w:left w:val="nil"/>
              <w:bottom w:val="single" w:sz="4" w:space="0" w:color="auto"/>
              <w:right w:val="single" w:sz="4" w:space="0" w:color="auto"/>
            </w:tcBorders>
            <w:shd w:val="clear" w:color="auto" w:fill="auto"/>
            <w:vAlign w:val="center"/>
            <w:hideMark/>
          </w:tcPr>
          <w:p w14:paraId="623A924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7C0B077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1,296,000</w:t>
            </w:r>
          </w:p>
        </w:tc>
        <w:tc>
          <w:tcPr>
            <w:tcW w:w="163" w:type="pct"/>
            <w:tcBorders>
              <w:top w:val="nil"/>
              <w:left w:val="nil"/>
              <w:bottom w:val="single" w:sz="4" w:space="0" w:color="auto"/>
              <w:right w:val="single" w:sz="4" w:space="0" w:color="auto"/>
            </w:tcBorders>
            <w:shd w:val="clear" w:color="auto" w:fill="auto"/>
            <w:vAlign w:val="center"/>
            <w:hideMark/>
          </w:tcPr>
          <w:p w14:paraId="4E2A06E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3D574E8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596CEBA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429A737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1,296,000</w:t>
            </w:r>
          </w:p>
        </w:tc>
        <w:tc>
          <w:tcPr>
            <w:tcW w:w="155" w:type="pct"/>
            <w:tcBorders>
              <w:top w:val="nil"/>
              <w:left w:val="nil"/>
              <w:bottom w:val="single" w:sz="4" w:space="0" w:color="auto"/>
              <w:right w:val="single" w:sz="4" w:space="0" w:color="auto"/>
            </w:tcBorders>
            <w:shd w:val="clear" w:color="auto" w:fill="auto"/>
            <w:vAlign w:val="center"/>
            <w:hideMark/>
          </w:tcPr>
          <w:p w14:paraId="3A4C5C5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1E806E9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EUAA, UNHCR</w:t>
            </w:r>
          </w:p>
        </w:tc>
        <w:tc>
          <w:tcPr>
            <w:tcW w:w="163" w:type="pct"/>
            <w:tcBorders>
              <w:top w:val="nil"/>
              <w:left w:val="nil"/>
              <w:bottom w:val="single" w:sz="4" w:space="0" w:color="auto"/>
              <w:right w:val="single" w:sz="4" w:space="0" w:color="auto"/>
            </w:tcBorders>
            <w:shd w:val="clear" w:color="000000" w:fill="FFF2CC"/>
            <w:vAlign w:val="center"/>
            <w:hideMark/>
          </w:tcPr>
          <w:p w14:paraId="401EAA8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1,296,000</w:t>
            </w:r>
          </w:p>
        </w:tc>
        <w:tc>
          <w:tcPr>
            <w:tcW w:w="139" w:type="pct"/>
            <w:tcBorders>
              <w:top w:val="nil"/>
              <w:left w:val="nil"/>
              <w:bottom w:val="single" w:sz="4" w:space="0" w:color="auto"/>
              <w:right w:val="single" w:sz="4" w:space="0" w:color="auto"/>
            </w:tcBorders>
            <w:shd w:val="clear" w:color="auto" w:fill="auto"/>
            <w:vAlign w:val="center"/>
            <w:hideMark/>
          </w:tcPr>
          <w:p w14:paraId="7380246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160161D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4E12D6C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43C5BB06" w14:textId="26E25C40"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0569AAF7" w14:textId="77777777" w:rsidTr="00C260C3">
        <w:trPr>
          <w:trHeight w:val="20"/>
        </w:trPr>
        <w:tc>
          <w:tcPr>
            <w:tcW w:w="131" w:type="pct"/>
            <w:tcBorders>
              <w:top w:val="nil"/>
              <w:left w:val="single" w:sz="4" w:space="0" w:color="auto"/>
              <w:bottom w:val="single" w:sz="4" w:space="0" w:color="auto"/>
              <w:right w:val="single" w:sz="4" w:space="0" w:color="auto"/>
            </w:tcBorders>
            <w:shd w:val="clear" w:color="000000" w:fill="D9D9D9"/>
            <w:vAlign w:val="center"/>
            <w:hideMark/>
          </w:tcPr>
          <w:p w14:paraId="318A5117"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4.2.2</w:t>
            </w:r>
          </w:p>
        </w:tc>
        <w:tc>
          <w:tcPr>
            <w:tcW w:w="281" w:type="pct"/>
            <w:tcBorders>
              <w:top w:val="nil"/>
              <w:left w:val="nil"/>
              <w:bottom w:val="single" w:sz="4" w:space="0" w:color="auto"/>
              <w:right w:val="single" w:sz="4" w:space="0" w:color="auto"/>
            </w:tcBorders>
            <w:shd w:val="clear" w:color="000000" w:fill="D9D9D9"/>
            <w:vAlign w:val="center"/>
            <w:hideMark/>
          </w:tcPr>
          <w:p w14:paraId="2255B467" w14:textId="53B41759" w:rsidR="00C260C3" w:rsidRPr="00B457F5" w:rsidRDefault="00C260C3" w:rsidP="00C260C3">
            <w:pPr>
              <w:spacing w:before="0" w:after="0"/>
              <w:jc w:val="left"/>
              <w:rPr>
                <w:rFonts w:ascii="Garamond" w:eastAsia="Times New Roman" w:hAnsi="Garamond" w:cs="Times New Roman"/>
                <w:b/>
                <w:bCs/>
                <w:sz w:val="4"/>
                <w:szCs w:val="10"/>
              </w:rPr>
            </w:pPr>
            <w:r w:rsidRPr="00B457F5">
              <w:rPr>
                <w:rFonts w:ascii="Garamond" w:eastAsia="Times New Roman" w:hAnsi="Garamond" w:cs="Times New Roman"/>
                <w:b/>
                <w:bCs/>
                <w:sz w:val="4"/>
                <w:szCs w:val="10"/>
              </w:rPr>
              <w:t xml:space="preserve">4.2.2 Infrastrukturë dhe burime njerëzore në </w:t>
            </w:r>
            <w:r w:rsidR="00E92B0D" w:rsidRPr="00B457F5">
              <w:rPr>
                <w:rFonts w:ascii="Garamond" w:eastAsia="Times New Roman" w:hAnsi="Garamond" w:cs="Times New Roman"/>
                <w:b/>
                <w:bCs/>
                <w:sz w:val="4"/>
                <w:szCs w:val="10"/>
              </w:rPr>
              <w:t>qendrat</w:t>
            </w:r>
            <w:r w:rsidRPr="00B457F5">
              <w:rPr>
                <w:rFonts w:ascii="Garamond" w:eastAsia="Times New Roman" w:hAnsi="Garamond" w:cs="Times New Roman"/>
                <w:b/>
                <w:bCs/>
                <w:sz w:val="4"/>
                <w:szCs w:val="10"/>
              </w:rPr>
              <w:t xml:space="preserve"> pritëse dhe tranzitore </w:t>
            </w:r>
            <w:r w:rsidR="00AF12C0" w:rsidRPr="00B457F5">
              <w:rPr>
                <w:rFonts w:ascii="Garamond" w:eastAsia="Times New Roman" w:hAnsi="Garamond" w:cs="Times New Roman"/>
                <w:b/>
                <w:bCs/>
                <w:sz w:val="4"/>
                <w:szCs w:val="10"/>
              </w:rPr>
              <w:t xml:space="preserve">për </w:t>
            </w:r>
            <w:r w:rsidRPr="00B457F5">
              <w:rPr>
                <w:rFonts w:ascii="Garamond" w:eastAsia="Times New Roman" w:hAnsi="Garamond" w:cs="Times New Roman"/>
                <w:b/>
                <w:bCs/>
                <w:sz w:val="4"/>
                <w:szCs w:val="10"/>
              </w:rPr>
              <w:t>të siguruar plotësimin e</w:t>
            </w:r>
            <w:r w:rsidR="0006016F" w:rsidRPr="00B457F5">
              <w:rPr>
                <w:rFonts w:ascii="Garamond" w:eastAsia="Times New Roman" w:hAnsi="Garamond" w:cs="Times New Roman"/>
                <w:b/>
                <w:bCs/>
                <w:sz w:val="4"/>
                <w:szCs w:val="10"/>
              </w:rPr>
              <w:t xml:space="preserve"> </w:t>
            </w:r>
            <w:r w:rsidRPr="00B457F5">
              <w:rPr>
                <w:rFonts w:ascii="Garamond" w:eastAsia="Times New Roman" w:hAnsi="Garamond" w:cs="Times New Roman"/>
                <w:b/>
                <w:bCs/>
                <w:sz w:val="4"/>
                <w:szCs w:val="10"/>
              </w:rPr>
              <w:t>nevojave të grupeve vulnerabël</w:t>
            </w:r>
          </w:p>
        </w:tc>
        <w:tc>
          <w:tcPr>
            <w:tcW w:w="186" w:type="pct"/>
            <w:tcBorders>
              <w:top w:val="nil"/>
              <w:left w:val="nil"/>
              <w:bottom w:val="single" w:sz="4" w:space="0" w:color="auto"/>
              <w:right w:val="single" w:sz="4" w:space="0" w:color="auto"/>
            </w:tcBorders>
            <w:shd w:val="clear" w:color="000000" w:fill="D9D9D9"/>
            <w:vAlign w:val="center"/>
            <w:hideMark/>
          </w:tcPr>
          <w:p w14:paraId="4CF68D1D" w14:textId="2591C450"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10430 </w:t>
            </w:r>
            <w:r w:rsidR="00E92B0D" w:rsidRPr="00B457F5">
              <w:rPr>
                <w:rFonts w:ascii="Garamond" w:eastAsia="Times New Roman" w:hAnsi="Garamond" w:cs="Times New Roman"/>
                <w:color w:val="FF0000"/>
                <w:sz w:val="4"/>
                <w:szCs w:val="10"/>
              </w:rPr>
              <w:t>Përkujdesja</w:t>
            </w:r>
            <w:r w:rsidRPr="00B457F5">
              <w:rPr>
                <w:rFonts w:ascii="Garamond" w:eastAsia="Times New Roman" w:hAnsi="Garamond" w:cs="Times New Roman"/>
                <w:color w:val="FF0000"/>
                <w:sz w:val="4"/>
                <w:szCs w:val="10"/>
              </w:rPr>
              <w:t xml:space="preserve"> Social, 01110 Planifikimi, Menaxhimi dhe Administrimi (16)</w:t>
            </w:r>
          </w:p>
        </w:tc>
        <w:tc>
          <w:tcPr>
            <w:tcW w:w="169" w:type="pct"/>
            <w:tcBorders>
              <w:top w:val="nil"/>
              <w:left w:val="nil"/>
              <w:bottom w:val="single" w:sz="4" w:space="0" w:color="auto"/>
              <w:right w:val="single" w:sz="4" w:space="0" w:color="auto"/>
            </w:tcBorders>
            <w:shd w:val="clear" w:color="000000" w:fill="D9D9D9"/>
            <w:vAlign w:val="center"/>
            <w:hideMark/>
          </w:tcPr>
          <w:p w14:paraId="29906622"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MSHMS, MB</w:t>
            </w:r>
          </w:p>
        </w:tc>
        <w:tc>
          <w:tcPr>
            <w:tcW w:w="244" w:type="pct"/>
            <w:tcBorders>
              <w:top w:val="nil"/>
              <w:left w:val="nil"/>
              <w:bottom w:val="single" w:sz="4" w:space="0" w:color="auto"/>
              <w:right w:val="single" w:sz="4" w:space="0" w:color="auto"/>
            </w:tcBorders>
            <w:shd w:val="clear" w:color="000000" w:fill="D9D9D9"/>
            <w:vAlign w:val="center"/>
            <w:hideMark/>
          </w:tcPr>
          <w:p w14:paraId="23AADC9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 MSHMS, EUAA, UNHCR, IOM</w:t>
            </w:r>
          </w:p>
        </w:tc>
        <w:tc>
          <w:tcPr>
            <w:tcW w:w="135" w:type="pct"/>
            <w:tcBorders>
              <w:top w:val="nil"/>
              <w:left w:val="nil"/>
              <w:bottom w:val="single" w:sz="4" w:space="0" w:color="auto"/>
              <w:right w:val="single" w:sz="4" w:space="0" w:color="auto"/>
            </w:tcBorders>
            <w:shd w:val="clear" w:color="000000" w:fill="D9D9D9"/>
            <w:vAlign w:val="center"/>
            <w:hideMark/>
          </w:tcPr>
          <w:p w14:paraId="6CDDC6E6"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9D9D9"/>
            <w:vAlign w:val="center"/>
            <w:hideMark/>
          </w:tcPr>
          <w:p w14:paraId="13246649"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000000" w:fill="D9D9D9"/>
            <w:vAlign w:val="center"/>
            <w:hideMark/>
          </w:tcPr>
          <w:p w14:paraId="7674B46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8,640,045</w:t>
            </w:r>
          </w:p>
        </w:tc>
        <w:tc>
          <w:tcPr>
            <w:tcW w:w="155" w:type="pct"/>
            <w:tcBorders>
              <w:top w:val="nil"/>
              <w:left w:val="nil"/>
              <w:bottom w:val="single" w:sz="4" w:space="0" w:color="auto"/>
              <w:right w:val="single" w:sz="4" w:space="0" w:color="auto"/>
            </w:tcBorders>
            <w:shd w:val="clear" w:color="000000" w:fill="D9D9D9"/>
            <w:vAlign w:val="center"/>
            <w:hideMark/>
          </w:tcPr>
          <w:p w14:paraId="7639512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1,150,000</w:t>
            </w:r>
          </w:p>
        </w:tc>
        <w:tc>
          <w:tcPr>
            <w:tcW w:w="162" w:type="pct"/>
            <w:tcBorders>
              <w:top w:val="nil"/>
              <w:left w:val="nil"/>
              <w:bottom w:val="single" w:sz="4" w:space="0" w:color="auto"/>
              <w:right w:val="single" w:sz="4" w:space="0" w:color="auto"/>
            </w:tcBorders>
            <w:shd w:val="clear" w:color="000000" w:fill="D9D9D9"/>
            <w:vAlign w:val="center"/>
            <w:hideMark/>
          </w:tcPr>
          <w:p w14:paraId="0FEBCDB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9,790,045</w:t>
            </w:r>
          </w:p>
        </w:tc>
        <w:tc>
          <w:tcPr>
            <w:tcW w:w="165" w:type="pct"/>
            <w:tcBorders>
              <w:top w:val="nil"/>
              <w:left w:val="nil"/>
              <w:bottom w:val="single" w:sz="4" w:space="0" w:color="auto"/>
              <w:right w:val="single" w:sz="4" w:space="0" w:color="auto"/>
            </w:tcBorders>
            <w:shd w:val="clear" w:color="000000" w:fill="D9D9D9"/>
            <w:vAlign w:val="center"/>
            <w:hideMark/>
          </w:tcPr>
          <w:p w14:paraId="6440B3E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7,776,833</w:t>
            </w:r>
          </w:p>
        </w:tc>
        <w:tc>
          <w:tcPr>
            <w:tcW w:w="163" w:type="pct"/>
            <w:tcBorders>
              <w:top w:val="nil"/>
              <w:left w:val="nil"/>
              <w:bottom w:val="single" w:sz="4" w:space="0" w:color="auto"/>
              <w:right w:val="single" w:sz="4" w:space="0" w:color="auto"/>
            </w:tcBorders>
            <w:shd w:val="clear" w:color="000000" w:fill="D9D9D9"/>
            <w:vAlign w:val="center"/>
            <w:hideMark/>
          </w:tcPr>
          <w:p w14:paraId="2141D85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1,150,000</w:t>
            </w:r>
          </w:p>
        </w:tc>
        <w:tc>
          <w:tcPr>
            <w:tcW w:w="163" w:type="pct"/>
            <w:tcBorders>
              <w:top w:val="nil"/>
              <w:left w:val="nil"/>
              <w:bottom w:val="single" w:sz="4" w:space="0" w:color="auto"/>
              <w:right w:val="single" w:sz="4" w:space="0" w:color="auto"/>
            </w:tcBorders>
            <w:shd w:val="clear" w:color="000000" w:fill="D9D9D9"/>
            <w:vAlign w:val="center"/>
            <w:hideMark/>
          </w:tcPr>
          <w:p w14:paraId="7615696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8,926,833</w:t>
            </w:r>
          </w:p>
        </w:tc>
        <w:tc>
          <w:tcPr>
            <w:tcW w:w="163" w:type="pct"/>
            <w:tcBorders>
              <w:top w:val="nil"/>
              <w:left w:val="nil"/>
              <w:bottom w:val="single" w:sz="4" w:space="0" w:color="auto"/>
              <w:right w:val="single" w:sz="4" w:space="0" w:color="auto"/>
            </w:tcBorders>
            <w:shd w:val="clear" w:color="000000" w:fill="D9D9D9"/>
            <w:vAlign w:val="center"/>
            <w:hideMark/>
          </w:tcPr>
          <w:p w14:paraId="2E789E0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7,776,833</w:t>
            </w:r>
          </w:p>
        </w:tc>
        <w:tc>
          <w:tcPr>
            <w:tcW w:w="148" w:type="pct"/>
            <w:tcBorders>
              <w:top w:val="nil"/>
              <w:left w:val="nil"/>
              <w:bottom w:val="single" w:sz="4" w:space="0" w:color="auto"/>
              <w:right w:val="single" w:sz="4" w:space="0" w:color="auto"/>
            </w:tcBorders>
            <w:shd w:val="clear" w:color="000000" w:fill="D9D9D9"/>
            <w:vAlign w:val="center"/>
            <w:hideMark/>
          </w:tcPr>
          <w:p w14:paraId="6453730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1,150,000</w:t>
            </w:r>
          </w:p>
        </w:tc>
        <w:tc>
          <w:tcPr>
            <w:tcW w:w="162" w:type="pct"/>
            <w:tcBorders>
              <w:top w:val="nil"/>
              <w:left w:val="nil"/>
              <w:bottom w:val="single" w:sz="4" w:space="0" w:color="auto"/>
              <w:right w:val="single" w:sz="4" w:space="0" w:color="auto"/>
            </w:tcBorders>
            <w:shd w:val="clear" w:color="000000" w:fill="D9D9D9"/>
            <w:vAlign w:val="center"/>
            <w:hideMark/>
          </w:tcPr>
          <w:p w14:paraId="70715A8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8,926,833</w:t>
            </w:r>
          </w:p>
        </w:tc>
        <w:tc>
          <w:tcPr>
            <w:tcW w:w="165" w:type="pct"/>
            <w:tcBorders>
              <w:top w:val="nil"/>
              <w:left w:val="nil"/>
              <w:bottom w:val="single" w:sz="4" w:space="0" w:color="auto"/>
              <w:right w:val="single" w:sz="4" w:space="0" w:color="auto"/>
            </w:tcBorders>
            <w:shd w:val="clear" w:color="000000" w:fill="D9D9D9"/>
            <w:vAlign w:val="center"/>
            <w:hideMark/>
          </w:tcPr>
          <w:p w14:paraId="47AB4F6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24,193,711</w:t>
            </w:r>
          </w:p>
        </w:tc>
        <w:tc>
          <w:tcPr>
            <w:tcW w:w="163" w:type="pct"/>
            <w:tcBorders>
              <w:top w:val="nil"/>
              <w:left w:val="nil"/>
              <w:bottom w:val="single" w:sz="4" w:space="0" w:color="auto"/>
              <w:right w:val="single" w:sz="4" w:space="0" w:color="auto"/>
            </w:tcBorders>
            <w:shd w:val="clear" w:color="000000" w:fill="D9D9D9"/>
            <w:vAlign w:val="center"/>
            <w:hideMark/>
          </w:tcPr>
          <w:p w14:paraId="1211F23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3,450,000</w:t>
            </w:r>
          </w:p>
        </w:tc>
        <w:tc>
          <w:tcPr>
            <w:tcW w:w="165" w:type="pct"/>
            <w:tcBorders>
              <w:top w:val="nil"/>
              <w:left w:val="nil"/>
              <w:bottom w:val="single" w:sz="4" w:space="0" w:color="auto"/>
              <w:right w:val="single" w:sz="4" w:space="0" w:color="auto"/>
            </w:tcBorders>
            <w:shd w:val="clear" w:color="000000" w:fill="D9D9D9"/>
            <w:vAlign w:val="center"/>
            <w:hideMark/>
          </w:tcPr>
          <w:p w14:paraId="558612F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27,643,711</w:t>
            </w:r>
          </w:p>
        </w:tc>
        <w:tc>
          <w:tcPr>
            <w:tcW w:w="163" w:type="pct"/>
            <w:tcBorders>
              <w:top w:val="nil"/>
              <w:left w:val="nil"/>
              <w:bottom w:val="single" w:sz="4" w:space="0" w:color="auto"/>
              <w:right w:val="single" w:sz="4" w:space="0" w:color="auto"/>
            </w:tcBorders>
            <w:shd w:val="clear" w:color="000000" w:fill="D9D9D9"/>
            <w:vAlign w:val="center"/>
            <w:hideMark/>
          </w:tcPr>
          <w:p w14:paraId="1392E95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23,330,499</w:t>
            </w:r>
          </w:p>
        </w:tc>
        <w:tc>
          <w:tcPr>
            <w:tcW w:w="155" w:type="pct"/>
            <w:tcBorders>
              <w:top w:val="nil"/>
              <w:left w:val="nil"/>
              <w:bottom w:val="single" w:sz="4" w:space="0" w:color="auto"/>
              <w:right w:val="single" w:sz="4" w:space="0" w:color="auto"/>
            </w:tcBorders>
            <w:shd w:val="clear" w:color="000000" w:fill="D9D9D9"/>
            <w:vAlign w:val="center"/>
            <w:hideMark/>
          </w:tcPr>
          <w:p w14:paraId="060EBDB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3,450,000</w:t>
            </w:r>
          </w:p>
        </w:tc>
        <w:tc>
          <w:tcPr>
            <w:tcW w:w="163" w:type="pct"/>
            <w:tcBorders>
              <w:top w:val="nil"/>
              <w:left w:val="nil"/>
              <w:bottom w:val="single" w:sz="4" w:space="0" w:color="auto"/>
              <w:right w:val="single" w:sz="4" w:space="0" w:color="auto"/>
            </w:tcBorders>
            <w:shd w:val="clear" w:color="000000" w:fill="D9D9D9"/>
            <w:vAlign w:val="center"/>
            <w:hideMark/>
          </w:tcPr>
          <w:p w14:paraId="7E91132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26,780,499</w:t>
            </w:r>
          </w:p>
        </w:tc>
        <w:tc>
          <w:tcPr>
            <w:tcW w:w="162" w:type="pct"/>
            <w:tcBorders>
              <w:top w:val="nil"/>
              <w:left w:val="nil"/>
              <w:bottom w:val="single" w:sz="4" w:space="0" w:color="auto"/>
              <w:right w:val="single" w:sz="4" w:space="0" w:color="auto"/>
            </w:tcBorders>
            <w:shd w:val="clear" w:color="000000" w:fill="D9D9D9"/>
            <w:vAlign w:val="center"/>
            <w:hideMark/>
          </w:tcPr>
          <w:p w14:paraId="1E97F0A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863,212</w:t>
            </w:r>
          </w:p>
        </w:tc>
        <w:tc>
          <w:tcPr>
            <w:tcW w:w="155" w:type="pct"/>
            <w:tcBorders>
              <w:top w:val="nil"/>
              <w:left w:val="nil"/>
              <w:bottom w:val="single" w:sz="4" w:space="0" w:color="auto"/>
              <w:right w:val="single" w:sz="4" w:space="0" w:color="auto"/>
            </w:tcBorders>
            <w:shd w:val="clear" w:color="000000" w:fill="D9D9D9"/>
            <w:vAlign w:val="center"/>
            <w:hideMark/>
          </w:tcPr>
          <w:p w14:paraId="45F7B5F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000000" w:fill="D9D9D9"/>
            <w:vAlign w:val="center"/>
            <w:hideMark/>
          </w:tcPr>
          <w:p w14:paraId="4B0DB92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6883D10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863,212</w:t>
            </w:r>
          </w:p>
        </w:tc>
        <w:tc>
          <w:tcPr>
            <w:tcW w:w="139" w:type="pct"/>
            <w:tcBorders>
              <w:top w:val="nil"/>
              <w:left w:val="nil"/>
              <w:bottom w:val="single" w:sz="4" w:space="0" w:color="auto"/>
              <w:right w:val="single" w:sz="4" w:space="0" w:color="auto"/>
            </w:tcBorders>
            <w:shd w:val="clear" w:color="000000" w:fill="D9D9D9"/>
            <w:vAlign w:val="center"/>
            <w:hideMark/>
          </w:tcPr>
          <w:p w14:paraId="23F6A93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000000" w:fill="D9D9D9"/>
            <w:vAlign w:val="center"/>
            <w:hideMark/>
          </w:tcPr>
          <w:p w14:paraId="48C5D11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D9D9D9"/>
            <w:vAlign w:val="center"/>
            <w:hideMark/>
          </w:tcPr>
          <w:p w14:paraId="67F2FE6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000000" w:fill="D9D9D9"/>
            <w:vAlign w:val="center"/>
            <w:hideMark/>
          </w:tcPr>
          <w:p w14:paraId="70158A5B" w14:textId="54F9D8F8"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 - </w:t>
            </w:r>
          </w:p>
        </w:tc>
      </w:tr>
      <w:tr w:rsidR="00C260C3" w:rsidRPr="00B457F5" w14:paraId="5613EB8E"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41D07A68"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4.2.2.1</w:t>
            </w:r>
          </w:p>
        </w:tc>
        <w:tc>
          <w:tcPr>
            <w:tcW w:w="281" w:type="pct"/>
            <w:tcBorders>
              <w:top w:val="nil"/>
              <w:left w:val="nil"/>
              <w:bottom w:val="single" w:sz="4" w:space="0" w:color="auto"/>
              <w:right w:val="single" w:sz="4" w:space="0" w:color="auto"/>
            </w:tcBorders>
            <w:shd w:val="clear" w:color="auto" w:fill="auto"/>
            <w:vAlign w:val="center"/>
            <w:hideMark/>
          </w:tcPr>
          <w:p w14:paraId="75F4B5DB" w14:textId="11EE8C63"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 xml:space="preserve">4.2.2.1 Vlerësimi i kapaciteteve infrastrukturore, burimeve </w:t>
            </w:r>
            <w:r w:rsidR="00E92B0D" w:rsidRPr="00B457F5">
              <w:rPr>
                <w:rFonts w:ascii="Garamond" w:eastAsia="Times New Roman" w:hAnsi="Garamond" w:cs="Times New Roman"/>
                <w:sz w:val="4"/>
                <w:szCs w:val="10"/>
              </w:rPr>
              <w:t>njerëzore</w:t>
            </w:r>
            <w:r w:rsidRPr="00B457F5">
              <w:rPr>
                <w:rFonts w:ascii="Garamond" w:eastAsia="Times New Roman" w:hAnsi="Garamond" w:cs="Times New Roman"/>
                <w:sz w:val="4"/>
                <w:szCs w:val="10"/>
              </w:rPr>
              <w:t xml:space="preserve"> dhe kapaciteteve </w:t>
            </w:r>
            <w:r w:rsidR="00E92B0D" w:rsidRPr="00B457F5">
              <w:rPr>
                <w:rFonts w:ascii="Garamond" w:eastAsia="Times New Roman" w:hAnsi="Garamond" w:cs="Times New Roman"/>
                <w:sz w:val="4"/>
                <w:szCs w:val="10"/>
              </w:rPr>
              <w:t>pritëse</w:t>
            </w:r>
            <w:r w:rsidRPr="00B457F5">
              <w:rPr>
                <w:rFonts w:ascii="Garamond" w:eastAsia="Times New Roman" w:hAnsi="Garamond" w:cs="Times New Roman"/>
                <w:sz w:val="4"/>
                <w:szCs w:val="10"/>
              </w:rPr>
              <w:t xml:space="preserve"> për azilkërkuesit dhe grupet vulnerabël</w:t>
            </w:r>
          </w:p>
        </w:tc>
        <w:tc>
          <w:tcPr>
            <w:tcW w:w="186" w:type="pct"/>
            <w:tcBorders>
              <w:top w:val="nil"/>
              <w:left w:val="nil"/>
              <w:bottom w:val="single" w:sz="4" w:space="0" w:color="auto"/>
              <w:right w:val="single" w:sz="4" w:space="0" w:color="auto"/>
            </w:tcBorders>
            <w:shd w:val="clear" w:color="auto" w:fill="auto"/>
            <w:vAlign w:val="center"/>
            <w:hideMark/>
          </w:tcPr>
          <w:p w14:paraId="47F176B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156504F5"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5F7BEBBE"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MSHMS, EUAA, UNHCR, IOM</w:t>
            </w:r>
          </w:p>
        </w:tc>
        <w:tc>
          <w:tcPr>
            <w:tcW w:w="135" w:type="pct"/>
            <w:tcBorders>
              <w:top w:val="nil"/>
              <w:left w:val="nil"/>
              <w:bottom w:val="single" w:sz="4" w:space="0" w:color="auto"/>
              <w:right w:val="single" w:sz="4" w:space="0" w:color="auto"/>
            </w:tcBorders>
            <w:shd w:val="clear" w:color="auto" w:fill="auto"/>
            <w:vAlign w:val="center"/>
            <w:hideMark/>
          </w:tcPr>
          <w:p w14:paraId="300FAF77"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auto" w:fill="auto"/>
            <w:vAlign w:val="center"/>
            <w:hideMark/>
          </w:tcPr>
          <w:p w14:paraId="64CB4118"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63" w:type="pct"/>
            <w:tcBorders>
              <w:top w:val="nil"/>
              <w:left w:val="nil"/>
              <w:bottom w:val="single" w:sz="4" w:space="0" w:color="auto"/>
              <w:right w:val="single" w:sz="4" w:space="0" w:color="auto"/>
            </w:tcBorders>
            <w:shd w:val="clear" w:color="auto" w:fill="auto"/>
            <w:vAlign w:val="center"/>
            <w:hideMark/>
          </w:tcPr>
          <w:p w14:paraId="648D1FE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863,212</w:t>
            </w:r>
          </w:p>
        </w:tc>
        <w:tc>
          <w:tcPr>
            <w:tcW w:w="155" w:type="pct"/>
            <w:tcBorders>
              <w:top w:val="nil"/>
              <w:left w:val="nil"/>
              <w:bottom w:val="single" w:sz="4" w:space="0" w:color="auto"/>
              <w:right w:val="single" w:sz="4" w:space="0" w:color="auto"/>
            </w:tcBorders>
            <w:shd w:val="clear" w:color="auto" w:fill="auto"/>
            <w:vAlign w:val="center"/>
            <w:hideMark/>
          </w:tcPr>
          <w:p w14:paraId="150D566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3BB9835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863,212</w:t>
            </w:r>
          </w:p>
        </w:tc>
        <w:tc>
          <w:tcPr>
            <w:tcW w:w="165" w:type="pct"/>
            <w:tcBorders>
              <w:top w:val="nil"/>
              <w:left w:val="nil"/>
              <w:bottom w:val="single" w:sz="4" w:space="0" w:color="auto"/>
              <w:right w:val="single" w:sz="4" w:space="0" w:color="auto"/>
            </w:tcBorders>
            <w:shd w:val="clear" w:color="auto" w:fill="auto"/>
            <w:vAlign w:val="center"/>
            <w:hideMark/>
          </w:tcPr>
          <w:p w14:paraId="56EF8D9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3F17F1E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14A75A0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73345EE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8" w:type="pct"/>
            <w:tcBorders>
              <w:top w:val="nil"/>
              <w:left w:val="nil"/>
              <w:bottom w:val="single" w:sz="4" w:space="0" w:color="auto"/>
              <w:right w:val="single" w:sz="4" w:space="0" w:color="auto"/>
            </w:tcBorders>
            <w:shd w:val="clear" w:color="auto" w:fill="auto"/>
            <w:vAlign w:val="center"/>
            <w:hideMark/>
          </w:tcPr>
          <w:p w14:paraId="3B28D66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28B4E57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auto" w:fill="auto"/>
            <w:vAlign w:val="center"/>
            <w:hideMark/>
          </w:tcPr>
          <w:p w14:paraId="3ED2B4E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863,212</w:t>
            </w:r>
          </w:p>
        </w:tc>
        <w:tc>
          <w:tcPr>
            <w:tcW w:w="163" w:type="pct"/>
            <w:tcBorders>
              <w:top w:val="nil"/>
              <w:left w:val="nil"/>
              <w:bottom w:val="single" w:sz="4" w:space="0" w:color="auto"/>
              <w:right w:val="single" w:sz="4" w:space="0" w:color="auto"/>
            </w:tcBorders>
            <w:shd w:val="clear" w:color="auto" w:fill="auto"/>
            <w:vAlign w:val="center"/>
            <w:hideMark/>
          </w:tcPr>
          <w:p w14:paraId="3472089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auto" w:fill="auto"/>
            <w:vAlign w:val="center"/>
            <w:hideMark/>
          </w:tcPr>
          <w:p w14:paraId="15C11F9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863,212</w:t>
            </w:r>
          </w:p>
        </w:tc>
        <w:tc>
          <w:tcPr>
            <w:tcW w:w="163" w:type="pct"/>
            <w:tcBorders>
              <w:top w:val="nil"/>
              <w:left w:val="nil"/>
              <w:bottom w:val="single" w:sz="4" w:space="0" w:color="auto"/>
              <w:right w:val="single" w:sz="4" w:space="0" w:color="auto"/>
            </w:tcBorders>
            <w:shd w:val="clear" w:color="auto" w:fill="auto"/>
            <w:vAlign w:val="center"/>
            <w:hideMark/>
          </w:tcPr>
          <w:p w14:paraId="2CE5B24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02F63AF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3B42084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6F43614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863,212</w:t>
            </w:r>
          </w:p>
        </w:tc>
        <w:tc>
          <w:tcPr>
            <w:tcW w:w="155" w:type="pct"/>
            <w:tcBorders>
              <w:top w:val="nil"/>
              <w:left w:val="nil"/>
              <w:bottom w:val="single" w:sz="4" w:space="0" w:color="auto"/>
              <w:right w:val="single" w:sz="4" w:space="0" w:color="auto"/>
            </w:tcBorders>
            <w:shd w:val="clear" w:color="auto" w:fill="auto"/>
            <w:vAlign w:val="center"/>
            <w:hideMark/>
          </w:tcPr>
          <w:p w14:paraId="06F701F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4D12097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EUAA</w:t>
            </w:r>
          </w:p>
        </w:tc>
        <w:tc>
          <w:tcPr>
            <w:tcW w:w="163" w:type="pct"/>
            <w:tcBorders>
              <w:top w:val="nil"/>
              <w:left w:val="nil"/>
              <w:bottom w:val="single" w:sz="4" w:space="0" w:color="auto"/>
              <w:right w:val="single" w:sz="4" w:space="0" w:color="auto"/>
            </w:tcBorders>
            <w:shd w:val="clear" w:color="auto" w:fill="auto"/>
            <w:vAlign w:val="center"/>
            <w:hideMark/>
          </w:tcPr>
          <w:p w14:paraId="4801D35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863,212</w:t>
            </w:r>
          </w:p>
        </w:tc>
        <w:tc>
          <w:tcPr>
            <w:tcW w:w="139" w:type="pct"/>
            <w:tcBorders>
              <w:top w:val="nil"/>
              <w:left w:val="nil"/>
              <w:bottom w:val="single" w:sz="4" w:space="0" w:color="auto"/>
              <w:right w:val="single" w:sz="4" w:space="0" w:color="auto"/>
            </w:tcBorders>
            <w:shd w:val="clear" w:color="auto" w:fill="auto"/>
            <w:vAlign w:val="center"/>
            <w:hideMark/>
          </w:tcPr>
          <w:p w14:paraId="091500B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05C9B6C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auto" w:fill="auto"/>
            <w:vAlign w:val="center"/>
            <w:hideMark/>
          </w:tcPr>
          <w:p w14:paraId="2676275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1DD02B25" w14:textId="10057425"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3738350C"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55407A81"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4.2.2.2</w:t>
            </w:r>
          </w:p>
        </w:tc>
        <w:tc>
          <w:tcPr>
            <w:tcW w:w="281" w:type="pct"/>
            <w:tcBorders>
              <w:top w:val="nil"/>
              <w:left w:val="nil"/>
              <w:bottom w:val="single" w:sz="4" w:space="0" w:color="auto"/>
              <w:right w:val="single" w:sz="4" w:space="0" w:color="auto"/>
            </w:tcBorders>
            <w:shd w:val="clear" w:color="auto" w:fill="auto"/>
            <w:vAlign w:val="center"/>
            <w:hideMark/>
          </w:tcPr>
          <w:p w14:paraId="25A8917D" w14:textId="3EF095AA"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 xml:space="preserve">4.2.2.2 Përshtatja e infrastrukturës në </w:t>
            </w:r>
            <w:r w:rsidR="00E92B0D" w:rsidRPr="00B457F5">
              <w:rPr>
                <w:rFonts w:ascii="Garamond" w:eastAsia="Times New Roman" w:hAnsi="Garamond" w:cs="Times New Roman"/>
                <w:sz w:val="4"/>
                <w:szCs w:val="10"/>
              </w:rPr>
              <w:t>qendrat</w:t>
            </w:r>
            <w:r w:rsidRPr="00B457F5">
              <w:rPr>
                <w:rFonts w:ascii="Garamond" w:eastAsia="Times New Roman" w:hAnsi="Garamond" w:cs="Times New Roman"/>
                <w:sz w:val="4"/>
                <w:szCs w:val="10"/>
              </w:rPr>
              <w:t xml:space="preserve"> pritëse</w:t>
            </w:r>
            <w:r w:rsidR="0006016F" w:rsidRPr="00B457F5">
              <w:rPr>
                <w:rFonts w:ascii="Garamond" w:eastAsia="Times New Roman" w:hAnsi="Garamond" w:cs="Times New Roman"/>
                <w:sz w:val="4"/>
                <w:szCs w:val="10"/>
              </w:rPr>
              <w:t xml:space="preserve"> </w:t>
            </w:r>
            <w:r w:rsidRPr="00B457F5">
              <w:rPr>
                <w:rFonts w:ascii="Garamond" w:eastAsia="Times New Roman" w:hAnsi="Garamond" w:cs="Times New Roman"/>
                <w:sz w:val="4"/>
                <w:szCs w:val="10"/>
              </w:rPr>
              <w:t>për personat me aftësi të kufizuar</w:t>
            </w:r>
            <w:r w:rsidR="00AF12C0" w:rsidRPr="00B457F5">
              <w:rPr>
                <w:rFonts w:ascii="Garamond" w:eastAsia="Times New Roman" w:hAnsi="Garamond" w:cs="Times New Roman"/>
                <w:sz w:val="4"/>
                <w:szCs w:val="10"/>
              </w:rPr>
              <w:t>a</w:t>
            </w:r>
            <w:r w:rsidRPr="00B457F5">
              <w:rPr>
                <w:rFonts w:ascii="Garamond" w:eastAsia="Times New Roman" w:hAnsi="Garamond" w:cs="Times New Roman"/>
                <w:sz w:val="4"/>
                <w:szCs w:val="10"/>
              </w:rPr>
              <w:t xml:space="preserve"> dhe grupeve vulnerabël </w:t>
            </w:r>
          </w:p>
        </w:tc>
        <w:tc>
          <w:tcPr>
            <w:tcW w:w="186" w:type="pct"/>
            <w:tcBorders>
              <w:top w:val="nil"/>
              <w:left w:val="nil"/>
              <w:bottom w:val="single" w:sz="4" w:space="0" w:color="auto"/>
              <w:right w:val="single" w:sz="4" w:space="0" w:color="auto"/>
            </w:tcBorders>
            <w:shd w:val="clear" w:color="auto" w:fill="auto"/>
            <w:vAlign w:val="center"/>
            <w:hideMark/>
          </w:tcPr>
          <w:p w14:paraId="4EE22E18"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560F25B6"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1E268C8A"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MSHMS, EUAA, UNHCR, IOM</w:t>
            </w:r>
          </w:p>
        </w:tc>
        <w:tc>
          <w:tcPr>
            <w:tcW w:w="135" w:type="pct"/>
            <w:tcBorders>
              <w:top w:val="nil"/>
              <w:left w:val="nil"/>
              <w:bottom w:val="single" w:sz="4" w:space="0" w:color="auto"/>
              <w:right w:val="single" w:sz="4" w:space="0" w:color="auto"/>
            </w:tcBorders>
            <w:shd w:val="clear" w:color="auto" w:fill="auto"/>
            <w:vAlign w:val="center"/>
            <w:hideMark/>
          </w:tcPr>
          <w:p w14:paraId="47EA404E"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auto" w:fill="auto"/>
            <w:vAlign w:val="center"/>
            <w:hideMark/>
          </w:tcPr>
          <w:p w14:paraId="00B1D6B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4185FC6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4C3196F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1,150,000</w:t>
            </w:r>
          </w:p>
        </w:tc>
        <w:tc>
          <w:tcPr>
            <w:tcW w:w="162" w:type="pct"/>
            <w:tcBorders>
              <w:top w:val="nil"/>
              <w:left w:val="nil"/>
              <w:bottom w:val="single" w:sz="4" w:space="0" w:color="auto"/>
              <w:right w:val="single" w:sz="4" w:space="0" w:color="auto"/>
            </w:tcBorders>
            <w:shd w:val="clear" w:color="000000" w:fill="FFF2CC"/>
            <w:vAlign w:val="center"/>
            <w:hideMark/>
          </w:tcPr>
          <w:p w14:paraId="2578B3C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1,150,000</w:t>
            </w:r>
          </w:p>
        </w:tc>
        <w:tc>
          <w:tcPr>
            <w:tcW w:w="165" w:type="pct"/>
            <w:tcBorders>
              <w:top w:val="nil"/>
              <w:left w:val="nil"/>
              <w:bottom w:val="single" w:sz="4" w:space="0" w:color="auto"/>
              <w:right w:val="single" w:sz="4" w:space="0" w:color="auto"/>
            </w:tcBorders>
            <w:shd w:val="clear" w:color="auto" w:fill="auto"/>
            <w:vAlign w:val="center"/>
            <w:hideMark/>
          </w:tcPr>
          <w:p w14:paraId="2296C34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0CCE1B5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1,150,000</w:t>
            </w:r>
          </w:p>
        </w:tc>
        <w:tc>
          <w:tcPr>
            <w:tcW w:w="163" w:type="pct"/>
            <w:tcBorders>
              <w:top w:val="nil"/>
              <w:left w:val="nil"/>
              <w:bottom w:val="single" w:sz="4" w:space="0" w:color="auto"/>
              <w:right w:val="single" w:sz="4" w:space="0" w:color="auto"/>
            </w:tcBorders>
            <w:shd w:val="clear" w:color="000000" w:fill="FFF2CC"/>
            <w:vAlign w:val="center"/>
            <w:hideMark/>
          </w:tcPr>
          <w:p w14:paraId="59FA9F7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1,150,000</w:t>
            </w:r>
          </w:p>
        </w:tc>
        <w:tc>
          <w:tcPr>
            <w:tcW w:w="163" w:type="pct"/>
            <w:tcBorders>
              <w:top w:val="nil"/>
              <w:left w:val="nil"/>
              <w:bottom w:val="single" w:sz="4" w:space="0" w:color="auto"/>
              <w:right w:val="single" w:sz="4" w:space="0" w:color="auto"/>
            </w:tcBorders>
            <w:shd w:val="clear" w:color="auto" w:fill="auto"/>
            <w:vAlign w:val="center"/>
            <w:hideMark/>
          </w:tcPr>
          <w:p w14:paraId="7EC42BB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8" w:type="pct"/>
            <w:tcBorders>
              <w:top w:val="nil"/>
              <w:left w:val="nil"/>
              <w:bottom w:val="single" w:sz="4" w:space="0" w:color="auto"/>
              <w:right w:val="single" w:sz="4" w:space="0" w:color="auto"/>
            </w:tcBorders>
            <w:shd w:val="clear" w:color="auto" w:fill="auto"/>
            <w:vAlign w:val="center"/>
            <w:hideMark/>
          </w:tcPr>
          <w:p w14:paraId="46CDC7A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1,150,000</w:t>
            </w:r>
          </w:p>
        </w:tc>
        <w:tc>
          <w:tcPr>
            <w:tcW w:w="162" w:type="pct"/>
            <w:tcBorders>
              <w:top w:val="nil"/>
              <w:left w:val="nil"/>
              <w:bottom w:val="single" w:sz="4" w:space="0" w:color="auto"/>
              <w:right w:val="single" w:sz="4" w:space="0" w:color="auto"/>
            </w:tcBorders>
            <w:shd w:val="clear" w:color="000000" w:fill="FFF2CC"/>
            <w:vAlign w:val="center"/>
            <w:hideMark/>
          </w:tcPr>
          <w:p w14:paraId="5F70FFB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1,150,000</w:t>
            </w:r>
          </w:p>
        </w:tc>
        <w:tc>
          <w:tcPr>
            <w:tcW w:w="165" w:type="pct"/>
            <w:tcBorders>
              <w:top w:val="nil"/>
              <w:left w:val="nil"/>
              <w:bottom w:val="single" w:sz="4" w:space="0" w:color="auto"/>
              <w:right w:val="single" w:sz="4" w:space="0" w:color="auto"/>
            </w:tcBorders>
            <w:shd w:val="clear" w:color="auto" w:fill="auto"/>
            <w:vAlign w:val="center"/>
            <w:hideMark/>
          </w:tcPr>
          <w:p w14:paraId="0D10376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422B1FC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3,450,000</w:t>
            </w:r>
          </w:p>
        </w:tc>
        <w:tc>
          <w:tcPr>
            <w:tcW w:w="165" w:type="pct"/>
            <w:tcBorders>
              <w:top w:val="nil"/>
              <w:left w:val="nil"/>
              <w:bottom w:val="single" w:sz="4" w:space="0" w:color="auto"/>
              <w:right w:val="single" w:sz="4" w:space="0" w:color="auto"/>
            </w:tcBorders>
            <w:shd w:val="clear" w:color="000000" w:fill="FFF2CC"/>
            <w:vAlign w:val="center"/>
            <w:hideMark/>
          </w:tcPr>
          <w:p w14:paraId="0B6FAEB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3,450,000</w:t>
            </w:r>
          </w:p>
        </w:tc>
        <w:tc>
          <w:tcPr>
            <w:tcW w:w="163" w:type="pct"/>
            <w:tcBorders>
              <w:top w:val="nil"/>
              <w:left w:val="nil"/>
              <w:bottom w:val="single" w:sz="4" w:space="0" w:color="auto"/>
              <w:right w:val="single" w:sz="4" w:space="0" w:color="auto"/>
            </w:tcBorders>
            <w:shd w:val="clear" w:color="auto" w:fill="auto"/>
            <w:vAlign w:val="center"/>
            <w:hideMark/>
          </w:tcPr>
          <w:p w14:paraId="568ED25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402812F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3,450,000</w:t>
            </w:r>
          </w:p>
        </w:tc>
        <w:tc>
          <w:tcPr>
            <w:tcW w:w="163" w:type="pct"/>
            <w:tcBorders>
              <w:top w:val="nil"/>
              <w:left w:val="nil"/>
              <w:bottom w:val="single" w:sz="4" w:space="0" w:color="auto"/>
              <w:right w:val="single" w:sz="4" w:space="0" w:color="auto"/>
            </w:tcBorders>
            <w:shd w:val="clear" w:color="000000" w:fill="FFF2CC"/>
            <w:vAlign w:val="center"/>
            <w:hideMark/>
          </w:tcPr>
          <w:p w14:paraId="5C6D8DB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3,450,000</w:t>
            </w:r>
          </w:p>
        </w:tc>
        <w:tc>
          <w:tcPr>
            <w:tcW w:w="162" w:type="pct"/>
            <w:tcBorders>
              <w:top w:val="nil"/>
              <w:left w:val="nil"/>
              <w:bottom w:val="single" w:sz="4" w:space="0" w:color="auto"/>
              <w:right w:val="single" w:sz="4" w:space="0" w:color="auto"/>
            </w:tcBorders>
            <w:shd w:val="clear" w:color="auto" w:fill="auto"/>
            <w:vAlign w:val="center"/>
            <w:hideMark/>
          </w:tcPr>
          <w:p w14:paraId="71E361F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3B32974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1EE14D9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446A5D7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3F8F8BB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00F0F41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36D181D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1E6F846E" w14:textId="3C455EF2"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381402B1"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0257D2F9"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4.2.2.3</w:t>
            </w:r>
          </w:p>
        </w:tc>
        <w:tc>
          <w:tcPr>
            <w:tcW w:w="281" w:type="pct"/>
            <w:tcBorders>
              <w:top w:val="nil"/>
              <w:left w:val="nil"/>
              <w:bottom w:val="single" w:sz="4" w:space="0" w:color="auto"/>
              <w:right w:val="single" w:sz="4" w:space="0" w:color="auto"/>
            </w:tcBorders>
            <w:shd w:val="clear" w:color="auto" w:fill="auto"/>
            <w:vAlign w:val="center"/>
            <w:hideMark/>
          </w:tcPr>
          <w:p w14:paraId="7E45441D" w14:textId="7218BD4E" w:rsidR="00C260C3" w:rsidRPr="00B457F5" w:rsidRDefault="00C260C3" w:rsidP="00C260C3">
            <w:pPr>
              <w:spacing w:before="0" w:after="0"/>
              <w:jc w:val="left"/>
              <w:rPr>
                <w:rFonts w:ascii="Garamond" w:eastAsia="Times New Roman" w:hAnsi="Garamond" w:cs="Times New Roman"/>
                <w:sz w:val="4"/>
                <w:szCs w:val="10"/>
              </w:rPr>
            </w:pPr>
            <w:r w:rsidRPr="00B457F5">
              <w:rPr>
                <w:rFonts w:ascii="Garamond" w:eastAsia="Times New Roman" w:hAnsi="Garamond" w:cs="Times New Roman"/>
                <w:sz w:val="4"/>
                <w:szCs w:val="10"/>
              </w:rPr>
              <w:t xml:space="preserve">4.2.2.3 Shtimi i personelit shëndetësor të kualifikuar, transportit të </w:t>
            </w:r>
            <w:r w:rsidR="0028334E" w:rsidRPr="00B457F5">
              <w:rPr>
                <w:rFonts w:ascii="Garamond" w:eastAsia="Times New Roman" w:hAnsi="Garamond" w:cs="Times New Roman"/>
                <w:sz w:val="4"/>
                <w:szCs w:val="10"/>
              </w:rPr>
              <w:t>posaçëm</w:t>
            </w:r>
            <w:r w:rsidRPr="00B457F5">
              <w:rPr>
                <w:rFonts w:ascii="Garamond" w:eastAsia="Times New Roman" w:hAnsi="Garamond" w:cs="Times New Roman"/>
                <w:sz w:val="4"/>
                <w:szCs w:val="10"/>
              </w:rPr>
              <w:t xml:space="preserve">, </w:t>
            </w:r>
            <w:r w:rsidR="0028334E" w:rsidRPr="00B457F5">
              <w:rPr>
                <w:rFonts w:ascii="Garamond" w:eastAsia="Times New Roman" w:hAnsi="Garamond" w:cs="Times New Roman"/>
                <w:sz w:val="4"/>
                <w:szCs w:val="10"/>
              </w:rPr>
              <w:t>pajisjeve</w:t>
            </w:r>
            <w:r w:rsidRPr="00B457F5">
              <w:rPr>
                <w:rFonts w:ascii="Garamond" w:eastAsia="Times New Roman" w:hAnsi="Garamond" w:cs="Times New Roman"/>
                <w:sz w:val="4"/>
                <w:szCs w:val="10"/>
              </w:rPr>
              <w:t xml:space="preserve"> dhe paketave dhe</w:t>
            </w:r>
            <w:r w:rsidR="0006016F" w:rsidRPr="00B457F5">
              <w:rPr>
                <w:rFonts w:ascii="Garamond" w:eastAsia="Times New Roman" w:hAnsi="Garamond" w:cs="Times New Roman"/>
                <w:sz w:val="4"/>
                <w:szCs w:val="10"/>
              </w:rPr>
              <w:t xml:space="preserve"> </w:t>
            </w:r>
            <w:r w:rsidRPr="00B457F5">
              <w:rPr>
                <w:rFonts w:ascii="Garamond" w:eastAsia="Times New Roman" w:hAnsi="Garamond" w:cs="Times New Roman"/>
                <w:sz w:val="4"/>
                <w:szCs w:val="10"/>
              </w:rPr>
              <w:t xml:space="preserve">në </w:t>
            </w:r>
            <w:r w:rsidR="0028334E" w:rsidRPr="00B457F5">
              <w:rPr>
                <w:rFonts w:ascii="Garamond" w:eastAsia="Times New Roman" w:hAnsi="Garamond" w:cs="Times New Roman"/>
                <w:sz w:val="4"/>
                <w:szCs w:val="10"/>
              </w:rPr>
              <w:t>qendrat</w:t>
            </w:r>
            <w:r w:rsidRPr="00B457F5">
              <w:rPr>
                <w:rFonts w:ascii="Garamond" w:eastAsia="Times New Roman" w:hAnsi="Garamond" w:cs="Times New Roman"/>
                <w:sz w:val="4"/>
                <w:szCs w:val="10"/>
              </w:rPr>
              <w:t xml:space="preserve"> pritëse</w:t>
            </w:r>
          </w:p>
        </w:tc>
        <w:tc>
          <w:tcPr>
            <w:tcW w:w="186" w:type="pct"/>
            <w:tcBorders>
              <w:top w:val="nil"/>
              <w:left w:val="nil"/>
              <w:bottom w:val="single" w:sz="4" w:space="0" w:color="auto"/>
              <w:right w:val="single" w:sz="4" w:space="0" w:color="auto"/>
            </w:tcBorders>
            <w:shd w:val="clear" w:color="auto" w:fill="auto"/>
            <w:vAlign w:val="center"/>
            <w:hideMark/>
          </w:tcPr>
          <w:p w14:paraId="42530C7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071117DB"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35CCE701"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MSHMS, UNHCR, IOM</w:t>
            </w:r>
          </w:p>
        </w:tc>
        <w:tc>
          <w:tcPr>
            <w:tcW w:w="135" w:type="pct"/>
            <w:tcBorders>
              <w:top w:val="nil"/>
              <w:left w:val="nil"/>
              <w:bottom w:val="single" w:sz="4" w:space="0" w:color="auto"/>
              <w:right w:val="single" w:sz="4" w:space="0" w:color="auto"/>
            </w:tcBorders>
            <w:shd w:val="clear" w:color="auto" w:fill="auto"/>
            <w:vAlign w:val="center"/>
            <w:hideMark/>
          </w:tcPr>
          <w:p w14:paraId="10C6DEEB"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auto" w:fill="auto"/>
            <w:vAlign w:val="center"/>
            <w:hideMark/>
          </w:tcPr>
          <w:p w14:paraId="386290C6"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3858C6A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7,776,833</w:t>
            </w:r>
          </w:p>
        </w:tc>
        <w:tc>
          <w:tcPr>
            <w:tcW w:w="155" w:type="pct"/>
            <w:tcBorders>
              <w:top w:val="nil"/>
              <w:left w:val="nil"/>
              <w:bottom w:val="single" w:sz="4" w:space="0" w:color="auto"/>
              <w:right w:val="single" w:sz="4" w:space="0" w:color="auto"/>
            </w:tcBorders>
            <w:shd w:val="clear" w:color="auto" w:fill="auto"/>
            <w:vAlign w:val="center"/>
            <w:hideMark/>
          </w:tcPr>
          <w:p w14:paraId="40C9125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7CD247A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7,776,833</w:t>
            </w:r>
          </w:p>
        </w:tc>
        <w:tc>
          <w:tcPr>
            <w:tcW w:w="165" w:type="pct"/>
            <w:tcBorders>
              <w:top w:val="nil"/>
              <w:left w:val="nil"/>
              <w:bottom w:val="single" w:sz="4" w:space="0" w:color="auto"/>
              <w:right w:val="single" w:sz="4" w:space="0" w:color="auto"/>
            </w:tcBorders>
            <w:shd w:val="clear" w:color="auto" w:fill="auto"/>
            <w:vAlign w:val="center"/>
            <w:hideMark/>
          </w:tcPr>
          <w:p w14:paraId="2A13077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7,776,833</w:t>
            </w:r>
          </w:p>
        </w:tc>
        <w:tc>
          <w:tcPr>
            <w:tcW w:w="163" w:type="pct"/>
            <w:tcBorders>
              <w:top w:val="nil"/>
              <w:left w:val="nil"/>
              <w:bottom w:val="single" w:sz="4" w:space="0" w:color="auto"/>
              <w:right w:val="single" w:sz="4" w:space="0" w:color="auto"/>
            </w:tcBorders>
            <w:shd w:val="clear" w:color="auto" w:fill="auto"/>
            <w:vAlign w:val="center"/>
            <w:hideMark/>
          </w:tcPr>
          <w:p w14:paraId="3713272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74D17D0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7,776,833</w:t>
            </w:r>
          </w:p>
        </w:tc>
        <w:tc>
          <w:tcPr>
            <w:tcW w:w="163" w:type="pct"/>
            <w:tcBorders>
              <w:top w:val="nil"/>
              <w:left w:val="nil"/>
              <w:bottom w:val="single" w:sz="4" w:space="0" w:color="auto"/>
              <w:right w:val="single" w:sz="4" w:space="0" w:color="auto"/>
            </w:tcBorders>
            <w:shd w:val="clear" w:color="auto" w:fill="auto"/>
            <w:vAlign w:val="center"/>
            <w:hideMark/>
          </w:tcPr>
          <w:p w14:paraId="23B62D1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7,776,833</w:t>
            </w:r>
          </w:p>
        </w:tc>
        <w:tc>
          <w:tcPr>
            <w:tcW w:w="148" w:type="pct"/>
            <w:tcBorders>
              <w:top w:val="nil"/>
              <w:left w:val="nil"/>
              <w:bottom w:val="single" w:sz="4" w:space="0" w:color="auto"/>
              <w:right w:val="single" w:sz="4" w:space="0" w:color="auto"/>
            </w:tcBorders>
            <w:shd w:val="clear" w:color="auto" w:fill="auto"/>
            <w:vAlign w:val="center"/>
            <w:hideMark/>
          </w:tcPr>
          <w:p w14:paraId="1EEBAF9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52BBA8C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7,776,833</w:t>
            </w:r>
          </w:p>
        </w:tc>
        <w:tc>
          <w:tcPr>
            <w:tcW w:w="165" w:type="pct"/>
            <w:tcBorders>
              <w:top w:val="nil"/>
              <w:left w:val="nil"/>
              <w:bottom w:val="single" w:sz="4" w:space="0" w:color="auto"/>
              <w:right w:val="single" w:sz="4" w:space="0" w:color="auto"/>
            </w:tcBorders>
            <w:shd w:val="clear" w:color="auto" w:fill="auto"/>
            <w:vAlign w:val="center"/>
            <w:hideMark/>
          </w:tcPr>
          <w:p w14:paraId="0446458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23,330,499</w:t>
            </w:r>
          </w:p>
        </w:tc>
        <w:tc>
          <w:tcPr>
            <w:tcW w:w="163" w:type="pct"/>
            <w:tcBorders>
              <w:top w:val="nil"/>
              <w:left w:val="nil"/>
              <w:bottom w:val="single" w:sz="4" w:space="0" w:color="auto"/>
              <w:right w:val="single" w:sz="4" w:space="0" w:color="auto"/>
            </w:tcBorders>
            <w:shd w:val="clear" w:color="auto" w:fill="auto"/>
            <w:vAlign w:val="center"/>
            <w:hideMark/>
          </w:tcPr>
          <w:p w14:paraId="16E68CE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25B88EF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23,330,499</w:t>
            </w:r>
          </w:p>
        </w:tc>
        <w:tc>
          <w:tcPr>
            <w:tcW w:w="163" w:type="pct"/>
            <w:tcBorders>
              <w:top w:val="nil"/>
              <w:left w:val="nil"/>
              <w:bottom w:val="single" w:sz="4" w:space="0" w:color="auto"/>
              <w:right w:val="single" w:sz="4" w:space="0" w:color="auto"/>
            </w:tcBorders>
            <w:shd w:val="clear" w:color="auto" w:fill="auto"/>
            <w:vAlign w:val="center"/>
            <w:hideMark/>
          </w:tcPr>
          <w:p w14:paraId="3450E4F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23,330,499</w:t>
            </w:r>
          </w:p>
        </w:tc>
        <w:tc>
          <w:tcPr>
            <w:tcW w:w="155" w:type="pct"/>
            <w:tcBorders>
              <w:top w:val="nil"/>
              <w:left w:val="nil"/>
              <w:bottom w:val="single" w:sz="4" w:space="0" w:color="auto"/>
              <w:right w:val="single" w:sz="4" w:space="0" w:color="auto"/>
            </w:tcBorders>
            <w:shd w:val="clear" w:color="auto" w:fill="auto"/>
            <w:vAlign w:val="center"/>
            <w:hideMark/>
          </w:tcPr>
          <w:p w14:paraId="1E6D4FD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629BEE9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23,330,499</w:t>
            </w:r>
          </w:p>
        </w:tc>
        <w:tc>
          <w:tcPr>
            <w:tcW w:w="162" w:type="pct"/>
            <w:tcBorders>
              <w:top w:val="nil"/>
              <w:left w:val="nil"/>
              <w:bottom w:val="single" w:sz="4" w:space="0" w:color="auto"/>
              <w:right w:val="single" w:sz="4" w:space="0" w:color="auto"/>
            </w:tcBorders>
            <w:shd w:val="clear" w:color="auto" w:fill="auto"/>
            <w:vAlign w:val="center"/>
            <w:hideMark/>
          </w:tcPr>
          <w:p w14:paraId="131C5B9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41F26FB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0CB3D03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69478B9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78C245B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4FF969F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2E63764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38BCA508" w14:textId="4C5849E6"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6ACD13E7" w14:textId="77777777" w:rsidTr="00C260C3">
        <w:trPr>
          <w:trHeight w:val="20"/>
        </w:trPr>
        <w:tc>
          <w:tcPr>
            <w:tcW w:w="131" w:type="pct"/>
            <w:tcBorders>
              <w:top w:val="nil"/>
              <w:left w:val="single" w:sz="4" w:space="0" w:color="auto"/>
              <w:bottom w:val="single" w:sz="4" w:space="0" w:color="auto"/>
              <w:right w:val="single" w:sz="4" w:space="0" w:color="auto"/>
            </w:tcBorders>
            <w:shd w:val="clear" w:color="000000" w:fill="D9D9D9"/>
            <w:vAlign w:val="center"/>
            <w:hideMark/>
          </w:tcPr>
          <w:p w14:paraId="72B81185"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4.2.3</w:t>
            </w:r>
          </w:p>
        </w:tc>
        <w:tc>
          <w:tcPr>
            <w:tcW w:w="281" w:type="pct"/>
            <w:tcBorders>
              <w:top w:val="nil"/>
              <w:left w:val="nil"/>
              <w:bottom w:val="single" w:sz="4" w:space="0" w:color="auto"/>
              <w:right w:val="single" w:sz="4" w:space="0" w:color="auto"/>
            </w:tcBorders>
            <w:shd w:val="clear" w:color="000000" w:fill="D9D9D9"/>
            <w:vAlign w:val="center"/>
            <w:hideMark/>
          </w:tcPr>
          <w:p w14:paraId="1A8517A0" w14:textId="77777777" w:rsidR="00C260C3" w:rsidRPr="00B457F5" w:rsidRDefault="00C260C3" w:rsidP="00C260C3">
            <w:pPr>
              <w:spacing w:before="0" w:after="0"/>
              <w:jc w:val="left"/>
              <w:rPr>
                <w:rFonts w:ascii="Garamond" w:eastAsia="Times New Roman" w:hAnsi="Garamond" w:cs="Times New Roman"/>
                <w:b/>
                <w:bCs/>
                <w:sz w:val="4"/>
                <w:szCs w:val="10"/>
              </w:rPr>
            </w:pPr>
            <w:r w:rsidRPr="00B457F5">
              <w:rPr>
                <w:rFonts w:ascii="Garamond" w:eastAsia="Times New Roman" w:hAnsi="Garamond" w:cs="Times New Roman"/>
                <w:b/>
                <w:bCs/>
                <w:sz w:val="4"/>
                <w:szCs w:val="10"/>
              </w:rPr>
              <w:t>4.2.3 Mbrojtje e veçantë për fëmijët e huaj të pashoqëruar</w:t>
            </w:r>
          </w:p>
        </w:tc>
        <w:tc>
          <w:tcPr>
            <w:tcW w:w="186" w:type="pct"/>
            <w:tcBorders>
              <w:top w:val="nil"/>
              <w:left w:val="nil"/>
              <w:bottom w:val="single" w:sz="4" w:space="0" w:color="auto"/>
              <w:right w:val="single" w:sz="4" w:space="0" w:color="auto"/>
            </w:tcBorders>
            <w:shd w:val="clear" w:color="000000" w:fill="D9D9D9"/>
            <w:vAlign w:val="center"/>
            <w:hideMark/>
          </w:tcPr>
          <w:p w14:paraId="7EE815C9" w14:textId="30FC46D3"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10430 </w:t>
            </w:r>
            <w:r w:rsidR="0028334E" w:rsidRPr="00B457F5">
              <w:rPr>
                <w:rFonts w:ascii="Garamond" w:eastAsia="Times New Roman" w:hAnsi="Garamond" w:cs="Times New Roman"/>
                <w:color w:val="FF0000"/>
                <w:sz w:val="4"/>
                <w:szCs w:val="10"/>
              </w:rPr>
              <w:t>Përkujdesja</w:t>
            </w:r>
            <w:r w:rsidRPr="00B457F5">
              <w:rPr>
                <w:rFonts w:ascii="Garamond" w:eastAsia="Times New Roman" w:hAnsi="Garamond" w:cs="Times New Roman"/>
                <w:color w:val="FF0000"/>
                <w:sz w:val="4"/>
                <w:szCs w:val="10"/>
              </w:rPr>
              <w:t xml:space="preserve"> Social</w:t>
            </w:r>
            <w:r w:rsidR="0028334E" w:rsidRPr="00B457F5">
              <w:rPr>
                <w:rFonts w:ascii="Garamond" w:eastAsia="Times New Roman" w:hAnsi="Garamond" w:cs="Times New Roman"/>
                <w:color w:val="FF0000"/>
                <w:sz w:val="4"/>
                <w:szCs w:val="10"/>
              </w:rPr>
              <w:t>e</w:t>
            </w:r>
            <w:r w:rsidRPr="00B457F5">
              <w:rPr>
                <w:rFonts w:ascii="Garamond" w:eastAsia="Times New Roman" w:hAnsi="Garamond" w:cs="Times New Roman"/>
                <w:color w:val="FF0000"/>
                <w:sz w:val="4"/>
                <w:szCs w:val="10"/>
              </w:rPr>
              <w:t xml:space="preserve">, 01120 </w:t>
            </w:r>
            <w:r w:rsidR="0028334E" w:rsidRPr="00B457F5">
              <w:rPr>
                <w:rFonts w:ascii="Garamond" w:eastAsia="Times New Roman" w:hAnsi="Garamond" w:cs="Times New Roman"/>
                <w:color w:val="FF0000"/>
                <w:sz w:val="4"/>
                <w:szCs w:val="10"/>
              </w:rPr>
              <w:t>Mbështetje</w:t>
            </w:r>
            <w:r w:rsidRPr="00B457F5">
              <w:rPr>
                <w:rFonts w:ascii="Garamond" w:eastAsia="Times New Roman" w:hAnsi="Garamond" w:cs="Times New Roman"/>
                <w:color w:val="FF0000"/>
                <w:sz w:val="4"/>
                <w:szCs w:val="10"/>
              </w:rPr>
              <w:t xml:space="preserve"> diplomatike </w:t>
            </w:r>
            <w:r w:rsidR="0028334E" w:rsidRPr="00B457F5">
              <w:rPr>
                <w:rFonts w:ascii="Garamond" w:eastAsia="Times New Roman" w:hAnsi="Garamond" w:cs="Times New Roman"/>
                <w:color w:val="FF0000"/>
                <w:sz w:val="4"/>
                <w:szCs w:val="10"/>
              </w:rPr>
              <w:t>jashtë</w:t>
            </w:r>
            <w:r w:rsidRPr="00B457F5">
              <w:rPr>
                <w:rFonts w:ascii="Garamond" w:eastAsia="Times New Roman" w:hAnsi="Garamond" w:cs="Times New Roman"/>
                <w:color w:val="FF0000"/>
                <w:sz w:val="4"/>
                <w:szCs w:val="10"/>
              </w:rPr>
              <w:t xml:space="preserve"> shtetit, 01110 Planifikimi, Menaxhimi dhe Administrimi (16), 09120 Arsimi Baz</w:t>
            </w:r>
            <w:r w:rsidR="0028334E" w:rsidRPr="00B457F5">
              <w:rPr>
                <w:rFonts w:ascii="Garamond" w:eastAsia="Times New Roman" w:hAnsi="Garamond" w:cs="Times New Roman"/>
                <w:b/>
                <w:bCs/>
                <w:color w:val="FF0000"/>
                <w:sz w:val="4"/>
                <w:szCs w:val="10"/>
              </w:rPr>
              <w:t>ë</w:t>
            </w:r>
            <w:r w:rsidRPr="00B457F5">
              <w:rPr>
                <w:rFonts w:ascii="Garamond" w:eastAsia="Times New Roman" w:hAnsi="Garamond" w:cs="Times New Roman"/>
                <w:color w:val="FF0000"/>
                <w:sz w:val="4"/>
                <w:szCs w:val="10"/>
              </w:rPr>
              <w:t xml:space="preserve"> (</w:t>
            </w:r>
            <w:r w:rsidR="0028334E" w:rsidRPr="00B457F5">
              <w:rPr>
                <w:rFonts w:ascii="Garamond" w:eastAsia="Times New Roman" w:hAnsi="Garamond" w:cs="Times New Roman"/>
                <w:color w:val="FF0000"/>
                <w:sz w:val="4"/>
                <w:szCs w:val="10"/>
              </w:rPr>
              <w:t>përfshirë</w:t>
            </w:r>
            <w:r w:rsidRPr="00B457F5">
              <w:rPr>
                <w:rFonts w:ascii="Garamond" w:eastAsia="Times New Roman" w:hAnsi="Garamond" w:cs="Times New Roman"/>
                <w:color w:val="FF0000"/>
                <w:sz w:val="4"/>
                <w:szCs w:val="10"/>
              </w:rPr>
              <w:t xml:space="preserve"> parashkollorin)08230 art, kulturë</w:t>
            </w:r>
          </w:p>
        </w:tc>
        <w:tc>
          <w:tcPr>
            <w:tcW w:w="169" w:type="pct"/>
            <w:tcBorders>
              <w:top w:val="nil"/>
              <w:left w:val="nil"/>
              <w:bottom w:val="single" w:sz="4" w:space="0" w:color="auto"/>
              <w:right w:val="single" w:sz="4" w:space="0" w:color="auto"/>
            </w:tcBorders>
            <w:shd w:val="clear" w:color="000000" w:fill="D9D9D9"/>
            <w:vAlign w:val="center"/>
            <w:hideMark/>
          </w:tcPr>
          <w:p w14:paraId="2898B6DC"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MSHMS, ASHMDF, MEPJ, MB, MAS, MEKI</w:t>
            </w:r>
          </w:p>
        </w:tc>
        <w:tc>
          <w:tcPr>
            <w:tcW w:w="244" w:type="pct"/>
            <w:tcBorders>
              <w:top w:val="nil"/>
              <w:left w:val="nil"/>
              <w:bottom w:val="single" w:sz="4" w:space="0" w:color="auto"/>
              <w:right w:val="single" w:sz="4" w:space="0" w:color="auto"/>
            </w:tcBorders>
            <w:shd w:val="clear" w:color="000000" w:fill="D9D9D9"/>
            <w:vAlign w:val="center"/>
            <w:hideMark/>
          </w:tcPr>
          <w:p w14:paraId="05ABCCB3" w14:textId="77777777" w:rsidR="00C260C3" w:rsidRPr="00B457F5" w:rsidRDefault="00C260C3" w:rsidP="00C260C3">
            <w:pPr>
              <w:spacing w:before="0" w:after="0"/>
              <w:jc w:val="center"/>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MB, MSHMS, ASHMDF, EUAA, UNICEF, UNHCR, MAS, IOM</w:t>
            </w:r>
          </w:p>
        </w:tc>
        <w:tc>
          <w:tcPr>
            <w:tcW w:w="135" w:type="pct"/>
            <w:tcBorders>
              <w:top w:val="nil"/>
              <w:left w:val="nil"/>
              <w:bottom w:val="single" w:sz="4" w:space="0" w:color="auto"/>
              <w:right w:val="single" w:sz="4" w:space="0" w:color="auto"/>
            </w:tcBorders>
            <w:shd w:val="clear" w:color="000000" w:fill="D9D9D9"/>
            <w:vAlign w:val="center"/>
            <w:hideMark/>
          </w:tcPr>
          <w:p w14:paraId="2AD89A0A"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9D9D9"/>
            <w:vAlign w:val="center"/>
            <w:hideMark/>
          </w:tcPr>
          <w:p w14:paraId="529A2F26"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000000" w:fill="D9D9D9"/>
            <w:vAlign w:val="center"/>
            <w:hideMark/>
          </w:tcPr>
          <w:p w14:paraId="000FA38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5,038,481</w:t>
            </w:r>
          </w:p>
        </w:tc>
        <w:tc>
          <w:tcPr>
            <w:tcW w:w="155" w:type="pct"/>
            <w:tcBorders>
              <w:top w:val="nil"/>
              <w:left w:val="nil"/>
              <w:bottom w:val="single" w:sz="4" w:space="0" w:color="auto"/>
              <w:right w:val="single" w:sz="4" w:space="0" w:color="auto"/>
            </w:tcBorders>
            <w:shd w:val="clear" w:color="000000" w:fill="D9D9D9"/>
            <w:vAlign w:val="center"/>
            <w:hideMark/>
          </w:tcPr>
          <w:p w14:paraId="7300C93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3,450,000</w:t>
            </w:r>
          </w:p>
        </w:tc>
        <w:tc>
          <w:tcPr>
            <w:tcW w:w="162" w:type="pct"/>
            <w:tcBorders>
              <w:top w:val="nil"/>
              <w:left w:val="nil"/>
              <w:bottom w:val="single" w:sz="4" w:space="0" w:color="auto"/>
              <w:right w:val="single" w:sz="4" w:space="0" w:color="auto"/>
            </w:tcBorders>
            <w:shd w:val="clear" w:color="000000" w:fill="D9D9D9"/>
            <w:vAlign w:val="center"/>
            <w:hideMark/>
          </w:tcPr>
          <w:p w14:paraId="0033D05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8,488,481</w:t>
            </w:r>
          </w:p>
        </w:tc>
        <w:tc>
          <w:tcPr>
            <w:tcW w:w="165" w:type="pct"/>
            <w:tcBorders>
              <w:top w:val="nil"/>
              <w:left w:val="nil"/>
              <w:bottom w:val="single" w:sz="4" w:space="0" w:color="auto"/>
              <w:right w:val="single" w:sz="4" w:space="0" w:color="auto"/>
            </w:tcBorders>
            <w:shd w:val="clear" w:color="000000" w:fill="D9D9D9"/>
            <w:vAlign w:val="center"/>
            <w:hideMark/>
          </w:tcPr>
          <w:p w14:paraId="5ECBA7C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5,013,969</w:t>
            </w:r>
          </w:p>
        </w:tc>
        <w:tc>
          <w:tcPr>
            <w:tcW w:w="163" w:type="pct"/>
            <w:tcBorders>
              <w:top w:val="nil"/>
              <w:left w:val="nil"/>
              <w:bottom w:val="single" w:sz="4" w:space="0" w:color="auto"/>
              <w:right w:val="single" w:sz="4" w:space="0" w:color="auto"/>
            </w:tcBorders>
            <w:shd w:val="clear" w:color="000000" w:fill="D9D9D9"/>
            <w:vAlign w:val="center"/>
            <w:hideMark/>
          </w:tcPr>
          <w:p w14:paraId="45F0CD9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9,200,000</w:t>
            </w:r>
          </w:p>
        </w:tc>
        <w:tc>
          <w:tcPr>
            <w:tcW w:w="163" w:type="pct"/>
            <w:tcBorders>
              <w:top w:val="nil"/>
              <w:left w:val="nil"/>
              <w:bottom w:val="single" w:sz="4" w:space="0" w:color="auto"/>
              <w:right w:val="single" w:sz="4" w:space="0" w:color="auto"/>
            </w:tcBorders>
            <w:shd w:val="clear" w:color="000000" w:fill="D9D9D9"/>
            <w:vAlign w:val="center"/>
            <w:hideMark/>
          </w:tcPr>
          <w:p w14:paraId="420C26F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14,213,969</w:t>
            </w:r>
          </w:p>
        </w:tc>
        <w:tc>
          <w:tcPr>
            <w:tcW w:w="163" w:type="pct"/>
            <w:tcBorders>
              <w:top w:val="nil"/>
              <w:left w:val="nil"/>
              <w:bottom w:val="single" w:sz="4" w:space="0" w:color="auto"/>
              <w:right w:val="single" w:sz="4" w:space="0" w:color="auto"/>
            </w:tcBorders>
            <w:shd w:val="clear" w:color="000000" w:fill="D9D9D9"/>
            <w:vAlign w:val="center"/>
            <w:hideMark/>
          </w:tcPr>
          <w:p w14:paraId="673EECE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5,434,293</w:t>
            </w:r>
          </w:p>
        </w:tc>
        <w:tc>
          <w:tcPr>
            <w:tcW w:w="148" w:type="pct"/>
            <w:tcBorders>
              <w:top w:val="nil"/>
              <w:left w:val="nil"/>
              <w:bottom w:val="single" w:sz="4" w:space="0" w:color="auto"/>
              <w:right w:val="single" w:sz="4" w:space="0" w:color="auto"/>
            </w:tcBorders>
            <w:shd w:val="clear" w:color="000000" w:fill="D9D9D9"/>
            <w:vAlign w:val="center"/>
            <w:hideMark/>
          </w:tcPr>
          <w:p w14:paraId="74123AD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3,450,000</w:t>
            </w:r>
          </w:p>
        </w:tc>
        <w:tc>
          <w:tcPr>
            <w:tcW w:w="162" w:type="pct"/>
            <w:tcBorders>
              <w:top w:val="nil"/>
              <w:left w:val="nil"/>
              <w:bottom w:val="single" w:sz="4" w:space="0" w:color="auto"/>
              <w:right w:val="single" w:sz="4" w:space="0" w:color="auto"/>
            </w:tcBorders>
            <w:shd w:val="clear" w:color="000000" w:fill="D9D9D9"/>
            <w:vAlign w:val="center"/>
            <w:hideMark/>
          </w:tcPr>
          <w:p w14:paraId="7A6858C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8,884,293</w:t>
            </w:r>
          </w:p>
        </w:tc>
        <w:tc>
          <w:tcPr>
            <w:tcW w:w="165" w:type="pct"/>
            <w:tcBorders>
              <w:top w:val="nil"/>
              <w:left w:val="nil"/>
              <w:bottom w:val="single" w:sz="4" w:space="0" w:color="auto"/>
              <w:right w:val="single" w:sz="4" w:space="0" w:color="auto"/>
            </w:tcBorders>
            <w:shd w:val="clear" w:color="000000" w:fill="D9D9D9"/>
            <w:vAlign w:val="center"/>
            <w:hideMark/>
          </w:tcPr>
          <w:p w14:paraId="1022516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15,486,743</w:t>
            </w:r>
          </w:p>
        </w:tc>
        <w:tc>
          <w:tcPr>
            <w:tcW w:w="163" w:type="pct"/>
            <w:tcBorders>
              <w:top w:val="nil"/>
              <w:left w:val="nil"/>
              <w:bottom w:val="single" w:sz="4" w:space="0" w:color="auto"/>
              <w:right w:val="single" w:sz="4" w:space="0" w:color="auto"/>
            </w:tcBorders>
            <w:shd w:val="clear" w:color="000000" w:fill="D9D9D9"/>
            <w:vAlign w:val="center"/>
            <w:hideMark/>
          </w:tcPr>
          <w:p w14:paraId="0F9A0CE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16,100,000</w:t>
            </w:r>
          </w:p>
        </w:tc>
        <w:tc>
          <w:tcPr>
            <w:tcW w:w="165" w:type="pct"/>
            <w:tcBorders>
              <w:top w:val="nil"/>
              <w:left w:val="nil"/>
              <w:bottom w:val="single" w:sz="4" w:space="0" w:color="auto"/>
              <w:right w:val="single" w:sz="4" w:space="0" w:color="auto"/>
            </w:tcBorders>
            <w:shd w:val="clear" w:color="000000" w:fill="D9D9D9"/>
            <w:vAlign w:val="center"/>
            <w:hideMark/>
          </w:tcPr>
          <w:p w14:paraId="23ECBE2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31,586,743</w:t>
            </w:r>
          </w:p>
        </w:tc>
        <w:tc>
          <w:tcPr>
            <w:tcW w:w="163" w:type="pct"/>
            <w:tcBorders>
              <w:top w:val="nil"/>
              <w:left w:val="nil"/>
              <w:bottom w:val="single" w:sz="4" w:space="0" w:color="auto"/>
              <w:right w:val="single" w:sz="4" w:space="0" w:color="auto"/>
            </w:tcBorders>
            <w:shd w:val="clear" w:color="000000" w:fill="D9D9D9"/>
            <w:vAlign w:val="center"/>
            <w:hideMark/>
          </w:tcPr>
          <w:p w14:paraId="4C478A4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000000" w:fill="D9D9D9"/>
            <w:vAlign w:val="center"/>
            <w:hideMark/>
          </w:tcPr>
          <w:p w14:paraId="6F91854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3CB32F2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4124480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15,486,743</w:t>
            </w:r>
          </w:p>
        </w:tc>
        <w:tc>
          <w:tcPr>
            <w:tcW w:w="155" w:type="pct"/>
            <w:tcBorders>
              <w:top w:val="nil"/>
              <w:left w:val="nil"/>
              <w:bottom w:val="single" w:sz="4" w:space="0" w:color="auto"/>
              <w:right w:val="single" w:sz="4" w:space="0" w:color="auto"/>
            </w:tcBorders>
            <w:shd w:val="clear" w:color="000000" w:fill="D9D9D9"/>
            <w:vAlign w:val="center"/>
            <w:hideMark/>
          </w:tcPr>
          <w:p w14:paraId="27EC071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16,100,000</w:t>
            </w:r>
          </w:p>
        </w:tc>
        <w:tc>
          <w:tcPr>
            <w:tcW w:w="218" w:type="pct"/>
            <w:tcBorders>
              <w:top w:val="nil"/>
              <w:left w:val="nil"/>
              <w:bottom w:val="single" w:sz="4" w:space="0" w:color="auto"/>
              <w:right w:val="single" w:sz="4" w:space="0" w:color="auto"/>
            </w:tcBorders>
            <w:shd w:val="clear" w:color="000000" w:fill="D9D9D9"/>
            <w:vAlign w:val="center"/>
            <w:hideMark/>
          </w:tcPr>
          <w:p w14:paraId="24D9C3D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513A126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31,586,743</w:t>
            </w:r>
          </w:p>
        </w:tc>
        <w:tc>
          <w:tcPr>
            <w:tcW w:w="139" w:type="pct"/>
            <w:tcBorders>
              <w:top w:val="nil"/>
              <w:left w:val="nil"/>
              <w:bottom w:val="single" w:sz="4" w:space="0" w:color="auto"/>
              <w:right w:val="single" w:sz="4" w:space="0" w:color="auto"/>
            </w:tcBorders>
            <w:shd w:val="clear" w:color="000000" w:fill="D9D9D9"/>
            <w:vAlign w:val="center"/>
            <w:hideMark/>
          </w:tcPr>
          <w:p w14:paraId="3BE1AFD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000000" w:fill="D9D9D9"/>
            <w:vAlign w:val="center"/>
            <w:hideMark/>
          </w:tcPr>
          <w:p w14:paraId="5C23DFE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D9D9D9"/>
            <w:vAlign w:val="center"/>
            <w:hideMark/>
          </w:tcPr>
          <w:p w14:paraId="6751E3C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000000" w:fill="D9D9D9"/>
            <w:vAlign w:val="center"/>
            <w:hideMark/>
          </w:tcPr>
          <w:p w14:paraId="4B9D40D5" w14:textId="7217CA2D"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 - </w:t>
            </w:r>
          </w:p>
        </w:tc>
      </w:tr>
      <w:tr w:rsidR="00C260C3" w:rsidRPr="00B457F5" w14:paraId="76561891"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58816DAB"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4.2.3.1</w:t>
            </w:r>
          </w:p>
        </w:tc>
        <w:tc>
          <w:tcPr>
            <w:tcW w:w="281" w:type="pct"/>
            <w:tcBorders>
              <w:top w:val="nil"/>
              <w:left w:val="nil"/>
              <w:bottom w:val="single" w:sz="4" w:space="0" w:color="auto"/>
              <w:right w:val="single" w:sz="4" w:space="0" w:color="auto"/>
            </w:tcBorders>
            <w:shd w:val="clear" w:color="auto" w:fill="auto"/>
            <w:vAlign w:val="center"/>
            <w:hideMark/>
          </w:tcPr>
          <w:p w14:paraId="7859108F"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4.2.3.1 Hartimi i procedurave të specializuara për vlerësimin moshor të fëmijëve të huaj të pashoqëruar</w:t>
            </w:r>
          </w:p>
        </w:tc>
        <w:tc>
          <w:tcPr>
            <w:tcW w:w="186" w:type="pct"/>
            <w:tcBorders>
              <w:top w:val="nil"/>
              <w:left w:val="nil"/>
              <w:bottom w:val="single" w:sz="4" w:space="0" w:color="auto"/>
              <w:right w:val="single" w:sz="4" w:space="0" w:color="auto"/>
            </w:tcBorders>
            <w:shd w:val="clear" w:color="auto" w:fill="auto"/>
            <w:vAlign w:val="center"/>
            <w:hideMark/>
          </w:tcPr>
          <w:p w14:paraId="0BDD3D2E" w14:textId="017961EF"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10430 </w:t>
            </w:r>
            <w:r w:rsidR="0028334E" w:rsidRPr="00B457F5">
              <w:rPr>
                <w:rFonts w:ascii="Garamond" w:eastAsia="Times New Roman" w:hAnsi="Garamond" w:cs="Times New Roman"/>
                <w:color w:val="FF0000"/>
                <w:sz w:val="4"/>
                <w:szCs w:val="10"/>
              </w:rPr>
              <w:t>Përkujdesja</w:t>
            </w:r>
            <w:r w:rsidRPr="00B457F5">
              <w:rPr>
                <w:rFonts w:ascii="Garamond" w:eastAsia="Times New Roman" w:hAnsi="Garamond" w:cs="Times New Roman"/>
                <w:color w:val="FF0000"/>
                <w:sz w:val="4"/>
                <w:szCs w:val="10"/>
              </w:rPr>
              <w:t xml:space="preserve"> Social</w:t>
            </w:r>
            <w:r w:rsidR="0028334E" w:rsidRPr="00B457F5">
              <w:rPr>
                <w:rFonts w:ascii="Garamond" w:eastAsia="Times New Roman" w:hAnsi="Garamond" w:cs="Times New Roman"/>
                <w:color w:val="FF0000"/>
                <w:sz w:val="4"/>
                <w:szCs w:val="10"/>
              </w:rPr>
              <w:t>e</w:t>
            </w:r>
          </w:p>
        </w:tc>
        <w:tc>
          <w:tcPr>
            <w:tcW w:w="169" w:type="pct"/>
            <w:tcBorders>
              <w:top w:val="nil"/>
              <w:left w:val="nil"/>
              <w:bottom w:val="single" w:sz="4" w:space="0" w:color="auto"/>
              <w:right w:val="single" w:sz="4" w:space="0" w:color="auto"/>
            </w:tcBorders>
            <w:shd w:val="clear" w:color="auto" w:fill="auto"/>
            <w:vAlign w:val="center"/>
            <w:hideMark/>
          </w:tcPr>
          <w:p w14:paraId="4180D1A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MSHMS</w:t>
            </w:r>
          </w:p>
        </w:tc>
        <w:tc>
          <w:tcPr>
            <w:tcW w:w="244" w:type="pct"/>
            <w:tcBorders>
              <w:top w:val="nil"/>
              <w:left w:val="nil"/>
              <w:bottom w:val="single" w:sz="4" w:space="0" w:color="auto"/>
              <w:right w:val="single" w:sz="4" w:space="0" w:color="auto"/>
            </w:tcBorders>
            <w:shd w:val="clear" w:color="auto" w:fill="auto"/>
            <w:vAlign w:val="center"/>
            <w:hideMark/>
          </w:tcPr>
          <w:p w14:paraId="05F883A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MB, EUAA, UNICEF, IOM </w:t>
            </w:r>
          </w:p>
        </w:tc>
        <w:tc>
          <w:tcPr>
            <w:tcW w:w="135" w:type="pct"/>
            <w:tcBorders>
              <w:top w:val="nil"/>
              <w:left w:val="nil"/>
              <w:bottom w:val="single" w:sz="4" w:space="0" w:color="auto"/>
              <w:right w:val="single" w:sz="4" w:space="0" w:color="auto"/>
            </w:tcBorders>
            <w:shd w:val="clear" w:color="000000" w:fill="DDEBF7"/>
            <w:vAlign w:val="center"/>
            <w:hideMark/>
          </w:tcPr>
          <w:p w14:paraId="29DFAB82"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04C36E26"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2025</w:t>
            </w:r>
          </w:p>
        </w:tc>
        <w:tc>
          <w:tcPr>
            <w:tcW w:w="163" w:type="pct"/>
            <w:tcBorders>
              <w:top w:val="nil"/>
              <w:left w:val="nil"/>
              <w:bottom w:val="single" w:sz="4" w:space="0" w:color="auto"/>
              <w:right w:val="single" w:sz="4" w:space="0" w:color="auto"/>
            </w:tcBorders>
            <w:shd w:val="clear" w:color="auto" w:fill="auto"/>
            <w:vAlign w:val="center"/>
            <w:hideMark/>
          </w:tcPr>
          <w:p w14:paraId="58656C1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779,676</w:t>
            </w:r>
          </w:p>
        </w:tc>
        <w:tc>
          <w:tcPr>
            <w:tcW w:w="155" w:type="pct"/>
            <w:tcBorders>
              <w:top w:val="nil"/>
              <w:left w:val="nil"/>
              <w:bottom w:val="single" w:sz="4" w:space="0" w:color="auto"/>
              <w:right w:val="single" w:sz="4" w:space="0" w:color="auto"/>
            </w:tcBorders>
            <w:shd w:val="clear" w:color="auto" w:fill="auto"/>
            <w:vAlign w:val="center"/>
            <w:hideMark/>
          </w:tcPr>
          <w:p w14:paraId="45EF8DD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122207E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779,676</w:t>
            </w:r>
          </w:p>
        </w:tc>
        <w:tc>
          <w:tcPr>
            <w:tcW w:w="165" w:type="pct"/>
            <w:tcBorders>
              <w:top w:val="nil"/>
              <w:left w:val="nil"/>
              <w:bottom w:val="single" w:sz="4" w:space="0" w:color="auto"/>
              <w:right w:val="single" w:sz="4" w:space="0" w:color="auto"/>
            </w:tcBorders>
            <w:shd w:val="clear" w:color="auto" w:fill="auto"/>
            <w:vAlign w:val="center"/>
            <w:hideMark/>
          </w:tcPr>
          <w:p w14:paraId="3E96716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779,676</w:t>
            </w:r>
          </w:p>
        </w:tc>
        <w:tc>
          <w:tcPr>
            <w:tcW w:w="163" w:type="pct"/>
            <w:tcBorders>
              <w:top w:val="nil"/>
              <w:left w:val="nil"/>
              <w:bottom w:val="single" w:sz="4" w:space="0" w:color="auto"/>
              <w:right w:val="single" w:sz="4" w:space="0" w:color="auto"/>
            </w:tcBorders>
            <w:shd w:val="clear" w:color="auto" w:fill="auto"/>
            <w:vAlign w:val="center"/>
            <w:hideMark/>
          </w:tcPr>
          <w:p w14:paraId="2C8A3F2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4EA4E1B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779,676</w:t>
            </w:r>
          </w:p>
        </w:tc>
        <w:tc>
          <w:tcPr>
            <w:tcW w:w="163" w:type="pct"/>
            <w:tcBorders>
              <w:top w:val="nil"/>
              <w:left w:val="nil"/>
              <w:bottom w:val="single" w:sz="4" w:space="0" w:color="auto"/>
              <w:right w:val="single" w:sz="4" w:space="0" w:color="auto"/>
            </w:tcBorders>
            <w:shd w:val="clear" w:color="auto" w:fill="auto"/>
            <w:vAlign w:val="center"/>
            <w:hideMark/>
          </w:tcPr>
          <w:p w14:paraId="267394E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8" w:type="pct"/>
            <w:tcBorders>
              <w:top w:val="nil"/>
              <w:left w:val="nil"/>
              <w:bottom w:val="single" w:sz="4" w:space="0" w:color="auto"/>
              <w:right w:val="single" w:sz="4" w:space="0" w:color="auto"/>
            </w:tcBorders>
            <w:shd w:val="clear" w:color="auto" w:fill="auto"/>
            <w:vAlign w:val="center"/>
            <w:hideMark/>
          </w:tcPr>
          <w:p w14:paraId="3B23311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501EFF6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auto" w:fill="auto"/>
            <w:vAlign w:val="center"/>
            <w:hideMark/>
          </w:tcPr>
          <w:p w14:paraId="5039915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1,559,352</w:t>
            </w:r>
          </w:p>
        </w:tc>
        <w:tc>
          <w:tcPr>
            <w:tcW w:w="163" w:type="pct"/>
            <w:tcBorders>
              <w:top w:val="nil"/>
              <w:left w:val="nil"/>
              <w:bottom w:val="single" w:sz="4" w:space="0" w:color="auto"/>
              <w:right w:val="single" w:sz="4" w:space="0" w:color="auto"/>
            </w:tcBorders>
            <w:shd w:val="clear" w:color="auto" w:fill="auto"/>
            <w:vAlign w:val="center"/>
            <w:hideMark/>
          </w:tcPr>
          <w:p w14:paraId="4B88F4B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602203D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1,559,352</w:t>
            </w:r>
          </w:p>
        </w:tc>
        <w:tc>
          <w:tcPr>
            <w:tcW w:w="163" w:type="pct"/>
            <w:tcBorders>
              <w:top w:val="nil"/>
              <w:left w:val="nil"/>
              <w:bottom w:val="single" w:sz="4" w:space="0" w:color="auto"/>
              <w:right w:val="single" w:sz="4" w:space="0" w:color="auto"/>
            </w:tcBorders>
            <w:shd w:val="clear" w:color="auto" w:fill="auto"/>
            <w:vAlign w:val="center"/>
            <w:hideMark/>
          </w:tcPr>
          <w:p w14:paraId="13F9979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6939187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4E6CE8F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43334EF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1,559,352</w:t>
            </w:r>
          </w:p>
        </w:tc>
        <w:tc>
          <w:tcPr>
            <w:tcW w:w="155" w:type="pct"/>
            <w:tcBorders>
              <w:top w:val="nil"/>
              <w:left w:val="nil"/>
              <w:bottom w:val="single" w:sz="4" w:space="0" w:color="auto"/>
              <w:right w:val="single" w:sz="4" w:space="0" w:color="auto"/>
            </w:tcBorders>
            <w:shd w:val="clear" w:color="auto" w:fill="auto"/>
            <w:vAlign w:val="center"/>
            <w:hideMark/>
          </w:tcPr>
          <w:p w14:paraId="2269026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318E8E8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UNHCR</w:t>
            </w:r>
          </w:p>
        </w:tc>
        <w:tc>
          <w:tcPr>
            <w:tcW w:w="163" w:type="pct"/>
            <w:tcBorders>
              <w:top w:val="nil"/>
              <w:left w:val="nil"/>
              <w:bottom w:val="single" w:sz="4" w:space="0" w:color="auto"/>
              <w:right w:val="single" w:sz="4" w:space="0" w:color="auto"/>
            </w:tcBorders>
            <w:shd w:val="clear" w:color="000000" w:fill="FFF2CC"/>
            <w:vAlign w:val="center"/>
            <w:hideMark/>
          </w:tcPr>
          <w:p w14:paraId="44FF7C3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1,559,352</w:t>
            </w:r>
          </w:p>
        </w:tc>
        <w:tc>
          <w:tcPr>
            <w:tcW w:w="139" w:type="pct"/>
            <w:tcBorders>
              <w:top w:val="nil"/>
              <w:left w:val="nil"/>
              <w:bottom w:val="single" w:sz="4" w:space="0" w:color="auto"/>
              <w:right w:val="single" w:sz="4" w:space="0" w:color="auto"/>
            </w:tcBorders>
            <w:shd w:val="clear" w:color="auto" w:fill="auto"/>
            <w:vAlign w:val="center"/>
            <w:hideMark/>
          </w:tcPr>
          <w:p w14:paraId="184DC87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7B0F44D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13D0788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3FAD4C54" w14:textId="15B42772"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0CCD4242"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5FF95BA6"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4.2.3.2</w:t>
            </w:r>
          </w:p>
        </w:tc>
        <w:tc>
          <w:tcPr>
            <w:tcW w:w="281" w:type="pct"/>
            <w:tcBorders>
              <w:top w:val="nil"/>
              <w:left w:val="nil"/>
              <w:bottom w:val="single" w:sz="4" w:space="0" w:color="auto"/>
              <w:right w:val="single" w:sz="4" w:space="0" w:color="auto"/>
            </w:tcBorders>
            <w:shd w:val="clear" w:color="auto" w:fill="auto"/>
            <w:vAlign w:val="center"/>
            <w:hideMark/>
          </w:tcPr>
          <w:p w14:paraId="7C3DDB93" w14:textId="2EAA6204"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4.2.3.2 Ngritja e një qendre </w:t>
            </w:r>
            <w:r w:rsidR="0028334E" w:rsidRPr="00B457F5">
              <w:rPr>
                <w:rFonts w:ascii="Garamond" w:eastAsia="Times New Roman" w:hAnsi="Garamond" w:cs="Times New Roman"/>
                <w:color w:val="000000"/>
                <w:sz w:val="4"/>
                <w:szCs w:val="10"/>
              </w:rPr>
              <w:t>rezidenciale</w:t>
            </w:r>
            <w:r w:rsidRPr="00B457F5">
              <w:rPr>
                <w:rFonts w:ascii="Garamond" w:eastAsia="Times New Roman" w:hAnsi="Garamond" w:cs="Times New Roman"/>
                <w:color w:val="000000"/>
                <w:sz w:val="4"/>
                <w:szCs w:val="10"/>
              </w:rPr>
              <w:t xml:space="preserve"> kombëtarë pritëse të dedikuar për fëmijët e huaj të pashoqëruar</w:t>
            </w:r>
          </w:p>
        </w:tc>
        <w:tc>
          <w:tcPr>
            <w:tcW w:w="186" w:type="pct"/>
            <w:tcBorders>
              <w:top w:val="nil"/>
              <w:left w:val="nil"/>
              <w:bottom w:val="single" w:sz="4" w:space="0" w:color="auto"/>
              <w:right w:val="single" w:sz="4" w:space="0" w:color="auto"/>
            </w:tcBorders>
            <w:shd w:val="clear" w:color="auto" w:fill="auto"/>
            <w:vAlign w:val="center"/>
            <w:hideMark/>
          </w:tcPr>
          <w:p w14:paraId="6C1D824C"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431C8D07" w14:textId="77777777" w:rsidR="00C260C3" w:rsidRPr="00B457F5" w:rsidRDefault="00C260C3" w:rsidP="00C260C3">
            <w:pPr>
              <w:spacing w:before="0" w:after="0"/>
              <w:jc w:val="center"/>
              <w:rPr>
                <w:rFonts w:ascii="Garamond" w:eastAsia="Times New Roman" w:hAnsi="Garamond" w:cs="Times New Roman"/>
                <w:color w:val="203764"/>
                <w:sz w:val="4"/>
                <w:szCs w:val="10"/>
              </w:rPr>
            </w:pPr>
            <w:r w:rsidRPr="00B457F5">
              <w:rPr>
                <w:rFonts w:ascii="Garamond" w:eastAsia="Times New Roman" w:hAnsi="Garamond" w:cs="Times New Roman"/>
                <w:color w:val="203764"/>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395B234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color w:val="203764"/>
                <w:sz w:val="4"/>
                <w:szCs w:val="10"/>
              </w:rPr>
              <w:t xml:space="preserve">MSHMS, </w:t>
            </w:r>
            <w:r w:rsidRPr="00B457F5">
              <w:rPr>
                <w:rFonts w:ascii="Garamond" w:eastAsia="Times New Roman" w:hAnsi="Garamond" w:cs="Times New Roman"/>
                <w:sz w:val="4"/>
                <w:szCs w:val="10"/>
              </w:rPr>
              <w:t>EUAA, UNHCR, IOM</w:t>
            </w:r>
          </w:p>
        </w:tc>
        <w:tc>
          <w:tcPr>
            <w:tcW w:w="135" w:type="pct"/>
            <w:tcBorders>
              <w:top w:val="nil"/>
              <w:left w:val="nil"/>
              <w:bottom w:val="single" w:sz="4" w:space="0" w:color="auto"/>
              <w:right w:val="single" w:sz="4" w:space="0" w:color="auto"/>
            </w:tcBorders>
            <w:shd w:val="clear" w:color="000000" w:fill="DDEBF7"/>
            <w:vAlign w:val="center"/>
            <w:hideMark/>
          </w:tcPr>
          <w:p w14:paraId="78653D8C"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5EF70D22"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46BFB32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1,212,256</w:t>
            </w:r>
          </w:p>
        </w:tc>
        <w:tc>
          <w:tcPr>
            <w:tcW w:w="155" w:type="pct"/>
            <w:tcBorders>
              <w:top w:val="nil"/>
              <w:left w:val="nil"/>
              <w:bottom w:val="single" w:sz="4" w:space="0" w:color="auto"/>
              <w:right w:val="single" w:sz="4" w:space="0" w:color="auto"/>
            </w:tcBorders>
            <w:shd w:val="clear" w:color="auto" w:fill="auto"/>
            <w:vAlign w:val="center"/>
            <w:hideMark/>
          </w:tcPr>
          <w:p w14:paraId="4347FAC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3B6BFBC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1,212,256</w:t>
            </w:r>
          </w:p>
        </w:tc>
        <w:tc>
          <w:tcPr>
            <w:tcW w:w="165" w:type="pct"/>
            <w:tcBorders>
              <w:top w:val="nil"/>
              <w:left w:val="nil"/>
              <w:bottom w:val="single" w:sz="4" w:space="0" w:color="auto"/>
              <w:right w:val="single" w:sz="4" w:space="0" w:color="auto"/>
            </w:tcBorders>
            <w:shd w:val="clear" w:color="auto" w:fill="auto"/>
            <w:vAlign w:val="center"/>
            <w:hideMark/>
          </w:tcPr>
          <w:p w14:paraId="38A6110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2,400,000</w:t>
            </w:r>
          </w:p>
        </w:tc>
        <w:tc>
          <w:tcPr>
            <w:tcW w:w="163" w:type="pct"/>
            <w:tcBorders>
              <w:top w:val="nil"/>
              <w:left w:val="nil"/>
              <w:bottom w:val="single" w:sz="4" w:space="0" w:color="auto"/>
              <w:right w:val="single" w:sz="4" w:space="0" w:color="auto"/>
            </w:tcBorders>
            <w:shd w:val="clear" w:color="auto" w:fill="auto"/>
            <w:vAlign w:val="center"/>
            <w:hideMark/>
          </w:tcPr>
          <w:p w14:paraId="55E8F5D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5,750,000</w:t>
            </w:r>
          </w:p>
        </w:tc>
        <w:tc>
          <w:tcPr>
            <w:tcW w:w="163" w:type="pct"/>
            <w:tcBorders>
              <w:top w:val="nil"/>
              <w:left w:val="nil"/>
              <w:bottom w:val="single" w:sz="4" w:space="0" w:color="auto"/>
              <w:right w:val="single" w:sz="4" w:space="0" w:color="auto"/>
            </w:tcBorders>
            <w:shd w:val="clear" w:color="000000" w:fill="FFF2CC"/>
            <w:vAlign w:val="center"/>
            <w:hideMark/>
          </w:tcPr>
          <w:p w14:paraId="652B217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8,150,000</w:t>
            </w:r>
          </w:p>
        </w:tc>
        <w:tc>
          <w:tcPr>
            <w:tcW w:w="163" w:type="pct"/>
            <w:tcBorders>
              <w:top w:val="nil"/>
              <w:left w:val="nil"/>
              <w:bottom w:val="single" w:sz="4" w:space="0" w:color="auto"/>
              <w:right w:val="single" w:sz="4" w:space="0" w:color="auto"/>
            </w:tcBorders>
            <w:shd w:val="clear" w:color="auto" w:fill="auto"/>
            <w:vAlign w:val="center"/>
            <w:hideMark/>
          </w:tcPr>
          <w:p w14:paraId="42AF206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3,600,000</w:t>
            </w:r>
          </w:p>
        </w:tc>
        <w:tc>
          <w:tcPr>
            <w:tcW w:w="148" w:type="pct"/>
            <w:tcBorders>
              <w:top w:val="nil"/>
              <w:left w:val="nil"/>
              <w:bottom w:val="single" w:sz="4" w:space="0" w:color="auto"/>
              <w:right w:val="single" w:sz="4" w:space="0" w:color="auto"/>
            </w:tcBorders>
            <w:shd w:val="clear" w:color="auto" w:fill="auto"/>
            <w:vAlign w:val="center"/>
            <w:hideMark/>
          </w:tcPr>
          <w:p w14:paraId="537AF14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2E86ECD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3,600,000</w:t>
            </w:r>
          </w:p>
        </w:tc>
        <w:tc>
          <w:tcPr>
            <w:tcW w:w="165" w:type="pct"/>
            <w:tcBorders>
              <w:top w:val="nil"/>
              <w:left w:val="nil"/>
              <w:bottom w:val="single" w:sz="4" w:space="0" w:color="auto"/>
              <w:right w:val="single" w:sz="4" w:space="0" w:color="auto"/>
            </w:tcBorders>
            <w:shd w:val="clear" w:color="auto" w:fill="auto"/>
            <w:vAlign w:val="center"/>
            <w:hideMark/>
          </w:tcPr>
          <w:p w14:paraId="0937AE0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7,212,256</w:t>
            </w:r>
          </w:p>
        </w:tc>
        <w:tc>
          <w:tcPr>
            <w:tcW w:w="163" w:type="pct"/>
            <w:tcBorders>
              <w:top w:val="nil"/>
              <w:left w:val="nil"/>
              <w:bottom w:val="single" w:sz="4" w:space="0" w:color="auto"/>
              <w:right w:val="single" w:sz="4" w:space="0" w:color="auto"/>
            </w:tcBorders>
            <w:shd w:val="clear" w:color="auto" w:fill="auto"/>
            <w:vAlign w:val="center"/>
            <w:hideMark/>
          </w:tcPr>
          <w:p w14:paraId="381ADF9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5,750,000</w:t>
            </w:r>
          </w:p>
        </w:tc>
        <w:tc>
          <w:tcPr>
            <w:tcW w:w="165" w:type="pct"/>
            <w:tcBorders>
              <w:top w:val="nil"/>
              <w:left w:val="nil"/>
              <w:bottom w:val="single" w:sz="4" w:space="0" w:color="auto"/>
              <w:right w:val="single" w:sz="4" w:space="0" w:color="auto"/>
            </w:tcBorders>
            <w:shd w:val="clear" w:color="000000" w:fill="FFF2CC"/>
            <w:vAlign w:val="center"/>
            <w:hideMark/>
          </w:tcPr>
          <w:p w14:paraId="7A00500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12,962,256</w:t>
            </w:r>
          </w:p>
        </w:tc>
        <w:tc>
          <w:tcPr>
            <w:tcW w:w="163" w:type="pct"/>
            <w:tcBorders>
              <w:top w:val="nil"/>
              <w:left w:val="nil"/>
              <w:bottom w:val="single" w:sz="4" w:space="0" w:color="auto"/>
              <w:right w:val="single" w:sz="4" w:space="0" w:color="auto"/>
            </w:tcBorders>
            <w:shd w:val="clear" w:color="auto" w:fill="auto"/>
            <w:vAlign w:val="center"/>
            <w:hideMark/>
          </w:tcPr>
          <w:p w14:paraId="790C561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694FC04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3390D48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56367D0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7,212,256</w:t>
            </w:r>
          </w:p>
        </w:tc>
        <w:tc>
          <w:tcPr>
            <w:tcW w:w="155" w:type="pct"/>
            <w:tcBorders>
              <w:top w:val="nil"/>
              <w:left w:val="nil"/>
              <w:bottom w:val="single" w:sz="4" w:space="0" w:color="auto"/>
              <w:right w:val="single" w:sz="4" w:space="0" w:color="auto"/>
            </w:tcBorders>
            <w:shd w:val="clear" w:color="auto" w:fill="auto"/>
            <w:vAlign w:val="center"/>
            <w:hideMark/>
          </w:tcPr>
          <w:p w14:paraId="03689AD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5,750,000</w:t>
            </w:r>
          </w:p>
        </w:tc>
        <w:tc>
          <w:tcPr>
            <w:tcW w:w="218" w:type="pct"/>
            <w:tcBorders>
              <w:top w:val="nil"/>
              <w:left w:val="nil"/>
              <w:bottom w:val="single" w:sz="4" w:space="0" w:color="auto"/>
              <w:right w:val="single" w:sz="4" w:space="0" w:color="auto"/>
            </w:tcBorders>
            <w:shd w:val="clear" w:color="auto" w:fill="auto"/>
            <w:vAlign w:val="center"/>
            <w:hideMark/>
          </w:tcPr>
          <w:p w14:paraId="5F09F82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UNHCR</w:t>
            </w:r>
          </w:p>
        </w:tc>
        <w:tc>
          <w:tcPr>
            <w:tcW w:w="163" w:type="pct"/>
            <w:tcBorders>
              <w:top w:val="nil"/>
              <w:left w:val="nil"/>
              <w:bottom w:val="single" w:sz="4" w:space="0" w:color="auto"/>
              <w:right w:val="single" w:sz="4" w:space="0" w:color="auto"/>
            </w:tcBorders>
            <w:shd w:val="clear" w:color="000000" w:fill="FFF2CC"/>
            <w:vAlign w:val="center"/>
            <w:hideMark/>
          </w:tcPr>
          <w:p w14:paraId="1C81271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12,962,256</w:t>
            </w:r>
          </w:p>
        </w:tc>
        <w:tc>
          <w:tcPr>
            <w:tcW w:w="139" w:type="pct"/>
            <w:tcBorders>
              <w:top w:val="nil"/>
              <w:left w:val="nil"/>
              <w:bottom w:val="single" w:sz="4" w:space="0" w:color="auto"/>
              <w:right w:val="single" w:sz="4" w:space="0" w:color="auto"/>
            </w:tcBorders>
            <w:shd w:val="clear" w:color="auto" w:fill="auto"/>
            <w:vAlign w:val="center"/>
            <w:hideMark/>
          </w:tcPr>
          <w:p w14:paraId="21C6598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5166642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601CA4D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45EC1422" w14:textId="3B5A0712"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5A1FC992"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397392A7"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4.2.3.3</w:t>
            </w:r>
          </w:p>
        </w:tc>
        <w:tc>
          <w:tcPr>
            <w:tcW w:w="281" w:type="pct"/>
            <w:tcBorders>
              <w:top w:val="nil"/>
              <w:left w:val="nil"/>
              <w:bottom w:val="single" w:sz="4" w:space="0" w:color="auto"/>
              <w:right w:val="single" w:sz="4" w:space="0" w:color="auto"/>
            </w:tcBorders>
            <w:shd w:val="clear" w:color="auto" w:fill="auto"/>
            <w:vAlign w:val="center"/>
            <w:hideMark/>
          </w:tcPr>
          <w:p w14:paraId="21CDDEBF" w14:textId="794B9395"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4.2.3.3 Hartimi dhe zhvillimi</w:t>
            </w:r>
            <w:r w:rsidR="0006016F" w:rsidRPr="00B457F5">
              <w:rPr>
                <w:rFonts w:ascii="Garamond" w:eastAsia="Times New Roman" w:hAnsi="Garamond" w:cs="Times New Roman"/>
                <w:color w:val="000000"/>
                <w:sz w:val="4"/>
                <w:szCs w:val="10"/>
              </w:rPr>
              <w:t xml:space="preserve"> </w:t>
            </w:r>
            <w:r w:rsidRPr="00B457F5">
              <w:rPr>
                <w:rFonts w:ascii="Garamond" w:eastAsia="Times New Roman" w:hAnsi="Garamond" w:cs="Times New Roman"/>
                <w:color w:val="000000"/>
                <w:sz w:val="4"/>
                <w:szCs w:val="10"/>
              </w:rPr>
              <w:t>i programeve specifike mbështetëse në sport, kulturë dhe art, për fëmijët e pashoqëruar</w:t>
            </w:r>
          </w:p>
        </w:tc>
        <w:tc>
          <w:tcPr>
            <w:tcW w:w="186" w:type="pct"/>
            <w:tcBorders>
              <w:top w:val="nil"/>
              <w:left w:val="nil"/>
              <w:bottom w:val="single" w:sz="4" w:space="0" w:color="auto"/>
              <w:right w:val="single" w:sz="4" w:space="0" w:color="auto"/>
            </w:tcBorders>
            <w:shd w:val="clear" w:color="auto" w:fill="auto"/>
            <w:vAlign w:val="center"/>
            <w:hideMark/>
          </w:tcPr>
          <w:p w14:paraId="71E70333" w14:textId="01EF1924"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09120 Arsimi Baz</w:t>
            </w:r>
            <w:r w:rsidR="0028334E" w:rsidRPr="00B457F5">
              <w:rPr>
                <w:rFonts w:ascii="Garamond" w:eastAsia="Times New Roman" w:hAnsi="Garamond" w:cs="Times New Roman"/>
                <w:color w:val="FF0000"/>
                <w:sz w:val="4"/>
                <w:szCs w:val="10"/>
              </w:rPr>
              <w:t>ë</w:t>
            </w:r>
            <w:r w:rsidRPr="00B457F5">
              <w:rPr>
                <w:rFonts w:ascii="Garamond" w:eastAsia="Times New Roman" w:hAnsi="Garamond" w:cs="Times New Roman"/>
                <w:color w:val="FF0000"/>
                <w:sz w:val="4"/>
                <w:szCs w:val="10"/>
              </w:rPr>
              <w:t xml:space="preserve"> (</w:t>
            </w:r>
            <w:r w:rsidR="0028334E" w:rsidRPr="00B457F5">
              <w:rPr>
                <w:rFonts w:ascii="Garamond" w:eastAsia="Times New Roman" w:hAnsi="Garamond" w:cs="Times New Roman"/>
                <w:color w:val="FF0000"/>
                <w:sz w:val="4"/>
                <w:szCs w:val="10"/>
              </w:rPr>
              <w:t>përfshirë</w:t>
            </w:r>
            <w:r w:rsidRPr="00B457F5">
              <w:rPr>
                <w:rFonts w:ascii="Garamond" w:eastAsia="Times New Roman" w:hAnsi="Garamond" w:cs="Times New Roman"/>
                <w:color w:val="FF0000"/>
                <w:sz w:val="4"/>
                <w:szCs w:val="10"/>
              </w:rPr>
              <w:t xml:space="preserve"> parashkollorin)08230 art, kulturë</w:t>
            </w:r>
          </w:p>
        </w:tc>
        <w:tc>
          <w:tcPr>
            <w:tcW w:w="169" w:type="pct"/>
            <w:tcBorders>
              <w:top w:val="nil"/>
              <w:left w:val="nil"/>
              <w:bottom w:val="single" w:sz="4" w:space="0" w:color="auto"/>
              <w:right w:val="single" w:sz="4" w:space="0" w:color="auto"/>
            </w:tcBorders>
            <w:shd w:val="clear" w:color="auto" w:fill="auto"/>
            <w:vAlign w:val="center"/>
            <w:hideMark/>
          </w:tcPr>
          <w:p w14:paraId="4672B61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MAS, MEKI</w:t>
            </w:r>
          </w:p>
        </w:tc>
        <w:tc>
          <w:tcPr>
            <w:tcW w:w="244" w:type="pct"/>
            <w:tcBorders>
              <w:top w:val="nil"/>
              <w:left w:val="nil"/>
              <w:bottom w:val="single" w:sz="4" w:space="0" w:color="auto"/>
              <w:right w:val="single" w:sz="4" w:space="0" w:color="auto"/>
            </w:tcBorders>
            <w:shd w:val="clear" w:color="auto" w:fill="auto"/>
            <w:vAlign w:val="center"/>
            <w:hideMark/>
          </w:tcPr>
          <w:p w14:paraId="39C1304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ASHMDF, MB, UNHCR, UNICEF, IOM</w:t>
            </w:r>
          </w:p>
        </w:tc>
        <w:tc>
          <w:tcPr>
            <w:tcW w:w="135" w:type="pct"/>
            <w:tcBorders>
              <w:top w:val="nil"/>
              <w:left w:val="nil"/>
              <w:bottom w:val="single" w:sz="4" w:space="0" w:color="auto"/>
              <w:right w:val="single" w:sz="4" w:space="0" w:color="auto"/>
            </w:tcBorders>
            <w:shd w:val="clear" w:color="000000" w:fill="DDEBF7"/>
            <w:vAlign w:val="center"/>
            <w:hideMark/>
          </w:tcPr>
          <w:p w14:paraId="4366FBE6"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60DA7F0B"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3948B6B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1,080,000</w:t>
            </w:r>
          </w:p>
        </w:tc>
        <w:tc>
          <w:tcPr>
            <w:tcW w:w="155" w:type="pct"/>
            <w:tcBorders>
              <w:top w:val="nil"/>
              <w:left w:val="nil"/>
              <w:bottom w:val="single" w:sz="4" w:space="0" w:color="auto"/>
              <w:right w:val="single" w:sz="4" w:space="0" w:color="auto"/>
            </w:tcBorders>
            <w:shd w:val="clear" w:color="auto" w:fill="auto"/>
            <w:vAlign w:val="center"/>
            <w:hideMark/>
          </w:tcPr>
          <w:p w14:paraId="35957B2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42A201E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1,080,000</w:t>
            </w:r>
          </w:p>
        </w:tc>
        <w:tc>
          <w:tcPr>
            <w:tcW w:w="165" w:type="pct"/>
            <w:tcBorders>
              <w:top w:val="nil"/>
              <w:left w:val="nil"/>
              <w:bottom w:val="single" w:sz="4" w:space="0" w:color="auto"/>
              <w:right w:val="single" w:sz="4" w:space="0" w:color="auto"/>
            </w:tcBorders>
            <w:shd w:val="clear" w:color="auto" w:fill="auto"/>
            <w:vAlign w:val="center"/>
            <w:hideMark/>
          </w:tcPr>
          <w:p w14:paraId="5C309F8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1,080,000</w:t>
            </w:r>
          </w:p>
        </w:tc>
        <w:tc>
          <w:tcPr>
            <w:tcW w:w="163" w:type="pct"/>
            <w:tcBorders>
              <w:top w:val="nil"/>
              <w:left w:val="nil"/>
              <w:bottom w:val="single" w:sz="4" w:space="0" w:color="auto"/>
              <w:right w:val="single" w:sz="4" w:space="0" w:color="auto"/>
            </w:tcBorders>
            <w:shd w:val="clear" w:color="auto" w:fill="auto"/>
            <w:vAlign w:val="center"/>
            <w:hideMark/>
          </w:tcPr>
          <w:p w14:paraId="50644A3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327F1F5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1,080,000</w:t>
            </w:r>
          </w:p>
        </w:tc>
        <w:tc>
          <w:tcPr>
            <w:tcW w:w="163" w:type="pct"/>
            <w:tcBorders>
              <w:top w:val="nil"/>
              <w:left w:val="nil"/>
              <w:bottom w:val="single" w:sz="4" w:space="0" w:color="auto"/>
              <w:right w:val="single" w:sz="4" w:space="0" w:color="auto"/>
            </w:tcBorders>
            <w:shd w:val="clear" w:color="auto" w:fill="auto"/>
            <w:vAlign w:val="center"/>
            <w:hideMark/>
          </w:tcPr>
          <w:p w14:paraId="51E1B81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1,080,000</w:t>
            </w:r>
          </w:p>
        </w:tc>
        <w:tc>
          <w:tcPr>
            <w:tcW w:w="148" w:type="pct"/>
            <w:tcBorders>
              <w:top w:val="nil"/>
              <w:left w:val="nil"/>
              <w:bottom w:val="single" w:sz="4" w:space="0" w:color="auto"/>
              <w:right w:val="single" w:sz="4" w:space="0" w:color="auto"/>
            </w:tcBorders>
            <w:shd w:val="clear" w:color="auto" w:fill="auto"/>
            <w:vAlign w:val="center"/>
            <w:hideMark/>
          </w:tcPr>
          <w:p w14:paraId="5B5F939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7CAD9D6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1,080,000</w:t>
            </w:r>
          </w:p>
        </w:tc>
        <w:tc>
          <w:tcPr>
            <w:tcW w:w="165" w:type="pct"/>
            <w:tcBorders>
              <w:top w:val="nil"/>
              <w:left w:val="nil"/>
              <w:bottom w:val="single" w:sz="4" w:space="0" w:color="auto"/>
              <w:right w:val="single" w:sz="4" w:space="0" w:color="auto"/>
            </w:tcBorders>
            <w:shd w:val="clear" w:color="auto" w:fill="auto"/>
            <w:vAlign w:val="center"/>
            <w:hideMark/>
          </w:tcPr>
          <w:p w14:paraId="2B7D912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3,240,000</w:t>
            </w:r>
          </w:p>
        </w:tc>
        <w:tc>
          <w:tcPr>
            <w:tcW w:w="163" w:type="pct"/>
            <w:tcBorders>
              <w:top w:val="nil"/>
              <w:left w:val="nil"/>
              <w:bottom w:val="single" w:sz="4" w:space="0" w:color="auto"/>
              <w:right w:val="single" w:sz="4" w:space="0" w:color="auto"/>
            </w:tcBorders>
            <w:shd w:val="clear" w:color="auto" w:fill="auto"/>
            <w:vAlign w:val="center"/>
            <w:hideMark/>
          </w:tcPr>
          <w:p w14:paraId="0B36595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3F0D2B3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3,240,000</w:t>
            </w:r>
          </w:p>
        </w:tc>
        <w:tc>
          <w:tcPr>
            <w:tcW w:w="163" w:type="pct"/>
            <w:tcBorders>
              <w:top w:val="nil"/>
              <w:left w:val="nil"/>
              <w:bottom w:val="single" w:sz="4" w:space="0" w:color="auto"/>
              <w:right w:val="single" w:sz="4" w:space="0" w:color="auto"/>
            </w:tcBorders>
            <w:shd w:val="clear" w:color="auto" w:fill="auto"/>
            <w:vAlign w:val="center"/>
            <w:hideMark/>
          </w:tcPr>
          <w:p w14:paraId="77402FC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7474D73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4171BD4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4377850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3,240,000</w:t>
            </w:r>
          </w:p>
        </w:tc>
        <w:tc>
          <w:tcPr>
            <w:tcW w:w="155" w:type="pct"/>
            <w:tcBorders>
              <w:top w:val="nil"/>
              <w:left w:val="nil"/>
              <w:bottom w:val="single" w:sz="4" w:space="0" w:color="auto"/>
              <w:right w:val="single" w:sz="4" w:space="0" w:color="auto"/>
            </w:tcBorders>
            <w:shd w:val="clear" w:color="auto" w:fill="auto"/>
            <w:vAlign w:val="center"/>
            <w:hideMark/>
          </w:tcPr>
          <w:p w14:paraId="5B37C39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0556AA4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UNHCR</w:t>
            </w:r>
          </w:p>
        </w:tc>
        <w:tc>
          <w:tcPr>
            <w:tcW w:w="163" w:type="pct"/>
            <w:tcBorders>
              <w:top w:val="nil"/>
              <w:left w:val="nil"/>
              <w:bottom w:val="single" w:sz="4" w:space="0" w:color="auto"/>
              <w:right w:val="single" w:sz="4" w:space="0" w:color="auto"/>
            </w:tcBorders>
            <w:shd w:val="clear" w:color="000000" w:fill="FFF2CC"/>
            <w:vAlign w:val="center"/>
            <w:hideMark/>
          </w:tcPr>
          <w:p w14:paraId="68D04C3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3,240,000</w:t>
            </w:r>
          </w:p>
        </w:tc>
        <w:tc>
          <w:tcPr>
            <w:tcW w:w="139" w:type="pct"/>
            <w:tcBorders>
              <w:top w:val="nil"/>
              <w:left w:val="nil"/>
              <w:bottom w:val="single" w:sz="4" w:space="0" w:color="auto"/>
              <w:right w:val="single" w:sz="4" w:space="0" w:color="auto"/>
            </w:tcBorders>
            <w:shd w:val="clear" w:color="auto" w:fill="auto"/>
            <w:vAlign w:val="center"/>
            <w:hideMark/>
          </w:tcPr>
          <w:p w14:paraId="1A0A0BE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0E76FF1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062530B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5BC971CE" w14:textId="07CE2265"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7578FE67"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1084C8CC"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4.2.3.4</w:t>
            </w:r>
          </w:p>
        </w:tc>
        <w:tc>
          <w:tcPr>
            <w:tcW w:w="281" w:type="pct"/>
            <w:tcBorders>
              <w:top w:val="nil"/>
              <w:left w:val="nil"/>
              <w:bottom w:val="single" w:sz="4" w:space="0" w:color="auto"/>
              <w:right w:val="single" w:sz="4" w:space="0" w:color="auto"/>
            </w:tcBorders>
            <w:shd w:val="clear" w:color="auto" w:fill="auto"/>
            <w:vAlign w:val="center"/>
            <w:hideMark/>
          </w:tcPr>
          <w:p w14:paraId="5117FD05"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4.2.3.4 Shkëmbimi i informacionit me përfaqësitë diplomatike për gjurmimin e familjes</w:t>
            </w:r>
          </w:p>
        </w:tc>
        <w:tc>
          <w:tcPr>
            <w:tcW w:w="186" w:type="pct"/>
            <w:tcBorders>
              <w:top w:val="nil"/>
              <w:left w:val="nil"/>
              <w:bottom w:val="single" w:sz="4" w:space="0" w:color="auto"/>
              <w:right w:val="single" w:sz="4" w:space="0" w:color="auto"/>
            </w:tcBorders>
            <w:shd w:val="clear" w:color="auto" w:fill="auto"/>
            <w:vAlign w:val="center"/>
            <w:hideMark/>
          </w:tcPr>
          <w:p w14:paraId="20528A86" w14:textId="2108B505"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01120 </w:t>
            </w:r>
            <w:r w:rsidR="0028334E" w:rsidRPr="00B457F5">
              <w:rPr>
                <w:rFonts w:ascii="Garamond" w:eastAsia="Times New Roman" w:hAnsi="Garamond" w:cs="Times New Roman"/>
                <w:color w:val="FF0000"/>
                <w:sz w:val="4"/>
                <w:szCs w:val="10"/>
              </w:rPr>
              <w:t>Mbështetje</w:t>
            </w:r>
            <w:r w:rsidRPr="00B457F5">
              <w:rPr>
                <w:rFonts w:ascii="Garamond" w:eastAsia="Times New Roman" w:hAnsi="Garamond" w:cs="Times New Roman"/>
                <w:color w:val="FF0000"/>
                <w:sz w:val="4"/>
                <w:szCs w:val="10"/>
              </w:rPr>
              <w:t xml:space="preserve"> diplomatike </w:t>
            </w:r>
            <w:r w:rsidR="0028334E" w:rsidRPr="00B457F5">
              <w:rPr>
                <w:rFonts w:ascii="Garamond" w:eastAsia="Times New Roman" w:hAnsi="Garamond" w:cs="Times New Roman"/>
                <w:color w:val="FF0000"/>
                <w:sz w:val="4"/>
                <w:szCs w:val="10"/>
              </w:rPr>
              <w:t>jashtë</w:t>
            </w:r>
            <w:r w:rsidRPr="00B457F5">
              <w:rPr>
                <w:rFonts w:ascii="Garamond" w:eastAsia="Times New Roman" w:hAnsi="Garamond" w:cs="Times New Roman"/>
                <w:color w:val="FF0000"/>
                <w:sz w:val="4"/>
                <w:szCs w:val="10"/>
              </w:rPr>
              <w:t xml:space="preserve"> shtetit</w:t>
            </w:r>
          </w:p>
        </w:tc>
        <w:tc>
          <w:tcPr>
            <w:tcW w:w="169" w:type="pct"/>
            <w:tcBorders>
              <w:top w:val="nil"/>
              <w:left w:val="nil"/>
              <w:bottom w:val="single" w:sz="4" w:space="0" w:color="auto"/>
              <w:right w:val="single" w:sz="4" w:space="0" w:color="auto"/>
            </w:tcBorders>
            <w:shd w:val="clear" w:color="auto" w:fill="auto"/>
            <w:vAlign w:val="center"/>
            <w:hideMark/>
          </w:tcPr>
          <w:p w14:paraId="19990B2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MEPJ</w:t>
            </w:r>
          </w:p>
        </w:tc>
        <w:tc>
          <w:tcPr>
            <w:tcW w:w="244" w:type="pct"/>
            <w:tcBorders>
              <w:top w:val="nil"/>
              <w:left w:val="nil"/>
              <w:bottom w:val="single" w:sz="4" w:space="0" w:color="auto"/>
              <w:right w:val="single" w:sz="4" w:space="0" w:color="auto"/>
            </w:tcBorders>
            <w:shd w:val="clear" w:color="auto" w:fill="auto"/>
            <w:vAlign w:val="center"/>
            <w:hideMark/>
          </w:tcPr>
          <w:p w14:paraId="1F4C994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 UNHCR, IOM</w:t>
            </w:r>
          </w:p>
        </w:tc>
        <w:tc>
          <w:tcPr>
            <w:tcW w:w="135" w:type="pct"/>
            <w:tcBorders>
              <w:top w:val="nil"/>
              <w:left w:val="nil"/>
              <w:bottom w:val="single" w:sz="4" w:space="0" w:color="auto"/>
              <w:right w:val="single" w:sz="4" w:space="0" w:color="auto"/>
            </w:tcBorders>
            <w:shd w:val="clear" w:color="000000" w:fill="DDEBF7"/>
            <w:vAlign w:val="center"/>
            <w:hideMark/>
          </w:tcPr>
          <w:p w14:paraId="58A1EE2C"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573AE799"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09D3BBB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754,293</w:t>
            </w:r>
          </w:p>
        </w:tc>
        <w:tc>
          <w:tcPr>
            <w:tcW w:w="155" w:type="pct"/>
            <w:tcBorders>
              <w:top w:val="nil"/>
              <w:left w:val="nil"/>
              <w:bottom w:val="single" w:sz="4" w:space="0" w:color="auto"/>
              <w:right w:val="single" w:sz="4" w:space="0" w:color="auto"/>
            </w:tcBorders>
            <w:shd w:val="clear" w:color="auto" w:fill="auto"/>
            <w:vAlign w:val="center"/>
            <w:hideMark/>
          </w:tcPr>
          <w:p w14:paraId="1AD51AD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7C74AA1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754,293</w:t>
            </w:r>
          </w:p>
        </w:tc>
        <w:tc>
          <w:tcPr>
            <w:tcW w:w="165" w:type="pct"/>
            <w:tcBorders>
              <w:top w:val="nil"/>
              <w:left w:val="nil"/>
              <w:bottom w:val="single" w:sz="4" w:space="0" w:color="auto"/>
              <w:right w:val="single" w:sz="4" w:space="0" w:color="auto"/>
            </w:tcBorders>
            <w:shd w:val="clear" w:color="auto" w:fill="auto"/>
            <w:vAlign w:val="center"/>
            <w:hideMark/>
          </w:tcPr>
          <w:p w14:paraId="22AEF0D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754,293</w:t>
            </w:r>
          </w:p>
        </w:tc>
        <w:tc>
          <w:tcPr>
            <w:tcW w:w="163" w:type="pct"/>
            <w:tcBorders>
              <w:top w:val="nil"/>
              <w:left w:val="nil"/>
              <w:bottom w:val="single" w:sz="4" w:space="0" w:color="auto"/>
              <w:right w:val="single" w:sz="4" w:space="0" w:color="auto"/>
            </w:tcBorders>
            <w:shd w:val="clear" w:color="auto" w:fill="auto"/>
            <w:vAlign w:val="center"/>
            <w:hideMark/>
          </w:tcPr>
          <w:p w14:paraId="2C5ABEA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304FDB6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754,293</w:t>
            </w:r>
          </w:p>
        </w:tc>
        <w:tc>
          <w:tcPr>
            <w:tcW w:w="163" w:type="pct"/>
            <w:tcBorders>
              <w:top w:val="nil"/>
              <w:left w:val="nil"/>
              <w:bottom w:val="single" w:sz="4" w:space="0" w:color="auto"/>
              <w:right w:val="single" w:sz="4" w:space="0" w:color="auto"/>
            </w:tcBorders>
            <w:shd w:val="clear" w:color="auto" w:fill="auto"/>
            <w:vAlign w:val="center"/>
            <w:hideMark/>
          </w:tcPr>
          <w:p w14:paraId="02A047F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754,293</w:t>
            </w:r>
          </w:p>
        </w:tc>
        <w:tc>
          <w:tcPr>
            <w:tcW w:w="148" w:type="pct"/>
            <w:tcBorders>
              <w:top w:val="nil"/>
              <w:left w:val="nil"/>
              <w:bottom w:val="single" w:sz="4" w:space="0" w:color="auto"/>
              <w:right w:val="single" w:sz="4" w:space="0" w:color="auto"/>
            </w:tcBorders>
            <w:shd w:val="clear" w:color="auto" w:fill="auto"/>
            <w:vAlign w:val="center"/>
            <w:hideMark/>
          </w:tcPr>
          <w:p w14:paraId="59F4E6B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2344694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754,293</w:t>
            </w:r>
          </w:p>
        </w:tc>
        <w:tc>
          <w:tcPr>
            <w:tcW w:w="165" w:type="pct"/>
            <w:tcBorders>
              <w:top w:val="nil"/>
              <w:left w:val="nil"/>
              <w:bottom w:val="single" w:sz="4" w:space="0" w:color="auto"/>
              <w:right w:val="single" w:sz="4" w:space="0" w:color="auto"/>
            </w:tcBorders>
            <w:shd w:val="clear" w:color="auto" w:fill="auto"/>
            <w:vAlign w:val="center"/>
            <w:hideMark/>
          </w:tcPr>
          <w:p w14:paraId="1287B55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2,262,879</w:t>
            </w:r>
          </w:p>
        </w:tc>
        <w:tc>
          <w:tcPr>
            <w:tcW w:w="163" w:type="pct"/>
            <w:tcBorders>
              <w:top w:val="nil"/>
              <w:left w:val="nil"/>
              <w:bottom w:val="single" w:sz="4" w:space="0" w:color="auto"/>
              <w:right w:val="single" w:sz="4" w:space="0" w:color="auto"/>
            </w:tcBorders>
            <w:shd w:val="clear" w:color="auto" w:fill="auto"/>
            <w:vAlign w:val="center"/>
            <w:hideMark/>
          </w:tcPr>
          <w:p w14:paraId="7B45923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370640B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2,262,879</w:t>
            </w:r>
          </w:p>
        </w:tc>
        <w:tc>
          <w:tcPr>
            <w:tcW w:w="163" w:type="pct"/>
            <w:tcBorders>
              <w:top w:val="nil"/>
              <w:left w:val="nil"/>
              <w:bottom w:val="single" w:sz="4" w:space="0" w:color="auto"/>
              <w:right w:val="single" w:sz="4" w:space="0" w:color="auto"/>
            </w:tcBorders>
            <w:shd w:val="clear" w:color="auto" w:fill="auto"/>
            <w:vAlign w:val="center"/>
            <w:hideMark/>
          </w:tcPr>
          <w:p w14:paraId="05EE4B8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21D4751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6E9C3D7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7AEF80E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2,262,879</w:t>
            </w:r>
          </w:p>
        </w:tc>
        <w:tc>
          <w:tcPr>
            <w:tcW w:w="155" w:type="pct"/>
            <w:tcBorders>
              <w:top w:val="nil"/>
              <w:left w:val="nil"/>
              <w:bottom w:val="single" w:sz="4" w:space="0" w:color="auto"/>
              <w:right w:val="single" w:sz="4" w:space="0" w:color="auto"/>
            </w:tcBorders>
            <w:shd w:val="clear" w:color="auto" w:fill="auto"/>
            <w:vAlign w:val="center"/>
            <w:hideMark/>
          </w:tcPr>
          <w:p w14:paraId="513038D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420168B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UNHCR</w:t>
            </w:r>
          </w:p>
        </w:tc>
        <w:tc>
          <w:tcPr>
            <w:tcW w:w="163" w:type="pct"/>
            <w:tcBorders>
              <w:top w:val="nil"/>
              <w:left w:val="nil"/>
              <w:bottom w:val="single" w:sz="4" w:space="0" w:color="auto"/>
              <w:right w:val="single" w:sz="4" w:space="0" w:color="auto"/>
            </w:tcBorders>
            <w:shd w:val="clear" w:color="000000" w:fill="FFF2CC"/>
            <w:vAlign w:val="center"/>
            <w:hideMark/>
          </w:tcPr>
          <w:p w14:paraId="4B1C3CA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2,262,879</w:t>
            </w:r>
          </w:p>
        </w:tc>
        <w:tc>
          <w:tcPr>
            <w:tcW w:w="139" w:type="pct"/>
            <w:tcBorders>
              <w:top w:val="nil"/>
              <w:left w:val="nil"/>
              <w:bottom w:val="single" w:sz="4" w:space="0" w:color="auto"/>
              <w:right w:val="single" w:sz="4" w:space="0" w:color="auto"/>
            </w:tcBorders>
            <w:shd w:val="clear" w:color="auto" w:fill="auto"/>
            <w:vAlign w:val="center"/>
            <w:hideMark/>
          </w:tcPr>
          <w:p w14:paraId="154FC7A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30AA5A1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124EB55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7090938A" w14:textId="0A0A42E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782FA344"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3DC4BD90"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4.2.3.5</w:t>
            </w:r>
          </w:p>
        </w:tc>
        <w:tc>
          <w:tcPr>
            <w:tcW w:w="281" w:type="pct"/>
            <w:tcBorders>
              <w:top w:val="nil"/>
              <w:left w:val="nil"/>
              <w:bottom w:val="single" w:sz="4" w:space="0" w:color="auto"/>
              <w:right w:val="single" w:sz="4" w:space="0" w:color="auto"/>
            </w:tcBorders>
            <w:shd w:val="clear" w:color="auto" w:fill="auto"/>
            <w:vAlign w:val="center"/>
            <w:hideMark/>
          </w:tcPr>
          <w:p w14:paraId="3FA918CD" w14:textId="597F0353"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4.2.3.5 Përshtatja e kapaciteteve infrastrukturore në kufi për fëmijët e huaj të pashoqëruar</w:t>
            </w:r>
          </w:p>
        </w:tc>
        <w:tc>
          <w:tcPr>
            <w:tcW w:w="186" w:type="pct"/>
            <w:tcBorders>
              <w:top w:val="nil"/>
              <w:left w:val="nil"/>
              <w:bottom w:val="single" w:sz="4" w:space="0" w:color="auto"/>
              <w:right w:val="single" w:sz="4" w:space="0" w:color="auto"/>
            </w:tcBorders>
            <w:shd w:val="clear" w:color="auto" w:fill="auto"/>
            <w:vAlign w:val="center"/>
            <w:hideMark/>
          </w:tcPr>
          <w:p w14:paraId="552941FE"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2AD59F1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60450BD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EUAA, UNHCR</w:t>
            </w:r>
          </w:p>
        </w:tc>
        <w:tc>
          <w:tcPr>
            <w:tcW w:w="135" w:type="pct"/>
            <w:tcBorders>
              <w:top w:val="nil"/>
              <w:left w:val="nil"/>
              <w:bottom w:val="single" w:sz="4" w:space="0" w:color="auto"/>
              <w:right w:val="single" w:sz="4" w:space="0" w:color="auto"/>
            </w:tcBorders>
            <w:shd w:val="clear" w:color="000000" w:fill="DDEBF7"/>
            <w:vAlign w:val="center"/>
            <w:hideMark/>
          </w:tcPr>
          <w:p w14:paraId="53E368A8"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5632C80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75317E7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1,212,256</w:t>
            </w:r>
          </w:p>
        </w:tc>
        <w:tc>
          <w:tcPr>
            <w:tcW w:w="155" w:type="pct"/>
            <w:tcBorders>
              <w:top w:val="nil"/>
              <w:left w:val="nil"/>
              <w:bottom w:val="single" w:sz="4" w:space="0" w:color="auto"/>
              <w:right w:val="single" w:sz="4" w:space="0" w:color="auto"/>
            </w:tcBorders>
            <w:shd w:val="clear" w:color="auto" w:fill="auto"/>
            <w:vAlign w:val="center"/>
            <w:hideMark/>
          </w:tcPr>
          <w:p w14:paraId="06CCF8E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3,450,000</w:t>
            </w:r>
          </w:p>
        </w:tc>
        <w:tc>
          <w:tcPr>
            <w:tcW w:w="162" w:type="pct"/>
            <w:tcBorders>
              <w:top w:val="nil"/>
              <w:left w:val="nil"/>
              <w:bottom w:val="single" w:sz="4" w:space="0" w:color="auto"/>
              <w:right w:val="single" w:sz="4" w:space="0" w:color="auto"/>
            </w:tcBorders>
            <w:shd w:val="clear" w:color="000000" w:fill="FFF2CC"/>
            <w:vAlign w:val="center"/>
            <w:hideMark/>
          </w:tcPr>
          <w:p w14:paraId="0075FBA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4,662,256</w:t>
            </w:r>
          </w:p>
        </w:tc>
        <w:tc>
          <w:tcPr>
            <w:tcW w:w="165" w:type="pct"/>
            <w:tcBorders>
              <w:top w:val="nil"/>
              <w:left w:val="nil"/>
              <w:bottom w:val="single" w:sz="4" w:space="0" w:color="auto"/>
              <w:right w:val="single" w:sz="4" w:space="0" w:color="auto"/>
            </w:tcBorders>
            <w:shd w:val="clear" w:color="auto" w:fill="auto"/>
            <w:vAlign w:val="center"/>
            <w:hideMark/>
          </w:tcPr>
          <w:p w14:paraId="49441CE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551648C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3,450,000</w:t>
            </w:r>
          </w:p>
        </w:tc>
        <w:tc>
          <w:tcPr>
            <w:tcW w:w="163" w:type="pct"/>
            <w:tcBorders>
              <w:top w:val="nil"/>
              <w:left w:val="nil"/>
              <w:bottom w:val="single" w:sz="4" w:space="0" w:color="auto"/>
              <w:right w:val="single" w:sz="4" w:space="0" w:color="auto"/>
            </w:tcBorders>
            <w:shd w:val="clear" w:color="000000" w:fill="FFF2CC"/>
            <w:vAlign w:val="center"/>
            <w:hideMark/>
          </w:tcPr>
          <w:p w14:paraId="52F1C9D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20D8F9A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8" w:type="pct"/>
            <w:tcBorders>
              <w:top w:val="nil"/>
              <w:left w:val="nil"/>
              <w:bottom w:val="single" w:sz="4" w:space="0" w:color="auto"/>
              <w:right w:val="single" w:sz="4" w:space="0" w:color="auto"/>
            </w:tcBorders>
            <w:shd w:val="clear" w:color="auto" w:fill="auto"/>
            <w:vAlign w:val="center"/>
            <w:hideMark/>
          </w:tcPr>
          <w:p w14:paraId="3EEE262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3,450,000</w:t>
            </w:r>
          </w:p>
        </w:tc>
        <w:tc>
          <w:tcPr>
            <w:tcW w:w="162" w:type="pct"/>
            <w:tcBorders>
              <w:top w:val="nil"/>
              <w:left w:val="nil"/>
              <w:bottom w:val="single" w:sz="4" w:space="0" w:color="auto"/>
              <w:right w:val="single" w:sz="4" w:space="0" w:color="auto"/>
            </w:tcBorders>
            <w:shd w:val="clear" w:color="000000" w:fill="FFF2CC"/>
            <w:vAlign w:val="center"/>
            <w:hideMark/>
          </w:tcPr>
          <w:p w14:paraId="513A7FA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3,450,000</w:t>
            </w:r>
          </w:p>
        </w:tc>
        <w:tc>
          <w:tcPr>
            <w:tcW w:w="165" w:type="pct"/>
            <w:tcBorders>
              <w:top w:val="nil"/>
              <w:left w:val="nil"/>
              <w:bottom w:val="single" w:sz="4" w:space="0" w:color="auto"/>
              <w:right w:val="single" w:sz="4" w:space="0" w:color="auto"/>
            </w:tcBorders>
            <w:shd w:val="clear" w:color="auto" w:fill="auto"/>
            <w:vAlign w:val="center"/>
            <w:hideMark/>
          </w:tcPr>
          <w:p w14:paraId="4C3F3F0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1,212,256</w:t>
            </w:r>
          </w:p>
        </w:tc>
        <w:tc>
          <w:tcPr>
            <w:tcW w:w="163" w:type="pct"/>
            <w:tcBorders>
              <w:top w:val="nil"/>
              <w:left w:val="nil"/>
              <w:bottom w:val="single" w:sz="4" w:space="0" w:color="auto"/>
              <w:right w:val="single" w:sz="4" w:space="0" w:color="auto"/>
            </w:tcBorders>
            <w:shd w:val="clear" w:color="auto" w:fill="auto"/>
            <w:vAlign w:val="center"/>
            <w:hideMark/>
          </w:tcPr>
          <w:p w14:paraId="316276F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10,350,000</w:t>
            </w:r>
          </w:p>
        </w:tc>
        <w:tc>
          <w:tcPr>
            <w:tcW w:w="165" w:type="pct"/>
            <w:tcBorders>
              <w:top w:val="nil"/>
              <w:left w:val="nil"/>
              <w:bottom w:val="single" w:sz="4" w:space="0" w:color="auto"/>
              <w:right w:val="single" w:sz="4" w:space="0" w:color="auto"/>
            </w:tcBorders>
            <w:shd w:val="clear" w:color="000000" w:fill="FFF2CC"/>
            <w:vAlign w:val="center"/>
            <w:hideMark/>
          </w:tcPr>
          <w:p w14:paraId="297BBAA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11,562,256</w:t>
            </w:r>
          </w:p>
        </w:tc>
        <w:tc>
          <w:tcPr>
            <w:tcW w:w="163" w:type="pct"/>
            <w:tcBorders>
              <w:top w:val="nil"/>
              <w:left w:val="nil"/>
              <w:bottom w:val="single" w:sz="4" w:space="0" w:color="auto"/>
              <w:right w:val="single" w:sz="4" w:space="0" w:color="auto"/>
            </w:tcBorders>
            <w:shd w:val="clear" w:color="auto" w:fill="auto"/>
            <w:vAlign w:val="center"/>
            <w:hideMark/>
          </w:tcPr>
          <w:p w14:paraId="0AB3697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1FE2A05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542D67A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6CEEEAF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1,212,256</w:t>
            </w:r>
          </w:p>
        </w:tc>
        <w:tc>
          <w:tcPr>
            <w:tcW w:w="155" w:type="pct"/>
            <w:tcBorders>
              <w:top w:val="nil"/>
              <w:left w:val="nil"/>
              <w:bottom w:val="single" w:sz="4" w:space="0" w:color="auto"/>
              <w:right w:val="single" w:sz="4" w:space="0" w:color="auto"/>
            </w:tcBorders>
            <w:shd w:val="clear" w:color="auto" w:fill="auto"/>
            <w:vAlign w:val="center"/>
            <w:hideMark/>
          </w:tcPr>
          <w:p w14:paraId="24B878B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10,350,000</w:t>
            </w:r>
          </w:p>
        </w:tc>
        <w:tc>
          <w:tcPr>
            <w:tcW w:w="218" w:type="pct"/>
            <w:tcBorders>
              <w:top w:val="nil"/>
              <w:left w:val="nil"/>
              <w:bottom w:val="single" w:sz="4" w:space="0" w:color="auto"/>
              <w:right w:val="single" w:sz="4" w:space="0" w:color="auto"/>
            </w:tcBorders>
            <w:shd w:val="clear" w:color="auto" w:fill="auto"/>
            <w:vAlign w:val="center"/>
            <w:hideMark/>
          </w:tcPr>
          <w:p w14:paraId="53FB076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UNHCR</w:t>
            </w:r>
          </w:p>
        </w:tc>
        <w:tc>
          <w:tcPr>
            <w:tcW w:w="163" w:type="pct"/>
            <w:tcBorders>
              <w:top w:val="nil"/>
              <w:left w:val="nil"/>
              <w:bottom w:val="single" w:sz="4" w:space="0" w:color="auto"/>
              <w:right w:val="single" w:sz="4" w:space="0" w:color="auto"/>
            </w:tcBorders>
            <w:shd w:val="clear" w:color="000000" w:fill="FFF2CC"/>
            <w:vAlign w:val="center"/>
            <w:hideMark/>
          </w:tcPr>
          <w:p w14:paraId="6058B45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11,562,256</w:t>
            </w:r>
          </w:p>
        </w:tc>
        <w:tc>
          <w:tcPr>
            <w:tcW w:w="139" w:type="pct"/>
            <w:tcBorders>
              <w:top w:val="nil"/>
              <w:left w:val="nil"/>
              <w:bottom w:val="single" w:sz="4" w:space="0" w:color="auto"/>
              <w:right w:val="single" w:sz="4" w:space="0" w:color="auto"/>
            </w:tcBorders>
            <w:shd w:val="clear" w:color="auto" w:fill="auto"/>
            <w:vAlign w:val="center"/>
            <w:hideMark/>
          </w:tcPr>
          <w:p w14:paraId="460C56D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626C1DA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68BAFF5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68E36F3F" w14:textId="46B552F6"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3B5B3207" w14:textId="77777777" w:rsidTr="00C260C3">
        <w:trPr>
          <w:trHeight w:val="20"/>
        </w:trPr>
        <w:tc>
          <w:tcPr>
            <w:tcW w:w="131" w:type="pct"/>
            <w:tcBorders>
              <w:top w:val="nil"/>
              <w:left w:val="single" w:sz="4" w:space="0" w:color="auto"/>
              <w:bottom w:val="single" w:sz="4" w:space="0" w:color="auto"/>
              <w:right w:val="single" w:sz="4" w:space="0" w:color="auto"/>
            </w:tcBorders>
            <w:shd w:val="clear" w:color="000000" w:fill="D9D9D9"/>
            <w:vAlign w:val="center"/>
            <w:hideMark/>
          </w:tcPr>
          <w:p w14:paraId="569770AC"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81" w:type="pct"/>
            <w:tcBorders>
              <w:top w:val="nil"/>
              <w:left w:val="nil"/>
              <w:bottom w:val="single" w:sz="4" w:space="0" w:color="auto"/>
              <w:right w:val="single" w:sz="4" w:space="0" w:color="auto"/>
            </w:tcBorders>
            <w:shd w:val="clear" w:color="000000" w:fill="D9D9D9"/>
            <w:vAlign w:val="center"/>
            <w:hideMark/>
          </w:tcPr>
          <w:p w14:paraId="0ACA51D3" w14:textId="2314B749" w:rsidR="00C260C3" w:rsidRPr="00B457F5" w:rsidRDefault="00C260C3" w:rsidP="00C260C3">
            <w:pPr>
              <w:spacing w:before="0" w:after="0"/>
              <w:jc w:val="lef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Kosto</w:t>
            </w:r>
            <w:r w:rsidR="0028334E" w:rsidRPr="00B457F5">
              <w:rPr>
                <w:rFonts w:ascii="Garamond" w:eastAsia="Times New Roman" w:hAnsi="Garamond" w:cs="Times New Roman"/>
                <w:b/>
                <w:bCs/>
                <w:color w:val="FF0000"/>
                <w:sz w:val="4"/>
                <w:szCs w:val="10"/>
              </w:rPr>
              <w:t>ja e</w:t>
            </w:r>
            <w:r w:rsidRPr="00B457F5">
              <w:rPr>
                <w:rFonts w:ascii="Garamond" w:eastAsia="Times New Roman" w:hAnsi="Garamond" w:cs="Times New Roman"/>
                <w:b/>
                <w:bCs/>
                <w:color w:val="FF0000"/>
                <w:sz w:val="4"/>
                <w:szCs w:val="10"/>
              </w:rPr>
              <w:t xml:space="preserve"> </w:t>
            </w:r>
            <w:r w:rsidR="0028334E" w:rsidRPr="00B457F5">
              <w:rPr>
                <w:rFonts w:ascii="Garamond" w:eastAsia="Times New Roman" w:hAnsi="Garamond" w:cs="Times New Roman"/>
                <w:b/>
                <w:bCs/>
                <w:color w:val="FF0000"/>
                <w:sz w:val="4"/>
                <w:szCs w:val="10"/>
              </w:rPr>
              <w:t>o</w:t>
            </w:r>
            <w:r w:rsidRPr="00B457F5">
              <w:rPr>
                <w:rFonts w:ascii="Garamond" w:eastAsia="Times New Roman" w:hAnsi="Garamond" w:cs="Times New Roman"/>
                <w:b/>
                <w:bCs/>
                <w:color w:val="FF0000"/>
                <w:sz w:val="4"/>
                <w:szCs w:val="10"/>
              </w:rPr>
              <w:t>bjektivi</w:t>
            </w:r>
            <w:r w:rsidR="0028334E" w:rsidRPr="00B457F5">
              <w:rPr>
                <w:rFonts w:ascii="Garamond" w:eastAsia="Times New Roman" w:hAnsi="Garamond" w:cs="Times New Roman"/>
                <w:b/>
                <w:bCs/>
                <w:color w:val="FF0000"/>
                <w:sz w:val="4"/>
                <w:szCs w:val="10"/>
              </w:rPr>
              <w:t>t</w:t>
            </w:r>
            <w:r w:rsidRPr="00B457F5">
              <w:rPr>
                <w:rFonts w:ascii="Garamond" w:eastAsia="Times New Roman" w:hAnsi="Garamond" w:cs="Times New Roman"/>
                <w:b/>
                <w:bCs/>
                <w:color w:val="FF0000"/>
                <w:sz w:val="4"/>
                <w:szCs w:val="10"/>
              </w:rPr>
              <w:t xml:space="preserve"> specifik 4.2</w:t>
            </w:r>
          </w:p>
        </w:tc>
        <w:tc>
          <w:tcPr>
            <w:tcW w:w="186" w:type="pct"/>
            <w:tcBorders>
              <w:top w:val="nil"/>
              <w:left w:val="nil"/>
              <w:bottom w:val="single" w:sz="4" w:space="0" w:color="auto"/>
              <w:right w:val="single" w:sz="4" w:space="0" w:color="auto"/>
            </w:tcBorders>
            <w:shd w:val="clear" w:color="000000" w:fill="D9D9D9"/>
            <w:vAlign w:val="center"/>
            <w:hideMark/>
          </w:tcPr>
          <w:p w14:paraId="0EB1CF3E"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9" w:type="pct"/>
            <w:tcBorders>
              <w:top w:val="nil"/>
              <w:left w:val="nil"/>
              <w:bottom w:val="single" w:sz="4" w:space="0" w:color="auto"/>
              <w:right w:val="single" w:sz="4" w:space="0" w:color="auto"/>
            </w:tcBorders>
            <w:shd w:val="clear" w:color="000000" w:fill="D9D9D9"/>
            <w:vAlign w:val="center"/>
            <w:hideMark/>
          </w:tcPr>
          <w:p w14:paraId="56682ADB"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44" w:type="pct"/>
            <w:tcBorders>
              <w:top w:val="nil"/>
              <w:left w:val="nil"/>
              <w:bottom w:val="single" w:sz="4" w:space="0" w:color="auto"/>
              <w:right w:val="single" w:sz="4" w:space="0" w:color="auto"/>
            </w:tcBorders>
            <w:shd w:val="clear" w:color="000000" w:fill="D9D9D9"/>
            <w:vAlign w:val="center"/>
            <w:hideMark/>
          </w:tcPr>
          <w:p w14:paraId="7540E946"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35" w:type="pct"/>
            <w:tcBorders>
              <w:top w:val="nil"/>
              <w:left w:val="nil"/>
              <w:bottom w:val="single" w:sz="4" w:space="0" w:color="auto"/>
              <w:right w:val="single" w:sz="4" w:space="0" w:color="auto"/>
            </w:tcBorders>
            <w:shd w:val="clear" w:color="000000" w:fill="D9D9D9"/>
            <w:vAlign w:val="center"/>
            <w:hideMark/>
          </w:tcPr>
          <w:p w14:paraId="56421AD7"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2" w:type="pct"/>
            <w:tcBorders>
              <w:top w:val="nil"/>
              <w:left w:val="nil"/>
              <w:bottom w:val="single" w:sz="4" w:space="0" w:color="auto"/>
              <w:right w:val="single" w:sz="4" w:space="0" w:color="auto"/>
            </w:tcBorders>
            <w:shd w:val="clear" w:color="000000" w:fill="D9D9D9"/>
            <w:vAlign w:val="center"/>
            <w:hideMark/>
          </w:tcPr>
          <w:p w14:paraId="410C800C"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17993350"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16,603,790</w:t>
            </w:r>
          </w:p>
        </w:tc>
        <w:tc>
          <w:tcPr>
            <w:tcW w:w="155" w:type="pct"/>
            <w:tcBorders>
              <w:top w:val="nil"/>
              <w:left w:val="nil"/>
              <w:bottom w:val="single" w:sz="4" w:space="0" w:color="auto"/>
              <w:right w:val="single" w:sz="4" w:space="0" w:color="auto"/>
            </w:tcBorders>
            <w:shd w:val="clear" w:color="000000" w:fill="D9D9D9"/>
            <w:vAlign w:val="center"/>
            <w:hideMark/>
          </w:tcPr>
          <w:p w14:paraId="6B524D91"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4,600,000</w:t>
            </w:r>
          </w:p>
        </w:tc>
        <w:tc>
          <w:tcPr>
            <w:tcW w:w="162" w:type="pct"/>
            <w:tcBorders>
              <w:top w:val="nil"/>
              <w:left w:val="nil"/>
              <w:bottom w:val="single" w:sz="4" w:space="0" w:color="auto"/>
              <w:right w:val="single" w:sz="4" w:space="0" w:color="auto"/>
            </w:tcBorders>
            <w:shd w:val="clear" w:color="000000" w:fill="D9D9D9"/>
            <w:vAlign w:val="center"/>
            <w:hideMark/>
          </w:tcPr>
          <w:p w14:paraId="4F7694C8"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21,203,790</w:t>
            </w:r>
          </w:p>
        </w:tc>
        <w:tc>
          <w:tcPr>
            <w:tcW w:w="165" w:type="pct"/>
            <w:tcBorders>
              <w:top w:val="nil"/>
              <w:left w:val="nil"/>
              <w:bottom w:val="single" w:sz="4" w:space="0" w:color="auto"/>
              <w:right w:val="single" w:sz="4" w:space="0" w:color="auto"/>
            </w:tcBorders>
            <w:shd w:val="clear" w:color="000000" w:fill="D9D9D9"/>
            <w:vAlign w:val="center"/>
            <w:hideMark/>
          </w:tcPr>
          <w:p w14:paraId="1336A615"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15,716,066</w:t>
            </w:r>
          </w:p>
        </w:tc>
        <w:tc>
          <w:tcPr>
            <w:tcW w:w="163" w:type="pct"/>
            <w:tcBorders>
              <w:top w:val="nil"/>
              <w:left w:val="nil"/>
              <w:bottom w:val="single" w:sz="4" w:space="0" w:color="auto"/>
              <w:right w:val="single" w:sz="4" w:space="0" w:color="auto"/>
            </w:tcBorders>
            <w:shd w:val="clear" w:color="000000" w:fill="D9D9D9"/>
            <w:vAlign w:val="center"/>
            <w:hideMark/>
          </w:tcPr>
          <w:p w14:paraId="328E3CE9"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10,350,000</w:t>
            </w:r>
          </w:p>
        </w:tc>
        <w:tc>
          <w:tcPr>
            <w:tcW w:w="163" w:type="pct"/>
            <w:tcBorders>
              <w:top w:val="nil"/>
              <w:left w:val="nil"/>
              <w:bottom w:val="single" w:sz="4" w:space="0" w:color="auto"/>
              <w:right w:val="single" w:sz="4" w:space="0" w:color="auto"/>
            </w:tcBorders>
            <w:shd w:val="clear" w:color="000000" w:fill="D9D9D9"/>
            <w:vAlign w:val="center"/>
            <w:hideMark/>
          </w:tcPr>
          <w:p w14:paraId="15C382D9"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26,066,066</w:t>
            </w:r>
          </w:p>
        </w:tc>
        <w:tc>
          <w:tcPr>
            <w:tcW w:w="163" w:type="pct"/>
            <w:tcBorders>
              <w:top w:val="nil"/>
              <w:left w:val="nil"/>
              <w:bottom w:val="single" w:sz="4" w:space="0" w:color="auto"/>
              <w:right w:val="single" w:sz="4" w:space="0" w:color="auto"/>
            </w:tcBorders>
            <w:shd w:val="clear" w:color="000000" w:fill="D9D9D9"/>
            <w:vAlign w:val="center"/>
            <w:hideMark/>
          </w:tcPr>
          <w:p w14:paraId="087F8E4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15,457,526</w:t>
            </w:r>
          </w:p>
        </w:tc>
        <w:tc>
          <w:tcPr>
            <w:tcW w:w="148" w:type="pct"/>
            <w:tcBorders>
              <w:top w:val="nil"/>
              <w:left w:val="nil"/>
              <w:bottom w:val="single" w:sz="4" w:space="0" w:color="auto"/>
              <w:right w:val="single" w:sz="4" w:space="0" w:color="auto"/>
            </w:tcBorders>
            <w:shd w:val="clear" w:color="000000" w:fill="D9D9D9"/>
            <w:vAlign w:val="center"/>
            <w:hideMark/>
          </w:tcPr>
          <w:p w14:paraId="2081422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4,600,000</w:t>
            </w:r>
          </w:p>
        </w:tc>
        <w:tc>
          <w:tcPr>
            <w:tcW w:w="162" w:type="pct"/>
            <w:tcBorders>
              <w:top w:val="nil"/>
              <w:left w:val="nil"/>
              <w:bottom w:val="single" w:sz="4" w:space="0" w:color="auto"/>
              <w:right w:val="single" w:sz="4" w:space="0" w:color="auto"/>
            </w:tcBorders>
            <w:shd w:val="clear" w:color="000000" w:fill="D9D9D9"/>
            <w:vAlign w:val="center"/>
            <w:hideMark/>
          </w:tcPr>
          <w:p w14:paraId="19D2E91F"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20,057,526</w:t>
            </w:r>
          </w:p>
        </w:tc>
        <w:tc>
          <w:tcPr>
            <w:tcW w:w="165" w:type="pct"/>
            <w:tcBorders>
              <w:top w:val="nil"/>
              <w:left w:val="nil"/>
              <w:bottom w:val="single" w:sz="4" w:space="0" w:color="auto"/>
              <w:right w:val="single" w:sz="4" w:space="0" w:color="auto"/>
            </w:tcBorders>
            <w:shd w:val="clear" w:color="000000" w:fill="D9D9D9"/>
            <w:vAlign w:val="center"/>
            <w:hideMark/>
          </w:tcPr>
          <w:p w14:paraId="4B460AC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47,777,382</w:t>
            </w:r>
          </w:p>
        </w:tc>
        <w:tc>
          <w:tcPr>
            <w:tcW w:w="163" w:type="pct"/>
            <w:tcBorders>
              <w:top w:val="nil"/>
              <w:left w:val="nil"/>
              <w:bottom w:val="single" w:sz="4" w:space="0" w:color="auto"/>
              <w:right w:val="single" w:sz="4" w:space="0" w:color="auto"/>
            </w:tcBorders>
            <w:shd w:val="clear" w:color="000000" w:fill="D9D9D9"/>
            <w:vAlign w:val="center"/>
            <w:hideMark/>
          </w:tcPr>
          <w:p w14:paraId="591836D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19,550,000</w:t>
            </w:r>
          </w:p>
        </w:tc>
        <w:tc>
          <w:tcPr>
            <w:tcW w:w="165" w:type="pct"/>
            <w:tcBorders>
              <w:top w:val="nil"/>
              <w:left w:val="nil"/>
              <w:bottom w:val="single" w:sz="4" w:space="0" w:color="auto"/>
              <w:right w:val="single" w:sz="4" w:space="0" w:color="auto"/>
            </w:tcBorders>
            <w:shd w:val="clear" w:color="000000" w:fill="D9D9D9"/>
            <w:vAlign w:val="center"/>
            <w:hideMark/>
          </w:tcPr>
          <w:p w14:paraId="10FC483F"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67,327,382</w:t>
            </w:r>
          </w:p>
        </w:tc>
        <w:tc>
          <w:tcPr>
            <w:tcW w:w="163" w:type="pct"/>
            <w:tcBorders>
              <w:top w:val="nil"/>
              <w:left w:val="nil"/>
              <w:bottom w:val="single" w:sz="4" w:space="0" w:color="auto"/>
              <w:right w:val="single" w:sz="4" w:space="0" w:color="auto"/>
            </w:tcBorders>
            <w:shd w:val="clear" w:color="000000" w:fill="D9D9D9"/>
            <w:vAlign w:val="center"/>
            <w:hideMark/>
          </w:tcPr>
          <w:p w14:paraId="396C5B93"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23,330,499</w:t>
            </w:r>
          </w:p>
        </w:tc>
        <w:tc>
          <w:tcPr>
            <w:tcW w:w="155" w:type="pct"/>
            <w:tcBorders>
              <w:top w:val="nil"/>
              <w:left w:val="nil"/>
              <w:bottom w:val="single" w:sz="4" w:space="0" w:color="auto"/>
              <w:right w:val="single" w:sz="4" w:space="0" w:color="auto"/>
            </w:tcBorders>
            <w:shd w:val="clear" w:color="000000" w:fill="D9D9D9"/>
            <w:vAlign w:val="center"/>
            <w:hideMark/>
          </w:tcPr>
          <w:p w14:paraId="0D01E335"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3,450,000</w:t>
            </w:r>
          </w:p>
        </w:tc>
        <w:tc>
          <w:tcPr>
            <w:tcW w:w="163" w:type="pct"/>
            <w:tcBorders>
              <w:top w:val="nil"/>
              <w:left w:val="nil"/>
              <w:bottom w:val="single" w:sz="4" w:space="0" w:color="auto"/>
              <w:right w:val="single" w:sz="4" w:space="0" w:color="auto"/>
            </w:tcBorders>
            <w:shd w:val="clear" w:color="000000" w:fill="D9D9D9"/>
            <w:vAlign w:val="center"/>
            <w:hideMark/>
          </w:tcPr>
          <w:p w14:paraId="1C7622B3"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26,780,499</w:t>
            </w:r>
          </w:p>
        </w:tc>
        <w:tc>
          <w:tcPr>
            <w:tcW w:w="162" w:type="pct"/>
            <w:tcBorders>
              <w:top w:val="nil"/>
              <w:left w:val="nil"/>
              <w:bottom w:val="single" w:sz="4" w:space="0" w:color="auto"/>
              <w:right w:val="single" w:sz="4" w:space="0" w:color="auto"/>
            </w:tcBorders>
            <w:shd w:val="clear" w:color="000000" w:fill="D9D9D9"/>
            <w:vAlign w:val="center"/>
            <w:hideMark/>
          </w:tcPr>
          <w:p w14:paraId="7B1DFA93"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24,446,883</w:t>
            </w:r>
          </w:p>
        </w:tc>
        <w:tc>
          <w:tcPr>
            <w:tcW w:w="155" w:type="pct"/>
            <w:tcBorders>
              <w:top w:val="nil"/>
              <w:left w:val="nil"/>
              <w:bottom w:val="single" w:sz="4" w:space="0" w:color="auto"/>
              <w:right w:val="single" w:sz="4" w:space="0" w:color="auto"/>
            </w:tcBorders>
            <w:shd w:val="clear" w:color="000000" w:fill="D9D9D9"/>
            <w:vAlign w:val="center"/>
            <w:hideMark/>
          </w:tcPr>
          <w:p w14:paraId="4822D988"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16,100,000</w:t>
            </w:r>
          </w:p>
        </w:tc>
        <w:tc>
          <w:tcPr>
            <w:tcW w:w="218" w:type="pct"/>
            <w:tcBorders>
              <w:top w:val="nil"/>
              <w:left w:val="nil"/>
              <w:bottom w:val="single" w:sz="4" w:space="0" w:color="auto"/>
              <w:right w:val="single" w:sz="4" w:space="0" w:color="auto"/>
            </w:tcBorders>
            <w:shd w:val="clear" w:color="000000" w:fill="D9D9D9"/>
            <w:vAlign w:val="center"/>
            <w:hideMark/>
          </w:tcPr>
          <w:p w14:paraId="7C00014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273D2C6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40,546,883</w:t>
            </w:r>
          </w:p>
        </w:tc>
        <w:tc>
          <w:tcPr>
            <w:tcW w:w="139" w:type="pct"/>
            <w:tcBorders>
              <w:top w:val="nil"/>
              <w:left w:val="nil"/>
              <w:bottom w:val="single" w:sz="4" w:space="0" w:color="auto"/>
              <w:right w:val="single" w:sz="4" w:space="0" w:color="auto"/>
            </w:tcBorders>
            <w:shd w:val="clear" w:color="000000" w:fill="D9D9D9"/>
            <w:vAlign w:val="center"/>
            <w:hideMark/>
          </w:tcPr>
          <w:p w14:paraId="70DE175A"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42" w:type="pct"/>
            <w:tcBorders>
              <w:top w:val="nil"/>
              <w:left w:val="nil"/>
              <w:bottom w:val="single" w:sz="4" w:space="0" w:color="auto"/>
              <w:right w:val="single" w:sz="4" w:space="0" w:color="auto"/>
            </w:tcBorders>
            <w:shd w:val="clear" w:color="000000" w:fill="D9D9D9"/>
            <w:vAlign w:val="center"/>
            <w:hideMark/>
          </w:tcPr>
          <w:p w14:paraId="1332DC0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28" w:type="pct"/>
            <w:tcBorders>
              <w:top w:val="nil"/>
              <w:left w:val="nil"/>
              <w:bottom w:val="single" w:sz="4" w:space="0" w:color="auto"/>
              <w:right w:val="single" w:sz="4" w:space="0" w:color="auto"/>
            </w:tcBorders>
            <w:shd w:val="clear" w:color="000000" w:fill="D9D9D9"/>
            <w:vAlign w:val="center"/>
            <w:hideMark/>
          </w:tcPr>
          <w:p w14:paraId="212F7D4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77" w:type="pct"/>
            <w:tcBorders>
              <w:top w:val="nil"/>
              <w:left w:val="nil"/>
              <w:bottom w:val="single" w:sz="4" w:space="0" w:color="auto"/>
              <w:right w:val="single" w:sz="4" w:space="0" w:color="auto"/>
            </w:tcBorders>
            <w:shd w:val="clear" w:color="000000" w:fill="D9D9D9"/>
            <w:vAlign w:val="center"/>
            <w:hideMark/>
          </w:tcPr>
          <w:p w14:paraId="35E55E30" w14:textId="353C864D" w:rsidR="00C260C3" w:rsidRPr="00B457F5" w:rsidRDefault="00C260C3" w:rsidP="00C260C3">
            <w:pPr>
              <w:spacing w:before="0" w:after="0"/>
              <w:jc w:val="righ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2C0001D2" w14:textId="77777777" w:rsidTr="00C260C3">
        <w:trPr>
          <w:trHeight w:val="20"/>
        </w:trPr>
        <w:tc>
          <w:tcPr>
            <w:tcW w:w="131" w:type="pct"/>
            <w:tcBorders>
              <w:top w:val="nil"/>
              <w:left w:val="single" w:sz="4" w:space="0" w:color="auto"/>
              <w:bottom w:val="single" w:sz="4" w:space="0" w:color="auto"/>
              <w:right w:val="single" w:sz="4" w:space="0" w:color="auto"/>
            </w:tcBorders>
            <w:shd w:val="clear" w:color="000000" w:fill="D9D9D9"/>
            <w:vAlign w:val="center"/>
            <w:hideMark/>
          </w:tcPr>
          <w:p w14:paraId="349B012C"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4.3</w:t>
            </w:r>
          </w:p>
        </w:tc>
        <w:tc>
          <w:tcPr>
            <w:tcW w:w="281" w:type="pct"/>
            <w:tcBorders>
              <w:top w:val="nil"/>
              <w:left w:val="nil"/>
              <w:bottom w:val="single" w:sz="4" w:space="0" w:color="auto"/>
              <w:right w:val="single" w:sz="4" w:space="0" w:color="auto"/>
            </w:tcBorders>
            <w:shd w:val="clear" w:color="000000" w:fill="D9D9D9"/>
            <w:vAlign w:val="center"/>
            <w:hideMark/>
          </w:tcPr>
          <w:p w14:paraId="3988CB87" w14:textId="41DB7DD0" w:rsidR="00C260C3" w:rsidRPr="00B457F5" w:rsidRDefault="00C260C3" w:rsidP="00C260C3">
            <w:pPr>
              <w:spacing w:before="0" w:after="0"/>
              <w:jc w:val="left"/>
              <w:rPr>
                <w:rFonts w:ascii="Garamond" w:eastAsia="Times New Roman" w:hAnsi="Garamond" w:cs="Times New Roman"/>
                <w:b/>
                <w:bCs/>
                <w:sz w:val="4"/>
                <w:szCs w:val="10"/>
              </w:rPr>
            </w:pPr>
            <w:r w:rsidRPr="00B457F5">
              <w:rPr>
                <w:rFonts w:ascii="Garamond" w:eastAsia="Times New Roman" w:hAnsi="Garamond" w:cs="Times New Roman"/>
                <w:b/>
                <w:bCs/>
                <w:sz w:val="4"/>
                <w:szCs w:val="10"/>
              </w:rPr>
              <w:t>4.3 Integrimi social</w:t>
            </w:r>
            <w:r w:rsidR="00EF5D32">
              <w:rPr>
                <w:rFonts w:ascii="Garamond" w:eastAsia="Times New Roman" w:hAnsi="Garamond" w:cs="Times New Roman"/>
                <w:b/>
                <w:bCs/>
                <w:sz w:val="4"/>
                <w:szCs w:val="10"/>
              </w:rPr>
              <w:t>-</w:t>
            </w:r>
            <w:r w:rsidRPr="00B457F5">
              <w:rPr>
                <w:rFonts w:ascii="Garamond" w:eastAsia="Times New Roman" w:hAnsi="Garamond" w:cs="Times New Roman"/>
                <w:b/>
                <w:bCs/>
                <w:sz w:val="4"/>
                <w:szCs w:val="10"/>
              </w:rPr>
              <w:t xml:space="preserve">ekonomik i refugjatëve </w:t>
            </w:r>
            <w:r w:rsidRPr="00643B0B">
              <w:rPr>
                <w:rFonts w:ascii="Garamond" w:eastAsia="Times New Roman" w:hAnsi="Garamond" w:cs="Times New Roman"/>
                <w:b/>
                <w:bCs/>
                <w:sz w:val="4"/>
                <w:szCs w:val="10"/>
              </w:rPr>
              <w:t>dhe C242azilkërkuesve</w:t>
            </w:r>
            <w:r w:rsidRPr="00B457F5">
              <w:rPr>
                <w:rFonts w:ascii="Garamond" w:eastAsia="Times New Roman" w:hAnsi="Garamond" w:cs="Times New Roman"/>
                <w:b/>
                <w:bCs/>
                <w:sz w:val="4"/>
                <w:szCs w:val="10"/>
              </w:rPr>
              <w:t xml:space="preserve"> </w:t>
            </w:r>
          </w:p>
        </w:tc>
        <w:tc>
          <w:tcPr>
            <w:tcW w:w="186" w:type="pct"/>
            <w:tcBorders>
              <w:top w:val="nil"/>
              <w:left w:val="nil"/>
              <w:bottom w:val="single" w:sz="4" w:space="0" w:color="auto"/>
              <w:right w:val="single" w:sz="4" w:space="0" w:color="auto"/>
            </w:tcBorders>
            <w:shd w:val="clear" w:color="000000" w:fill="D9D9D9"/>
            <w:vAlign w:val="center"/>
            <w:hideMark/>
          </w:tcPr>
          <w:p w14:paraId="4FF4CC04"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9" w:type="pct"/>
            <w:tcBorders>
              <w:top w:val="nil"/>
              <w:left w:val="nil"/>
              <w:bottom w:val="single" w:sz="4" w:space="0" w:color="auto"/>
              <w:right w:val="single" w:sz="4" w:space="0" w:color="auto"/>
            </w:tcBorders>
            <w:shd w:val="clear" w:color="000000" w:fill="D9D9D9"/>
            <w:vAlign w:val="center"/>
            <w:hideMark/>
          </w:tcPr>
          <w:p w14:paraId="7D438459"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44" w:type="pct"/>
            <w:tcBorders>
              <w:top w:val="nil"/>
              <w:left w:val="nil"/>
              <w:bottom w:val="single" w:sz="4" w:space="0" w:color="auto"/>
              <w:right w:val="single" w:sz="4" w:space="0" w:color="auto"/>
            </w:tcBorders>
            <w:shd w:val="clear" w:color="000000" w:fill="D9D9D9"/>
            <w:vAlign w:val="center"/>
            <w:hideMark/>
          </w:tcPr>
          <w:p w14:paraId="223954CD"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35" w:type="pct"/>
            <w:tcBorders>
              <w:top w:val="nil"/>
              <w:left w:val="nil"/>
              <w:bottom w:val="single" w:sz="4" w:space="0" w:color="auto"/>
              <w:right w:val="single" w:sz="4" w:space="0" w:color="auto"/>
            </w:tcBorders>
            <w:shd w:val="clear" w:color="000000" w:fill="D9D9D9"/>
            <w:vAlign w:val="center"/>
            <w:hideMark/>
          </w:tcPr>
          <w:p w14:paraId="0C7709BA"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2" w:type="pct"/>
            <w:tcBorders>
              <w:top w:val="nil"/>
              <w:left w:val="nil"/>
              <w:bottom w:val="single" w:sz="4" w:space="0" w:color="auto"/>
              <w:right w:val="single" w:sz="4" w:space="0" w:color="auto"/>
            </w:tcBorders>
            <w:shd w:val="clear" w:color="000000" w:fill="D9D9D9"/>
            <w:vAlign w:val="center"/>
            <w:hideMark/>
          </w:tcPr>
          <w:p w14:paraId="4DBCE276"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6248A40E"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55" w:type="pct"/>
            <w:tcBorders>
              <w:top w:val="nil"/>
              <w:left w:val="nil"/>
              <w:bottom w:val="single" w:sz="4" w:space="0" w:color="auto"/>
              <w:right w:val="single" w:sz="4" w:space="0" w:color="auto"/>
            </w:tcBorders>
            <w:shd w:val="clear" w:color="000000" w:fill="D9D9D9"/>
            <w:vAlign w:val="center"/>
            <w:hideMark/>
          </w:tcPr>
          <w:p w14:paraId="17CA891A"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2" w:type="pct"/>
            <w:tcBorders>
              <w:top w:val="nil"/>
              <w:left w:val="nil"/>
              <w:bottom w:val="single" w:sz="4" w:space="0" w:color="auto"/>
              <w:right w:val="single" w:sz="4" w:space="0" w:color="auto"/>
            </w:tcBorders>
            <w:shd w:val="clear" w:color="000000" w:fill="D9D9D9"/>
            <w:vAlign w:val="center"/>
            <w:hideMark/>
          </w:tcPr>
          <w:p w14:paraId="4FFA6005"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5" w:type="pct"/>
            <w:tcBorders>
              <w:top w:val="nil"/>
              <w:left w:val="nil"/>
              <w:bottom w:val="single" w:sz="4" w:space="0" w:color="auto"/>
              <w:right w:val="single" w:sz="4" w:space="0" w:color="auto"/>
            </w:tcBorders>
            <w:shd w:val="clear" w:color="000000" w:fill="D9D9D9"/>
            <w:vAlign w:val="center"/>
            <w:hideMark/>
          </w:tcPr>
          <w:p w14:paraId="534274C9"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37871C1C"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554E36E3"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349C7EB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48" w:type="pct"/>
            <w:tcBorders>
              <w:top w:val="nil"/>
              <w:left w:val="nil"/>
              <w:bottom w:val="single" w:sz="4" w:space="0" w:color="auto"/>
              <w:right w:val="single" w:sz="4" w:space="0" w:color="auto"/>
            </w:tcBorders>
            <w:shd w:val="clear" w:color="000000" w:fill="D9D9D9"/>
            <w:vAlign w:val="center"/>
            <w:hideMark/>
          </w:tcPr>
          <w:p w14:paraId="72B589DE"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2" w:type="pct"/>
            <w:tcBorders>
              <w:top w:val="nil"/>
              <w:left w:val="nil"/>
              <w:bottom w:val="single" w:sz="4" w:space="0" w:color="auto"/>
              <w:right w:val="single" w:sz="4" w:space="0" w:color="auto"/>
            </w:tcBorders>
            <w:shd w:val="clear" w:color="000000" w:fill="D9D9D9"/>
            <w:vAlign w:val="center"/>
            <w:hideMark/>
          </w:tcPr>
          <w:p w14:paraId="3976F89E"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5" w:type="pct"/>
            <w:tcBorders>
              <w:top w:val="nil"/>
              <w:left w:val="nil"/>
              <w:bottom w:val="single" w:sz="4" w:space="0" w:color="auto"/>
              <w:right w:val="single" w:sz="4" w:space="0" w:color="auto"/>
            </w:tcBorders>
            <w:shd w:val="clear" w:color="000000" w:fill="D9D9D9"/>
            <w:vAlign w:val="center"/>
            <w:hideMark/>
          </w:tcPr>
          <w:p w14:paraId="242C9FB0"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5EF6F80E"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5" w:type="pct"/>
            <w:tcBorders>
              <w:top w:val="nil"/>
              <w:left w:val="nil"/>
              <w:bottom w:val="single" w:sz="4" w:space="0" w:color="auto"/>
              <w:right w:val="single" w:sz="4" w:space="0" w:color="auto"/>
            </w:tcBorders>
            <w:shd w:val="clear" w:color="000000" w:fill="D9D9D9"/>
            <w:vAlign w:val="center"/>
            <w:hideMark/>
          </w:tcPr>
          <w:p w14:paraId="4397181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1684E103"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55" w:type="pct"/>
            <w:tcBorders>
              <w:top w:val="nil"/>
              <w:left w:val="nil"/>
              <w:bottom w:val="single" w:sz="4" w:space="0" w:color="auto"/>
              <w:right w:val="single" w:sz="4" w:space="0" w:color="auto"/>
            </w:tcBorders>
            <w:shd w:val="clear" w:color="000000" w:fill="D9D9D9"/>
            <w:vAlign w:val="center"/>
            <w:hideMark/>
          </w:tcPr>
          <w:p w14:paraId="02B8E6B7"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0A77BDEB"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2" w:type="pct"/>
            <w:tcBorders>
              <w:top w:val="nil"/>
              <w:left w:val="nil"/>
              <w:bottom w:val="single" w:sz="4" w:space="0" w:color="auto"/>
              <w:right w:val="single" w:sz="4" w:space="0" w:color="auto"/>
            </w:tcBorders>
            <w:shd w:val="clear" w:color="000000" w:fill="D9D9D9"/>
            <w:vAlign w:val="center"/>
            <w:hideMark/>
          </w:tcPr>
          <w:p w14:paraId="2EBDA62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55" w:type="pct"/>
            <w:tcBorders>
              <w:top w:val="nil"/>
              <w:left w:val="nil"/>
              <w:bottom w:val="single" w:sz="4" w:space="0" w:color="auto"/>
              <w:right w:val="single" w:sz="4" w:space="0" w:color="auto"/>
            </w:tcBorders>
            <w:shd w:val="clear" w:color="000000" w:fill="D9D9D9"/>
            <w:vAlign w:val="center"/>
            <w:hideMark/>
          </w:tcPr>
          <w:p w14:paraId="3C9B34F1"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218" w:type="pct"/>
            <w:tcBorders>
              <w:top w:val="nil"/>
              <w:left w:val="nil"/>
              <w:bottom w:val="single" w:sz="4" w:space="0" w:color="auto"/>
              <w:right w:val="single" w:sz="4" w:space="0" w:color="auto"/>
            </w:tcBorders>
            <w:shd w:val="clear" w:color="000000" w:fill="D9D9D9"/>
            <w:vAlign w:val="center"/>
            <w:hideMark/>
          </w:tcPr>
          <w:p w14:paraId="294AE0E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38A2A388"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39" w:type="pct"/>
            <w:tcBorders>
              <w:top w:val="nil"/>
              <w:left w:val="nil"/>
              <w:bottom w:val="single" w:sz="4" w:space="0" w:color="auto"/>
              <w:right w:val="single" w:sz="4" w:space="0" w:color="auto"/>
            </w:tcBorders>
            <w:shd w:val="clear" w:color="000000" w:fill="D9D9D9"/>
            <w:vAlign w:val="center"/>
            <w:hideMark/>
          </w:tcPr>
          <w:p w14:paraId="5268794A"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42" w:type="pct"/>
            <w:tcBorders>
              <w:top w:val="nil"/>
              <w:left w:val="nil"/>
              <w:bottom w:val="single" w:sz="4" w:space="0" w:color="auto"/>
              <w:right w:val="single" w:sz="4" w:space="0" w:color="auto"/>
            </w:tcBorders>
            <w:shd w:val="clear" w:color="000000" w:fill="D9D9D9"/>
            <w:vAlign w:val="center"/>
            <w:hideMark/>
          </w:tcPr>
          <w:p w14:paraId="0D01E068"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28" w:type="pct"/>
            <w:tcBorders>
              <w:top w:val="nil"/>
              <w:left w:val="nil"/>
              <w:bottom w:val="single" w:sz="4" w:space="0" w:color="auto"/>
              <w:right w:val="single" w:sz="4" w:space="0" w:color="auto"/>
            </w:tcBorders>
            <w:shd w:val="clear" w:color="000000" w:fill="D9D9D9"/>
            <w:vAlign w:val="center"/>
            <w:hideMark/>
          </w:tcPr>
          <w:p w14:paraId="1C0AA510"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77" w:type="pct"/>
            <w:tcBorders>
              <w:top w:val="nil"/>
              <w:left w:val="nil"/>
              <w:bottom w:val="single" w:sz="4" w:space="0" w:color="auto"/>
              <w:right w:val="single" w:sz="4" w:space="0" w:color="auto"/>
            </w:tcBorders>
            <w:shd w:val="clear" w:color="000000" w:fill="D9D9D9"/>
            <w:vAlign w:val="center"/>
            <w:hideMark/>
          </w:tcPr>
          <w:p w14:paraId="5F6B21E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r>
      <w:tr w:rsidR="00C260C3" w:rsidRPr="00B457F5" w14:paraId="67ABF49B"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17528E89"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81" w:type="pct"/>
            <w:tcBorders>
              <w:top w:val="nil"/>
              <w:left w:val="nil"/>
              <w:bottom w:val="single" w:sz="4" w:space="0" w:color="auto"/>
              <w:right w:val="single" w:sz="4" w:space="0" w:color="auto"/>
            </w:tcBorders>
            <w:shd w:val="clear" w:color="auto" w:fill="auto"/>
            <w:vAlign w:val="center"/>
            <w:hideMark/>
          </w:tcPr>
          <w:p w14:paraId="5532EEEA" w14:textId="77777777" w:rsidR="00C260C3" w:rsidRPr="00B457F5" w:rsidRDefault="00C260C3" w:rsidP="00C260C3">
            <w:pPr>
              <w:spacing w:before="0" w:after="0"/>
              <w:jc w:val="left"/>
              <w:rPr>
                <w:rFonts w:ascii="Garamond" w:eastAsia="Times New Roman" w:hAnsi="Garamond" w:cs="Times New Roman"/>
                <w:b/>
                <w:bCs/>
                <w:i/>
                <w:iCs/>
                <w:color w:val="0070C0"/>
                <w:sz w:val="4"/>
                <w:szCs w:val="10"/>
              </w:rPr>
            </w:pPr>
            <w:r w:rsidRPr="00B457F5">
              <w:rPr>
                <w:rFonts w:ascii="Garamond" w:eastAsia="Times New Roman" w:hAnsi="Garamond" w:cs="Times New Roman"/>
                <w:b/>
                <w:bCs/>
                <w:i/>
                <w:iCs/>
                <w:color w:val="0070C0"/>
                <w:sz w:val="4"/>
                <w:szCs w:val="10"/>
              </w:rPr>
              <w:t>Masat</w:t>
            </w:r>
          </w:p>
        </w:tc>
        <w:tc>
          <w:tcPr>
            <w:tcW w:w="186" w:type="pct"/>
            <w:tcBorders>
              <w:top w:val="nil"/>
              <w:left w:val="nil"/>
              <w:bottom w:val="single" w:sz="4" w:space="0" w:color="auto"/>
              <w:right w:val="single" w:sz="4" w:space="0" w:color="auto"/>
            </w:tcBorders>
            <w:shd w:val="clear" w:color="auto" w:fill="auto"/>
            <w:vAlign w:val="center"/>
            <w:hideMark/>
          </w:tcPr>
          <w:p w14:paraId="1E047C59"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9" w:type="pct"/>
            <w:tcBorders>
              <w:top w:val="nil"/>
              <w:left w:val="nil"/>
              <w:bottom w:val="single" w:sz="4" w:space="0" w:color="auto"/>
              <w:right w:val="single" w:sz="4" w:space="0" w:color="auto"/>
            </w:tcBorders>
            <w:shd w:val="clear" w:color="auto" w:fill="auto"/>
            <w:vAlign w:val="center"/>
            <w:hideMark/>
          </w:tcPr>
          <w:p w14:paraId="2D23270B"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44" w:type="pct"/>
            <w:tcBorders>
              <w:top w:val="nil"/>
              <w:left w:val="nil"/>
              <w:bottom w:val="single" w:sz="4" w:space="0" w:color="auto"/>
              <w:right w:val="single" w:sz="4" w:space="0" w:color="auto"/>
            </w:tcBorders>
            <w:shd w:val="clear" w:color="auto" w:fill="auto"/>
            <w:vAlign w:val="center"/>
            <w:hideMark/>
          </w:tcPr>
          <w:p w14:paraId="389D9A20"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35" w:type="pct"/>
            <w:tcBorders>
              <w:top w:val="nil"/>
              <w:left w:val="nil"/>
              <w:bottom w:val="single" w:sz="4" w:space="0" w:color="auto"/>
              <w:right w:val="single" w:sz="4" w:space="0" w:color="auto"/>
            </w:tcBorders>
            <w:shd w:val="clear" w:color="auto" w:fill="auto"/>
            <w:vAlign w:val="center"/>
            <w:hideMark/>
          </w:tcPr>
          <w:p w14:paraId="112EA242"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2" w:type="pct"/>
            <w:tcBorders>
              <w:top w:val="nil"/>
              <w:left w:val="nil"/>
              <w:bottom w:val="single" w:sz="4" w:space="0" w:color="auto"/>
              <w:right w:val="single" w:sz="4" w:space="0" w:color="auto"/>
            </w:tcBorders>
            <w:shd w:val="clear" w:color="auto" w:fill="auto"/>
            <w:vAlign w:val="center"/>
            <w:hideMark/>
          </w:tcPr>
          <w:p w14:paraId="45136F48"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15A0E491"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55" w:type="pct"/>
            <w:tcBorders>
              <w:top w:val="nil"/>
              <w:left w:val="nil"/>
              <w:bottom w:val="single" w:sz="4" w:space="0" w:color="auto"/>
              <w:right w:val="single" w:sz="4" w:space="0" w:color="auto"/>
            </w:tcBorders>
            <w:shd w:val="clear" w:color="auto" w:fill="auto"/>
            <w:vAlign w:val="center"/>
            <w:hideMark/>
          </w:tcPr>
          <w:p w14:paraId="586D461F"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2" w:type="pct"/>
            <w:tcBorders>
              <w:top w:val="nil"/>
              <w:left w:val="nil"/>
              <w:bottom w:val="single" w:sz="4" w:space="0" w:color="auto"/>
              <w:right w:val="single" w:sz="4" w:space="0" w:color="auto"/>
            </w:tcBorders>
            <w:shd w:val="clear" w:color="auto" w:fill="auto"/>
            <w:vAlign w:val="center"/>
            <w:hideMark/>
          </w:tcPr>
          <w:p w14:paraId="7327FCFC"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5" w:type="pct"/>
            <w:tcBorders>
              <w:top w:val="nil"/>
              <w:left w:val="nil"/>
              <w:bottom w:val="single" w:sz="4" w:space="0" w:color="auto"/>
              <w:right w:val="single" w:sz="4" w:space="0" w:color="auto"/>
            </w:tcBorders>
            <w:shd w:val="clear" w:color="auto" w:fill="auto"/>
            <w:vAlign w:val="center"/>
            <w:hideMark/>
          </w:tcPr>
          <w:p w14:paraId="602134B3"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74EF9941"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26D757D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2E51851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48" w:type="pct"/>
            <w:tcBorders>
              <w:top w:val="nil"/>
              <w:left w:val="nil"/>
              <w:bottom w:val="single" w:sz="4" w:space="0" w:color="auto"/>
              <w:right w:val="single" w:sz="4" w:space="0" w:color="auto"/>
            </w:tcBorders>
            <w:shd w:val="clear" w:color="auto" w:fill="auto"/>
            <w:vAlign w:val="center"/>
            <w:hideMark/>
          </w:tcPr>
          <w:p w14:paraId="086B566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2" w:type="pct"/>
            <w:tcBorders>
              <w:top w:val="nil"/>
              <w:left w:val="nil"/>
              <w:bottom w:val="single" w:sz="4" w:space="0" w:color="auto"/>
              <w:right w:val="single" w:sz="4" w:space="0" w:color="auto"/>
            </w:tcBorders>
            <w:shd w:val="clear" w:color="auto" w:fill="auto"/>
            <w:vAlign w:val="center"/>
            <w:hideMark/>
          </w:tcPr>
          <w:p w14:paraId="18DDF30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5" w:type="pct"/>
            <w:tcBorders>
              <w:top w:val="nil"/>
              <w:left w:val="nil"/>
              <w:bottom w:val="single" w:sz="4" w:space="0" w:color="auto"/>
              <w:right w:val="single" w:sz="4" w:space="0" w:color="auto"/>
            </w:tcBorders>
            <w:shd w:val="clear" w:color="auto" w:fill="auto"/>
            <w:vAlign w:val="center"/>
            <w:hideMark/>
          </w:tcPr>
          <w:p w14:paraId="15C20075"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4E984DF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5" w:type="pct"/>
            <w:tcBorders>
              <w:top w:val="nil"/>
              <w:left w:val="nil"/>
              <w:bottom w:val="single" w:sz="4" w:space="0" w:color="auto"/>
              <w:right w:val="single" w:sz="4" w:space="0" w:color="auto"/>
            </w:tcBorders>
            <w:shd w:val="clear" w:color="auto" w:fill="auto"/>
            <w:vAlign w:val="center"/>
            <w:hideMark/>
          </w:tcPr>
          <w:p w14:paraId="43F3BED1"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78EC39B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55" w:type="pct"/>
            <w:tcBorders>
              <w:top w:val="nil"/>
              <w:left w:val="nil"/>
              <w:bottom w:val="single" w:sz="4" w:space="0" w:color="auto"/>
              <w:right w:val="single" w:sz="4" w:space="0" w:color="auto"/>
            </w:tcBorders>
            <w:shd w:val="clear" w:color="auto" w:fill="auto"/>
            <w:vAlign w:val="center"/>
            <w:hideMark/>
          </w:tcPr>
          <w:p w14:paraId="196EB02B"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46692C2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2" w:type="pct"/>
            <w:tcBorders>
              <w:top w:val="nil"/>
              <w:left w:val="nil"/>
              <w:bottom w:val="single" w:sz="4" w:space="0" w:color="auto"/>
              <w:right w:val="single" w:sz="4" w:space="0" w:color="auto"/>
            </w:tcBorders>
            <w:shd w:val="clear" w:color="auto" w:fill="auto"/>
            <w:vAlign w:val="center"/>
            <w:hideMark/>
          </w:tcPr>
          <w:p w14:paraId="4BD089EC"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55" w:type="pct"/>
            <w:tcBorders>
              <w:top w:val="nil"/>
              <w:left w:val="nil"/>
              <w:bottom w:val="single" w:sz="4" w:space="0" w:color="auto"/>
              <w:right w:val="single" w:sz="4" w:space="0" w:color="auto"/>
            </w:tcBorders>
            <w:shd w:val="clear" w:color="auto" w:fill="auto"/>
            <w:vAlign w:val="center"/>
            <w:hideMark/>
          </w:tcPr>
          <w:p w14:paraId="1A47F8D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218" w:type="pct"/>
            <w:tcBorders>
              <w:top w:val="nil"/>
              <w:left w:val="nil"/>
              <w:bottom w:val="single" w:sz="4" w:space="0" w:color="auto"/>
              <w:right w:val="single" w:sz="4" w:space="0" w:color="auto"/>
            </w:tcBorders>
            <w:shd w:val="clear" w:color="auto" w:fill="auto"/>
            <w:vAlign w:val="center"/>
            <w:hideMark/>
          </w:tcPr>
          <w:p w14:paraId="5621AB8A"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auto" w:fill="auto"/>
            <w:vAlign w:val="center"/>
            <w:hideMark/>
          </w:tcPr>
          <w:p w14:paraId="64BEB4C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39" w:type="pct"/>
            <w:tcBorders>
              <w:top w:val="nil"/>
              <w:left w:val="nil"/>
              <w:bottom w:val="single" w:sz="4" w:space="0" w:color="auto"/>
              <w:right w:val="single" w:sz="4" w:space="0" w:color="auto"/>
            </w:tcBorders>
            <w:shd w:val="clear" w:color="auto" w:fill="auto"/>
            <w:vAlign w:val="center"/>
            <w:hideMark/>
          </w:tcPr>
          <w:p w14:paraId="0329585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42" w:type="pct"/>
            <w:tcBorders>
              <w:top w:val="nil"/>
              <w:left w:val="nil"/>
              <w:bottom w:val="single" w:sz="4" w:space="0" w:color="auto"/>
              <w:right w:val="single" w:sz="4" w:space="0" w:color="auto"/>
            </w:tcBorders>
            <w:shd w:val="clear" w:color="auto" w:fill="auto"/>
            <w:vAlign w:val="center"/>
            <w:hideMark/>
          </w:tcPr>
          <w:p w14:paraId="642E974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28" w:type="pct"/>
            <w:tcBorders>
              <w:top w:val="nil"/>
              <w:left w:val="nil"/>
              <w:bottom w:val="single" w:sz="4" w:space="0" w:color="auto"/>
              <w:right w:val="single" w:sz="4" w:space="0" w:color="auto"/>
            </w:tcBorders>
            <w:shd w:val="clear" w:color="auto" w:fill="auto"/>
            <w:vAlign w:val="center"/>
            <w:hideMark/>
          </w:tcPr>
          <w:p w14:paraId="6A6DABC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77" w:type="pct"/>
            <w:tcBorders>
              <w:top w:val="nil"/>
              <w:left w:val="nil"/>
              <w:bottom w:val="single" w:sz="4" w:space="0" w:color="auto"/>
              <w:right w:val="single" w:sz="4" w:space="0" w:color="auto"/>
            </w:tcBorders>
            <w:shd w:val="clear" w:color="auto" w:fill="auto"/>
            <w:vAlign w:val="center"/>
            <w:hideMark/>
          </w:tcPr>
          <w:p w14:paraId="0C63B1E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r>
      <w:tr w:rsidR="00C260C3" w:rsidRPr="00B457F5" w14:paraId="22029768" w14:textId="77777777" w:rsidTr="00C260C3">
        <w:trPr>
          <w:trHeight w:val="20"/>
        </w:trPr>
        <w:tc>
          <w:tcPr>
            <w:tcW w:w="131" w:type="pct"/>
            <w:tcBorders>
              <w:top w:val="nil"/>
              <w:left w:val="single" w:sz="4" w:space="0" w:color="auto"/>
              <w:bottom w:val="single" w:sz="4" w:space="0" w:color="auto"/>
              <w:right w:val="single" w:sz="4" w:space="0" w:color="auto"/>
            </w:tcBorders>
            <w:shd w:val="clear" w:color="000000" w:fill="D9D9D9"/>
            <w:vAlign w:val="center"/>
            <w:hideMark/>
          </w:tcPr>
          <w:p w14:paraId="4AD3BF6A"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4.3.1</w:t>
            </w:r>
          </w:p>
        </w:tc>
        <w:tc>
          <w:tcPr>
            <w:tcW w:w="281" w:type="pct"/>
            <w:tcBorders>
              <w:top w:val="nil"/>
              <w:left w:val="nil"/>
              <w:bottom w:val="single" w:sz="4" w:space="0" w:color="auto"/>
              <w:right w:val="single" w:sz="4" w:space="0" w:color="auto"/>
            </w:tcBorders>
            <w:shd w:val="clear" w:color="000000" w:fill="D9D9D9"/>
            <w:vAlign w:val="center"/>
            <w:hideMark/>
          </w:tcPr>
          <w:p w14:paraId="38632EEF" w14:textId="05F1FD0B" w:rsidR="00C260C3" w:rsidRPr="00B457F5" w:rsidRDefault="00C260C3" w:rsidP="00C260C3">
            <w:pPr>
              <w:spacing w:before="0" w:after="0"/>
              <w:jc w:val="left"/>
              <w:rPr>
                <w:rFonts w:ascii="Garamond" w:eastAsia="Times New Roman" w:hAnsi="Garamond" w:cs="Times New Roman"/>
                <w:b/>
                <w:bCs/>
                <w:sz w:val="4"/>
                <w:szCs w:val="10"/>
              </w:rPr>
            </w:pPr>
            <w:r w:rsidRPr="00B457F5">
              <w:rPr>
                <w:rFonts w:ascii="Garamond" w:eastAsia="Times New Roman" w:hAnsi="Garamond" w:cs="Times New Roman"/>
                <w:b/>
                <w:bCs/>
                <w:sz w:val="4"/>
                <w:szCs w:val="10"/>
              </w:rPr>
              <w:t xml:space="preserve">4.3.1 </w:t>
            </w:r>
            <w:r w:rsidR="00AF12C0" w:rsidRPr="00B457F5">
              <w:rPr>
                <w:rFonts w:ascii="Garamond" w:eastAsia="Times New Roman" w:hAnsi="Garamond" w:cs="Times New Roman"/>
                <w:b/>
                <w:bCs/>
                <w:sz w:val="4"/>
                <w:szCs w:val="10"/>
              </w:rPr>
              <w:t>Programe</w:t>
            </w:r>
            <w:r w:rsidRPr="00B457F5">
              <w:rPr>
                <w:rFonts w:ascii="Garamond" w:eastAsia="Times New Roman" w:hAnsi="Garamond" w:cs="Times New Roman"/>
                <w:b/>
                <w:bCs/>
                <w:sz w:val="4"/>
                <w:szCs w:val="10"/>
              </w:rPr>
              <w:t xml:space="preserve"> me qëllim integrimin social</w:t>
            </w:r>
            <w:r w:rsidR="00EF5D32">
              <w:rPr>
                <w:rFonts w:ascii="Garamond" w:eastAsia="Times New Roman" w:hAnsi="Garamond" w:cs="Times New Roman"/>
                <w:b/>
                <w:bCs/>
                <w:sz w:val="4"/>
                <w:szCs w:val="10"/>
              </w:rPr>
              <w:t>-</w:t>
            </w:r>
            <w:r w:rsidRPr="00B457F5">
              <w:rPr>
                <w:rFonts w:ascii="Garamond" w:eastAsia="Times New Roman" w:hAnsi="Garamond" w:cs="Times New Roman"/>
                <w:b/>
                <w:bCs/>
                <w:sz w:val="4"/>
                <w:szCs w:val="10"/>
              </w:rPr>
              <w:t xml:space="preserve">ekonomik </w:t>
            </w:r>
            <w:r w:rsidR="00AF12C0" w:rsidRPr="00B457F5">
              <w:rPr>
                <w:rFonts w:ascii="Garamond" w:eastAsia="Times New Roman" w:hAnsi="Garamond" w:cs="Times New Roman"/>
                <w:b/>
                <w:bCs/>
                <w:sz w:val="4"/>
                <w:szCs w:val="10"/>
              </w:rPr>
              <w:t xml:space="preserve">të </w:t>
            </w:r>
            <w:r w:rsidRPr="00B457F5">
              <w:rPr>
                <w:rFonts w:ascii="Garamond" w:eastAsia="Times New Roman" w:hAnsi="Garamond" w:cs="Times New Roman"/>
                <w:b/>
                <w:bCs/>
                <w:sz w:val="4"/>
                <w:szCs w:val="10"/>
              </w:rPr>
              <w:t>azilkërkuesve dhe refugjatëve</w:t>
            </w:r>
          </w:p>
        </w:tc>
        <w:tc>
          <w:tcPr>
            <w:tcW w:w="186" w:type="pct"/>
            <w:tcBorders>
              <w:top w:val="nil"/>
              <w:left w:val="nil"/>
              <w:bottom w:val="single" w:sz="4" w:space="0" w:color="auto"/>
              <w:right w:val="single" w:sz="4" w:space="0" w:color="auto"/>
            </w:tcBorders>
            <w:shd w:val="clear" w:color="000000" w:fill="D9D9D9"/>
            <w:vAlign w:val="center"/>
            <w:hideMark/>
          </w:tcPr>
          <w:p w14:paraId="500C501A" w14:textId="6AD15736"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10430 </w:t>
            </w:r>
            <w:r w:rsidR="0028334E" w:rsidRPr="00B457F5">
              <w:rPr>
                <w:rFonts w:ascii="Garamond" w:eastAsia="Times New Roman" w:hAnsi="Garamond" w:cs="Times New Roman"/>
                <w:color w:val="FF0000"/>
                <w:sz w:val="4"/>
                <w:szCs w:val="10"/>
              </w:rPr>
              <w:t>Përkujdesja</w:t>
            </w:r>
            <w:r w:rsidRPr="00B457F5">
              <w:rPr>
                <w:rFonts w:ascii="Garamond" w:eastAsia="Times New Roman" w:hAnsi="Garamond" w:cs="Times New Roman"/>
                <w:color w:val="FF0000"/>
                <w:sz w:val="4"/>
                <w:szCs w:val="10"/>
              </w:rPr>
              <w:t xml:space="preserve"> Social</w:t>
            </w:r>
            <w:r w:rsidR="0028334E" w:rsidRPr="00B457F5">
              <w:rPr>
                <w:rFonts w:ascii="Garamond" w:eastAsia="Times New Roman" w:hAnsi="Garamond" w:cs="Times New Roman"/>
                <w:color w:val="FF0000"/>
                <w:sz w:val="4"/>
                <w:szCs w:val="10"/>
              </w:rPr>
              <w:t>e</w:t>
            </w:r>
            <w:r w:rsidRPr="00B457F5">
              <w:rPr>
                <w:rFonts w:ascii="Garamond" w:eastAsia="Times New Roman" w:hAnsi="Garamond" w:cs="Times New Roman"/>
                <w:color w:val="FF0000"/>
                <w:sz w:val="4"/>
                <w:szCs w:val="10"/>
              </w:rPr>
              <w:t xml:space="preserve">, 03320 </w:t>
            </w:r>
            <w:r w:rsidR="0028334E" w:rsidRPr="00B457F5">
              <w:rPr>
                <w:rFonts w:ascii="Garamond" w:eastAsia="Times New Roman" w:hAnsi="Garamond" w:cs="Times New Roman"/>
                <w:color w:val="FF0000"/>
                <w:sz w:val="4"/>
                <w:szCs w:val="10"/>
              </w:rPr>
              <w:t>Shërbimi</w:t>
            </w:r>
            <w:r w:rsidRPr="00B457F5">
              <w:rPr>
                <w:rFonts w:ascii="Garamond" w:eastAsia="Times New Roman" w:hAnsi="Garamond" w:cs="Times New Roman"/>
                <w:color w:val="FF0000"/>
                <w:sz w:val="4"/>
                <w:szCs w:val="10"/>
              </w:rPr>
              <w:t xml:space="preserve"> i </w:t>
            </w:r>
            <w:r w:rsidR="0028334E" w:rsidRPr="00B457F5">
              <w:rPr>
                <w:rFonts w:ascii="Garamond" w:eastAsia="Times New Roman" w:hAnsi="Garamond" w:cs="Times New Roman"/>
                <w:color w:val="FF0000"/>
                <w:sz w:val="4"/>
                <w:szCs w:val="10"/>
              </w:rPr>
              <w:t>avokatisë</w:t>
            </w:r>
            <w:r w:rsidRPr="00B457F5">
              <w:rPr>
                <w:rFonts w:ascii="Garamond" w:eastAsia="Times New Roman" w:hAnsi="Garamond" w:cs="Times New Roman"/>
                <w:color w:val="FF0000"/>
                <w:sz w:val="4"/>
                <w:szCs w:val="10"/>
              </w:rPr>
              <w:t xml:space="preserve">, 10550 Tregu i </w:t>
            </w:r>
            <w:r w:rsidR="0028334E" w:rsidRPr="00B457F5">
              <w:rPr>
                <w:rFonts w:ascii="Garamond" w:eastAsia="Times New Roman" w:hAnsi="Garamond" w:cs="Times New Roman"/>
                <w:color w:val="FF0000"/>
                <w:sz w:val="4"/>
                <w:szCs w:val="10"/>
              </w:rPr>
              <w:t>Punës</w:t>
            </w:r>
            <w:r w:rsidRPr="00B457F5">
              <w:rPr>
                <w:rFonts w:ascii="Garamond" w:eastAsia="Times New Roman" w:hAnsi="Garamond" w:cs="Times New Roman"/>
                <w:color w:val="FF0000"/>
                <w:sz w:val="4"/>
                <w:szCs w:val="10"/>
              </w:rPr>
              <w:t>, 06190 Strehimi, 09240 Arsimi i</w:t>
            </w:r>
            <w:r w:rsidR="0006016F" w:rsidRPr="00B457F5">
              <w:rPr>
                <w:rFonts w:ascii="Garamond" w:eastAsia="Times New Roman" w:hAnsi="Garamond" w:cs="Times New Roman"/>
                <w:color w:val="FF0000"/>
                <w:sz w:val="4"/>
                <w:szCs w:val="10"/>
              </w:rPr>
              <w:t xml:space="preserve"> </w:t>
            </w:r>
            <w:r w:rsidR="0028334E" w:rsidRPr="00B457F5">
              <w:rPr>
                <w:rFonts w:ascii="Garamond" w:eastAsia="Times New Roman" w:hAnsi="Garamond" w:cs="Times New Roman"/>
                <w:color w:val="FF0000"/>
                <w:sz w:val="4"/>
                <w:szCs w:val="10"/>
              </w:rPr>
              <w:t>Mesëm</w:t>
            </w:r>
            <w:r w:rsidRPr="00B457F5">
              <w:rPr>
                <w:rFonts w:ascii="Garamond" w:eastAsia="Times New Roman" w:hAnsi="Garamond" w:cs="Times New Roman"/>
                <w:color w:val="FF0000"/>
                <w:sz w:val="4"/>
                <w:szCs w:val="10"/>
              </w:rPr>
              <w:t xml:space="preserve"> (profesional), 09120 Arsimi Baz</w:t>
            </w:r>
            <w:r w:rsidR="0028334E" w:rsidRPr="00B457F5">
              <w:rPr>
                <w:rFonts w:ascii="Garamond" w:eastAsia="Times New Roman" w:hAnsi="Garamond" w:cs="Times New Roman"/>
                <w:color w:val="FF0000"/>
                <w:sz w:val="4"/>
                <w:szCs w:val="10"/>
              </w:rPr>
              <w:t>ë</w:t>
            </w:r>
            <w:r w:rsidRPr="00B457F5">
              <w:rPr>
                <w:rFonts w:ascii="Garamond" w:eastAsia="Times New Roman" w:hAnsi="Garamond" w:cs="Times New Roman"/>
                <w:color w:val="FF0000"/>
                <w:sz w:val="4"/>
                <w:szCs w:val="10"/>
              </w:rPr>
              <w:t xml:space="preserve"> (</w:t>
            </w:r>
            <w:r w:rsidR="0028334E" w:rsidRPr="00B457F5">
              <w:rPr>
                <w:rFonts w:ascii="Garamond" w:eastAsia="Times New Roman" w:hAnsi="Garamond" w:cs="Times New Roman"/>
                <w:color w:val="FF0000"/>
                <w:sz w:val="4"/>
                <w:szCs w:val="10"/>
              </w:rPr>
              <w:t>përfshirë</w:t>
            </w:r>
            <w:r w:rsidRPr="00B457F5">
              <w:rPr>
                <w:rFonts w:ascii="Garamond" w:eastAsia="Times New Roman" w:hAnsi="Garamond" w:cs="Times New Roman"/>
                <w:color w:val="FF0000"/>
                <w:sz w:val="4"/>
                <w:szCs w:val="10"/>
              </w:rPr>
              <w:t xml:space="preserve"> parashkollorin)</w:t>
            </w:r>
          </w:p>
        </w:tc>
        <w:tc>
          <w:tcPr>
            <w:tcW w:w="169" w:type="pct"/>
            <w:tcBorders>
              <w:top w:val="nil"/>
              <w:left w:val="nil"/>
              <w:bottom w:val="single" w:sz="4" w:space="0" w:color="auto"/>
              <w:right w:val="single" w:sz="4" w:space="0" w:color="auto"/>
            </w:tcBorders>
            <w:shd w:val="clear" w:color="000000" w:fill="D9D9D9"/>
            <w:vAlign w:val="center"/>
            <w:hideMark/>
          </w:tcPr>
          <w:p w14:paraId="0369E80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MAS, MEKI, MSHMS, Avokati i Popullit, ASHMDF</w:t>
            </w:r>
          </w:p>
        </w:tc>
        <w:tc>
          <w:tcPr>
            <w:tcW w:w="244" w:type="pct"/>
            <w:tcBorders>
              <w:top w:val="nil"/>
              <w:left w:val="nil"/>
              <w:bottom w:val="single" w:sz="4" w:space="0" w:color="auto"/>
              <w:right w:val="single" w:sz="4" w:space="0" w:color="auto"/>
            </w:tcBorders>
            <w:shd w:val="clear" w:color="000000" w:fill="D9D9D9"/>
            <w:vAlign w:val="center"/>
            <w:hideMark/>
          </w:tcPr>
          <w:p w14:paraId="10F68A8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 MSHMS, UNHCR, IOM, UNICEF</w:t>
            </w:r>
          </w:p>
        </w:tc>
        <w:tc>
          <w:tcPr>
            <w:tcW w:w="135" w:type="pct"/>
            <w:tcBorders>
              <w:top w:val="nil"/>
              <w:left w:val="nil"/>
              <w:bottom w:val="single" w:sz="4" w:space="0" w:color="auto"/>
              <w:right w:val="single" w:sz="4" w:space="0" w:color="auto"/>
            </w:tcBorders>
            <w:shd w:val="clear" w:color="000000" w:fill="D9D9D9"/>
            <w:vAlign w:val="center"/>
            <w:hideMark/>
          </w:tcPr>
          <w:p w14:paraId="5D2CB21C"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9D9D9"/>
            <w:vAlign w:val="center"/>
            <w:hideMark/>
          </w:tcPr>
          <w:p w14:paraId="16B9B2F1"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000000" w:fill="D9D9D9"/>
            <w:vAlign w:val="center"/>
            <w:hideMark/>
          </w:tcPr>
          <w:p w14:paraId="6D12881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9,954,304</w:t>
            </w:r>
          </w:p>
        </w:tc>
        <w:tc>
          <w:tcPr>
            <w:tcW w:w="155" w:type="pct"/>
            <w:tcBorders>
              <w:top w:val="nil"/>
              <w:left w:val="nil"/>
              <w:bottom w:val="single" w:sz="4" w:space="0" w:color="auto"/>
              <w:right w:val="single" w:sz="4" w:space="0" w:color="auto"/>
            </w:tcBorders>
            <w:shd w:val="clear" w:color="000000" w:fill="D9D9D9"/>
            <w:vAlign w:val="center"/>
            <w:hideMark/>
          </w:tcPr>
          <w:p w14:paraId="7AFAB6B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7F40495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9,954,304</w:t>
            </w:r>
          </w:p>
        </w:tc>
        <w:tc>
          <w:tcPr>
            <w:tcW w:w="165" w:type="pct"/>
            <w:tcBorders>
              <w:top w:val="nil"/>
              <w:left w:val="nil"/>
              <w:bottom w:val="single" w:sz="4" w:space="0" w:color="auto"/>
              <w:right w:val="single" w:sz="4" w:space="0" w:color="auto"/>
            </w:tcBorders>
            <w:shd w:val="clear" w:color="000000" w:fill="D9D9D9"/>
            <w:vAlign w:val="center"/>
            <w:hideMark/>
          </w:tcPr>
          <w:p w14:paraId="604A9E1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6,364,084</w:t>
            </w:r>
          </w:p>
        </w:tc>
        <w:tc>
          <w:tcPr>
            <w:tcW w:w="163" w:type="pct"/>
            <w:tcBorders>
              <w:top w:val="nil"/>
              <w:left w:val="nil"/>
              <w:bottom w:val="single" w:sz="4" w:space="0" w:color="auto"/>
              <w:right w:val="single" w:sz="4" w:space="0" w:color="auto"/>
            </w:tcBorders>
            <w:shd w:val="clear" w:color="000000" w:fill="D9D9D9"/>
            <w:vAlign w:val="center"/>
            <w:hideMark/>
          </w:tcPr>
          <w:p w14:paraId="299FD29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735DC1F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6,364,084</w:t>
            </w:r>
          </w:p>
        </w:tc>
        <w:tc>
          <w:tcPr>
            <w:tcW w:w="163" w:type="pct"/>
            <w:tcBorders>
              <w:top w:val="nil"/>
              <w:left w:val="nil"/>
              <w:bottom w:val="single" w:sz="4" w:space="0" w:color="auto"/>
              <w:right w:val="single" w:sz="4" w:space="0" w:color="auto"/>
            </w:tcBorders>
            <w:shd w:val="clear" w:color="000000" w:fill="D9D9D9"/>
            <w:vAlign w:val="center"/>
            <w:hideMark/>
          </w:tcPr>
          <w:p w14:paraId="6EE710E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2,931,459</w:t>
            </w:r>
          </w:p>
        </w:tc>
        <w:tc>
          <w:tcPr>
            <w:tcW w:w="148" w:type="pct"/>
            <w:tcBorders>
              <w:top w:val="nil"/>
              <w:left w:val="nil"/>
              <w:bottom w:val="single" w:sz="4" w:space="0" w:color="auto"/>
              <w:right w:val="single" w:sz="4" w:space="0" w:color="auto"/>
            </w:tcBorders>
            <w:shd w:val="clear" w:color="000000" w:fill="D9D9D9"/>
            <w:vAlign w:val="center"/>
            <w:hideMark/>
          </w:tcPr>
          <w:p w14:paraId="31801E3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1B1536D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2,931,459</w:t>
            </w:r>
          </w:p>
        </w:tc>
        <w:tc>
          <w:tcPr>
            <w:tcW w:w="165" w:type="pct"/>
            <w:tcBorders>
              <w:top w:val="nil"/>
              <w:left w:val="nil"/>
              <w:bottom w:val="single" w:sz="4" w:space="0" w:color="auto"/>
              <w:right w:val="single" w:sz="4" w:space="0" w:color="auto"/>
            </w:tcBorders>
            <w:shd w:val="clear" w:color="000000" w:fill="D9D9D9"/>
            <w:vAlign w:val="center"/>
            <w:hideMark/>
          </w:tcPr>
          <w:p w14:paraId="17E6D6A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19,249,847</w:t>
            </w:r>
          </w:p>
        </w:tc>
        <w:tc>
          <w:tcPr>
            <w:tcW w:w="163" w:type="pct"/>
            <w:tcBorders>
              <w:top w:val="nil"/>
              <w:left w:val="nil"/>
              <w:bottom w:val="single" w:sz="4" w:space="0" w:color="auto"/>
              <w:right w:val="single" w:sz="4" w:space="0" w:color="auto"/>
            </w:tcBorders>
            <w:shd w:val="clear" w:color="000000" w:fill="D9D9D9"/>
            <w:vAlign w:val="center"/>
            <w:hideMark/>
          </w:tcPr>
          <w:p w14:paraId="0DC50BF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D9D9D9"/>
            <w:vAlign w:val="center"/>
            <w:hideMark/>
          </w:tcPr>
          <w:p w14:paraId="5B682FD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19,249,847</w:t>
            </w:r>
          </w:p>
        </w:tc>
        <w:tc>
          <w:tcPr>
            <w:tcW w:w="163" w:type="pct"/>
            <w:tcBorders>
              <w:top w:val="nil"/>
              <w:left w:val="nil"/>
              <w:bottom w:val="single" w:sz="4" w:space="0" w:color="auto"/>
              <w:right w:val="single" w:sz="4" w:space="0" w:color="auto"/>
            </w:tcBorders>
            <w:shd w:val="clear" w:color="000000" w:fill="D9D9D9"/>
            <w:vAlign w:val="center"/>
            <w:hideMark/>
          </w:tcPr>
          <w:p w14:paraId="4700E8C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5,568,597</w:t>
            </w:r>
          </w:p>
        </w:tc>
        <w:tc>
          <w:tcPr>
            <w:tcW w:w="155" w:type="pct"/>
            <w:tcBorders>
              <w:top w:val="nil"/>
              <w:left w:val="nil"/>
              <w:bottom w:val="single" w:sz="4" w:space="0" w:color="auto"/>
              <w:right w:val="single" w:sz="4" w:space="0" w:color="auto"/>
            </w:tcBorders>
            <w:shd w:val="clear" w:color="000000" w:fill="D9D9D9"/>
            <w:vAlign w:val="center"/>
            <w:hideMark/>
          </w:tcPr>
          <w:p w14:paraId="08F0178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7DC3771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5,568,597</w:t>
            </w:r>
          </w:p>
        </w:tc>
        <w:tc>
          <w:tcPr>
            <w:tcW w:w="162" w:type="pct"/>
            <w:tcBorders>
              <w:top w:val="nil"/>
              <w:left w:val="nil"/>
              <w:bottom w:val="single" w:sz="4" w:space="0" w:color="auto"/>
              <w:right w:val="single" w:sz="4" w:space="0" w:color="auto"/>
            </w:tcBorders>
            <w:shd w:val="clear" w:color="000000" w:fill="D9D9D9"/>
            <w:vAlign w:val="center"/>
            <w:hideMark/>
          </w:tcPr>
          <w:p w14:paraId="4EBBF65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13,681,250</w:t>
            </w:r>
          </w:p>
        </w:tc>
        <w:tc>
          <w:tcPr>
            <w:tcW w:w="155" w:type="pct"/>
            <w:tcBorders>
              <w:top w:val="nil"/>
              <w:left w:val="nil"/>
              <w:bottom w:val="single" w:sz="4" w:space="0" w:color="auto"/>
              <w:right w:val="single" w:sz="4" w:space="0" w:color="auto"/>
            </w:tcBorders>
            <w:shd w:val="clear" w:color="000000" w:fill="D9D9D9"/>
            <w:vAlign w:val="center"/>
            <w:hideMark/>
          </w:tcPr>
          <w:p w14:paraId="1BE6F4F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000000" w:fill="D9D9D9"/>
            <w:vAlign w:val="center"/>
            <w:hideMark/>
          </w:tcPr>
          <w:p w14:paraId="0650CE3A"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65042B6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13,681,250</w:t>
            </w:r>
          </w:p>
        </w:tc>
        <w:tc>
          <w:tcPr>
            <w:tcW w:w="139" w:type="pct"/>
            <w:tcBorders>
              <w:top w:val="nil"/>
              <w:left w:val="nil"/>
              <w:bottom w:val="single" w:sz="4" w:space="0" w:color="auto"/>
              <w:right w:val="single" w:sz="4" w:space="0" w:color="auto"/>
            </w:tcBorders>
            <w:shd w:val="clear" w:color="000000" w:fill="D9D9D9"/>
            <w:vAlign w:val="center"/>
            <w:hideMark/>
          </w:tcPr>
          <w:p w14:paraId="6C0238A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000000" w:fill="D9D9D9"/>
            <w:vAlign w:val="center"/>
            <w:hideMark/>
          </w:tcPr>
          <w:p w14:paraId="2C4452E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D9D9D9"/>
            <w:vAlign w:val="center"/>
            <w:hideMark/>
          </w:tcPr>
          <w:p w14:paraId="542C7773"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77" w:type="pct"/>
            <w:tcBorders>
              <w:top w:val="nil"/>
              <w:left w:val="nil"/>
              <w:bottom w:val="single" w:sz="4" w:space="0" w:color="auto"/>
              <w:right w:val="single" w:sz="4" w:space="0" w:color="auto"/>
            </w:tcBorders>
            <w:shd w:val="clear" w:color="000000" w:fill="D9D9D9"/>
            <w:vAlign w:val="center"/>
            <w:hideMark/>
          </w:tcPr>
          <w:p w14:paraId="48EF5E54" w14:textId="6DF91721"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7A8C2054"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587730EB"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4.3.1.1</w:t>
            </w:r>
          </w:p>
        </w:tc>
        <w:tc>
          <w:tcPr>
            <w:tcW w:w="281" w:type="pct"/>
            <w:tcBorders>
              <w:top w:val="nil"/>
              <w:left w:val="nil"/>
              <w:bottom w:val="single" w:sz="4" w:space="0" w:color="auto"/>
              <w:right w:val="single" w:sz="4" w:space="0" w:color="auto"/>
            </w:tcBorders>
            <w:shd w:val="clear" w:color="auto" w:fill="auto"/>
            <w:vAlign w:val="center"/>
            <w:hideMark/>
          </w:tcPr>
          <w:p w14:paraId="6F9C93CA"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4.3.1.1 Organizimi i programeve orientuese të mësimit të gjuhës shqipe, historisë dhe edukatës qytetare</w:t>
            </w:r>
          </w:p>
        </w:tc>
        <w:tc>
          <w:tcPr>
            <w:tcW w:w="186" w:type="pct"/>
            <w:tcBorders>
              <w:top w:val="nil"/>
              <w:left w:val="nil"/>
              <w:bottom w:val="single" w:sz="4" w:space="0" w:color="auto"/>
              <w:right w:val="single" w:sz="4" w:space="0" w:color="auto"/>
            </w:tcBorders>
            <w:shd w:val="clear" w:color="auto" w:fill="auto"/>
            <w:vAlign w:val="center"/>
            <w:hideMark/>
          </w:tcPr>
          <w:p w14:paraId="64DEA637" w14:textId="65441E24"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09120 Arsimi Baz</w:t>
            </w:r>
            <w:r w:rsidR="0028334E" w:rsidRPr="00B457F5">
              <w:rPr>
                <w:rFonts w:ascii="Garamond" w:eastAsia="Times New Roman" w:hAnsi="Garamond" w:cs="Times New Roman"/>
                <w:color w:val="FF0000"/>
                <w:sz w:val="4"/>
                <w:szCs w:val="10"/>
              </w:rPr>
              <w:t>ë</w:t>
            </w:r>
            <w:r w:rsidRPr="00B457F5">
              <w:rPr>
                <w:rFonts w:ascii="Garamond" w:eastAsia="Times New Roman" w:hAnsi="Garamond" w:cs="Times New Roman"/>
                <w:color w:val="FF0000"/>
                <w:sz w:val="4"/>
                <w:szCs w:val="10"/>
              </w:rPr>
              <w:t xml:space="preserve"> (</w:t>
            </w:r>
            <w:r w:rsidR="0028334E" w:rsidRPr="00B457F5">
              <w:rPr>
                <w:rFonts w:ascii="Garamond" w:eastAsia="Times New Roman" w:hAnsi="Garamond" w:cs="Times New Roman"/>
                <w:color w:val="FF0000"/>
                <w:sz w:val="4"/>
                <w:szCs w:val="10"/>
              </w:rPr>
              <w:t>përfshirë</w:t>
            </w:r>
            <w:r w:rsidRPr="00B457F5">
              <w:rPr>
                <w:rFonts w:ascii="Garamond" w:eastAsia="Times New Roman" w:hAnsi="Garamond" w:cs="Times New Roman"/>
                <w:color w:val="FF0000"/>
                <w:sz w:val="4"/>
                <w:szCs w:val="10"/>
              </w:rPr>
              <w:t xml:space="preserve"> parashkollorin)</w:t>
            </w:r>
          </w:p>
        </w:tc>
        <w:tc>
          <w:tcPr>
            <w:tcW w:w="169" w:type="pct"/>
            <w:tcBorders>
              <w:top w:val="nil"/>
              <w:left w:val="nil"/>
              <w:bottom w:val="single" w:sz="4" w:space="0" w:color="auto"/>
              <w:right w:val="single" w:sz="4" w:space="0" w:color="auto"/>
            </w:tcBorders>
            <w:shd w:val="clear" w:color="auto" w:fill="auto"/>
            <w:vAlign w:val="center"/>
            <w:hideMark/>
          </w:tcPr>
          <w:p w14:paraId="4C9B734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MAS</w:t>
            </w:r>
          </w:p>
        </w:tc>
        <w:tc>
          <w:tcPr>
            <w:tcW w:w="244" w:type="pct"/>
            <w:tcBorders>
              <w:top w:val="nil"/>
              <w:left w:val="nil"/>
              <w:bottom w:val="single" w:sz="4" w:space="0" w:color="auto"/>
              <w:right w:val="single" w:sz="4" w:space="0" w:color="auto"/>
            </w:tcBorders>
            <w:shd w:val="clear" w:color="auto" w:fill="auto"/>
            <w:vAlign w:val="center"/>
            <w:hideMark/>
          </w:tcPr>
          <w:p w14:paraId="02A363B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w:t>
            </w:r>
          </w:p>
        </w:tc>
        <w:tc>
          <w:tcPr>
            <w:tcW w:w="135" w:type="pct"/>
            <w:tcBorders>
              <w:top w:val="nil"/>
              <w:left w:val="nil"/>
              <w:bottom w:val="single" w:sz="4" w:space="0" w:color="auto"/>
              <w:right w:val="single" w:sz="4" w:space="0" w:color="auto"/>
            </w:tcBorders>
            <w:shd w:val="clear" w:color="000000" w:fill="DDEBF7"/>
            <w:vAlign w:val="center"/>
            <w:hideMark/>
          </w:tcPr>
          <w:p w14:paraId="5133FD13"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5280AD34"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2025</w:t>
            </w:r>
          </w:p>
        </w:tc>
        <w:tc>
          <w:tcPr>
            <w:tcW w:w="163" w:type="pct"/>
            <w:tcBorders>
              <w:top w:val="nil"/>
              <w:left w:val="nil"/>
              <w:bottom w:val="single" w:sz="4" w:space="0" w:color="auto"/>
              <w:right w:val="single" w:sz="4" w:space="0" w:color="auto"/>
            </w:tcBorders>
            <w:shd w:val="clear" w:color="auto" w:fill="auto"/>
            <w:vAlign w:val="center"/>
            <w:hideMark/>
          </w:tcPr>
          <w:p w14:paraId="2D81729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3,192,625</w:t>
            </w:r>
          </w:p>
        </w:tc>
        <w:tc>
          <w:tcPr>
            <w:tcW w:w="155" w:type="pct"/>
            <w:tcBorders>
              <w:top w:val="nil"/>
              <w:left w:val="nil"/>
              <w:bottom w:val="single" w:sz="4" w:space="0" w:color="auto"/>
              <w:right w:val="single" w:sz="4" w:space="0" w:color="auto"/>
            </w:tcBorders>
            <w:shd w:val="clear" w:color="auto" w:fill="auto"/>
            <w:vAlign w:val="center"/>
            <w:hideMark/>
          </w:tcPr>
          <w:p w14:paraId="5A14F3E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70DCB1F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3,192,625</w:t>
            </w:r>
          </w:p>
        </w:tc>
        <w:tc>
          <w:tcPr>
            <w:tcW w:w="165" w:type="pct"/>
            <w:tcBorders>
              <w:top w:val="nil"/>
              <w:left w:val="nil"/>
              <w:bottom w:val="single" w:sz="4" w:space="0" w:color="auto"/>
              <w:right w:val="single" w:sz="4" w:space="0" w:color="auto"/>
            </w:tcBorders>
            <w:shd w:val="clear" w:color="auto" w:fill="auto"/>
            <w:vAlign w:val="center"/>
            <w:hideMark/>
          </w:tcPr>
          <w:p w14:paraId="5DA51A0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3,192,625</w:t>
            </w:r>
          </w:p>
        </w:tc>
        <w:tc>
          <w:tcPr>
            <w:tcW w:w="163" w:type="pct"/>
            <w:tcBorders>
              <w:top w:val="nil"/>
              <w:left w:val="nil"/>
              <w:bottom w:val="single" w:sz="4" w:space="0" w:color="auto"/>
              <w:right w:val="single" w:sz="4" w:space="0" w:color="auto"/>
            </w:tcBorders>
            <w:shd w:val="clear" w:color="auto" w:fill="auto"/>
            <w:vAlign w:val="center"/>
            <w:hideMark/>
          </w:tcPr>
          <w:p w14:paraId="21E4D77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632A9DE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3,192,625</w:t>
            </w:r>
          </w:p>
        </w:tc>
        <w:tc>
          <w:tcPr>
            <w:tcW w:w="163" w:type="pct"/>
            <w:tcBorders>
              <w:top w:val="nil"/>
              <w:left w:val="nil"/>
              <w:bottom w:val="single" w:sz="4" w:space="0" w:color="auto"/>
              <w:right w:val="single" w:sz="4" w:space="0" w:color="auto"/>
            </w:tcBorders>
            <w:shd w:val="clear" w:color="auto" w:fill="auto"/>
            <w:vAlign w:val="center"/>
            <w:hideMark/>
          </w:tcPr>
          <w:p w14:paraId="74F9D26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8" w:type="pct"/>
            <w:tcBorders>
              <w:top w:val="nil"/>
              <w:left w:val="nil"/>
              <w:bottom w:val="single" w:sz="4" w:space="0" w:color="auto"/>
              <w:right w:val="single" w:sz="4" w:space="0" w:color="auto"/>
            </w:tcBorders>
            <w:shd w:val="clear" w:color="auto" w:fill="auto"/>
            <w:vAlign w:val="center"/>
            <w:hideMark/>
          </w:tcPr>
          <w:p w14:paraId="2F08DD6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0222B68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auto" w:fill="auto"/>
            <w:vAlign w:val="center"/>
            <w:hideMark/>
          </w:tcPr>
          <w:p w14:paraId="08C1010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6,385,250</w:t>
            </w:r>
          </w:p>
        </w:tc>
        <w:tc>
          <w:tcPr>
            <w:tcW w:w="163" w:type="pct"/>
            <w:tcBorders>
              <w:top w:val="nil"/>
              <w:left w:val="nil"/>
              <w:bottom w:val="single" w:sz="4" w:space="0" w:color="auto"/>
              <w:right w:val="single" w:sz="4" w:space="0" w:color="auto"/>
            </w:tcBorders>
            <w:shd w:val="clear" w:color="auto" w:fill="auto"/>
            <w:vAlign w:val="center"/>
            <w:hideMark/>
          </w:tcPr>
          <w:p w14:paraId="6F524FC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43CB600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6,385,250</w:t>
            </w:r>
          </w:p>
        </w:tc>
        <w:tc>
          <w:tcPr>
            <w:tcW w:w="163" w:type="pct"/>
            <w:tcBorders>
              <w:top w:val="nil"/>
              <w:left w:val="nil"/>
              <w:bottom w:val="single" w:sz="4" w:space="0" w:color="auto"/>
              <w:right w:val="single" w:sz="4" w:space="0" w:color="auto"/>
            </w:tcBorders>
            <w:shd w:val="clear" w:color="auto" w:fill="auto"/>
            <w:vAlign w:val="center"/>
            <w:hideMark/>
          </w:tcPr>
          <w:p w14:paraId="6C2F8F8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77A24DF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894E20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72AF16E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6,385,250</w:t>
            </w:r>
          </w:p>
        </w:tc>
        <w:tc>
          <w:tcPr>
            <w:tcW w:w="155" w:type="pct"/>
            <w:tcBorders>
              <w:top w:val="nil"/>
              <w:left w:val="nil"/>
              <w:bottom w:val="single" w:sz="4" w:space="0" w:color="auto"/>
              <w:right w:val="single" w:sz="4" w:space="0" w:color="auto"/>
            </w:tcBorders>
            <w:shd w:val="clear" w:color="auto" w:fill="auto"/>
            <w:vAlign w:val="center"/>
            <w:hideMark/>
          </w:tcPr>
          <w:p w14:paraId="420E944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445A50A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UNHCR</w:t>
            </w:r>
          </w:p>
        </w:tc>
        <w:tc>
          <w:tcPr>
            <w:tcW w:w="163" w:type="pct"/>
            <w:tcBorders>
              <w:top w:val="nil"/>
              <w:left w:val="nil"/>
              <w:bottom w:val="single" w:sz="4" w:space="0" w:color="auto"/>
              <w:right w:val="single" w:sz="4" w:space="0" w:color="auto"/>
            </w:tcBorders>
            <w:shd w:val="clear" w:color="000000" w:fill="FFF2CC"/>
            <w:vAlign w:val="center"/>
            <w:hideMark/>
          </w:tcPr>
          <w:p w14:paraId="57D5556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6,385,250</w:t>
            </w:r>
          </w:p>
        </w:tc>
        <w:tc>
          <w:tcPr>
            <w:tcW w:w="139" w:type="pct"/>
            <w:tcBorders>
              <w:top w:val="nil"/>
              <w:left w:val="nil"/>
              <w:bottom w:val="single" w:sz="4" w:space="0" w:color="auto"/>
              <w:right w:val="single" w:sz="4" w:space="0" w:color="auto"/>
            </w:tcBorders>
            <w:shd w:val="clear" w:color="auto" w:fill="auto"/>
            <w:vAlign w:val="center"/>
            <w:hideMark/>
          </w:tcPr>
          <w:p w14:paraId="2E3B6EB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391287A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16EB7F4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637E2CDE" w14:textId="53A7D398"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1FBB0B85"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6CC134FE"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4.3.1.2</w:t>
            </w:r>
          </w:p>
        </w:tc>
        <w:tc>
          <w:tcPr>
            <w:tcW w:w="281" w:type="pct"/>
            <w:tcBorders>
              <w:top w:val="nil"/>
              <w:left w:val="nil"/>
              <w:bottom w:val="single" w:sz="4" w:space="0" w:color="auto"/>
              <w:right w:val="single" w:sz="4" w:space="0" w:color="auto"/>
            </w:tcBorders>
            <w:shd w:val="clear" w:color="auto" w:fill="auto"/>
            <w:vAlign w:val="center"/>
            <w:hideMark/>
          </w:tcPr>
          <w:p w14:paraId="4B1AE57D" w14:textId="76CAC0DE"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4.3.1.2 Përfshirja e refugjatëve dhe azilkërkuesve në programe të veçanta për nxitjen e punësimit, arsimit profesional, strehimit social, et</w:t>
            </w:r>
            <w:r w:rsidR="0028334E" w:rsidRPr="00B457F5">
              <w:rPr>
                <w:rFonts w:ascii="Garamond" w:eastAsia="Times New Roman" w:hAnsi="Garamond" w:cs="Times New Roman"/>
                <w:color w:val="000000"/>
                <w:sz w:val="4"/>
                <w:szCs w:val="10"/>
              </w:rPr>
              <w:t>j.</w:t>
            </w:r>
          </w:p>
        </w:tc>
        <w:tc>
          <w:tcPr>
            <w:tcW w:w="186" w:type="pct"/>
            <w:tcBorders>
              <w:top w:val="nil"/>
              <w:left w:val="nil"/>
              <w:bottom w:val="single" w:sz="4" w:space="0" w:color="auto"/>
              <w:right w:val="single" w:sz="4" w:space="0" w:color="auto"/>
            </w:tcBorders>
            <w:shd w:val="clear" w:color="auto" w:fill="auto"/>
            <w:vAlign w:val="center"/>
            <w:hideMark/>
          </w:tcPr>
          <w:p w14:paraId="61E2D7EE" w14:textId="6642A658"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10550 Tregu i </w:t>
            </w:r>
            <w:r w:rsidR="0028334E" w:rsidRPr="00B457F5">
              <w:rPr>
                <w:rFonts w:ascii="Garamond" w:eastAsia="Times New Roman" w:hAnsi="Garamond" w:cs="Times New Roman"/>
                <w:color w:val="FF0000"/>
                <w:sz w:val="4"/>
                <w:szCs w:val="10"/>
              </w:rPr>
              <w:t>Punës</w:t>
            </w:r>
            <w:r w:rsidRPr="00B457F5">
              <w:rPr>
                <w:rFonts w:ascii="Garamond" w:eastAsia="Times New Roman" w:hAnsi="Garamond" w:cs="Times New Roman"/>
                <w:color w:val="FF0000"/>
                <w:sz w:val="4"/>
                <w:szCs w:val="10"/>
              </w:rPr>
              <w:t>, 06190 Strehimi, 09240 Arsimi i</w:t>
            </w:r>
            <w:r w:rsidR="0006016F" w:rsidRPr="00B457F5">
              <w:rPr>
                <w:rFonts w:ascii="Garamond" w:eastAsia="Times New Roman" w:hAnsi="Garamond" w:cs="Times New Roman"/>
                <w:color w:val="FF0000"/>
                <w:sz w:val="4"/>
                <w:szCs w:val="10"/>
              </w:rPr>
              <w:t xml:space="preserve"> </w:t>
            </w:r>
            <w:r w:rsidR="0028334E" w:rsidRPr="00B457F5">
              <w:rPr>
                <w:rFonts w:ascii="Garamond" w:eastAsia="Times New Roman" w:hAnsi="Garamond" w:cs="Times New Roman"/>
                <w:color w:val="FF0000"/>
                <w:sz w:val="4"/>
                <w:szCs w:val="10"/>
              </w:rPr>
              <w:t>Mesëm</w:t>
            </w:r>
            <w:r w:rsidRPr="00B457F5">
              <w:rPr>
                <w:rFonts w:ascii="Garamond" w:eastAsia="Times New Roman" w:hAnsi="Garamond" w:cs="Times New Roman"/>
                <w:color w:val="FF0000"/>
                <w:sz w:val="4"/>
                <w:szCs w:val="10"/>
              </w:rPr>
              <w:t xml:space="preserve"> (profesional)</w:t>
            </w:r>
          </w:p>
        </w:tc>
        <w:tc>
          <w:tcPr>
            <w:tcW w:w="169" w:type="pct"/>
            <w:tcBorders>
              <w:top w:val="nil"/>
              <w:left w:val="nil"/>
              <w:bottom w:val="single" w:sz="4" w:space="0" w:color="auto"/>
              <w:right w:val="single" w:sz="4" w:space="0" w:color="auto"/>
            </w:tcBorders>
            <w:shd w:val="clear" w:color="auto" w:fill="auto"/>
            <w:vAlign w:val="center"/>
            <w:hideMark/>
          </w:tcPr>
          <w:p w14:paraId="5682B86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MEKI</w:t>
            </w:r>
          </w:p>
        </w:tc>
        <w:tc>
          <w:tcPr>
            <w:tcW w:w="244" w:type="pct"/>
            <w:tcBorders>
              <w:top w:val="nil"/>
              <w:left w:val="nil"/>
              <w:bottom w:val="single" w:sz="4" w:space="0" w:color="auto"/>
              <w:right w:val="single" w:sz="4" w:space="0" w:color="auto"/>
            </w:tcBorders>
            <w:shd w:val="clear" w:color="auto" w:fill="auto"/>
            <w:vAlign w:val="center"/>
            <w:hideMark/>
          </w:tcPr>
          <w:p w14:paraId="6FE9135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w:t>
            </w:r>
          </w:p>
        </w:tc>
        <w:tc>
          <w:tcPr>
            <w:tcW w:w="135" w:type="pct"/>
            <w:tcBorders>
              <w:top w:val="nil"/>
              <w:left w:val="nil"/>
              <w:bottom w:val="single" w:sz="4" w:space="0" w:color="auto"/>
              <w:right w:val="single" w:sz="4" w:space="0" w:color="auto"/>
            </w:tcBorders>
            <w:shd w:val="clear" w:color="000000" w:fill="DDEBF7"/>
            <w:vAlign w:val="center"/>
            <w:hideMark/>
          </w:tcPr>
          <w:p w14:paraId="5B970AB4"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4C827408"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43AA2C2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840,000</w:t>
            </w:r>
          </w:p>
        </w:tc>
        <w:tc>
          <w:tcPr>
            <w:tcW w:w="155" w:type="pct"/>
            <w:tcBorders>
              <w:top w:val="nil"/>
              <w:left w:val="nil"/>
              <w:bottom w:val="single" w:sz="4" w:space="0" w:color="auto"/>
              <w:right w:val="single" w:sz="4" w:space="0" w:color="auto"/>
            </w:tcBorders>
            <w:shd w:val="clear" w:color="auto" w:fill="auto"/>
            <w:vAlign w:val="center"/>
            <w:hideMark/>
          </w:tcPr>
          <w:p w14:paraId="726D88F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6F2B9A8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840,000</w:t>
            </w:r>
          </w:p>
        </w:tc>
        <w:tc>
          <w:tcPr>
            <w:tcW w:w="165" w:type="pct"/>
            <w:tcBorders>
              <w:top w:val="nil"/>
              <w:left w:val="nil"/>
              <w:bottom w:val="single" w:sz="4" w:space="0" w:color="auto"/>
              <w:right w:val="single" w:sz="4" w:space="0" w:color="auto"/>
            </w:tcBorders>
            <w:shd w:val="clear" w:color="auto" w:fill="auto"/>
            <w:vAlign w:val="center"/>
            <w:hideMark/>
          </w:tcPr>
          <w:p w14:paraId="76D34AF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840,000</w:t>
            </w:r>
          </w:p>
        </w:tc>
        <w:tc>
          <w:tcPr>
            <w:tcW w:w="163" w:type="pct"/>
            <w:tcBorders>
              <w:top w:val="nil"/>
              <w:left w:val="nil"/>
              <w:bottom w:val="single" w:sz="4" w:space="0" w:color="auto"/>
              <w:right w:val="single" w:sz="4" w:space="0" w:color="auto"/>
            </w:tcBorders>
            <w:shd w:val="clear" w:color="auto" w:fill="auto"/>
            <w:vAlign w:val="center"/>
            <w:hideMark/>
          </w:tcPr>
          <w:p w14:paraId="22EFA23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5E2E487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840,000</w:t>
            </w:r>
          </w:p>
        </w:tc>
        <w:tc>
          <w:tcPr>
            <w:tcW w:w="163" w:type="pct"/>
            <w:tcBorders>
              <w:top w:val="nil"/>
              <w:left w:val="nil"/>
              <w:bottom w:val="single" w:sz="4" w:space="0" w:color="auto"/>
              <w:right w:val="single" w:sz="4" w:space="0" w:color="auto"/>
            </w:tcBorders>
            <w:shd w:val="clear" w:color="auto" w:fill="auto"/>
            <w:vAlign w:val="center"/>
            <w:hideMark/>
          </w:tcPr>
          <w:p w14:paraId="309F7B3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840,000</w:t>
            </w:r>
          </w:p>
        </w:tc>
        <w:tc>
          <w:tcPr>
            <w:tcW w:w="148" w:type="pct"/>
            <w:tcBorders>
              <w:top w:val="nil"/>
              <w:left w:val="nil"/>
              <w:bottom w:val="single" w:sz="4" w:space="0" w:color="auto"/>
              <w:right w:val="single" w:sz="4" w:space="0" w:color="auto"/>
            </w:tcBorders>
            <w:shd w:val="clear" w:color="auto" w:fill="auto"/>
            <w:vAlign w:val="center"/>
            <w:hideMark/>
          </w:tcPr>
          <w:p w14:paraId="7147A3D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6465FA7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840,000</w:t>
            </w:r>
          </w:p>
        </w:tc>
        <w:tc>
          <w:tcPr>
            <w:tcW w:w="165" w:type="pct"/>
            <w:tcBorders>
              <w:top w:val="nil"/>
              <w:left w:val="nil"/>
              <w:bottom w:val="single" w:sz="4" w:space="0" w:color="auto"/>
              <w:right w:val="single" w:sz="4" w:space="0" w:color="auto"/>
            </w:tcBorders>
            <w:shd w:val="clear" w:color="auto" w:fill="auto"/>
            <w:vAlign w:val="center"/>
            <w:hideMark/>
          </w:tcPr>
          <w:p w14:paraId="3745EB3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2,520,000</w:t>
            </w:r>
          </w:p>
        </w:tc>
        <w:tc>
          <w:tcPr>
            <w:tcW w:w="163" w:type="pct"/>
            <w:tcBorders>
              <w:top w:val="nil"/>
              <w:left w:val="nil"/>
              <w:bottom w:val="single" w:sz="4" w:space="0" w:color="auto"/>
              <w:right w:val="single" w:sz="4" w:space="0" w:color="auto"/>
            </w:tcBorders>
            <w:shd w:val="clear" w:color="auto" w:fill="auto"/>
            <w:vAlign w:val="center"/>
            <w:hideMark/>
          </w:tcPr>
          <w:p w14:paraId="105D63D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69CCE8A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2,520,000</w:t>
            </w:r>
          </w:p>
        </w:tc>
        <w:tc>
          <w:tcPr>
            <w:tcW w:w="163" w:type="pct"/>
            <w:tcBorders>
              <w:top w:val="nil"/>
              <w:left w:val="nil"/>
              <w:bottom w:val="single" w:sz="4" w:space="0" w:color="auto"/>
              <w:right w:val="single" w:sz="4" w:space="0" w:color="auto"/>
            </w:tcBorders>
            <w:shd w:val="clear" w:color="auto" w:fill="auto"/>
            <w:vAlign w:val="center"/>
            <w:hideMark/>
          </w:tcPr>
          <w:p w14:paraId="75073B6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317F5A6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7DBBF5D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2ED3EDF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2,520,000</w:t>
            </w:r>
          </w:p>
        </w:tc>
        <w:tc>
          <w:tcPr>
            <w:tcW w:w="155" w:type="pct"/>
            <w:tcBorders>
              <w:top w:val="nil"/>
              <w:left w:val="nil"/>
              <w:bottom w:val="single" w:sz="4" w:space="0" w:color="auto"/>
              <w:right w:val="single" w:sz="4" w:space="0" w:color="auto"/>
            </w:tcBorders>
            <w:shd w:val="clear" w:color="auto" w:fill="auto"/>
            <w:vAlign w:val="center"/>
            <w:hideMark/>
          </w:tcPr>
          <w:p w14:paraId="135CC5B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6919E50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UNHCR</w:t>
            </w:r>
          </w:p>
        </w:tc>
        <w:tc>
          <w:tcPr>
            <w:tcW w:w="163" w:type="pct"/>
            <w:tcBorders>
              <w:top w:val="nil"/>
              <w:left w:val="nil"/>
              <w:bottom w:val="single" w:sz="4" w:space="0" w:color="auto"/>
              <w:right w:val="single" w:sz="4" w:space="0" w:color="auto"/>
            </w:tcBorders>
            <w:shd w:val="clear" w:color="000000" w:fill="FFF2CC"/>
            <w:vAlign w:val="center"/>
            <w:hideMark/>
          </w:tcPr>
          <w:p w14:paraId="21743EC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2,520,000</w:t>
            </w:r>
          </w:p>
        </w:tc>
        <w:tc>
          <w:tcPr>
            <w:tcW w:w="139" w:type="pct"/>
            <w:tcBorders>
              <w:top w:val="nil"/>
              <w:left w:val="nil"/>
              <w:bottom w:val="single" w:sz="4" w:space="0" w:color="auto"/>
              <w:right w:val="single" w:sz="4" w:space="0" w:color="auto"/>
            </w:tcBorders>
            <w:shd w:val="clear" w:color="auto" w:fill="auto"/>
            <w:vAlign w:val="center"/>
            <w:hideMark/>
          </w:tcPr>
          <w:p w14:paraId="0399D84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4009D54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54490B2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113E57CD" w14:textId="686D5910"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2B2B003F"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65B5C20F"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4.3.1.3</w:t>
            </w:r>
          </w:p>
        </w:tc>
        <w:tc>
          <w:tcPr>
            <w:tcW w:w="281" w:type="pct"/>
            <w:tcBorders>
              <w:top w:val="nil"/>
              <w:left w:val="nil"/>
              <w:bottom w:val="single" w:sz="4" w:space="0" w:color="auto"/>
              <w:right w:val="single" w:sz="4" w:space="0" w:color="auto"/>
            </w:tcBorders>
            <w:shd w:val="clear" w:color="auto" w:fill="auto"/>
            <w:vAlign w:val="center"/>
            <w:hideMark/>
          </w:tcPr>
          <w:p w14:paraId="08E2A400" w14:textId="2CB950C4"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4.3.1.3 Hartimi i një udhërrëfyesi për zbatimin e programeve orientuese të integrimit</w:t>
            </w:r>
            <w:r w:rsidR="0006016F" w:rsidRPr="00B457F5">
              <w:rPr>
                <w:rFonts w:ascii="Garamond" w:eastAsia="Times New Roman" w:hAnsi="Garamond" w:cs="Times New Roman"/>
                <w:color w:val="000000"/>
                <w:sz w:val="4"/>
                <w:szCs w:val="10"/>
              </w:rPr>
              <w:t xml:space="preserve"> </w:t>
            </w:r>
            <w:r w:rsidRPr="00B457F5">
              <w:rPr>
                <w:rFonts w:ascii="Garamond" w:eastAsia="Times New Roman" w:hAnsi="Garamond" w:cs="Times New Roman"/>
                <w:color w:val="000000"/>
                <w:sz w:val="4"/>
                <w:szCs w:val="10"/>
              </w:rPr>
              <w:t>bazuar në përgjegjësitë institucionale</w:t>
            </w:r>
          </w:p>
        </w:tc>
        <w:tc>
          <w:tcPr>
            <w:tcW w:w="186" w:type="pct"/>
            <w:tcBorders>
              <w:top w:val="nil"/>
              <w:left w:val="nil"/>
              <w:bottom w:val="single" w:sz="4" w:space="0" w:color="auto"/>
              <w:right w:val="single" w:sz="4" w:space="0" w:color="auto"/>
            </w:tcBorders>
            <w:shd w:val="clear" w:color="auto" w:fill="auto"/>
            <w:vAlign w:val="center"/>
            <w:hideMark/>
          </w:tcPr>
          <w:p w14:paraId="79BA52B6" w14:textId="7834B2FF"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10430 </w:t>
            </w:r>
            <w:r w:rsidR="0028334E" w:rsidRPr="00B457F5">
              <w:rPr>
                <w:rFonts w:ascii="Garamond" w:eastAsia="Times New Roman" w:hAnsi="Garamond" w:cs="Times New Roman"/>
                <w:color w:val="FF0000"/>
                <w:sz w:val="4"/>
                <w:szCs w:val="10"/>
              </w:rPr>
              <w:t>Përkujdesja</w:t>
            </w:r>
            <w:r w:rsidRPr="00B457F5">
              <w:rPr>
                <w:rFonts w:ascii="Garamond" w:eastAsia="Times New Roman" w:hAnsi="Garamond" w:cs="Times New Roman"/>
                <w:color w:val="FF0000"/>
                <w:sz w:val="4"/>
                <w:szCs w:val="10"/>
              </w:rPr>
              <w:t xml:space="preserve"> Social</w:t>
            </w:r>
            <w:r w:rsidR="0028334E" w:rsidRPr="00B457F5">
              <w:rPr>
                <w:rFonts w:ascii="Garamond" w:eastAsia="Times New Roman" w:hAnsi="Garamond" w:cs="Times New Roman"/>
                <w:color w:val="FF0000"/>
                <w:sz w:val="4"/>
                <w:szCs w:val="10"/>
              </w:rPr>
              <w:t>e</w:t>
            </w:r>
          </w:p>
        </w:tc>
        <w:tc>
          <w:tcPr>
            <w:tcW w:w="169" w:type="pct"/>
            <w:tcBorders>
              <w:top w:val="nil"/>
              <w:left w:val="nil"/>
              <w:bottom w:val="single" w:sz="4" w:space="0" w:color="auto"/>
              <w:right w:val="single" w:sz="4" w:space="0" w:color="auto"/>
            </w:tcBorders>
            <w:shd w:val="clear" w:color="auto" w:fill="auto"/>
            <w:vAlign w:val="center"/>
            <w:hideMark/>
          </w:tcPr>
          <w:p w14:paraId="7C04119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MSHMS</w:t>
            </w:r>
          </w:p>
        </w:tc>
        <w:tc>
          <w:tcPr>
            <w:tcW w:w="244" w:type="pct"/>
            <w:tcBorders>
              <w:top w:val="nil"/>
              <w:left w:val="nil"/>
              <w:bottom w:val="single" w:sz="4" w:space="0" w:color="auto"/>
              <w:right w:val="single" w:sz="4" w:space="0" w:color="auto"/>
            </w:tcBorders>
            <w:shd w:val="clear" w:color="auto" w:fill="auto"/>
            <w:vAlign w:val="center"/>
            <w:hideMark/>
          </w:tcPr>
          <w:p w14:paraId="4323C94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w:t>
            </w:r>
          </w:p>
        </w:tc>
        <w:tc>
          <w:tcPr>
            <w:tcW w:w="135" w:type="pct"/>
            <w:tcBorders>
              <w:top w:val="nil"/>
              <w:left w:val="nil"/>
              <w:bottom w:val="single" w:sz="4" w:space="0" w:color="auto"/>
              <w:right w:val="single" w:sz="4" w:space="0" w:color="auto"/>
            </w:tcBorders>
            <w:shd w:val="clear" w:color="000000" w:fill="DDEBF7"/>
            <w:vAlign w:val="center"/>
            <w:hideMark/>
          </w:tcPr>
          <w:p w14:paraId="4EECEF79"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72ABD084"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446B56C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1,920,000</w:t>
            </w:r>
          </w:p>
        </w:tc>
        <w:tc>
          <w:tcPr>
            <w:tcW w:w="155" w:type="pct"/>
            <w:tcBorders>
              <w:top w:val="nil"/>
              <w:left w:val="nil"/>
              <w:bottom w:val="single" w:sz="4" w:space="0" w:color="auto"/>
              <w:right w:val="single" w:sz="4" w:space="0" w:color="auto"/>
            </w:tcBorders>
            <w:shd w:val="clear" w:color="auto" w:fill="auto"/>
            <w:vAlign w:val="center"/>
            <w:hideMark/>
          </w:tcPr>
          <w:p w14:paraId="64EE0A9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1B19BA1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1,920,000</w:t>
            </w:r>
          </w:p>
        </w:tc>
        <w:tc>
          <w:tcPr>
            <w:tcW w:w="165" w:type="pct"/>
            <w:tcBorders>
              <w:top w:val="nil"/>
              <w:left w:val="nil"/>
              <w:bottom w:val="single" w:sz="4" w:space="0" w:color="auto"/>
              <w:right w:val="single" w:sz="4" w:space="0" w:color="auto"/>
            </w:tcBorders>
            <w:shd w:val="clear" w:color="auto" w:fill="auto"/>
            <w:vAlign w:val="center"/>
            <w:hideMark/>
          </w:tcPr>
          <w:p w14:paraId="4505FA9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600,000</w:t>
            </w:r>
          </w:p>
        </w:tc>
        <w:tc>
          <w:tcPr>
            <w:tcW w:w="163" w:type="pct"/>
            <w:tcBorders>
              <w:top w:val="nil"/>
              <w:left w:val="nil"/>
              <w:bottom w:val="single" w:sz="4" w:space="0" w:color="auto"/>
              <w:right w:val="single" w:sz="4" w:space="0" w:color="auto"/>
            </w:tcBorders>
            <w:shd w:val="clear" w:color="auto" w:fill="auto"/>
            <w:vAlign w:val="center"/>
            <w:hideMark/>
          </w:tcPr>
          <w:p w14:paraId="116C8AE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0C1A151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600,000</w:t>
            </w:r>
          </w:p>
        </w:tc>
        <w:tc>
          <w:tcPr>
            <w:tcW w:w="163" w:type="pct"/>
            <w:tcBorders>
              <w:top w:val="nil"/>
              <w:left w:val="nil"/>
              <w:bottom w:val="single" w:sz="4" w:space="0" w:color="auto"/>
              <w:right w:val="single" w:sz="4" w:space="0" w:color="auto"/>
            </w:tcBorders>
            <w:shd w:val="clear" w:color="auto" w:fill="auto"/>
            <w:vAlign w:val="center"/>
            <w:hideMark/>
          </w:tcPr>
          <w:p w14:paraId="5FA7E44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360,000</w:t>
            </w:r>
          </w:p>
        </w:tc>
        <w:tc>
          <w:tcPr>
            <w:tcW w:w="148" w:type="pct"/>
            <w:tcBorders>
              <w:top w:val="nil"/>
              <w:left w:val="nil"/>
              <w:bottom w:val="single" w:sz="4" w:space="0" w:color="auto"/>
              <w:right w:val="single" w:sz="4" w:space="0" w:color="auto"/>
            </w:tcBorders>
            <w:shd w:val="clear" w:color="auto" w:fill="auto"/>
            <w:vAlign w:val="center"/>
            <w:hideMark/>
          </w:tcPr>
          <w:p w14:paraId="46ED583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1A5E7A2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360,000</w:t>
            </w:r>
          </w:p>
        </w:tc>
        <w:tc>
          <w:tcPr>
            <w:tcW w:w="165" w:type="pct"/>
            <w:tcBorders>
              <w:top w:val="nil"/>
              <w:left w:val="nil"/>
              <w:bottom w:val="single" w:sz="4" w:space="0" w:color="auto"/>
              <w:right w:val="single" w:sz="4" w:space="0" w:color="auto"/>
            </w:tcBorders>
            <w:shd w:val="clear" w:color="auto" w:fill="auto"/>
            <w:vAlign w:val="center"/>
            <w:hideMark/>
          </w:tcPr>
          <w:p w14:paraId="3580A57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2,880,000</w:t>
            </w:r>
          </w:p>
        </w:tc>
        <w:tc>
          <w:tcPr>
            <w:tcW w:w="163" w:type="pct"/>
            <w:tcBorders>
              <w:top w:val="nil"/>
              <w:left w:val="nil"/>
              <w:bottom w:val="single" w:sz="4" w:space="0" w:color="auto"/>
              <w:right w:val="single" w:sz="4" w:space="0" w:color="auto"/>
            </w:tcBorders>
            <w:shd w:val="clear" w:color="auto" w:fill="auto"/>
            <w:vAlign w:val="center"/>
            <w:hideMark/>
          </w:tcPr>
          <w:p w14:paraId="2357F59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00762A6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2,880,000</w:t>
            </w:r>
          </w:p>
        </w:tc>
        <w:tc>
          <w:tcPr>
            <w:tcW w:w="163" w:type="pct"/>
            <w:tcBorders>
              <w:top w:val="nil"/>
              <w:left w:val="nil"/>
              <w:bottom w:val="single" w:sz="4" w:space="0" w:color="auto"/>
              <w:right w:val="single" w:sz="4" w:space="0" w:color="auto"/>
            </w:tcBorders>
            <w:shd w:val="clear" w:color="auto" w:fill="auto"/>
            <w:vAlign w:val="center"/>
            <w:hideMark/>
          </w:tcPr>
          <w:p w14:paraId="50467FB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3B9FAEA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77FC5A6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272495B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2,880,000</w:t>
            </w:r>
          </w:p>
        </w:tc>
        <w:tc>
          <w:tcPr>
            <w:tcW w:w="155" w:type="pct"/>
            <w:tcBorders>
              <w:top w:val="nil"/>
              <w:left w:val="nil"/>
              <w:bottom w:val="single" w:sz="4" w:space="0" w:color="auto"/>
              <w:right w:val="single" w:sz="4" w:space="0" w:color="auto"/>
            </w:tcBorders>
            <w:shd w:val="clear" w:color="auto" w:fill="auto"/>
            <w:vAlign w:val="center"/>
            <w:hideMark/>
          </w:tcPr>
          <w:p w14:paraId="4190F3E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70E913D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UNHCR</w:t>
            </w:r>
          </w:p>
        </w:tc>
        <w:tc>
          <w:tcPr>
            <w:tcW w:w="163" w:type="pct"/>
            <w:tcBorders>
              <w:top w:val="nil"/>
              <w:left w:val="nil"/>
              <w:bottom w:val="single" w:sz="4" w:space="0" w:color="auto"/>
              <w:right w:val="single" w:sz="4" w:space="0" w:color="auto"/>
            </w:tcBorders>
            <w:shd w:val="clear" w:color="000000" w:fill="FFF2CC"/>
            <w:vAlign w:val="center"/>
            <w:hideMark/>
          </w:tcPr>
          <w:p w14:paraId="38AB312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2,880,000</w:t>
            </w:r>
          </w:p>
        </w:tc>
        <w:tc>
          <w:tcPr>
            <w:tcW w:w="139" w:type="pct"/>
            <w:tcBorders>
              <w:top w:val="nil"/>
              <w:left w:val="nil"/>
              <w:bottom w:val="single" w:sz="4" w:space="0" w:color="auto"/>
              <w:right w:val="single" w:sz="4" w:space="0" w:color="auto"/>
            </w:tcBorders>
            <w:shd w:val="clear" w:color="auto" w:fill="auto"/>
            <w:vAlign w:val="center"/>
            <w:hideMark/>
          </w:tcPr>
          <w:p w14:paraId="1A890CA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16B7C6C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23508A4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63D63137" w14:textId="45FEBBC4"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6001611E"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2BB52EA1"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4.3.1.4</w:t>
            </w:r>
          </w:p>
        </w:tc>
        <w:tc>
          <w:tcPr>
            <w:tcW w:w="281" w:type="pct"/>
            <w:tcBorders>
              <w:top w:val="nil"/>
              <w:left w:val="nil"/>
              <w:bottom w:val="single" w:sz="4" w:space="0" w:color="auto"/>
              <w:right w:val="single" w:sz="4" w:space="0" w:color="auto"/>
            </w:tcBorders>
            <w:shd w:val="clear" w:color="auto" w:fill="auto"/>
            <w:vAlign w:val="center"/>
            <w:hideMark/>
          </w:tcPr>
          <w:p w14:paraId="60CAA3BD" w14:textId="721D2A56"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4.3.1.4 Monitorimi periodik i zbatimit të masave integruese, nëpërmjet sondazheve dhe intervistave direkt me përfituesit (refugjatë/azilkërkues)</w:t>
            </w:r>
          </w:p>
        </w:tc>
        <w:tc>
          <w:tcPr>
            <w:tcW w:w="186" w:type="pct"/>
            <w:tcBorders>
              <w:top w:val="nil"/>
              <w:left w:val="nil"/>
              <w:bottom w:val="single" w:sz="4" w:space="0" w:color="auto"/>
              <w:right w:val="single" w:sz="4" w:space="0" w:color="auto"/>
            </w:tcBorders>
            <w:shd w:val="clear" w:color="auto" w:fill="auto"/>
            <w:vAlign w:val="center"/>
            <w:hideMark/>
          </w:tcPr>
          <w:p w14:paraId="58F86DEA" w14:textId="76B2B2AC"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03320 </w:t>
            </w:r>
            <w:r w:rsidR="0028334E" w:rsidRPr="00B457F5">
              <w:rPr>
                <w:rFonts w:ascii="Garamond" w:eastAsia="Times New Roman" w:hAnsi="Garamond" w:cs="Times New Roman"/>
                <w:color w:val="FF0000"/>
                <w:sz w:val="4"/>
                <w:szCs w:val="10"/>
              </w:rPr>
              <w:t>Shërbimi</w:t>
            </w:r>
            <w:r w:rsidRPr="00B457F5">
              <w:rPr>
                <w:rFonts w:ascii="Garamond" w:eastAsia="Times New Roman" w:hAnsi="Garamond" w:cs="Times New Roman"/>
                <w:color w:val="FF0000"/>
                <w:sz w:val="4"/>
                <w:szCs w:val="10"/>
              </w:rPr>
              <w:t xml:space="preserve"> i </w:t>
            </w:r>
            <w:r w:rsidR="0028334E" w:rsidRPr="00B457F5">
              <w:rPr>
                <w:rFonts w:ascii="Garamond" w:eastAsia="Times New Roman" w:hAnsi="Garamond" w:cs="Times New Roman"/>
                <w:color w:val="FF0000"/>
                <w:sz w:val="4"/>
                <w:szCs w:val="10"/>
              </w:rPr>
              <w:t>avokatisë</w:t>
            </w:r>
          </w:p>
        </w:tc>
        <w:tc>
          <w:tcPr>
            <w:tcW w:w="169" w:type="pct"/>
            <w:tcBorders>
              <w:top w:val="nil"/>
              <w:left w:val="nil"/>
              <w:bottom w:val="single" w:sz="4" w:space="0" w:color="auto"/>
              <w:right w:val="single" w:sz="4" w:space="0" w:color="auto"/>
            </w:tcBorders>
            <w:shd w:val="clear" w:color="auto" w:fill="auto"/>
            <w:vAlign w:val="center"/>
            <w:hideMark/>
          </w:tcPr>
          <w:p w14:paraId="4D9D853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Avokati i Popullit</w:t>
            </w:r>
          </w:p>
        </w:tc>
        <w:tc>
          <w:tcPr>
            <w:tcW w:w="244" w:type="pct"/>
            <w:tcBorders>
              <w:top w:val="nil"/>
              <w:left w:val="nil"/>
              <w:bottom w:val="single" w:sz="4" w:space="0" w:color="auto"/>
              <w:right w:val="single" w:sz="4" w:space="0" w:color="auto"/>
            </w:tcBorders>
            <w:shd w:val="clear" w:color="auto" w:fill="auto"/>
            <w:vAlign w:val="center"/>
            <w:hideMark/>
          </w:tcPr>
          <w:p w14:paraId="2F0BAB2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MB/MSHMS</w:t>
            </w:r>
          </w:p>
        </w:tc>
        <w:tc>
          <w:tcPr>
            <w:tcW w:w="135" w:type="pct"/>
            <w:tcBorders>
              <w:top w:val="nil"/>
              <w:left w:val="nil"/>
              <w:bottom w:val="single" w:sz="4" w:space="0" w:color="auto"/>
              <w:right w:val="single" w:sz="4" w:space="0" w:color="auto"/>
            </w:tcBorders>
            <w:shd w:val="clear" w:color="000000" w:fill="DDEBF7"/>
            <w:vAlign w:val="center"/>
            <w:hideMark/>
          </w:tcPr>
          <w:p w14:paraId="6DB2B948"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7C7AFA7C"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14E866A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1,299,459</w:t>
            </w:r>
          </w:p>
        </w:tc>
        <w:tc>
          <w:tcPr>
            <w:tcW w:w="155" w:type="pct"/>
            <w:tcBorders>
              <w:top w:val="nil"/>
              <w:left w:val="nil"/>
              <w:bottom w:val="single" w:sz="4" w:space="0" w:color="auto"/>
              <w:right w:val="single" w:sz="4" w:space="0" w:color="auto"/>
            </w:tcBorders>
            <w:shd w:val="clear" w:color="auto" w:fill="auto"/>
            <w:vAlign w:val="center"/>
            <w:hideMark/>
          </w:tcPr>
          <w:p w14:paraId="32B6D50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2B176ED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1,299,459</w:t>
            </w:r>
          </w:p>
        </w:tc>
        <w:tc>
          <w:tcPr>
            <w:tcW w:w="165" w:type="pct"/>
            <w:tcBorders>
              <w:top w:val="nil"/>
              <w:left w:val="nil"/>
              <w:bottom w:val="single" w:sz="4" w:space="0" w:color="auto"/>
              <w:right w:val="single" w:sz="4" w:space="0" w:color="auto"/>
            </w:tcBorders>
            <w:shd w:val="clear" w:color="auto" w:fill="auto"/>
            <w:vAlign w:val="center"/>
            <w:hideMark/>
          </w:tcPr>
          <w:p w14:paraId="3D05281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1,299,459</w:t>
            </w:r>
          </w:p>
        </w:tc>
        <w:tc>
          <w:tcPr>
            <w:tcW w:w="163" w:type="pct"/>
            <w:tcBorders>
              <w:top w:val="nil"/>
              <w:left w:val="nil"/>
              <w:bottom w:val="single" w:sz="4" w:space="0" w:color="auto"/>
              <w:right w:val="single" w:sz="4" w:space="0" w:color="auto"/>
            </w:tcBorders>
            <w:shd w:val="clear" w:color="auto" w:fill="auto"/>
            <w:vAlign w:val="center"/>
            <w:hideMark/>
          </w:tcPr>
          <w:p w14:paraId="09E0EF3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15454B6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1,299,459</w:t>
            </w:r>
          </w:p>
        </w:tc>
        <w:tc>
          <w:tcPr>
            <w:tcW w:w="163" w:type="pct"/>
            <w:tcBorders>
              <w:top w:val="nil"/>
              <w:left w:val="nil"/>
              <w:bottom w:val="single" w:sz="4" w:space="0" w:color="auto"/>
              <w:right w:val="single" w:sz="4" w:space="0" w:color="auto"/>
            </w:tcBorders>
            <w:shd w:val="clear" w:color="auto" w:fill="auto"/>
            <w:vAlign w:val="center"/>
            <w:hideMark/>
          </w:tcPr>
          <w:p w14:paraId="1E695F2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1,299,459</w:t>
            </w:r>
          </w:p>
        </w:tc>
        <w:tc>
          <w:tcPr>
            <w:tcW w:w="148" w:type="pct"/>
            <w:tcBorders>
              <w:top w:val="nil"/>
              <w:left w:val="nil"/>
              <w:bottom w:val="single" w:sz="4" w:space="0" w:color="auto"/>
              <w:right w:val="single" w:sz="4" w:space="0" w:color="auto"/>
            </w:tcBorders>
            <w:shd w:val="clear" w:color="auto" w:fill="auto"/>
            <w:vAlign w:val="center"/>
            <w:hideMark/>
          </w:tcPr>
          <w:p w14:paraId="4B74BE6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58BA323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1,299,459</w:t>
            </w:r>
          </w:p>
        </w:tc>
        <w:tc>
          <w:tcPr>
            <w:tcW w:w="165" w:type="pct"/>
            <w:tcBorders>
              <w:top w:val="nil"/>
              <w:left w:val="nil"/>
              <w:bottom w:val="single" w:sz="4" w:space="0" w:color="auto"/>
              <w:right w:val="single" w:sz="4" w:space="0" w:color="auto"/>
            </w:tcBorders>
            <w:shd w:val="clear" w:color="auto" w:fill="auto"/>
            <w:vAlign w:val="center"/>
            <w:hideMark/>
          </w:tcPr>
          <w:p w14:paraId="7A2540E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3,898,377</w:t>
            </w:r>
          </w:p>
        </w:tc>
        <w:tc>
          <w:tcPr>
            <w:tcW w:w="163" w:type="pct"/>
            <w:tcBorders>
              <w:top w:val="nil"/>
              <w:left w:val="nil"/>
              <w:bottom w:val="single" w:sz="4" w:space="0" w:color="auto"/>
              <w:right w:val="single" w:sz="4" w:space="0" w:color="auto"/>
            </w:tcBorders>
            <w:shd w:val="clear" w:color="auto" w:fill="auto"/>
            <w:vAlign w:val="center"/>
            <w:hideMark/>
          </w:tcPr>
          <w:p w14:paraId="0238688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490E4E3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3,898,377</w:t>
            </w:r>
          </w:p>
        </w:tc>
        <w:tc>
          <w:tcPr>
            <w:tcW w:w="163" w:type="pct"/>
            <w:tcBorders>
              <w:top w:val="nil"/>
              <w:left w:val="nil"/>
              <w:bottom w:val="single" w:sz="4" w:space="0" w:color="auto"/>
              <w:right w:val="single" w:sz="4" w:space="0" w:color="auto"/>
            </w:tcBorders>
            <w:shd w:val="clear" w:color="auto" w:fill="auto"/>
            <w:vAlign w:val="center"/>
            <w:hideMark/>
          </w:tcPr>
          <w:p w14:paraId="44DB920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3,898,377</w:t>
            </w:r>
          </w:p>
        </w:tc>
        <w:tc>
          <w:tcPr>
            <w:tcW w:w="155" w:type="pct"/>
            <w:tcBorders>
              <w:top w:val="nil"/>
              <w:left w:val="nil"/>
              <w:bottom w:val="single" w:sz="4" w:space="0" w:color="auto"/>
              <w:right w:val="single" w:sz="4" w:space="0" w:color="auto"/>
            </w:tcBorders>
            <w:shd w:val="clear" w:color="auto" w:fill="auto"/>
            <w:vAlign w:val="center"/>
            <w:hideMark/>
          </w:tcPr>
          <w:p w14:paraId="367D5B8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022C123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3,898,377</w:t>
            </w:r>
          </w:p>
        </w:tc>
        <w:tc>
          <w:tcPr>
            <w:tcW w:w="162" w:type="pct"/>
            <w:tcBorders>
              <w:top w:val="nil"/>
              <w:left w:val="nil"/>
              <w:bottom w:val="single" w:sz="4" w:space="0" w:color="auto"/>
              <w:right w:val="single" w:sz="4" w:space="0" w:color="auto"/>
            </w:tcBorders>
            <w:shd w:val="clear" w:color="auto" w:fill="auto"/>
            <w:vAlign w:val="center"/>
            <w:hideMark/>
          </w:tcPr>
          <w:p w14:paraId="6FC4BF1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69E2FA9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43B57184" w14:textId="77777777" w:rsidR="00C260C3" w:rsidRPr="00B457F5" w:rsidRDefault="00C260C3" w:rsidP="00C260C3">
            <w:pPr>
              <w:spacing w:before="0" w:after="0"/>
              <w:jc w:val="center"/>
              <w:rPr>
                <w:rFonts w:ascii="Garamond" w:eastAsia="Times New Roman" w:hAnsi="Garamond" w:cs="Times New Roman"/>
                <w:b/>
                <w:bCs/>
                <w:sz w:val="4"/>
                <w:szCs w:val="10"/>
              </w:rPr>
            </w:pPr>
            <w:r w:rsidRPr="00B457F5">
              <w:rPr>
                <w:rFonts w:ascii="Garamond" w:eastAsia="Times New Roman" w:hAnsi="Garamond" w:cs="Times New Roman"/>
                <w:b/>
                <w:bCs/>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22D0A0E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38BAAB5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6C4C237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3FFA480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7FAB0C3C" w14:textId="587618D5"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5BB203B4"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2FF79789"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4.3.1.5</w:t>
            </w:r>
          </w:p>
        </w:tc>
        <w:tc>
          <w:tcPr>
            <w:tcW w:w="281" w:type="pct"/>
            <w:tcBorders>
              <w:top w:val="nil"/>
              <w:left w:val="nil"/>
              <w:bottom w:val="single" w:sz="4" w:space="0" w:color="auto"/>
              <w:right w:val="single" w:sz="4" w:space="0" w:color="auto"/>
            </w:tcBorders>
            <w:shd w:val="clear" w:color="auto" w:fill="auto"/>
            <w:vAlign w:val="center"/>
            <w:hideMark/>
          </w:tcPr>
          <w:p w14:paraId="487D423A" w14:textId="1E6F2355"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4.3.1.5 Trajnimi dhe kualifikimi i </w:t>
            </w:r>
            <w:r w:rsidR="0028334E" w:rsidRPr="00B457F5">
              <w:rPr>
                <w:rFonts w:ascii="Garamond" w:eastAsia="Times New Roman" w:hAnsi="Garamond" w:cs="Times New Roman"/>
                <w:color w:val="000000"/>
                <w:sz w:val="4"/>
                <w:szCs w:val="10"/>
              </w:rPr>
              <w:t>trajnerëve</w:t>
            </w:r>
            <w:r w:rsidRPr="00B457F5">
              <w:rPr>
                <w:rFonts w:ascii="Garamond" w:eastAsia="Times New Roman" w:hAnsi="Garamond" w:cs="Times New Roman"/>
                <w:color w:val="000000"/>
                <w:sz w:val="4"/>
                <w:szCs w:val="10"/>
              </w:rPr>
              <w:t>/</w:t>
            </w:r>
            <w:r w:rsidR="005C6C49" w:rsidRPr="00B457F5">
              <w:rPr>
                <w:rFonts w:ascii="Garamond" w:eastAsia="Times New Roman" w:hAnsi="Garamond" w:cs="Times New Roman"/>
                <w:color w:val="000000"/>
                <w:sz w:val="4"/>
                <w:szCs w:val="10"/>
              </w:rPr>
              <w:t xml:space="preserve"> </w:t>
            </w:r>
            <w:r w:rsidRPr="00B457F5">
              <w:rPr>
                <w:rFonts w:ascii="Garamond" w:eastAsia="Times New Roman" w:hAnsi="Garamond" w:cs="Times New Roman"/>
                <w:color w:val="000000"/>
                <w:sz w:val="4"/>
                <w:szCs w:val="10"/>
              </w:rPr>
              <w:t>mediatorëve kulturorë për zhvillimin e programeve integruese</w:t>
            </w:r>
          </w:p>
        </w:tc>
        <w:tc>
          <w:tcPr>
            <w:tcW w:w="186" w:type="pct"/>
            <w:tcBorders>
              <w:top w:val="nil"/>
              <w:left w:val="nil"/>
              <w:bottom w:val="single" w:sz="4" w:space="0" w:color="auto"/>
              <w:right w:val="single" w:sz="4" w:space="0" w:color="auto"/>
            </w:tcBorders>
            <w:shd w:val="clear" w:color="auto" w:fill="auto"/>
            <w:vAlign w:val="center"/>
            <w:hideMark/>
          </w:tcPr>
          <w:p w14:paraId="086294A6" w14:textId="688AF481"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10430 </w:t>
            </w:r>
            <w:r w:rsidR="0028334E" w:rsidRPr="00B457F5">
              <w:rPr>
                <w:rFonts w:ascii="Garamond" w:eastAsia="Times New Roman" w:hAnsi="Garamond" w:cs="Times New Roman"/>
                <w:color w:val="FF0000"/>
                <w:sz w:val="4"/>
                <w:szCs w:val="10"/>
              </w:rPr>
              <w:t>përkujdesja</w:t>
            </w:r>
            <w:r w:rsidRPr="00B457F5">
              <w:rPr>
                <w:rFonts w:ascii="Garamond" w:eastAsia="Times New Roman" w:hAnsi="Garamond" w:cs="Times New Roman"/>
                <w:color w:val="FF0000"/>
                <w:sz w:val="4"/>
                <w:szCs w:val="10"/>
              </w:rPr>
              <w:t xml:space="preserve"> Social</w:t>
            </w:r>
            <w:r w:rsidR="0028334E" w:rsidRPr="00B457F5">
              <w:rPr>
                <w:rFonts w:ascii="Garamond" w:eastAsia="Times New Roman" w:hAnsi="Garamond" w:cs="Times New Roman"/>
                <w:color w:val="FF0000"/>
                <w:sz w:val="4"/>
                <w:szCs w:val="10"/>
              </w:rPr>
              <w:t>e</w:t>
            </w:r>
          </w:p>
        </w:tc>
        <w:tc>
          <w:tcPr>
            <w:tcW w:w="169" w:type="pct"/>
            <w:tcBorders>
              <w:top w:val="nil"/>
              <w:left w:val="nil"/>
              <w:bottom w:val="single" w:sz="4" w:space="0" w:color="auto"/>
              <w:right w:val="single" w:sz="4" w:space="0" w:color="auto"/>
            </w:tcBorders>
            <w:shd w:val="clear" w:color="auto" w:fill="auto"/>
            <w:vAlign w:val="center"/>
            <w:hideMark/>
          </w:tcPr>
          <w:p w14:paraId="48ED552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MSHMS</w:t>
            </w:r>
          </w:p>
        </w:tc>
        <w:tc>
          <w:tcPr>
            <w:tcW w:w="244" w:type="pct"/>
            <w:tcBorders>
              <w:top w:val="nil"/>
              <w:left w:val="nil"/>
              <w:bottom w:val="single" w:sz="4" w:space="0" w:color="auto"/>
              <w:right w:val="single" w:sz="4" w:space="0" w:color="auto"/>
            </w:tcBorders>
            <w:shd w:val="clear" w:color="auto" w:fill="auto"/>
            <w:vAlign w:val="center"/>
            <w:hideMark/>
          </w:tcPr>
          <w:p w14:paraId="53E8C9D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 UNHCR, IOM</w:t>
            </w:r>
          </w:p>
        </w:tc>
        <w:tc>
          <w:tcPr>
            <w:tcW w:w="135" w:type="pct"/>
            <w:tcBorders>
              <w:top w:val="nil"/>
              <w:left w:val="nil"/>
              <w:bottom w:val="single" w:sz="4" w:space="0" w:color="auto"/>
              <w:right w:val="single" w:sz="4" w:space="0" w:color="auto"/>
            </w:tcBorders>
            <w:shd w:val="clear" w:color="000000" w:fill="DDEBF7"/>
            <w:vAlign w:val="center"/>
            <w:hideMark/>
          </w:tcPr>
          <w:p w14:paraId="2494A6BC"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75CD3B68"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5D6CFF1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432,000</w:t>
            </w:r>
          </w:p>
        </w:tc>
        <w:tc>
          <w:tcPr>
            <w:tcW w:w="155" w:type="pct"/>
            <w:tcBorders>
              <w:top w:val="nil"/>
              <w:left w:val="nil"/>
              <w:bottom w:val="single" w:sz="4" w:space="0" w:color="auto"/>
              <w:right w:val="single" w:sz="4" w:space="0" w:color="auto"/>
            </w:tcBorders>
            <w:shd w:val="clear" w:color="auto" w:fill="auto"/>
            <w:vAlign w:val="center"/>
            <w:hideMark/>
          </w:tcPr>
          <w:p w14:paraId="3981F37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4964D55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432,000</w:t>
            </w:r>
          </w:p>
        </w:tc>
        <w:tc>
          <w:tcPr>
            <w:tcW w:w="165" w:type="pct"/>
            <w:tcBorders>
              <w:top w:val="nil"/>
              <w:left w:val="nil"/>
              <w:bottom w:val="single" w:sz="4" w:space="0" w:color="auto"/>
              <w:right w:val="single" w:sz="4" w:space="0" w:color="auto"/>
            </w:tcBorders>
            <w:shd w:val="clear" w:color="auto" w:fill="auto"/>
            <w:vAlign w:val="center"/>
            <w:hideMark/>
          </w:tcPr>
          <w:p w14:paraId="3C5A748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432,000</w:t>
            </w:r>
          </w:p>
        </w:tc>
        <w:tc>
          <w:tcPr>
            <w:tcW w:w="163" w:type="pct"/>
            <w:tcBorders>
              <w:top w:val="nil"/>
              <w:left w:val="nil"/>
              <w:bottom w:val="single" w:sz="4" w:space="0" w:color="auto"/>
              <w:right w:val="single" w:sz="4" w:space="0" w:color="auto"/>
            </w:tcBorders>
            <w:shd w:val="clear" w:color="auto" w:fill="auto"/>
            <w:vAlign w:val="center"/>
            <w:hideMark/>
          </w:tcPr>
          <w:p w14:paraId="75344E4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72ABFCB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432,000</w:t>
            </w:r>
          </w:p>
        </w:tc>
        <w:tc>
          <w:tcPr>
            <w:tcW w:w="163" w:type="pct"/>
            <w:tcBorders>
              <w:top w:val="nil"/>
              <w:left w:val="nil"/>
              <w:bottom w:val="single" w:sz="4" w:space="0" w:color="auto"/>
              <w:right w:val="single" w:sz="4" w:space="0" w:color="auto"/>
            </w:tcBorders>
            <w:shd w:val="clear" w:color="auto" w:fill="auto"/>
            <w:vAlign w:val="center"/>
            <w:hideMark/>
          </w:tcPr>
          <w:p w14:paraId="4B09F8B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432,000</w:t>
            </w:r>
          </w:p>
        </w:tc>
        <w:tc>
          <w:tcPr>
            <w:tcW w:w="148" w:type="pct"/>
            <w:tcBorders>
              <w:top w:val="nil"/>
              <w:left w:val="nil"/>
              <w:bottom w:val="single" w:sz="4" w:space="0" w:color="auto"/>
              <w:right w:val="single" w:sz="4" w:space="0" w:color="auto"/>
            </w:tcBorders>
            <w:shd w:val="clear" w:color="auto" w:fill="auto"/>
            <w:vAlign w:val="center"/>
            <w:hideMark/>
          </w:tcPr>
          <w:p w14:paraId="5897DD1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5509E6A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432,000</w:t>
            </w:r>
          </w:p>
        </w:tc>
        <w:tc>
          <w:tcPr>
            <w:tcW w:w="165" w:type="pct"/>
            <w:tcBorders>
              <w:top w:val="nil"/>
              <w:left w:val="nil"/>
              <w:bottom w:val="single" w:sz="4" w:space="0" w:color="auto"/>
              <w:right w:val="single" w:sz="4" w:space="0" w:color="auto"/>
            </w:tcBorders>
            <w:shd w:val="clear" w:color="auto" w:fill="auto"/>
            <w:vAlign w:val="center"/>
            <w:hideMark/>
          </w:tcPr>
          <w:p w14:paraId="77E2044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1,296,000</w:t>
            </w:r>
          </w:p>
        </w:tc>
        <w:tc>
          <w:tcPr>
            <w:tcW w:w="163" w:type="pct"/>
            <w:tcBorders>
              <w:top w:val="nil"/>
              <w:left w:val="nil"/>
              <w:bottom w:val="single" w:sz="4" w:space="0" w:color="auto"/>
              <w:right w:val="single" w:sz="4" w:space="0" w:color="auto"/>
            </w:tcBorders>
            <w:shd w:val="clear" w:color="auto" w:fill="auto"/>
            <w:vAlign w:val="center"/>
            <w:hideMark/>
          </w:tcPr>
          <w:p w14:paraId="34CA3A4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4D2AC1F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1,296,000</w:t>
            </w:r>
          </w:p>
        </w:tc>
        <w:tc>
          <w:tcPr>
            <w:tcW w:w="163" w:type="pct"/>
            <w:tcBorders>
              <w:top w:val="nil"/>
              <w:left w:val="nil"/>
              <w:bottom w:val="single" w:sz="4" w:space="0" w:color="auto"/>
              <w:right w:val="single" w:sz="4" w:space="0" w:color="auto"/>
            </w:tcBorders>
            <w:shd w:val="clear" w:color="auto" w:fill="auto"/>
            <w:vAlign w:val="center"/>
            <w:hideMark/>
          </w:tcPr>
          <w:p w14:paraId="7C60B49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24FDE39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3B11221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1B55F7C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1,296,000</w:t>
            </w:r>
          </w:p>
        </w:tc>
        <w:tc>
          <w:tcPr>
            <w:tcW w:w="155" w:type="pct"/>
            <w:tcBorders>
              <w:top w:val="nil"/>
              <w:left w:val="nil"/>
              <w:bottom w:val="single" w:sz="4" w:space="0" w:color="auto"/>
              <w:right w:val="single" w:sz="4" w:space="0" w:color="auto"/>
            </w:tcBorders>
            <w:shd w:val="clear" w:color="auto" w:fill="auto"/>
            <w:vAlign w:val="center"/>
            <w:hideMark/>
          </w:tcPr>
          <w:p w14:paraId="4C0FF10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1A9D671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UNHCR</w:t>
            </w:r>
          </w:p>
        </w:tc>
        <w:tc>
          <w:tcPr>
            <w:tcW w:w="163" w:type="pct"/>
            <w:tcBorders>
              <w:top w:val="nil"/>
              <w:left w:val="nil"/>
              <w:bottom w:val="single" w:sz="4" w:space="0" w:color="auto"/>
              <w:right w:val="single" w:sz="4" w:space="0" w:color="auto"/>
            </w:tcBorders>
            <w:shd w:val="clear" w:color="000000" w:fill="FFF2CC"/>
            <w:vAlign w:val="center"/>
            <w:hideMark/>
          </w:tcPr>
          <w:p w14:paraId="2387B76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1,296,000</w:t>
            </w:r>
          </w:p>
        </w:tc>
        <w:tc>
          <w:tcPr>
            <w:tcW w:w="139" w:type="pct"/>
            <w:tcBorders>
              <w:top w:val="nil"/>
              <w:left w:val="nil"/>
              <w:bottom w:val="single" w:sz="4" w:space="0" w:color="auto"/>
              <w:right w:val="single" w:sz="4" w:space="0" w:color="auto"/>
            </w:tcBorders>
            <w:shd w:val="clear" w:color="auto" w:fill="auto"/>
            <w:vAlign w:val="center"/>
            <w:hideMark/>
          </w:tcPr>
          <w:p w14:paraId="2893445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34B2266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31784B5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6EEED6C4" w14:textId="45A379EC"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0C83ABF9"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5744FCD0"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4.3.1.6</w:t>
            </w:r>
          </w:p>
        </w:tc>
        <w:tc>
          <w:tcPr>
            <w:tcW w:w="281" w:type="pct"/>
            <w:tcBorders>
              <w:top w:val="nil"/>
              <w:left w:val="nil"/>
              <w:bottom w:val="single" w:sz="4" w:space="0" w:color="auto"/>
              <w:right w:val="single" w:sz="4" w:space="0" w:color="auto"/>
            </w:tcBorders>
            <w:shd w:val="clear" w:color="auto" w:fill="auto"/>
            <w:vAlign w:val="center"/>
            <w:hideMark/>
          </w:tcPr>
          <w:p w14:paraId="0CA38B09" w14:textId="046BCED8"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4.3.1.6 Kryerja e një vlerësimi se si mund të nxitet pjesëmarrja e të miturve dhe e të</w:t>
            </w:r>
            <w:r w:rsidR="0006016F" w:rsidRPr="00B457F5">
              <w:rPr>
                <w:rFonts w:ascii="Garamond" w:eastAsia="Times New Roman" w:hAnsi="Garamond" w:cs="Times New Roman"/>
                <w:color w:val="000000"/>
                <w:sz w:val="4"/>
                <w:szCs w:val="10"/>
              </w:rPr>
              <w:t xml:space="preserve"> </w:t>
            </w:r>
            <w:r w:rsidRPr="00B457F5">
              <w:rPr>
                <w:rFonts w:ascii="Garamond" w:eastAsia="Times New Roman" w:hAnsi="Garamond" w:cs="Times New Roman"/>
                <w:color w:val="000000"/>
                <w:sz w:val="4"/>
                <w:szCs w:val="10"/>
              </w:rPr>
              <w:t>rinjve për arsimimin, kualifikime profesionale, trajnimin dhe punësimin e të rinjve/të rejave</w:t>
            </w:r>
          </w:p>
        </w:tc>
        <w:tc>
          <w:tcPr>
            <w:tcW w:w="186" w:type="pct"/>
            <w:tcBorders>
              <w:top w:val="nil"/>
              <w:left w:val="nil"/>
              <w:bottom w:val="single" w:sz="4" w:space="0" w:color="auto"/>
              <w:right w:val="single" w:sz="4" w:space="0" w:color="auto"/>
            </w:tcBorders>
            <w:shd w:val="clear" w:color="auto" w:fill="auto"/>
            <w:vAlign w:val="center"/>
            <w:hideMark/>
          </w:tcPr>
          <w:p w14:paraId="79199914" w14:textId="5A7E6158"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10430 </w:t>
            </w:r>
            <w:r w:rsidR="0028334E" w:rsidRPr="00B457F5">
              <w:rPr>
                <w:rFonts w:ascii="Garamond" w:eastAsia="Times New Roman" w:hAnsi="Garamond" w:cs="Times New Roman"/>
                <w:color w:val="FF0000"/>
                <w:sz w:val="4"/>
                <w:szCs w:val="10"/>
              </w:rPr>
              <w:t>përkujdesja</w:t>
            </w:r>
            <w:r w:rsidRPr="00B457F5">
              <w:rPr>
                <w:rFonts w:ascii="Garamond" w:eastAsia="Times New Roman" w:hAnsi="Garamond" w:cs="Times New Roman"/>
                <w:color w:val="FF0000"/>
                <w:sz w:val="4"/>
                <w:szCs w:val="10"/>
              </w:rPr>
              <w:t xml:space="preserve"> Social</w:t>
            </w:r>
          </w:p>
        </w:tc>
        <w:tc>
          <w:tcPr>
            <w:tcW w:w="169" w:type="pct"/>
            <w:tcBorders>
              <w:top w:val="nil"/>
              <w:left w:val="nil"/>
              <w:bottom w:val="single" w:sz="4" w:space="0" w:color="auto"/>
              <w:right w:val="single" w:sz="4" w:space="0" w:color="auto"/>
            </w:tcBorders>
            <w:shd w:val="clear" w:color="auto" w:fill="auto"/>
            <w:vAlign w:val="center"/>
            <w:hideMark/>
          </w:tcPr>
          <w:p w14:paraId="6612990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ASHMDF</w:t>
            </w:r>
          </w:p>
        </w:tc>
        <w:tc>
          <w:tcPr>
            <w:tcW w:w="244" w:type="pct"/>
            <w:tcBorders>
              <w:top w:val="nil"/>
              <w:left w:val="nil"/>
              <w:bottom w:val="single" w:sz="4" w:space="0" w:color="auto"/>
              <w:right w:val="single" w:sz="4" w:space="0" w:color="auto"/>
            </w:tcBorders>
            <w:shd w:val="clear" w:color="auto" w:fill="auto"/>
            <w:vAlign w:val="center"/>
            <w:hideMark/>
          </w:tcPr>
          <w:p w14:paraId="7285E96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MSHMS, MB, UNICEF, UNHCR</w:t>
            </w:r>
          </w:p>
        </w:tc>
        <w:tc>
          <w:tcPr>
            <w:tcW w:w="135" w:type="pct"/>
            <w:tcBorders>
              <w:top w:val="nil"/>
              <w:left w:val="nil"/>
              <w:bottom w:val="single" w:sz="4" w:space="0" w:color="auto"/>
              <w:right w:val="single" w:sz="4" w:space="0" w:color="auto"/>
            </w:tcBorders>
            <w:shd w:val="clear" w:color="000000" w:fill="DDEBF7"/>
            <w:vAlign w:val="center"/>
            <w:hideMark/>
          </w:tcPr>
          <w:p w14:paraId="1656F26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209EFE77"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63" w:type="pct"/>
            <w:tcBorders>
              <w:top w:val="nil"/>
              <w:left w:val="nil"/>
              <w:bottom w:val="single" w:sz="4" w:space="0" w:color="auto"/>
              <w:right w:val="single" w:sz="4" w:space="0" w:color="auto"/>
            </w:tcBorders>
            <w:shd w:val="clear" w:color="auto" w:fill="auto"/>
            <w:vAlign w:val="center"/>
            <w:hideMark/>
          </w:tcPr>
          <w:p w14:paraId="0E94DDE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2,270,220</w:t>
            </w:r>
          </w:p>
        </w:tc>
        <w:tc>
          <w:tcPr>
            <w:tcW w:w="155" w:type="pct"/>
            <w:tcBorders>
              <w:top w:val="nil"/>
              <w:left w:val="nil"/>
              <w:bottom w:val="single" w:sz="4" w:space="0" w:color="auto"/>
              <w:right w:val="single" w:sz="4" w:space="0" w:color="auto"/>
            </w:tcBorders>
            <w:shd w:val="clear" w:color="auto" w:fill="auto"/>
            <w:vAlign w:val="center"/>
            <w:hideMark/>
          </w:tcPr>
          <w:p w14:paraId="00124D2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592771C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2,270,220</w:t>
            </w:r>
          </w:p>
        </w:tc>
        <w:tc>
          <w:tcPr>
            <w:tcW w:w="165" w:type="pct"/>
            <w:tcBorders>
              <w:top w:val="nil"/>
              <w:left w:val="nil"/>
              <w:bottom w:val="single" w:sz="4" w:space="0" w:color="auto"/>
              <w:right w:val="single" w:sz="4" w:space="0" w:color="auto"/>
            </w:tcBorders>
            <w:shd w:val="clear" w:color="auto" w:fill="auto"/>
            <w:vAlign w:val="center"/>
            <w:hideMark/>
          </w:tcPr>
          <w:p w14:paraId="5945464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51A6B90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0414750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1FDAEF6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8" w:type="pct"/>
            <w:tcBorders>
              <w:top w:val="nil"/>
              <w:left w:val="nil"/>
              <w:bottom w:val="single" w:sz="4" w:space="0" w:color="auto"/>
              <w:right w:val="single" w:sz="4" w:space="0" w:color="auto"/>
            </w:tcBorders>
            <w:shd w:val="clear" w:color="auto" w:fill="auto"/>
            <w:vAlign w:val="center"/>
            <w:hideMark/>
          </w:tcPr>
          <w:p w14:paraId="2D1E218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77F9D25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auto" w:fill="auto"/>
            <w:vAlign w:val="center"/>
            <w:hideMark/>
          </w:tcPr>
          <w:p w14:paraId="4608708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2,270,220</w:t>
            </w:r>
          </w:p>
        </w:tc>
        <w:tc>
          <w:tcPr>
            <w:tcW w:w="163" w:type="pct"/>
            <w:tcBorders>
              <w:top w:val="nil"/>
              <w:left w:val="nil"/>
              <w:bottom w:val="single" w:sz="4" w:space="0" w:color="auto"/>
              <w:right w:val="single" w:sz="4" w:space="0" w:color="auto"/>
            </w:tcBorders>
            <w:shd w:val="clear" w:color="auto" w:fill="auto"/>
            <w:vAlign w:val="center"/>
            <w:hideMark/>
          </w:tcPr>
          <w:p w14:paraId="4CD2128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321CDDC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2,270,220</w:t>
            </w:r>
          </w:p>
        </w:tc>
        <w:tc>
          <w:tcPr>
            <w:tcW w:w="163" w:type="pct"/>
            <w:tcBorders>
              <w:top w:val="nil"/>
              <w:left w:val="nil"/>
              <w:bottom w:val="single" w:sz="4" w:space="0" w:color="auto"/>
              <w:right w:val="single" w:sz="4" w:space="0" w:color="auto"/>
            </w:tcBorders>
            <w:shd w:val="clear" w:color="auto" w:fill="auto"/>
            <w:vAlign w:val="center"/>
            <w:hideMark/>
          </w:tcPr>
          <w:p w14:paraId="1875830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1,670,220</w:t>
            </w:r>
          </w:p>
        </w:tc>
        <w:tc>
          <w:tcPr>
            <w:tcW w:w="155" w:type="pct"/>
            <w:tcBorders>
              <w:top w:val="nil"/>
              <w:left w:val="nil"/>
              <w:bottom w:val="single" w:sz="4" w:space="0" w:color="auto"/>
              <w:right w:val="single" w:sz="4" w:space="0" w:color="auto"/>
            </w:tcBorders>
            <w:shd w:val="clear" w:color="auto" w:fill="auto"/>
            <w:vAlign w:val="center"/>
            <w:hideMark/>
          </w:tcPr>
          <w:p w14:paraId="6F31361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4DF48B7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1,670,220</w:t>
            </w:r>
          </w:p>
        </w:tc>
        <w:tc>
          <w:tcPr>
            <w:tcW w:w="162" w:type="pct"/>
            <w:tcBorders>
              <w:top w:val="nil"/>
              <w:left w:val="nil"/>
              <w:bottom w:val="single" w:sz="4" w:space="0" w:color="auto"/>
              <w:right w:val="single" w:sz="4" w:space="0" w:color="auto"/>
            </w:tcBorders>
            <w:shd w:val="clear" w:color="auto" w:fill="auto"/>
            <w:vAlign w:val="center"/>
            <w:hideMark/>
          </w:tcPr>
          <w:p w14:paraId="3997F56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600,000</w:t>
            </w:r>
          </w:p>
        </w:tc>
        <w:tc>
          <w:tcPr>
            <w:tcW w:w="155" w:type="pct"/>
            <w:tcBorders>
              <w:top w:val="nil"/>
              <w:left w:val="nil"/>
              <w:bottom w:val="single" w:sz="4" w:space="0" w:color="auto"/>
              <w:right w:val="single" w:sz="4" w:space="0" w:color="auto"/>
            </w:tcBorders>
            <w:shd w:val="clear" w:color="auto" w:fill="auto"/>
            <w:vAlign w:val="center"/>
            <w:hideMark/>
          </w:tcPr>
          <w:p w14:paraId="15AD623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379D482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UNHCR</w:t>
            </w:r>
          </w:p>
        </w:tc>
        <w:tc>
          <w:tcPr>
            <w:tcW w:w="163" w:type="pct"/>
            <w:tcBorders>
              <w:top w:val="nil"/>
              <w:left w:val="nil"/>
              <w:bottom w:val="single" w:sz="4" w:space="0" w:color="auto"/>
              <w:right w:val="single" w:sz="4" w:space="0" w:color="auto"/>
            </w:tcBorders>
            <w:shd w:val="clear" w:color="000000" w:fill="FFF2CC"/>
            <w:vAlign w:val="center"/>
            <w:hideMark/>
          </w:tcPr>
          <w:p w14:paraId="27E68D5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600,000</w:t>
            </w:r>
          </w:p>
        </w:tc>
        <w:tc>
          <w:tcPr>
            <w:tcW w:w="139" w:type="pct"/>
            <w:tcBorders>
              <w:top w:val="nil"/>
              <w:left w:val="nil"/>
              <w:bottom w:val="single" w:sz="4" w:space="0" w:color="auto"/>
              <w:right w:val="single" w:sz="4" w:space="0" w:color="auto"/>
            </w:tcBorders>
            <w:shd w:val="clear" w:color="auto" w:fill="auto"/>
            <w:vAlign w:val="center"/>
            <w:hideMark/>
          </w:tcPr>
          <w:p w14:paraId="52C7FAE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5CF206C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4BFBC2D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146F4A57" w14:textId="2B8924B5"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6B501E7B"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3269240F"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4.3.1.7</w:t>
            </w:r>
          </w:p>
        </w:tc>
        <w:tc>
          <w:tcPr>
            <w:tcW w:w="281" w:type="pct"/>
            <w:tcBorders>
              <w:top w:val="nil"/>
              <w:left w:val="nil"/>
              <w:bottom w:val="single" w:sz="4" w:space="0" w:color="auto"/>
              <w:right w:val="single" w:sz="4" w:space="0" w:color="auto"/>
            </w:tcBorders>
            <w:shd w:val="clear" w:color="auto" w:fill="auto"/>
            <w:vAlign w:val="center"/>
            <w:hideMark/>
          </w:tcPr>
          <w:p w14:paraId="06991A8F" w14:textId="7C9CBCB8"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4.3.1.7</w:t>
            </w:r>
            <w:r w:rsidR="0006016F" w:rsidRPr="00B457F5">
              <w:rPr>
                <w:rFonts w:ascii="Garamond" w:eastAsia="Times New Roman" w:hAnsi="Garamond" w:cs="Times New Roman"/>
                <w:color w:val="000000"/>
                <w:sz w:val="4"/>
                <w:szCs w:val="10"/>
              </w:rPr>
              <w:t xml:space="preserve"> </w:t>
            </w:r>
            <w:r w:rsidRPr="00B457F5">
              <w:rPr>
                <w:rFonts w:ascii="Garamond" w:eastAsia="Times New Roman" w:hAnsi="Garamond" w:cs="Times New Roman"/>
                <w:color w:val="000000"/>
                <w:sz w:val="4"/>
                <w:szCs w:val="10"/>
              </w:rPr>
              <w:t xml:space="preserve">Përmirësimi i kushteve për shkollimin parësor për fëmijët e azilkërkuesve dhe refugjatëve - udhëzim 17 </w:t>
            </w:r>
            <w:r w:rsidR="00AF12C0" w:rsidRPr="00B457F5">
              <w:rPr>
                <w:rFonts w:ascii="Garamond" w:eastAsia="Times New Roman" w:hAnsi="Garamond" w:cs="Times New Roman"/>
                <w:color w:val="000000"/>
                <w:sz w:val="4"/>
                <w:szCs w:val="10"/>
              </w:rPr>
              <w:t>m</w:t>
            </w:r>
            <w:r w:rsidRPr="00B457F5">
              <w:rPr>
                <w:rFonts w:ascii="Garamond" w:eastAsia="Times New Roman" w:hAnsi="Garamond" w:cs="Times New Roman"/>
                <w:color w:val="000000"/>
                <w:sz w:val="4"/>
                <w:szCs w:val="10"/>
              </w:rPr>
              <w:t>aj 2021</w:t>
            </w:r>
          </w:p>
        </w:tc>
        <w:tc>
          <w:tcPr>
            <w:tcW w:w="186" w:type="pct"/>
            <w:tcBorders>
              <w:top w:val="nil"/>
              <w:left w:val="nil"/>
              <w:bottom w:val="single" w:sz="4" w:space="0" w:color="auto"/>
              <w:right w:val="single" w:sz="4" w:space="0" w:color="auto"/>
            </w:tcBorders>
            <w:shd w:val="clear" w:color="auto" w:fill="auto"/>
            <w:vAlign w:val="center"/>
            <w:hideMark/>
          </w:tcPr>
          <w:p w14:paraId="3A9CA1E3" w14:textId="184948BE"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09120 Arsimi Baz</w:t>
            </w:r>
            <w:r w:rsidR="0028334E" w:rsidRPr="00B457F5">
              <w:rPr>
                <w:rFonts w:ascii="Garamond" w:eastAsia="Times New Roman" w:hAnsi="Garamond" w:cs="Times New Roman"/>
                <w:color w:val="FF0000"/>
                <w:sz w:val="4"/>
                <w:szCs w:val="10"/>
              </w:rPr>
              <w:t>ë</w:t>
            </w:r>
            <w:r w:rsidRPr="00B457F5">
              <w:rPr>
                <w:rFonts w:ascii="Garamond" w:eastAsia="Times New Roman" w:hAnsi="Garamond" w:cs="Times New Roman"/>
                <w:color w:val="FF0000"/>
                <w:sz w:val="4"/>
                <w:szCs w:val="10"/>
              </w:rPr>
              <w:t xml:space="preserve"> (</w:t>
            </w:r>
            <w:r w:rsidR="0028334E" w:rsidRPr="00B457F5">
              <w:rPr>
                <w:rFonts w:ascii="Garamond" w:eastAsia="Times New Roman" w:hAnsi="Garamond" w:cs="Times New Roman"/>
                <w:color w:val="FF0000"/>
                <w:sz w:val="4"/>
                <w:szCs w:val="10"/>
              </w:rPr>
              <w:t>përfshirë</w:t>
            </w:r>
            <w:r w:rsidRPr="00B457F5">
              <w:rPr>
                <w:rFonts w:ascii="Garamond" w:eastAsia="Times New Roman" w:hAnsi="Garamond" w:cs="Times New Roman"/>
                <w:color w:val="FF0000"/>
                <w:sz w:val="4"/>
                <w:szCs w:val="10"/>
              </w:rPr>
              <w:t xml:space="preserve"> parashkollorin)</w:t>
            </w:r>
          </w:p>
        </w:tc>
        <w:tc>
          <w:tcPr>
            <w:tcW w:w="169" w:type="pct"/>
            <w:tcBorders>
              <w:top w:val="nil"/>
              <w:left w:val="nil"/>
              <w:bottom w:val="single" w:sz="4" w:space="0" w:color="auto"/>
              <w:right w:val="single" w:sz="4" w:space="0" w:color="auto"/>
            </w:tcBorders>
            <w:shd w:val="clear" w:color="auto" w:fill="auto"/>
            <w:vAlign w:val="center"/>
            <w:hideMark/>
          </w:tcPr>
          <w:p w14:paraId="25FB555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MAS</w:t>
            </w:r>
          </w:p>
        </w:tc>
        <w:tc>
          <w:tcPr>
            <w:tcW w:w="244" w:type="pct"/>
            <w:tcBorders>
              <w:top w:val="nil"/>
              <w:left w:val="nil"/>
              <w:bottom w:val="single" w:sz="4" w:space="0" w:color="auto"/>
              <w:right w:val="single" w:sz="4" w:space="0" w:color="auto"/>
            </w:tcBorders>
            <w:shd w:val="clear" w:color="auto" w:fill="auto"/>
            <w:vAlign w:val="center"/>
            <w:hideMark/>
          </w:tcPr>
          <w:p w14:paraId="36049B5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 MSHMS</w:t>
            </w:r>
          </w:p>
        </w:tc>
        <w:tc>
          <w:tcPr>
            <w:tcW w:w="135" w:type="pct"/>
            <w:tcBorders>
              <w:top w:val="nil"/>
              <w:left w:val="nil"/>
              <w:bottom w:val="single" w:sz="4" w:space="0" w:color="auto"/>
              <w:right w:val="single" w:sz="4" w:space="0" w:color="auto"/>
            </w:tcBorders>
            <w:shd w:val="clear" w:color="000000" w:fill="DDEBF7"/>
            <w:vAlign w:val="center"/>
            <w:hideMark/>
          </w:tcPr>
          <w:p w14:paraId="69C8BBDC"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54DBE3E7"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2025</w:t>
            </w:r>
          </w:p>
        </w:tc>
        <w:tc>
          <w:tcPr>
            <w:tcW w:w="163" w:type="pct"/>
            <w:tcBorders>
              <w:top w:val="nil"/>
              <w:left w:val="nil"/>
              <w:bottom w:val="single" w:sz="4" w:space="0" w:color="auto"/>
              <w:right w:val="single" w:sz="4" w:space="0" w:color="auto"/>
            </w:tcBorders>
            <w:shd w:val="clear" w:color="auto" w:fill="auto"/>
            <w:vAlign w:val="center"/>
            <w:hideMark/>
          </w:tcPr>
          <w:p w14:paraId="12C2EDD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5B2BDBB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3C98468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auto" w:fill="auto"/>
            <w:vAlign w:val="center"/>
            <w:hideMark/>
          </w:tcPr>
          <w:p w14:paraId="38D5B2F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793F30A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083A53B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40AAF77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8" w:type="pct"/>
            <w:tcBorders>
              <w:top w:val="nil"/>
              <w:left w:val="nil"/>
              <w:bottom w:val="single" w:sz="4" w:space="0" w:color="auto"/>
              <w:right w:val="single" w:sz="4" w:space="0" w:color="auto"/>
            </w:tcBorders>
            <w:shd w:val="clear" w:color="auto" w:fill="auto"/>
            <w:vAlign w:val="center"/>
            <w:hideMark/>
          </w:tcPr>
          <w:p w14:paraId="79E545F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6BBAAAA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auto" w:fill="auto"/>
            <w:vAlign w:val="center"/>
            <w:hideMark/>
          </w:tcPr>
          <w:p w14:paraId="7331242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3F45C10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720A9B3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auto" w:fill="auto"/>
            <w:vAlign w:val="center"/>
            <w:hideMark/>
          </w:tcPr>
          <w:p w14:paraId="1BF20C0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2FC49AC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47362A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799D1CC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1B66C6C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50E4A61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FFF2CC"/>
            <w:vAlign w:val="center"/>
            <w:hideMark/>
          </w:tcPr>
          <w:p w14:paraId="6EC5C75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39" w:type="pct"/>
            <w:tcBorders>
              <w:top w:val="nil"/>
              <w:left w:val="nil"/>
              <w:bottom w:val="single" w:sz="4" w:space="0" w:color="auto"/>
              <w:right w:val="single" w:sz="4" w:space="0" w:color="auto"/>
            </w:tcBorders>
            <w:shd w:val="clear" w:color="auto" w:fill="auto"/>
            <w:vAlign w:val="center"/>
            <w:hideMark/>
          </w:tcPr>
          <w:p w14:paraId="347CDA1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34C6EEC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4EC34D5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357BD967" w14:textId="475202A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19D53DFD" w14:textId="77777777" w:rsidTr="00C260C3">
        <w:trPr>
          <w:trHeight w:val="20"/>
        </w:trPr>
        <w:tc>
          <w:tcPr>
            <w:tcW w:w="131" w:type="pct"/>
            <w:tcBorders>
              <w:top w:val="nil"/>
              <w:left w:val="single" w:sz="4" w:space="0" w:color="auto"/>
              <w:bottom w:val="single" w:sz="4" w:space="0" w:color="auto"/>
              <w:right w:val="single" w:sz="4" w:space="0" w:color="auto"/>
            </w:tcBorders>
            <w:shd w:val="clear" w:color="000000" w:fill="D9D9D9"/>
            <w:vAlign w:val="center"/>
            <w:hideMark/>
          </w:tcPr>
          <w:p w14:paraId="7BAE3B42"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4.3.2</w:t>
            </w:r>
          </w:p>
        </w:tc>
        <w:tc>
          <w:tcPr>
            <w:tcW w:w="281" w:type="pct"/>
            <w:tcBorders>
              <w:top w:val="nil"/>
              <w:left w:val="nil"/>
              <w:bottom w:val="single" w:sz="4" w:space="0" w:color="auto"/>
              <w:right w:val="single" w:sz="4" w:space="0" w:color="auto"/>
            </w:tcBorders>
            <w:shd w:val="clear" w:color="000000" w:fill="D9D9D9"/>
            <w:vAlign w:val="center"/>
            <w:hideMark/>
          </w:tcPr>
          <w:p w14:paraId="66244670" w14:textId="77777777" w:rsidR="00C260C3" w:rsidRPr="00B457F5" w:rsidRDefault="00C260C3" w:rsidP="00C260C3">
            <w:pPr>
              <w:spacing w:before="0" w:after="0"/>
              <w:jc w:val="left"/>
              <w:rPr>
                <w:rFonts w:ascii="Garamond" w:eastAsia="Times New Roman" w:hAnsi="Garamond" w:cs="Times New Roman"/>
                <w:b/>
                <w:bCs/>
                <w:sz w:val="4"/>
                <w:szCs w:val="10"/>
              </w:rPr>
            </w:pPr>
            <w:r w:rsidRPr="00B457F5">
              <w:rPr>
                <w:rFonts w:ascii="Garamond" w:eastAsia="Times New Roman" w:hAnsi="Garamond" w:cs="Times New Roman"/>
                <w:b/>
                <w:bCs/>
                <w:sz w:val="4"/>
                <w:szCs w:val="10"/>
              </w:rPr>
              <w:t xml:space="preserve"> 4.3.2 Ofrimi i zgjidhjeve të qëndrueshme për personat me mbrojtje ndërkombëtare</w:t>
            </w:r>
          </w:p>
        </w:tc>
        <w:tc>
          <w:tcPr>
            <w:tcW w:w="186" w:type="pct"/>
            <w:tcBorders>
              <w:top w:val="nil"/>
              <w:left w:val="nil"/>
              <w:bottom w:val="single" w:sz="4" w:space="0" w:color="auto"/>
              <w:right w:val="single" w:sz="4" w:space="0" w:color="auto"/>
            </w:tcBorders>
            <w:shd w:val="clear" w:color="000000" w:fill="D9D9D9"/>
            <w:vAlign w:val="center"/>
            <w:hideMark/>
          </w:tcPr>
          <w:p w14:paraId="18AF3372" w14:textId="18C7C07E"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 xml:space="preserve">10430 </w:t>
            </w:r>
            <w:r w:rsidR="0028334E" w:rsidRPr="00B457F5">
              <w:rPr>
                <w:rFonts w:ascii="Garamond" w:eastAsia="Times New Roman" w:hAnsi="Garamond" w:cs="Times New Roman"/>
                <w:color w:val="FF0000"/>
                <w:sz w:val="4"/>
                <w:szCs w:val="10"/>
              </w:rPr>
              <w:t>Përkujdesja</w:t>
            </w:r>
            <w:r w:rsidRPr="00B457F5">
              <w:rPr>
                <w:rFonts w:ascii="Garamond" w:eastAsia="Times New Roman" w:hAnsi="Garamond" w:cs="Times New Roman"/>
                <w:color w:val="FF0000"/>
                <w:sz w:val="4"/>
                <w:szCs w:val="10"/>
              </w:rPr>
              <w:t xml:space="preserve"> Social</w:t>
            </w:r>
            <w:r w:rsidR="0028334E" w:rsidRPr="00B457F5">
              <w:rPr>
                <w:rFonts w:ascii="Garamond" w:eastAsia="Times New Roman" w:hAnsi="Garamond" w:cs="Times New Roman"/>
                <w:color w:val="FF0000"/>
                <w:sz w:val="4"/>
                <w:szCs w:val="10"/>
              </w:rPr>
              <w:t>e</w:t>
            </w:r>
            <w:r w:rsidRPr="00B457F5">
              <w:rPr>
                <w:rFonts w:ascii="Garamond" w:eastAsia="Times New Roman" w:hAnsi="Garamond" w:cs="Times New Roman"/>
                <w:color w:val="FF0000"/>
                <w:sz w:val="4"/>
                <w:szCs w:val="10"/>
              </w:rPr>
              <w:t>, 01110 Planifikimi, Menaxhimi dhe Administrimi (16), 01330 Menaxhimi dhe Zhvillimi i Administratës Publike</w:t>
            </w:r>
          </w:p>
        </w:tc>
        <w:tc>
          <w:tcPr>
            <w:tcW w:w="169" w:type="pct"/>
            <w:tcBorders>
              <w:top w:val="nil"/>
              <w:left w:val="nil"/>
              <w:bottom w:val="single" w:sz="4" w:space="0" w:color="auto"/>
              <w:right w:val="single" w:sz="4" w:space="0" w:color="auto"/>
            </w:tcBorders>
            <w:shd w:val="clear" w:color="000000" w:fill="D9D9D9"/>
            <w:vAlign w:val="center"/>
            <w:hideMark/>
          </w:tcPr>
          <w:p w14:paraId="1455607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ADISA, MB, MSHMS</w:t>
            </w:r>
          </w:p>
        </w:tc>
        <w:tc>
          <w:tcPr>
            <w:tcW w:w="244" w:type="pct"/>
            <w:tcBorders>
              <w:top w:val="nil"/>
              <w:left w:val="nil"/>
              <w:bottom w:val="single" w:sz="4" w:space="0" w:color="auto"/>
              <w:right w:val="single" w:sz="4" w:space="0" w:color="auto"/>
            </w:tcBorders>
            <w:shd w:val="clear" w:color="000000" w:fill="D9D9D9"/>
            <w:vAlign w:val="center"/>
            <w:hideMark/>
          </w:tcPr>
          <w:p w14:paraId="2A61F2E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MB,UNHCR, NJVV, Të gjitha ministritë e linjës</w:t>
            </w:r>
          </w:p>
        </w:tc>
        <w:tc>
          <w:tcPr>
            <w:tcW w:w="135" w:type="pct"/>
            <w:tcBorders>
              <w:top w:val="nil"/>
              <w:left w:val="nil"/>
              <w:bottom w:val="single" w:sz="4" w:space="0" w:color="auto"/>
              <w:right w:val="single" w:sz="4" w:space="0" w:color="auto"/>
            </w:tcBorders>
            <w:shd w:val="clear" w:color="000000" w:fill="D9D9D9"/>
            <w:vAlign w:val="center"/>
            <w:hideMark/>
          </w:tcPr>
          <w:p w14:paraId="0AB104BB"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9D9D9"/>
            <w:vAlign w:val="center"/>
            <w:hideMark/>
          </w:tcPr>
          <w:p w14:paraId="440F27D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000000" w:fill="D9D9D9"/>
            <w:vAlign w:val="center"/>
            <w:hideMark/>
          </w:tcPr>
          <w:p w14:paraId="1479306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2,573,808</w:t>
            </w:r>
          </w:p>
        </w:tc>
        <w:tc>
          <w:tcPr>
            <w:tcW w:w="155" w:type="pct"/>
            <w:tcBorders>
              <w:top w:val="nil"/>
              <w:left w:val="nil"/>
              <w:bottom w:val="single" w:sz="4" w:space="0" w:color="auto"/>
              <w:right w:val="single" w:sz="4" w:space="0" w:color="auto"/>
            </w:tcBorders>
            <w:shd w:val="clear" w:color="000000" w:fill="D9D9D9"/>
            <w:vAlign w:val="center"/>
            <w:hideMark/>
          </w:tcPr>
          <w:p w14:paraId="08421D6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6B6EF7A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2,573,808</w:t>
            </w:r>
          </w:p>
        </w:tc>
        <w:tc>
          <w:tcPr>
            <w:tcW w:w="165" w:type="pct"/>
            <w:tcBorders>
              <w:top w:val="nil"/>
              <w:left w:val="nil"/>
              <w:bottom w:val="single" w:sz="4" w:space="0" w:color="auto"/>
              <w:right w:val="single" w:sz="4" w:space="0" w:color="auto"/>
            </w:tcBorders>
            <w:shd w:val="clear" w:color="000000" w:fill="D9D9D9"/>
            <w:vAlign w:val="center"/>
            <w:hideMark/>
          </w:tcPr>
          <w:p w14:paraId="1B1F5F1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2,573,808</w:t>
            </w:r>
          </w:p>
        </w:tc>
        <w:tc>
          <w:tcPr>
            <w:tcW w:w="163" w:type="pct"/>
            <w:tcBorders>
              <w:top w:val="nil"/>
              <w:left w:val="nil"/>
              <w:bottom w:val="single" w:sz="4" w:space="0" w:color="auto"/>
              <w:right w:val="single" w:sz="4" w:space="0" w:color="auto"/>
            </w:tcBorders>
            <w:shd w:val="clear" w:color="000000" w:fill="D9D9D9"/>
            <w:vAlign w:val="center"/>
            <w:hideMark/>
          </w:tcPr>
          <w:p w14:paraId="1D90C43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55C41BF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2,573,808</w:t>
            </w:r>
          </w:p>
        </w:tc>
        <w:tc>
          <w:tcPr>
            <w:tcW w:w="163" w:type="pct"/>
            <w:tcBorders>
              <w:top w:val="nil"/>
              <w:left w:val="nil"/>
              <w:bottom w:val="single" w:sz="4" w:space="0" w:color="auto"/>
              <w:right w:val="single" w:sz="4" w:space="0" w:color="auto"/>
            </w:tcBorders>
            <w:shd w:val="clear" w:color="000000" w:fill="D9D9D9"/>
            <w:vAlign w:val="center"/>
            <w:hideMark/>
          </w:tcPr>
          <w:p w14:paraId="5F70BB9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792,000</w:t>
            </w:r>
          </w:p>
        </w:tc>
        <w:tc>
          <w:tcPr>
            <w:tcW w:w="148" w:type="pct"/>
            <w:tcBorders>
              <w:top w:val="nil"/>
              <w:left w:val="nil"/>
              <w:bottom w:val="single" w:sz="4" w:space="0" w:color="auto"/>
              <w:right w:val="single" w:sz="4" w:space="0" w:color="auto"/>
            </w:tcBorders>
            <w:shd w:val="clear" w:color="000000" w:fill="D9D9D9"/>
            <w:vAlign w:val="center"/>
            <w:hideMark/>
          </w:tcPr>
          <w:p w14:paraId="02D9CEA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78D8952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792,000</w:t>
            </w:r>
          </w:p>
        </w:tc>
        <w:tc>
          <w:tcPr>
            <w:tcW w:w="165" w:type="pct"/>
            <w:tcBorders>
              <w:top w:val="nil"/>
              <w:left w:val="nil"/>
              <w:bottom w:val="single" w:sz="4" w:space="0" w:color="auto"/>
              <w:right w:val="single" w:sz="4" w:space="0" w:color="auto"/>
            </w:tcBorders>
            <w:shd w:val="clear" w:color="000000" w:fill="D9D9D9"/>
            <w:vAlign w:val="center"/>
            <w:hideMark/>
          </w:tcPr>
          <w:p w14:paraId="27DE1E5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5,939,616</w:t>
            </w:r>
          </w:p>
        </w:tc>
        <w:tc>
          <w:tcPr>
            <w:tcW w:w="163" w:type="pct"/>
            <w:tcBorders>
              <w:top w:val="nil"/>
              <w:left w:val="nil"/>
              <w:bottom w:val="single" w:sz="4" w:space="0" w:color="auto"/>
              <w:right w:val="single" w:sz="4" w:space="0" w:color="auto"/>
            </w:tcBorders>
            <w:shd w:val="clear" w:color="000000" w:fill="D9D9D9"/>
            <w:vAlign w:val="center"/>
            <w:hideMark/>
          </w:tcPr>
          <w:p w14:paraId="0F3F744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D9D9D9"/>
            <w:vAlign w:val="center"/>
            <w:hideMark/>
          </w:tcPr>
          <w:p w14:paraId="105CC53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5,939,616</w:t>
            </w:r>
          </w:p>
        </w:tc>
        <w:tc>
          <w:tcPr>
            <w:tcW w:w="163" w:type="pct"/>
            <w:tcBorders>
              <w:top w:val="nil"/>
              <w:left w:val="nil"/>
              <w:bottom w:val="single" w:sz="4" w:space="0" w:color="auto"/>
              <w:right w:val="single" w:sz="4" w:space="0" w:color="auto"/>
            </w:tcBorders>
            <w:shd w:val="clear" w:color="000000" w:fill="D9D9D9"/>
            <w:vAlign w:val="center"/>
            <w:hideMark/>
          </w:tcPr>
          <w:p w14:paraId="5206F81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000000" w:fill="D9D9D9"/>
            <w:vAlign w:val="center"/>
            <w:hideMark/>
          </w:tcPr>
          <w:p w14:paraId="7068892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7561C41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42AC0E4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5,939,616</w:t>
            </w:r>
          </w:p>
        </w:tc>
        <w:tc>
          <w:tcPr>
            <w:tcW w:w="155" w:type="pct"/>
            <w:tcBorders>
              <w:top w:val="nil"/>
              <w:left w:val="nil"/>
              <w:bottom w:val="single" w:sz="4" w:space="0" w:color="auto"/>
              <w:right w:val="single" w:sz="4" w:space="0" w:color="auto"/>
            </w:tcBorders>
            <w:shd w:val="clear" w:color="000000" w:fill="D9D9D9"/>
            <w:vAlign w:val="center"/>
            <w:hideMark/>
          </w:tcPr>
          <w:p w14:paraId="5DAD947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000000" w:fill="D9D9D9"/>
            <w:vAlign w:val="center"/>
            <w:hideMark/>
          </w:tcPr>
          <w:p w14:paraId="6726443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4213024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5,939,616</w:t>
            </w:r>
          </w:p>
        </w:tc>
        <w:tc>
          <w:tcPr>
            <w:tcW w:w="139" w:type="pct"/>
            <w:tcBorders>
              <w:top w:val="nil"/>
              <w:left w:val="nil"/>
              <w:bottom w:val="single" w:sz="4" w:space="0" w:color="auto"/>
              <w:right w:val="single" w:sz="4" w:space="0" w:color="auto"/>
            </w:tcBorders>
            <w:shd w:val="clear" w:color="000000" w:fill="D9D9D9"/>
            <w:vAlign w:val="center"/>
            <w:hideMark/>
          </w:tcPr>
          <w:p w14:paraId="6E4AA4D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000000" w:fill="D9D9D9"/>
            <w:vAlign w:val="center"/>
            <w:hideMark/>
          </w:tcPr>
          <w:p w14:paraId="40A2F0E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D9D9D9"/>
            <w:vAlign w:val="center"/>
            <w:hideMark/>
          </w:tcPr>
          <w:p w14:paraId="45FF855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000000" w:fill="D9D9D9"/>
            <w:vAlign w:val="center"/>
            <w:hideMark/>
          </w:tcPr>
          <w:p w14:paraId="76AB046A" w14:textId="303CA4C6"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300E9866"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24B7C08B"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4.3.2.1</w:t>
            </w:r>
          </w:p>
        </w:tc>
        <w:tc>
          <w:tcPr>
            <w:tcW w:w="281" w:type="pct"/>
            <w:tcBorders>
              <w:top w:val="nil"/>
              <w:left w:val="nil"/>
              <w:bottom w:val="single" w:sz="4" w:space="0" w:color="auto"/>
              <w:right w:val="single" w:sz="4" w:space="0" w:color="auto"/>
            </w:tcBorders>
            <w:shd w:val="clear" w:color="auto" w:fill="auto"/>
            <w:vAlign w:val="center"/>
            <w:hideMark/>
          </w:tcPr>
          <w:p w14:paraId="38625FBA"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4.3.2.1 Të identifikohen dhe të hiqen pengesat për aksesin në shërbime publike dhe të drejta si dhe aksesin në </w:t>
            </w:r>
            <w:r w:rsidRPr="00B457F5">
              <w:rPr>
                <w:rFonts w:ascii="Garamond" w:eastAsia="Times New Roman" w:hAnsi="Garamond" w:cs="Times New Roman"/>
                <w:i/>
                <w:color w:val="000000"/>
                <w:sz w:val="4"/>
                <w:szCs w:val="10"/>
              </w:rPr>
              <w:t>e-Albania</w:t>
            </w:r>
          </w:p>
        </w:tc>
        <w:tc>
          <w:tcPr>
            <w:tcW w:w="186" w:type="pct"/>
            <w:tcBorders>
              <w:top w:val="nil"/>
              <w:left w:val="nil"/>
              <w:bottom w:val="single" w:sz="4" w:space="0" w:color="auto"/>
              <w:right w:val="single" w:sz="4" w:space="0" w:color="auto"/>
            </w:tcBorders>
            <w:shd w:val="clear" w:color="auto" w:fill="auto"/>
            <w:vAlign w:val="center"/>
            <w:hideMark/>
          </w:tcPr>
          <w:p w14:paraId="30FF2422"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01330 Menaxhimi dhe Zhvillimi i Administratës Publike</w:t>
            </w:r>
          </w:p>
        </w:tc>
        <w:tc>
          <w:tcPr>
            <w:tcW w:w="169" w:type="pct"/>
            <w:tcBorders>
              <w:top w:val="nil"/>
              <w:left w:val="nil"/>
              <w:bottom w:val="single" w:sz="4" w:space="0" w:color="auto"/>
              <w:right w:val="single" w:sz="4" w:space="0" w:color="auto"/>
            </w:tcBorders>
            <w:shd w:val="clear" w:color="auto" w:fill="auto"/>
            <w:vAlign w:val="center"/>
            <w:hideMark/>
          </w:tcPr>
          <w:p w14:paraId="471A03B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ADISA</w:t>
            </w:r>
          </w:p>
        </w:tc>
        <w:tc>
          <w:tcPr>
            <w:tcW w:w="244" w:type="pct"/>
            <w:tcBorders>
              <w:top w:val="nil"/>
              <w:left w:val="nil"/>
              <w:bottom w:val="single" w:sz="4" w:space="0" w:color="auto"/>
              <w:right w:val="single" w:sz="4" w:space="0" w:color="auto"/>
            </w:tcBorders>
            <w:shd w:val="clear" w:color="auto" w:fill="auto"/>
            <w:vAlign w:val="center"/>
            <w:hideMark/>
          </w:tcPr>
          <w:p w14:paraId="4C0D7BB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MB,UNHCR</w:t>
            </w:r>
          </w:p>
        </w:tc>
        <w:tc>
          <w:tcPr>
            <w:tcW w:w="135" w:type="pct"/>
            <w:tcBorders>
              <w:top w:val="nil"/>
              <w:left w:val="nil"/>
              <w:bottom w:val="single" w:sz="4" w:space="0" w:color="auto"/>
              <w:right w:val="single" w:sz="4" w:space="0" w:color="auto"/>
            </w:tcBorders>
            <w:shd w:val="clear" w:color="000000" w:fill="DDEBF7"/>
            <w:vAlign w:val="center"/>
            <w:hideMark/>
          </w:tcPr>
          <w:p w14:paraId="3C50EFF5"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08124BDF"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2025</w:t>
            </w:r>
          </w:p>
        </w:tc>
        <w:tc>
          <w:tcPr>
            <w:tcW w:w="163" w:type="pct"/>
            <w:tcBorders>
              <w:top w:val="nil"/>
              <w:left w:val="nil"/>
              <w:bottom w:val="single" w:sz="4" w:space="0" w:color="auto"/>
              <w:right w:val="single" w:sz="4" w:space="0" w:color="auto"/>
            </w:tcBorders>
            <w:shd w:val="clear" w:color="auto" w:fill="auto"/>
            <w:vAlign w:val="center"/>
            <w:hideMark/>
          </w:tcPr>
          <w:p w14:paraId="40F5508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779,676</w:t>
            </w:r>
          </w:p>
        </w:tc>
        <w:tc>
          <w:tcPr>
            <w:tcW w:w="155" w:type="pct"/>
            <w:tcBorders>
              <w:top w:val="nil"/>
              <w:left w:val="nil"/>
              <w:bottom w:val="single" w:sz="4" w:space="0" w:color="auto"/>
              <w:right w:val="single" w:sz="4" w:space="0" w:color="auto"/>
            </w:tcBorders>
            <w:shd w:val="clear" w:color="auto" w:fill="auto"/>
            <w:vAlign w:val="center"/>
            <w:hideMark/>
          </w:tcPr>
          <w:p w14:paraId="1E1F0C7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282DADE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779,676</w:t>
            </w:r>
          </w:p>
        </w:tc>
        <w:tc>
          <w:tcPr>
            <w:tcW w:w="165" w:type="pct"/>
            <w:tcBorders>
              <w:top w:val="nil"/>
              <w:left w:val="nil"/>
              <w:bottom w:val="single" w:sz="4" w:space="0" w:color="auto"/>
              <w:right w:val="single" w:sz="4" w:space="0" w:color="auto"/>
            </w:tcBorders>
            <w:shd w:val="clear" w:color="auto" w:fill="auto"/>
            <w:vAlign w:val="center"/>
            <w:hideMark/>
          </w:tcPr>
          <w:p w14:paraId="7B7683F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779,676</w:t>
            </w:r>
          </w:p>
        </w:tc>
        <w:tc>
          <w:tcPr>
            <w:tcW w:w="163" w:type="pct"/>
            <w:tcBorders>
              <w:top w:val="nil"/>
              <w:left w:val="nil"/>
              <w:bottom w:val="single" w:sz="4" w:space="0" w:color="auto"/>
              <w:right w:val="single" w:sz="4" w:space="0" w:color="auto"/>
            </w:tcBorders>
            <w:shd w:val="clear" w:color="auto" w:fill="auto"/>
            <w:vAlign w:val="center"/>
            <w:hideMark/>
          </w:tcPr>
          <w:p w14:paraId="0CB161E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0C06171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779,676</w:t>
            </w:r>
          </w:p>
        </w:tc>
        <w:tc>
          <w:tcPr>
            <w:tcW w:w="163" w:type="pct"/>
            <w:tcBorders>
              <w:top w:val="nil"/>
              <w:left w:val="nil"/>
              <w:bottom w:val="single" w:sz="4" w:space="0" w:color="auto"/>
              <w:right w:val="single" w:sz="4" w:space="0" w:color="auto"/>
            </w:tcBorders>
            <w:shd w:val="clear" w:color="auto" w:fill="auto"/>
            <w:vAlign w:val="center"/>
            <w:hideMark/>
          </w:tcPr>
          <w:p w14:paraId="60AF9E7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8" w:type="pct"/>
            <w:tcBorders>
              <w:top w:val="nil"/>
              <w:left w:val="nil"/>
              <w:bottom w:val="single" w:sz="4" w:space="0" w:color="auto"/>
              <w:right w:val="single" w:sz="4" w:space="0" w:color="auto"/>
            </w:tcBorders>
            <w:shd w:val="clear" w:color="auto" w:fill="auto"/>
            <w:vAlign w:val="center"/>
            <w:hideMark/>
          </w:tcPr>
          <w:p w14:paraId="4C5F63B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02825D6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auto" w:fill="auto"/>
            <w:vAlign w:val="center"/>
            <w:hideMark/>
          </w:tcPr>
          <w:p w14:paraId="5E46B33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1,559,352</w:t>
            </w:r>
          </w:p>
        </w:tc>
        <w:tc>
          <w:tcPr>
            <w:tcW w:w="163" w:type="pct"/>
            <w:tcBorders>
              <w:top w:val="nil"/>
              <w:left w:val="nil"/>
              <w:bottom w:val="single" w:sz="4" w:space="0" w:color="auto"/>
              <w:right w:val="single" w:sz="4" w:space="0" w:color="auto"/>
            </w:tcBorders>
            <w:shd w:val="clear" w:color="auto" w:fill="auto"/>
            <w:vAlign w:val="center"/>
            <w:hideMark/>
          </w:tcPr>
          <w:p w14:paraId="5955A9D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466230D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1,559,352</w:t>
            </w:r>
          </w:p>
        </w:tc>
        <w:tc>
          <w:tcPr>
            <w:tcW w:w="163" w:type="pct"/>
            <w:tcBorders>
              <w:top w:val="nil"/>
              <w:left w:val="nil"/>
              <w:bottom w:val="single" w:sz="4" w:space="0" w:color="auto"/>
              <w:right w:val="single" w:sz="4" w:space="0" w:color="auto"/>
            </w:tcBorders>
            <w:shd w:val="clear" w:color="auto" w:fill="auto"/>
            <w:vAlign w:val="center"/>
            <w:hideMark/>
          </w:tcPr>
          <w:p w14:paraId="3FF892B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3E21D59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330CE56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10C902C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1,559,352</w:t>
            </w:r>
          </w:p>
        </w:tc>
        <w:tc>
          <w:tcPr>
            <w:tcW w:w="155" w:type="pct"/>
            <w:tcBorders>
              <w:top w:val="nil"/>
              <w:left w:val="nil"/>
              <w:bottom w:val="single" w:sz="4" w:space="0" w:color="auto"/>
              <w:right w:val="single" w:sz="4" w:space="0" w:color="auto"/>
            </w:tcBorders>
            <w:shd w:val="clear" w:color="auto" w:fill="auto"/>
            <w:vAlign w:val="center"/>
            <w:hideMark/>
          </w:tcPr>
          <w:p w14:paraId="0A7B35E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33D0851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UNHCR</w:t>
            </w:r>
          </w:p>
        </w:tc>
        <w:tc>
          <w:tcPr>
            <w:tcW w:w="163" w:type="pct"/>
            <w:tcBorders>
              <w:top w:val="nil"/>
              <w:left w:val="nil"/>
              <w:bottom w:val="single" w:sz="4" w:space="0" w:color="auto"/>
              <w:right w:val="single" w:sz="4" w:space="0" w:color="auto"/>
            </w:tcBorders>
            <w:shd w:val="clear" w:color="000000" w:fill="FFF2CC"/>
            <w:vAlign w:val="center"/>
            <w:hideMark/>
          </w:tcPr>
          <w:p w14:paraId="618E7B7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1,559,352</w:t>
            </w:r>
          </w:p>
        </w:tc>
        <w:tc>
          <w:tcPr>
            <w:tcW w:w="139" w:type="pct"/>
            <w:tcBorders>
              <w:top w:val="nil"/>
              <w:left w:val="nil"/>
              <w:bottom w:val="single" w:sz="4" w:space="0" w:color="auto"/>
              <w:right w:val="single" w:sz="4" w:space="0" w:color="auto"/>
            </w:tcBorders>
            <w:shd w:val="clear" w:color="auto" w:fill="auto"/>
            <w:vAlign w:val="center"/>
            <w:hideMark/>
          </w:tcPr>
          <w:p w14:paraId="3223D30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2363C05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44D6625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6F872E78" w14:textId="218A0D2F"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6ACA4594"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3AF93CA0"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4.3.2.2</w:t>
            </w:r>
          </w:p>
        </w:tc>
        <w:tc>
          <w:tcPr>
            <w:tcW w:w="281" w:type="pct"/>
            <w:tcBorders>
              <w:top w:val="nil"/>
              <w:left w:val="nil"/>
              <w:bottom w:val="single" w:sz="4" w:space="0" w:color="auto"/>
              <w:right w:val="single" w:sz="4" w:space="0" w:color="auto"/>
            </w:tcBorders>
            <w:shd w:val="clear" w:color="auto" w:fill="auto"/>
            <w:vAlign w:val="center"/>
            <w:hideMark/>
          </w:tcPr>
          <w:p w14:paraId="0697891D" w14:textId="2400CBDE"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4.3.2.2 Rritja e aksesit në shërbime publike për azilkërkuesit dhe refugjatët</w:t>
            </w:r>
            <w:r w:rsidR="00AF12C0" w:rsidRPr="00B457F5">
              <w:rPr>
                <w:rFonts w:ascii="Garamond" w:eastAsia="Times New Roman" w:hAnsi="Garamond" w:cs="Times New Roman"/>
                <w:color w:val="000000"/>
                <w:sz w:val="4"/>
                <w:szCs w:val="10"/>
              </w:rPr>
              <w:t>,</w:t>
            </w:r>
            <w:r w:rsidRPr="00B457F5">
              <w:rPr>
                <w:rFonts w:ascii="Garamond" w:eastAsia="Times New Roman" w:hAnsi="Garamond" w:cs="Times New Roman"/>
                <w:color w:val="000000"/>
                <w:sz w:val="4"/>
                <w:szCs w:val="10"/>
              </w:rPr>
              <w:t xml:space="preserve"> duke u dhënë informacion për pranueshmërinë, të drejtat, dokumentacionin e nevojshëm, në gjuhët që ata përdorin</w:t>
            </w:r>
          </w:p>
        </w:tc>
        <w:tc>
          <w:tcPr>
            <w:tcW w:w="186" w:type="pct"/>
            <w:tcBorders>
              <w:top w:val="nil"/>
              <w:left w:val="nil"/>
              <w:bottom w:val="single" w:sz="4" w:space="0" w:color="auto"/>
              <w:right w:val="single" w:sz="4" w:space="0" w:color="auto"/>
            </w:tcBorders>
            <w:shd w:val="clear" w:color="auto" w:fill="auto"/>
            <w:vAlign w:val="center"/>
            <w:hideMark/>
          </w:tcPr>
          <w:p w14:paraId="7E73DFD8"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01330 Menaxhimi dhe Zhvillimi i Administratës Publike</w:t>
            </w:r>
          </w:p>
        </w:tc>
        <w:tc>
          <w:tcPr>
            <w:tcW w:w="169" w:type="pct"/>
            <w:tcBorders>
              <w:top w:val="nil"/>
              <w:left w:val="nil"/>
              <w:bottom w:val="single" w:sz="4" w:space="0" w:color="auto"/>
              <w:right w:val="single" w:sz="4" w:space="0" w:color="auto"/>
            </w:tcBorders>
            <w:shd w:val="clear" w:color="auto" w:fill="auto"/>
            <w:vAlign w:val="center"/>
            <w:hideMark/>
          </w:tcPr>
          <w:p w14:paraId="3E5F582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ADISA</w:t>
            </w:r>
          </w:p>
        </w:tc>
        <w:tc>
          <w:tcPr>
            <w:tcW w:w="244" w:type="pct"/>
            <w:tcBorders>
              <w:top w:val="nil"/>
              <w:left w:val="nil"/>
              <w:bottom w:val="single" w:sz="4" w:space="0" w:color="auto"/>
              <w:right w:val="single" w:sz="4" w:space="0" w:color="auto"/>
            </w:tcBorders>
            <w:shd w:val="clear" w:color="auto" w:fill="auto"/>
            <w:vAlign w:val="center"/>
            <w:hideMark/>
          </w:tcPr>
          <w:p w14:paraId="6AC5C59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 xml:space="preserve">Të gjitha ministritë e linjës </w:t>
            </w:r>
          </w:p>
        </w:tc>
        <w:tc>
          <w:tcPr>
            <w:tcW w:w="135" w:type="pct"/>
            <w:tcBorders>
              <w:top w:val="nil"/>
              <w:left w:val="nil"/>
              <w:bottom w:val="single" w:sz="4" w:space="0" w:color="auto"/>
              <w:right w:val="single" w:sz="4" w:space="0" w:color="auto"/>
            </w:tcBorders>
            <w:shd w:val="clear" w:color="000000" w:fill="DDEBF7"/>
            <w:vAlign w:val="center"/>
            <w:hideMark/>
          </w:tcPr>
          <w:p w14:paraId="4039B0CF"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0040BA5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4E3A280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360,000</w:t>
            </w:r>
          </w:p>
        </w:tc>
        <w:tc>
          <w:tcPr>
            <w:tcW w:w="155" w:type="pct"/>
            <w:tcBorders>
              <w:top w:val="nil"/>
              <w:left w:val="nil"/>
              <w:bottom w:val="single" w:sz="4" w:space="0" w:color="auto"/>
              <w:right w:val="single" w:sz="4" w:space="0" w:color="auto"/>
            </w:tcBorders>
            <w:shd w:val="clear" w:color="auto" w:fill="auto"/>
            <w:vAlign w:val="center"/>
            <w:hideMark/>
          </w:tcPr>
          <w:p w14:paraId="281D53E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0828AD3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360,000</w:t>
            </w:r>
          </w:p>
        </w:tc>
        <w:tc>
          <w:tcPr>
            <w:tcW w:w="165" w:type="pct"/>
            <w:tcBorders>
              <w:top w:val="nil"/>
              <w:left w:val="nil"/>
              <w:bottom w:val="single" w:sz="4" w:space="0" w:color="auto"/>
              <w:right w:val="single" w:sz="4" w:space="0" w:color="auto"/>
            </w:tcBorders>
            <w:shd w:val="clear" w:color="auto" w:fill="auto"/>
            <w:vAlign w:val="center"/>
            <w:hideMark/>
          </w:tcPr>
          <w:p w14:paraId="1B8A113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360,000</w:t>
            </w:r>
          </w:p>
        </w:tc>
        <w:tc>
          <w:tcPr>
            <w:tcW w:w="163" w:type="pct"/>
            <w:tcBorders>
              <w:top w:val="nil"/>
              <w:left w:val="nil"/>
              <w:bottom w:val="single" w:sz="4" w:space="0" w:color="auto"/>
              <w:right w:val="single" w:sz="4" w:space="0" w:color="auto"/>
            </w:tcBorders>
            <w:shd w:val="clear" w:color="auto" w:fill="auto"/>
            <w:vAlign w:val="center"/>
            <w:hideMark/>
          </w:tcPr>
          <w:p w14:paraId="1AC2421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296E5C8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360,000</w:t>
            </w:r>
          </w:p>
        </w:tc>
        <w:tc>
          <w:tcPr>
            <w:tcW w:w="163" w:type="pct"/>
            <w:tcBorders>
              <w:top w:val="nil"/>
              <w:left w:val="nil"/>
              <w:bottom w:val="single" w:sz="4" w:space="0" w:color="auto"/>
              <w:right w:val="single" w:sz="4" w:space="0" w:color="auto"/>
            </w:tcBorders>
            <w:shd w:val="clear" w:color="auto" w:fill="auto"/>
            <w:vAlign w:val="center"/>
            <w:hideMark/>
          </w:tcPr>
          <w:p w14:paraId="09E0574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360,000</w:t>
            </w:r>
          </w:p>
        </w:tc>
        <w:tc>
          <w:tcPr>
            <w:tcW w:w="148" w:type="pct"/>
            <w:tcBorders>
              <w:top w:val="nil"/>
              <w:left w:val="nil"/>
              <w:bottom w:val="single" w:sz="4" w:space="0" w:color="auto"/>
              <w:right w:val="single" w:sz="4" w:space="0" w:color="auto"/>
            </w:tcBorders>
            <w:shd w:val="clear" w:color="auto" w:fill="auto"/>
            <w:vAlign w:val="center"/>
            <w:hideMark/>
          </w:tcPr>
          <w:p w14:paraId="7E81D78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5637070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360,000</w:t>
            </w:r>
          </w:p>
        </w:tc>
        <w:tc>
          <w:tcPr>
            <w:tcW w:w="165" w:type="pct"/>
            <w:tcBorders>
              <w:top w:val="nil"/>
              <w:left w:val="nil"/>
              <w:bottom w:val="single" w:sz="4" w:space="0" w:color="auto"/>
              <w:right w:val="single" w:sz="4" w:space="0" w:color="auto"/>
            </w:tcBorders>
            <w:shd w:val="clear" w:color="auto" w:fill="auto"/>
            <w:vAlign w:val="center"/>
            <w:hideMark/>
          </w:tcPr>
          <w:p w14:paraId="18146FA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1,080,000</w:t>
            </w:r>
          </w:p>
        </w:tc>
        <w:tc>
          <w:tcPr>
            <w:tcW w:w="163" w:type="pct"/>
            <w:tcBorders>
              <w:top w:val="nil"/>
              <w:left w:val="nil"/>
              <w:bottom w:val="single" w:sz="4" w:space="0" w:color="auto"/>
              <w:right w:val="single" w:sz="4" w:space="0" w:color="auto"/>
            </w:tcBorders>
            <w:shd w:val="clear" w:color="auto" w:fill="auto"/>
            <w:vAlign w:val="center"/>
            <w:hideMark/>
          </w:tcPr>
          <w:p w14:paraId="630B4B2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434F04F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1,080,000</w:t>
            </w:r>
          </w:p>
        </w:tc>
        <w:tc>
          <w:tcPr>
            <w:tcW w:w="163" w:type="pct"/>
            <w:tcBorders>
              <w:top w:val="nil"/>
              <w:left w:val="nil"/>
              <w:bottom w:val="single" w:sz="4" w:space="0" w:color="auto"/>
              <w:right w:val="single" w:sz="4" w:space="0" w:color="auto"/>
            </w:tcBorders>
            <w:shd w:val="clear" w:color="auto" w:fill="auto"/>
            <w:vAlign w:val="center"/>
            <w:hideMark/>
          </w:tcPr>
          <w:p w14:paraId="497D48F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6666485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7CF2D69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0B1EA77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1,080,000</w:t>
            </w:r>
          </w:p>
        </w:tc>
        <w:tc>
          <w:tcPr>
            <w:tcW w:w="155" w:type="pct"/>
            <w:tcBorders>
              <w:top w:val="nil"/>
              <w:left w:val="nil"/>
              <w:bottom w:val="single" w:sz="4" w:space="0" w:color="auto"/>
              <w:right w:val="single" w:sz="4" w:space="0" w:color="auto"/>
            </w:tcBorders>
            <w:shd w:val="clear" w:color="auto" w:fill="auto"/>
            <w:vAlign w:val="center"/>
            <w:hideMark/>
          </w:tcPr>
          <w:p w14:paraId="320C110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13F6BA6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UNHCR</w:t>
            </w:r>
          </w:p>
        </w:tc>
        <w:tc>
          <w:tcPr>
            <w:tcW w:w="163" w:type="pct"/>
            <w:tcBorders>
              <w:top w:val="nil"/>
              <w:left w:val="nil"/>
              <w:bottom w:val="single" w:sz="4" w:space="0" w:color="auto"/>
              <w:right w:val="single" w:sz="4" w:space="0" w:color="auto"/>
            </w:tcBorders>
            <w:shd w:val="clear" w:color="000000" w:fill="FFF2CC"/>
            <w:vAlign w:val="center"/>
            <w:hideMark/>
          </w:tcPr>
          <w:p w14:paraId="7B59A80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1,080,000</w:t>
            </w:r>
          </w:p>
        </w:tc>
        <w:tc>
          <w:tcPr>
            <w:tcW w:w="139" w:type="pct"/>
            <w:tcBorders>
              <w:top w:val="nil"/>
              <w:left w:val="nil"/>
              <w:bottom w:val="single" w:sz="4" w:space="0" w:color="auto"/>
              <w:right w:val="single" w:sz="4" w:space="0" w:color="auto"/>
            </w:tcBorders>
            <w:shd w:val="clear" w:color="auto" w:fill="auto"/>
            <w:vAlign w:val="center"/>
            <w:hideMark/>
          </w:tcPr>
          <w:p w14:paraId="398F1D1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425C80A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71BF88F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5BF540F8" w14:textId="482881F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322CE07E"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6CDC36A6"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4.3.2.3</w:t>
            </w:r>
          </w:p>
        </w:tc>
        <w:tc>
          <w:tcPr>
            <w:tcW w:w="281" w:type="pct"/>
            <w:tcBorders>
              <w:top w:val="nil"/>
              <w:left w:val="nil"/>
              <w:bottom w:val="single" w:sz="4" w:space="0" w:color="auto"/>
              <w:right w:val="single" w:sz="4" w:space="0" w:color="auto"/>
            </w:tcBorders>
            <w:shd w:val="clear" w:color="auto" w:fill="auto"/>
            <w:vAlign w:val="center"/>
            <w:hideMark/>
          </w:tcPr>
          <w:p w14:paraId="5729701F" w14:textId="77777777"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4.3.2.3 Ofrimi i një rruge të qartë për përfitimin e shtetësisë duke vënë në dispozicion informacion për aplikantët për qëndrim afatgjatë, që interpreton qartë kërkesat (sidomos periudha e qëndrimit pa ndërprerje dhe njohuritë gjuhësore) </w:t>
            </w:r>
          </w:p>
        </w:tc>
        <w:tc>
          <w:tcPr>
            <w:tcW w:w="186" w:type="pct"/>
            <w:tcBorders>
              <w:top w:val="nil"/>
              <w:left w:val="nil"/>
              <w:bottom w:val="single" w:sz="4" w:space="0" w:color="auto"/>
              <w:right w:val="single" w:sz="4" w:space="0" w:color="auto"/>
            </w:tcBorders>
            <w:shd w:val="clear" w:color="auto" w:fill="auto"/>
            <w:vAlign w:val="center"/>
            <w:hideMark/>
          </w:tcPr>
          <w:p w14:paraId="6BBF2BC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01110 Planifikimi, Menaxhimi dhe Administrimi (16)</w:t>
            </w:r>
          </w:p>
        </w:tc>
        <w:tc>
          <w:tcPr>
            <w:tcW w:w="169" w:type="pct"/>
            <w:tcBorders>
              <w:top w:val="nil"/>
              <w:left w:val="nil"/>
              <w:bottom w:val="single" w:sz="4" w:space="0" w:color="auto"/>
              <w:right w:val="single" w:sz="4" w:space="0" w:color="auto"/>
            </w:tcBorders>
            <w:shd w:val="clear" w:color="auto" w:fill="auto"/>
            <w:vAlign w:val="center"/>
            <w:hideMark/>
          </w:tcPr>
          <w:p w14:paraId="20004FC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MB</w:t>
            </w:r>
          </w:p>
        </w:tc>
        <w:tc>
          <w:tcPr>
            <w:tcW w:w="244" w:type="pct"/>
            <w:tcBorders>
              <w:top w:val="nil"/>
              <w:left w:val="nil"/>
              <w:bottom w:val="single" w:sz="4" w:space="0" w:color="auto"/>
              <w:right w:val="single" w:sz="4" w:space="0" w:color="auto"/>
            </w:tcBorders>
            <w:shd w:val="clear" w:color="auto" w:fill="auto"/>
            <w:vAlign w:val="center"/>
            <w:hideMark/>
          </w:tcPr>
          <w:p w14:paraId="4702874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UNHCR</w:t>
            </w:r>
          </w:p>
        </w:tc>
        <w:tc>
          <w:tcPr>
            <w:tcW w:w="135" w:type="pct"/>
            <w:tcBorders>
              <w:top w:val="nil"/>
              <w:left w:val="nil"/>
              <w:bottom w:val="single" w:sz="4" w:space="0" w:color="auto"/>
              <w:right w:val="single" w:sz="4" w:space="0" w:color="auto"/>
            </w:tcBorders>
            <w:shd w:val="clear" w:color="000000" w:fill="DDEBF7"/>
            <w:vAlign w:val="center"/>
            <w:hideMark/>
          </w:tcPr>
          <w:p w14:paraId="470B6DED"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4" w:space="0" w:color="auto"/>
              <w:right w:val="single" w:sz="4" w:space="0" w:color="auto"/>
            </w:tcBorders>
            <w:shd w:val="clear" w:color="000000" w:fill="DDEBF7"/>
            <w:vAlign w:val="center"/>
            <w:hideMark/>
          </w:tcPr>
          <w:p w14:paraId="1C850879"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2025</w:t>
            </w:r>
          </w:p>
        </w:tc>
        <w:tc>
          <w:tcPr>
            <w:tcW w:w="163" w:type="pct"/>
            <w:tcBorders>
              <w:top w:val="nil"/>
              <w:left w:val="nil"/>
              <w:bottom w:val="single" w:sz="4" w:space="0" w:color="auto"/>
              <w:right w:val="single" w:sz="4" w:space="0" w:color="auto"/>
            </w:tcBorders>
            <w:shd w:val="clear" w:color="auto" w:fill="auto"/>
            <w:vAlign w:val="center"/>
            <w:hideMark/>
          </w:tcPr>
          <w:p w14:paraId="36A2C89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1,002,132</w:t>
            </w:r>
          </w:p>
        </w:tc>
        <w:tc>
          <w:tcPr>
            <w:tcW w:w="155" w:type="pct"/>
            <w:tcBorders>
              <w:top w:val="nil"/>
              <w:left w:val="nil"/>
              <w:bottom w:val="single" w:sz="4" w:space="0" w:color="auto"/>
              <w:right w:val="single" w:sz="4" w:space="0" w:color="auto"/>
            </w:tcBorders>
            <w:shd w:val="clear" w:color="auto" w:fill="auto"/>
            <w:vAlign w:val="center"/>
            <w:hideMark/>
          </w:tcPr>
          <w:p w14:paraId="1DF669B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1142DDB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1,002,132</w:t>
            </w:r>
          </w:p>
        </w:tc>
        <w:tc>
          <w:tcPr>
            <w:tcW w:w="165" w:type="pct"/>
            <w:tcBorders>
              <w:top w:val="nil"/>
              <w:left w:val="nil"/>
              <w:bottom w:val="single" w:sz="4" w:space="0" w:color="auto"/>
              <w:right w:val="single" w:sz="4" w:space="0" w:color="auto"/>
            </w:tcBorders>
            <w:shd w:val="clear" w:color="auto" w:fill="auto"/>
            <w:vAlign w:val="center"/>
            <w:hideMark/>
          </w:tcPr>
          <w:p w14:paraId="4D4154F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1,002,132</w:t>
            </w:r>
          </w:p>
        </w:tc>
        <w:tc>
          <w:tcPr>
            <w:tcW w:w="163" w:type="pct"/>
            <w:tcBorders>
              <w:top w:val="nil"/>
              <w:left w:val="nil"/>
              <w:bottom w:val="single" w:sz="4" w:space="0" w:color="auto"/>
              <w:right w:val="single" w:sz="4" w:space="0" w:color="auto"/>
            </w:tcBorders>
            <w:shd w:val="clear" w:color="auto" w:fill="auto"/>
            <w:vAlign w:val="center"/>
            <w:hideMark/>
          </w:tcPr>
          <w:p w14:paraId="5E65F94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0919C9D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1,002,132</w:t>
            </w:r>
          </w:p>
        </w:tc>
        <w:tc>
          <w:tcPr>
            <w:tcW w:w="163" w:type="pct"/>
            <w:tcBorders>
              <w:top w:val="nil"/>
              <w:left w:val="nil"/>
              <w:bottom w:val="single" w:sz="4" w:space="0" w:color="auto"/>
              <w:right w:val="single" w:sz="4" w:space="0" w:color="auto"/>
            </w:tcBorders>
            <w:shd w:val="clear" w:color="auto" w:fill="auto"/>
            <w:vAlign w:val="center"/>
            <w:hideMark/>
          </w:tcPr>
          <w:p w14:paraId="3D608F1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8" w:type="pct"/>
            <w:tcBorders>
              <w:top w:val="nil"/>
              <w:left w:val="nil"/>
              <w:bottom w:val="single" w:sz="4" w:space="0" w:color="auto"/>
              <w:right w:val="single" w:sz="4" w:space="0" w:color="auto"/>
            </w:tcBorders>
            <w:shd w:val="clear" w:color="auto" w:fill="auto"/>
            <w:vAlign w:val="center"/>
            <w:hideMark/>
          </w:tcPr>
          <w:p w14:paraId="3C5E9E0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14E24F1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auto" w:fill="auto"/>
            <w:vAlign w:val="center"/>
            <w:hideMark/>
          </w:tcPr>
          <w:p w14:paraId="4901BEB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2,004,264</w:t>
            </w:r>
          </w:p>
        </w:tc>
        <w:tc>
          <w:tcPr>
            <w:tcW w:w="163" w:type="pct"/>
            <w:tcBorders>
              <w:top w:val="nil"/>
              <w:left w:val="nil"/>
              <w:bottom w:val="single" w:sz="4" w:space="0" w:color="auto"/>
              <w:right w:val="single" w:sz="4" w:space="0" w:color="auto"/>
            </w:tcBorders>
            <w:shd w:val="clear" w:color="auto" w:fill="auto"/>
            <w:vAlign w:val="center"/>
            <w:hideMark/>
          </w:tcPr>
          <w:p w14:paraId="62FE284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4B5C15A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2,004,264</w:t>
            </w:r>
          </w:p>
        </w:tc>
        <w:tc>
          <w:tcPr>
            <w:tcW w:w="163" w:type="pct"/>
            <w:tcBorders>
              <w:top w:val="nil"/>
              <w:left w:val="nil"/>
              <w:bottom w:val="single" w:sz="4" w:space="0" w:color="auto"/>
              <w:right w:val="single" w:sz="4" w:space="0" w:color="auto"/>
            </w:tcBorders>
            <w:shd w:val="clear" w:color="auto" w:fill="auto"/>
            <w:vAlign w:val="center"/>
            <w:hideMark/>
          </w:tcPr>
          <w:p w14:paraId="26B80DD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7DF817AB"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31B0F32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6C6D1F1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2,004,264</w:t>
            </w:r>
          </w:p>
        </w:tc>
        <w:tc>
          <w:tcPr>
            <w:tcW w:w="155" w:type="pct"/>
            <w:tcBorders>
              <w:top w:val="nil"/>
              <w:left w:val="nil"/>
              <w:bottom w:val="single" w:sz="4" w:space="0" w:color="auto"/>
              <w:right w:val="single" w:sz="4" w:space="0" w:color="auto"/>
            </w:tcBorders>
            <w:shd w:val="clear" w:color="auto" w:fill="auto"/>
            <w:vAlign w:val="center"/>
            <w:hideMark/>
          </w:tcPr>
          <w:p w14:paraId="314DD1B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1172AA0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UNHCR</w:t>
            </w:r>
          </w:p>
        </w:tc>
        <w:tc>
          <w:tcPr>
            <w:tcW w:w="163" w:type="pct"/>
            <w:tcBorders>
              <w:top w:val="nil"/>
              <w:left w:val="nil"/>
              <w:bottom w:val="single" w:sz="4" w:space="0" w:color="auto"/>
              <w:right w:val="single" w:sz="4" w:space="0" w:color="auto"/>
            </w:tcBorders>
            <w:shd w:val="clear" w:color="000000" w:fill="FFF2CC"/>
            <w:vAlign w:val="center"/>
            <w:hideMark/>
          </w:tcPr>
          <w:p w14:paraId="76F28F6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2,004,264</w:t>
            </w:r>
          </w:p>
        </w:tc>
        <w:tc>
          <w:tcPr>
            <w:tcW w:w="139" w:type="pct"/>
            <w:tcBorders>
              <w:top w:val="nil"/>
              <w:left w:val="nil"/>
              <w:bottom w:val="single" w:sz="4" w:space="0" w:color="auto"/>
              <w:right w:val="single" w:sz="4" w:space="0" w:color="auto"/>
            </w:tcBorders>
            <w:shd w:val="clear" w:color="auto" w:fill="auto"/>
            <w:vAlign w:val="center"/>
            <w:hideMark/>
          </w:tcPr>
          <w:p w14:paraId="52739A9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37FD58C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0D44D68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24E64D36" w14:textId="550EBBEB"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018205A1"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vAlign w:val="center"/>
            <w:hideMark/>
          </w:tcPr>
          <w:p w14:paraId="7EAD0D5F"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4.3.2.4</w:t>
            </w:r>
          </w:p>
        </w:tc>
        <w:tc>
          <w:tcPr>
            <w:tcW w:w="281" w:type="pct"/>
            <w:tcBorders>
              <w:top w:val="nil"/>
              <w:left w:val="nil"/>
              <w:bottom w:val="single" w:sz="4" w:space="0" w:color="auto"/>
              <w:right w:val="single" w:sz="4" w:space="0" w:color="auto"/>
            </w:tcBorders>
            <w:shd w:val="clear" w:color="auto" w:fill="auto"/>
            <w:vAlign w:val="center"/>
            <w:hideMark/>
          </w:tcPr>
          <w:p w14:paraId="4FE70047" w14:textId="48BD2D3C" w:rsidR="00C260C3" w:rsidRPr="00B457F5" w:rsidRDefault="00C260C3" w:rsidP="00C260C3">
            <w:pPr>
              <w:spacing w:before="0" w:after="0"/>
              <w:jc w:val="left"/>
              <w:rPr>
                <w:rFonts w:ascii="Garamond" w:eastAsia="Times New Roman" w:hAnsi="Garamond" w:cs="Times New Roman"/>
                <w:color w:val="000000"/>
                <w:sz w:val="4"/>
                <w:szCs w:val="10"/>
              </w:rPr>
            </w:pPr>
            <w:r w:rsidRPr="00B457F5">
              <w:rPr>
                <w:rFonts w:ascii="Garamond" w:eastAsia="Times New Roman" w:hAnsi="Garamond" w:cs="Times New Roman"/>
                <w:color w:val="000000"/>
                <w:sz w:val="4"/>
                <w:szCs w:val="10"/>
              </w:rPr>
              <w:t xml:space="preserve">4.3.2.4 Të trajnohen stafi i kujdesit shëndetësor dhe stafi i shërbimeve sociale në nivel </w:t>
            </w:r>
            <w:r w:rsidR="00AF12C0" w:rsidRPr="00B457F5">
              <w:rPr>
                <w:rFonts w:ascii="Garamond" w:eastAsia="Times New Roman" w:hAnsi="Garamond" w:cs="Times New Roman"/>
                <w:color w:val="000000"/>
                <w:sz w:val="4"/>
                <w:szCs w:val="10"/>
              </w:rPr>
              <w:t>qendror</w:t>
            </w:r>
            <w:r w:rsidRPr="00B457F5">
              <w:rPr>
                <w:rFonts w:ascii="Garamond" w:eastAsia="Times New Roman" w:hAnsi="Garamond" w:cs="Times New Roman"/>
                <w:color w:val="000000"/>
                <w:sz w:val="4"/>
                <w:szCs w:val="10"/>
              </w:rPr>
              <w:t xml:space="preserve"> dhe lokal për të arritur </w:t>
            </w:r>
            <w:r w:rsidR="00AF12C0" w:rsidRPr="00B457F5">
              <w:rPr>
                <w:rFonts w:ascii="Garamond" w:eastAsia="Times New Roman" w:hAnsi="Garamond" w:cs="Times New Roman"/>
                <w:color w:val="000000"/>
                <w:sz w:val="4"/>
                <w:szCs w:val="10"/>
              </w:rPr>
              <w:t>standardet</w:t>
            </w:r>
            <w:r w:rsidRPr="00B457F5">
              <w:rPr>
                <w:rFonts w:ascii="Garamond" w:eastAsia="Times New Roman" w:hAnsi="Garamond" w:cs="Times New Roman"/>
                <w:color w:val="000000"/>
                <w:sz w:val="4"/>
                <w:szCs w:val="10"/>
              </w:rPr>
              <w:t xml:space="preserve"> e duhura në ofrimin e shërbimeve ndaj azilkërkuesve dhe refugjatëve</w:t>
            </w:r>
          </w:p>
        </w:tc>
        <w:tc>
          <w:tcPr>
            <w:tcW w:w="186" w:type="pct"/>
            <w:tcBorders>
              <w:top w:val="nil"/>
              <w:left w:val="nil"/>
              <w:bottom w:val="single" w:sz="4" w:space="0" w:color="auto"/>
              <w:right w:val="single" w:sz="4" w:space="0" w:color="auto"/>
            </w:tcBorders>
            <w:shd w:val="clear" w:color="auto" w:fill="auto"/>
            <w:vAlign w:val="center"/>
            <w:hideMark/>
          </w:tcPr>
          <w:p w14:paraId="6C028CEA" w14:textId="6EE97E1C"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10430 Perkujdes</w:t>
            </w:r>
            <w:r w:rsidR="0028334E" w:rsidRPr="00B457F5">
              <w:rPr>
                <w:rFonts w:ascii="Garamond" w:eastAsia="Times New Roman" w:hAnsi="Garamond" w:cs="Times New Roman"/>
                <w:color w:val="FF0000"/>
                <w:sz w:val="4"/>
                <w:szCs w:val="10"/>
              </w:rPr>
              <w:t>ja</w:t>
            </w:r>
            <w:r w:rsidRPr="00B457F5">
              <w:rPr>
                <w:rFonts w:ascii="Garamond" w:eastAsia="Times New Roman" w:hAnsi="Garamond" w:cs="Times New Roman"/>
                <w:color w:val="FF0000"/>
                <w:sz w:val="4"/>
                <w:szCs w:val="10"/>
              </w:rPr>
              <w:t xml:space="preserve"> Social</w:t>
            </w:r>
            <w:r w:rsidR="0028334E" w:rsidRPr="00B457F5">
              <w:rPr>
                <w:rFonts w:ascii="Garamond" w:eastAsia="Times New Roman" w:hAnsi="Garamond" w:cs="Times New Roman"/>
                <w:color w:val="FF0000"/>
                <w:sz w:val="4"/>
                <w:szCs w:val="10"/>
              </w:rPr>
              <w:t>e</w:t>
            </w:r>
          </w:p>
        </w:tc>
        <w:tc>
          <w:tcPr>
            <w:tcW w:w="169" w:type="pct"/>
            <w:tcBorders>
              <w:top w:val="nil"/>
              <w:left w:val="nil"/>
              <w:bottom w:val="single" w:sz="8" w:space="0" w:color="auto"/>
              <w:right w:val="single" w:sz="4" w:space="0" w:color="auto"/>
            </w:tcBorders>
            <w:shd w:val="clear" w:color="auto" w:fill="auto"/>
            <w:vAlign w:val="center"/>
            <w:hideMark/>
          </w:tcPr>
          <w:p w14:paraId="38E4E72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MSHMS</w:t>
            </w:r>
          </w:p>
        </w:tc>
        <w:tc>
          <w:tcPr>
            <w:tcW w:w="244" w:type="pct"/>
            <w:tcBorders>
              <w:top w:val="nil"/>
              <w:left w:val="nil"/>
              <w:bottom w:val="single" w:sz="8" w:space="0" w:color="auto"/>
              <w:right w:val="single" w:sz="4" w:space="0" w:color="auto"/>
            </w:tcBorders>
            <w:shd w:val="clear" w:color="auto" w:fill="auto"/>
            <w:vAlign w:val="center"/>
            <w:hideMark/>
          </w:tcPr>
          <w:p w14:paraId="40842CE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UNHCR, NJVV</w:t>
            </w:r>
          </w:p>
        </w:tc>
        <w:tc>
          <w:tcPr>
            <w:tcW w:w="135" w:type="pct"/>
            <w:tcBorders>
              <w:top w:val="nil"/>
              <w:left w:val="nil"/>
              <w:bottom w:val="single" w:sz="8" w:space="0" w:color="auto"/>
              <w:right w:val="single" w:sz="4" w:space="0" w:color="auto"/>
            </w:tcBorders>
            <w:shd w:val="clear" w:color="000000" w:fill="DDEBF7"/>
            <w:vAlign w:val="center"/>
            <w:hideMark/>
          </w:tcPr>
          <w:p w14:paraId="29BBE8DF"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2024</w:t>
            </w:r>
          </w:p>
        </w:tc>
        <w:tc>
          <w:tcPr>
            <w:tcW w:w="152" w:type="pct"/>
            <w:tcBorders>
              <w:top w:val="nil"/>
              <w:left w:val="nil"/>
              <w:bottom w:val="single" w:sz="8" w:space="0" w:color="auto"/>
              <w:right w:val="single" w:sz="4" w:space="0" w:color="auto"/>
            </w:tcBorders>
            <w:shd w:val="clear" w:color="000000" w:fill="DDEBF7"/>
            <w:vAlign w:val="center"/>
            <w:hideMark/>
          </w:tcPr>
          <w:p w14:paraId="28E18104" w14:textId="77777777" w:rsidR="00C260C3" w:rsidRPr="00B457F5" w:rsidRDefault="00C260C3" w:rsidP="00C260C3">
            <w:pPr>
              <w:spacing w:before="0" w:after="0"/>
              <w:jc w:val="center"/>
              <w:rPr>
                <w:rFonts w:ascii="Garamond" w:eastAsia="Times New Roman" w:hAnsi="Garamond" w:cs="Times New Roman"/>
                <w:color w:val="FF0000"/>
                <w:sz w:val="4"/>
                <w:szCs w:val="10"/>
              </w:rPr>
            </w:pPr>
            <w:r w:rsidRPr="00B457F5">
              <w:rPr>
                <w:rFonts w:ascii="Garamond" w:eastAsia="Times New Roman" w:hAnsi="Garamond" w:cs="Times New Roman"/>
                <w:color w:val="FF0000"/>
                <w:sz w:val="4"/>
                <w:szCs w:val="10"/>
              </w:rPr>
              <w:t>2026</w:t>
            </w:r>
          </w:p>
        </w:tc>
        <w:tc>
          <w:tcPr>
            <w:tcW w:w="163" w:type="pct"/>
            <w:tcBorders>
              <w:top w:val="nil"/>
              <w:left w:val="nil"/>
              <w:bottom w:val="single" w:sz="4" w:space="0" w:color="auto"/>
              <w:right w:val="single" w:sz="4" w:space="0" w:color="auto"/>
            </w:tcBorders>
            <w:shd w:val="clear" w:color="auto" w:fill="auto"/>
            <w:vAlign w:val="center"/>
            <w:hideMark/>
          </w:tcPr>
          <w:p w14:paraId="6E1F2D4C"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432,000</w:t>
            </w:r>
          </w:p>
        </w:tc>
        <w:tc>
          <w:tcPr>
            <w:tcW w:w="155" w:type="pct"/>
            <w:tcBorders>
              <w:top w:val="nil"/>
              <w:left w:val="nil"/>
              <w:bottom w:val="single" w:sz="4" w:space="0" w:color="auto"/>
              <w:right w:val="single" w:sz="4" w:space="0" w:color="auto"/>
            </w:tcBorders>
            <w:shd w:val="clear" w:color="auto" w:fill="auto"/>
            <w:vAlign w:val="center"/>
            <w:hideMark/>
          </w:tcPr>
          <w:p w14:paraId="3D19BB5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1F33CBE6"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432,000</w:t>
            </w:r>
          </w:p>
        </w:tc>
        <w:tc>
          <w:tcPr>
            <w:tcW w:w="165" w:type="pct"/>
            <w:tcBorders>
              <w:top w:val="nil"/>
              <w:left w:val="nil"/>
              <w:bottom w:val="single" w:sz="4" w:space="0" w:color="auto"/>
              <w:right w:val="single" w:sz="4" w:space="0" w:color="auto"/>
            </w:tcBorders>
            <w:shd w:val="clear" w:color="auto" w:fill="auto"/>
            <w:vAlign w:val="center"/>
            <w:hideMark/>
          </w:tcPr>
          <w:p w14:paraId="2121F63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432,000</w:t>
            </w:r>
          </w:p>
        </w:tc>
        <w:tc>
          <w:tcPr>
            <w:tcW w:w="163" w:type="pct"/>
            <w:tcBorders>
              <w:top w:val="nil"/>
              <w:left w:val="nil"/>
              <w:bottom w:val="single" w:sz="4" w:space="0" w:color="auto"/>
              <w:right w:val="single" w:sz="4" w:space="0" w:color="auto"/>
            </w:tcBorders>
            <w:shd w:val="clear" w:color="auto" w:fill="auto"/>
            <w:vAlign w:val="center"/>
            <w:hideMark/>
          </w:tcPr>
          <w:p w14:paraId="2EF09180"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5E0AA15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432,000</w:t>
            </w:r>
          </w:p>
        </w:tc>
        <w:tc>
          <w:tcPr>
            <w:tcW w:w="163" w:type="pct"/>
            <w:tcBorders>
              <w:top w:val="nil"/>
              <w:left w:val="nil"/>
              <w:bottom w:val="single" w:sz="4" w:space="0" w:color="auto"/>
              <w:right w:val="single" w:sz="4" w:space="0" w:color="auto"/>
            </w:tcBorders>
            <w:shd w:val="clear" w:color="auto" w:fill="auto"/>
            <w:vAlign w:val="center"/>
            <w:hideMark/>
          </w:tcPr>
          <w:p w14:paraId="58DC1EC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432,000</w:t>
            </w:r>
          </w:p>
        </w:tc>
        <w:tc>
          <w:tcPr>
            <w:tcW w:w="148" w:type="pct"/>
            <w:tcBorders>
              <w:top w:val="nil"/>
              <w:left w:val="nil"/>
              <w:bottom w:val="single" w:sz="4" w:space="0" w:color="auto"/>
              <w:right w:val="single" w:sz="4" w:space="0" w:color="auto"/>
            </w:tcBorders>
            <w:shd w:val="clear" w:color="auto" w:fill="auto"/>
            <w:vAlign w:val="center"/>
            <w:hideMark/>
          </w:tcPr>
          <w:p w14:paraId="0F96B86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000000" w:fill="FFF2CC"/>
            <w:vAlign w:val="center"/>
            <w:hideMark/>
          </w:tcPr>
          <w:p w14:paraId="242C182A"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432,000</w:t>
            </w:r>
          </w:p>
        </w:tc>
        <w:tc>
          <w:tcPr>
            <w:tcW w:w="165" w:type="pct"/>
            <w:tcBorders>
              <w:top w:val="nil"/>
              <w:left w:val="nil"/>
              <w:bottom w:val="single" w:sz="4" w:space="0" w:color="auto"/>
              <w:right w:val="single" w:sz="4" w:space="0" w:color="auto"/>
            </w:tcBorders>
            <w:shd w:val="clear" w:color="auto" w:fill="auto"/>
            <w:vAlign w:val="center"/>
            <w:hideMark/>
          </w:tcPr>
          <w:p w14:paraId="4AA7BC34"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1,296,000</w:t>
            </w:r>
          </w:p>
        </w:tc>
        <w:tc>
          <w:tcPr>
            <w:tcW w:w="163" w:type="pct"/>
            <w:tcBorders>
              <w:top w:val="nil"/>
              <w:left w:val="nil"/>
              <w:bottom w:val="single" w:sz="4" w:space="0" w:color="auto"/>
              <w:right w:val="single" w:sz="4" w:space="0" w:color="auto"/>
            </w:tcBorders>
            <w:shd w:val="clear" w:color="auto" w:fill="auto"/>
            <w:vAlign w:val="center"/>
            <w:hideMark/>
          </w:tcPr>
          <w:p w14:paraId="1FEBF288"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5" w:type="pct"/>
            <w:tcBorders>
              <w:top w:val="nil"/>
              <w:left w:val="nil"/>
              <w:bottom w:val="single" w:sz="4" w:space="0" w:color="auto"/>
              <w:right w:val="single" w:sz="4" w:space="0" w:color="auto"/>
            </w:tcBorders>
            <w:shd w:val="clear" w:color="000000" w:fill="FFF2CC"/>
            <w:vAlign w:val="center"/>
            <w:hideMark/>
          </w:tcPr>
          <w:p w14:paraId="39C40481"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1,296,000</w:t>
            </w:r>
          </w:p>
        </w:tc>
        <w:tc>
          <w:tcPr>
            <w:tcW w:w="163" w:type="pct"/>
            <w:tcBorders>
              <w:top w:val="nil"/>
              <w:left w:val="nil"/>
              <w:bottom w:val="single" w:sz="4" w:space="0" w:color="auto"/>
              <w:right w:val="single" w:sz="4" w:space="0" w:color="auto"/>
            </w:tcBorders>
            <w:shd w:val="clear" w:color="auto" w:fill="auto"/>
            <w:vAlign w:val="center"/>
            <w:hideMark/>
          </w:tcPr>
          <w:p w14:paraId="2FED8C13"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55" w:type="pct"/>
            <w:tcBorders>
              <w:top w:val="nil"/>
              <w:left w:val="nil"/>
              <w:bottom w:val="single" w:sz="4" w:space="0" w:color="auto"/>
              <w:right w:val="single" w:sz="4" w:space="0" w:color="auto"/>
            </w:tcBorders>
            <w:shd w:val="clear" w:color="auto" w:fill="auto"/>
            <w:vAlign w:val="center"/>
            <w:hideMark/>
          </w:tcPr>
          <w:p w14:paraId="47238C1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3" w:type="pct"/>
            <w:tcBorders>
              <w:top w:val="nil"/>
              <w:left w:val="nil"/>
              <w:bottom w:val="single" w:sz="4" w:space="0" w:color="auto"/>
              <w:right w:val="single" w:sz="4" w:space="0" w:color="auto"/>
            </w:tcBorders>
            <w:shd w:val="clear" w:color="000000" w:fill="FFF2CC"/>
            <w:vAlign w:val="center"/>
            <w:hideMark/>
          </w:tcPr>
          <w:p w14:paraId="39C34539"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62" w:type="pct"/>
            <w:tcBorders>
              <w:top w:val="nil"/>
              <w:left w:val="nil"/>
              <w:bottom w:val="single" w:sz="4" w:space="0" w:color="auto"/>
              <w:right w:val="single" w:sz="4" w:space="0" w:color="auto"/>
            </w:tcBorders>
            <w:shd w:val="clear" w:color="auto" w:fill="auto"/>
            <w:vAlign w:val="center"/>
            <w:hideMark/>
          </w:tcPr>
          <w:p w14:paraId="13436BE2"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1,296,000</w:t>
            </w:r>
          </w:p>
        </w:tc>
        <w:tc>
          <w:tcPr>
            <w:tcW w:w="155" w:type="pct"/>
            <w:tcBorders>
              <w:top w:val="nil"/>
              <w:left w:val="nil"/>
              <w:bottom w:val="single" w:sz="4" w:space="0" w:color="auto"/>
              <w:right w:val="single" w:sz="4" w:space="0" w:color="auto"/>
            </w:tcBorders>
            <w:shd w:val="clear" w:color="auto" w:fill="auto"/>
            <w:vAlign w:val="center"/>
            <w:hideMark/>
          </w:tcPr>
          <w:p w14:paraId="1C8E7E3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218" w:type="pct"/>
            <w:tcBorders>
              <w:top w:val="nil"/>
              <w:left w:val="nil"/>
              <w:bottom w:val="single" w:sz="4" w:space="0" w:color="auto"/>
              <w:right w:val="single" w:sz="4" w:space="0" w:color="auto"/>
            </w:tcBorders>
            <w:shd w:val="clear" w:color="auto" w:fill="auto"/>
            <w:vAlign w:val="center"/>
            <w:hideMark/>
          </w:tcPr>
          <w:p w14:paraId="218CD7E7"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UNHCR</w:t>
            </w:r>
          </w:p>
        </w:tc>
        <w:tc>
          <w:tcPr>
            <w:tcW w:w="163" w:type="pct"/>
            <w:tcBorders>
              <w:top w:val="nil"/>
              <w:left w:val="nil"/>
              <w:bottom w:val="single" w:sz="4" w:space="0" w:color="auto"/>
              <w:right w:val="single" w:sz="4" w:space="0" w:color="auto"/>
            </w:tcBorders>
            <w:shd w:val="clear" w:color="000000" w:fill="FFF2CC"/>
            <w:vAlign w:val="center"/>
            <w:hideMark/>
          </w:tcPr>
          <w:p w14:paraId="33437D2E"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1,296,000</w:t>
            </w:r>
          </w:p>
        </w:tc>
        <w:tc>
          <w:tcPr>
            <w:tcW w:w="139" w:type="pct"/>
            <w:tcBorders>
              <w:top w:val="nil"/>
              <w:left w:val="nil"/>
              <w:bottom w:val="single" w:sz="4" w:space="0" w:color="auto"/>
              <w:right w:val="single" w:sz="4" w:space="0" w:color="auto"/>
            </w:tcBorders>
            <w:shd w:val="clear" w:color="auto" w:fill="auto"/>
            <w:vAlign w:val="center"/>
            <w:hideMark/>
          </w:tcPr>
          <w:p w14:paraId="3F261365"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42" w:type="pct"/>
            <w:tcBorders>
              <w:top w:val="nil"/>
              <w:left w:val="nil"/>
              <w:bottom w:val="single" w:sz="4" w:space="0" w:color="auto"/>
              <w:right w:val="single" w:sz="4" w:space="0" w:color="auto"/>
            </w:tcBorders>
            <w:shd w:val="clear" w:color="auto" w:fill="auto"/>
            <w:vAlign w:val="center"/>
            <w:hideMark/>
          </w:tcPr>
          <w:p w14:paraId="32C2E0AF"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28" w:type="pct"/>
            <w:tcBorders>
              <w:top w:val="nil"/>
              <w:left w:val="nil"/>
              <w:bottom w:val="single" w:sz="4" w:space="0" w:color="auto"/>
              <w:right w:val="single" w:sz="4" w:space="0" w:color="auto"/>
            </w:tcBorders>
            <w:shd w:val="clear" w:color="000000" w:fill="FFF2CC"/>
            <w:vAlign w:val="center"/>
            <w:hideMark/>
          </w:tcPr>
          <w:p w14:paraId="79326EFD" w14:textId="77777777" w:rsidR="00C260C3" w:rsidRPr="00B457F5" w:rsidRDefault="00C260C3" w:rsidP="00C260C3">
            <w:pPr>
              <w:spacing w:before="0" w:after="0"/>
              <w:jc w:val="center"/>
              <w:rPr>
                <w:rFonts w:ascii="Garamond" w:eastAsia="Times New Roman" w:hAnsi="Garamond" w:cs="Times New Roman"/>
                <w:sz w:val="4"/>
                <w:szCs w:val="10"/>
              </w:rPr>
            </w:pPr>
            <w:r w:rsidRPr="00B457F5">
              <w:rPr>
                <w:rFonts w:ascii="Garamond" w:eastAsia="Times New Roman" w:hAnsi="Garamond" w:cs="Times New Roman"/>
                <w:sz w:val="4"/>
                <w:szCs w:val="10"/>
              </w:rPr>
              <w:t>0</w:t>
            </w:r>
          </w:p>
        </w:tc>
        <w:tc>
          <w:tcPr>
            <w:tcW w:w="177" w:type="pct"/>
            <w:tcBorders>
              <w:top w:val="nil"/>
              <w:left w:val="nil"/>
              <w:bottom w:val="single" w:sz="4" w:space="0" w:color="auto"/>
              <w:right w:val="single" w:sz="4" w:space="0" w:color="auto"/>
            </w:tcBorders>
            <w:shd w:val="clear" w:color="auto" w:fill="auto"/>
            <w:vAlign w:val="center"/>
            <w:hideMark/>
          </w:tcPr>
          <w:p w14:paraId="1ED8E2D0" w14:textId="314C0262"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683FA31B" w14:textId="77777777" w:rsidTr="00C260C3">
        <w:trPr>
          <w:trHeight w:val="20"/>
        </w:trPr>
        <w:tc>
          <w:tcPr>
            <w:tcW w:w="131" w:type="pct"/>
            <w:tcBorders>
              <w:top w:val="nil"/>
              <w:left w:val="single" w:sz="4" w:space="0" w:color="auto"/>
              <w:bottom w:val="single" w:sz="4" w:space="0" w:color="auto"/>
              <w:right w:val="single" w:sz="4" w:space="0" w:color="auto"/>
            </w:tcBorders>
            <w:shd w:val="clear" w:color="000000" w:fill="D9D9D9"/>
            <w:vAlign w:val="center"/>
            <w:hideMark/>
          </w:tcPr>
          <w:p w14:paraId="741EB093"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81" w:type="pct"/>
            <w:tcBorders>
              <w:top w:val="nil"/>
              <w:left w:val="nil"/>
              <w:bottom w:val="single" w:sz="4" w:space="0" w:color="auto"/>
              <w:right w:val="single" w:sz="4" w:space="0" w:color="auto"/>
            </w:tcBorders>
            <w:shd w:val="clear" w:color="000000" w:fill="D9D9D9"/>
            <w:vAlign w:val="center"/>
            <w:hideMark/>
          </w:tcPr>
          <w:p w14:paraId="5868F55B" w14:textId="2928A856" w:rsidR="00C260C3" w:rsidRPr="00B457F5" w:rsidRDefault="00C260C3" w:rsidP="00C260C3">
            <w:pPr>
              <w:spacing w:before="0" w:after="0"/>
              <w:jc w:val="lef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Kosto</w:t>
            </w:r>
            <w:r w:rsidR="0028334E" w:rsidRPr="00B457F5">
              <w:rPr>
                <w:rFonts w:ascii="Garamond" w:eastAsia="Times New Roman" w:hAnsi="Garamond" w:cs="Times New Roman"/>
                <w:b/>
                <w:bCs/>
                <w:color w:val="FF0000"/>
                <w:sz w:val="4"/>
                <w:szCs w:val="10"/>
              </w:rPr>
              <w:t>ja e</w:t>
            </w:r>
            <w:r w:rsidRPr="00B457F5">
              <w:rPr>
                <w:rFonts w:ascii="Garamond" w:eastAsia="Times New Roman" w:hAnsi="Garamond" w:cs="Times New Roman"/>
                <w:b/>
                <w:bCs/>
                <w:color w:val="FF0000"/>
                <w:sz w:val="4"/>
                <w:szCs w:val="10"/>
              </w:rPr>
              <w:t xml:space="preserve"> </w:t>
            </w:r>
            <w:r w:rsidR="0028334E" w:rsidRPr="00B457F5">
              <w:rPr>
                <w:rFonts w:ascii="Garamond" w:eastAsia="Times New Roman" w:hAnsi="Garamond" w:cs="Times New Roman"/>
                <w:b/>
                <w:bCs/>
                <w:color w:val="FF0000"/>
                <w:sz w:val="4"/>
                <w:szCs w:val="10"/>
              </w:rPr>
              <w:t>o</w:t>
            </w:r>
            <w:r w:rsidRPr="00B457F5">
              <w:rPr>
                <w:rFonts w:ascii="Garamond" w:eastAsia="Times New Roman" w:hAnsi="Garamond" w:cs="Times New Roman"/>
                <w:b/>
                <w:bCs/>
                <w:color w:val="FF0000"/>
                <w:sz w:val="4"/>
                <w:szCs w:val="10"/>
              </w:rPr>
              <w:t>bjektivi</w:t>
            </w:r>
            <w:r w:rsidR="0028334E" w:rsidRPr="00B457F5">
              <w:rPr>
                <w:rFonts w:ascii="Garamond" w:eastAsia="Times New Roman" w:hAnsi="Garamond" w:cs="Times New Roman"/>
                <w:b/>
                <w:bCs/>
                <w:color w:val="FF0000"/>
                <w:sz w:val="4"/>
                <w:szCs w:val="10"/>
              </w:rPr>
              <w:t>t</w:t>
            </w:r>
            <w:r w:rsidRPr="00B457F5">
              <w:rPr>
                <w:rFonts w:ascii="Garamond" w:eastAsia="Times New Roman" w:hAnsi="Garamond" w:cs="Times New Roman"/>
                <w:b/>
                <w:bCs/>
                <w:color w:val="FF0000"/>
                <w:sz w:val="4"/>
                <w:szCs w:val="10"/>
              </w:rPr>
              <w:t xml:space="preserve"> specifik 4.3</w:t>
            </w:r>
          </w:p>
        </w:tc>
        <w:tc>
          <w:tcPr>
            <w:tcW w:w="186" w:type="pct"/>
            <w:tcBorders>
              <w:top w:val="nil"/>
              <w:left w:val="nil"/>
              <w:bottom w:val="single" w:sz="4" w:space="0" w:color="auto"/>
              <w:right w:val="single" w:sz="4" w:space="0" w:color="auto"/>
            </w:tcBorders>
            <w:shd w:val="clear" w:color="000000" w:fill="D9D9D9"/>
            <w:vAlign w:val="center"/>
            <w:hideMark/>
          </w:tcPr>
          <w:p w14:paraId="4D999679"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9" w:type="pct"/>
            <w:tcBorders>
              <w:top w:val="single" w:sz="4" w:space="0" w:color="auto"/>
              <w:left w:val="nil"/>
              <w:bottom w:val="single" w:sz="4" w:space="0" w:color="auto"/>
              <w:right w:val="single" w:sz="4" w:space="0" w:color="auto"/>
            </w:tcBorders>
            <w:shd w:val="clear" w:color="000000" w:fill="D9D9D9"/>
            <w:vAlign w:val="center"/>
            <w:hideMark/>
          </w:tcPr>
          <w:p w14:paraId="182E87CF"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44" w:type="pct"/>
            <w:tcBorders>
              <w:top w:val="single" w:sz="4" w:space="0" w:color="auto"/>
              <w:left w:val="nil"/>
              <w:bottom w:val="single" w:sz="4" w:space="0" w:color="auto"/>
              <w:right w:val="single" w:sz="4" w:space="0" w:color="auto"/>
            </w:tcBorders>
            <w:shd w:val="clear" w:color="000000" w:fill="D9D9D9"/>
            <w:vAlign w:val="center"/>
            <w:hideMark/>
          </w:tcPr>
          <w:p w14:paraId="4C1CE099"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35" w:type="pct"/>
            <w:tcBorders>
              <w:top w:val="single" w:sz="4" w:space="0" w:color="auto"/>
              <w:left w:val="nil"/>
              <w:bottom w:val="single" w:sz="4" w:space="0" w:color="auto"/>
              <w:right w:val="single" w:sz="4" w:space="0" w:color="auto"/>
            </w:tcBorders>
            <w:shd w:val="clear" w:color="000000" w:fill="D9D9D9"/>
            <w:vAlign w:val="center"/>
            <w:hideMark/>
          </w:tcPr>
          <w:p w14:paraId="0AE1239A"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2" w:type="pct"/>
            <w:tcBorders>
              <w:top w:val="single" w:sz="4" w:space="0" w:color="auto"/>
              <w:left w:val="nil"/>
              <w:bottom w:val="single" w:sz="4" w:space="0" w:color="auto"/>
              <w:right w:val="single" w:sz="4" w:space="0" w:color="auto"/>
            </w:tcBorders>
            <w:shd w:val="clear" w:color="000000" w:fill="D9D9D9"/>
            <w:vAlign w:val="center"/>
            <w:hideMark/>
          </w:tcPr>
          <w:p w14:paraId="7A1F9280"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28442440"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12,528,112</w:t>
            </w:r>
          </w:p>
        </w:tc>
        <w:tc>
          <w:tcPr>
            <w:tcW w:w="155" w:type="pct"/>
            <w:tcBorders>
              <w:top w:val="nil"/>
              <w:left w:val="nil"/>
              <w:bottom w:val="single" w:sz="4" w:space="0" w:color="auto"/>
              <w:right w:val="single" w:sz="4" w:space="0" w:color="auto"/>
            </w:tcBorders>
            <w:shd w:val="clear" w:color="000000" w:fill="D9D9D9"/>
            <w:vAlign w:val="center"/>
            <w:hideMark/>
          </w:tcPr>
          <w:p w14:paraId="592F668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0A7CC9CC"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12,528,112</w:t>
            </w:r>
          </w:p>
        </w:tc>
        <w:tc>
          <w:tcPr>
            <w:tcW w:w="165" w:type="pct"/>
            <w:tcBorders>
              <w:top w:val="nil"/>
              <w:left w:val="nil"/>
              <w:bottom w:val="single" w:sz="4" w:space="0" w:color="auto"/>
              <w:right w:val="single" w:sz="4" w:space="0" w:color="auto"/>
            </w:tcBorders>
            <w:shd w:val="clear" w:color="000000" w:fill="D9D9D9"/>
            <w:vAlign w:val="center"/>
            <w:hideMark/>
          </w:tcPr>
          <w:p w14:paraId="7056438A"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8,937,892</w:t>
            </w:r>
          </w:p>
        </w:tc>
        <w:tc>
          <w:tcPr>
            <w:tcW w:w="163" w:type="pct"/>
            <w:tcBorders>
              <w:top w:val="nil"/>
              <w:left w:val="nil"/>
              <w:bottom w:val="single" w:sz="4" w:space="0" w:color="auto"/>
              <w:right w:val="single" w:sz="4" w:space="0" w:color="auto"/>
            </w:tcBorders>
            <w:shd w:val="clear" w:color="000000" w:fill="D9D9D9"/>
            <w:vAlign w:val="center"/>
            <w:hideMark/>
          </w:tcPr>
          <w:p w14:paraId="3869FA5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54B4F8E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8,937,892</w:t>
            </w:r>
          </w:p>
        </w:tc>
        <w:tc>
          <w:tcPr>
            <w:tcW w:w="163" w:type="pct"/>
            <w:tcBorders>
              <w:top w:val="nil"/>
              <w:left w:val="nil"/>
              <w:bottom w:val="single" w:sz="4" w:space="0" w:color="auto"/>
              <w:right w:val="single" w:sz="4" w:space="0" w:color="auto"/>
            </w:tcBorders>
            <w:shd w:val="clear" w:color="000000" w:fill="D9D9D9"/>
            <w:vAlign w:val="center"/>
            <w:hideMark/>
          </w:tcPr>
          <w:p w14:paraId="3DBE6D78"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3,723,459</w:t>
            </w:r>
          </w:p>
        </w:tc>
        <w:tc>
          <w:tcPr>
            <w:tcW w:w="148" w:type="pct"/>
            <w:tcBorders>
              <w:top w:val="nil"/>
              <w:left w:val="nil"/>
              <w:bottom w:val="single" w:sz="4" w:space="0" w:color="auto"/>
              <w:right w:val="single" w:sz="4" w:space="0" w:color="auto"/>
            </w:tcBorders>
            <w:shd w:val="clear" w:color="000000" w:fill="D9D9D9"/>
            <w:vAlign w:val="center"/>
            <w:hideMark/>
          </w:tcPr>
          <w:p w14:paraId="4D7A7879"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2" w:type="pct"/>
            <w:tcBorders>
              <w:top w:val="nil"/>
              <w:left w:val="nil"/>
              <w:bottom w:val="single" w:sz="4" w:space="0" w:color="auto"/>
              <w:right w:val="single" w:sz="4" w:space="0" w:color="auto"/>
            </w:tcBorders>
            <w:shd w:val="clear" w:color="000000" w:fill="D9D9D9"/>
            <w:vAlign w:val="center"/>
            <w:hideMark/>
          </w:tcPr>
          <w:p w14:paraId="6E6C98AA"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3,723,459</w:t>
            </w:r>
          </w:p>
        </w:tc>
        <w:tc>
          <w:tcPr>
            <w:tcW w:w="165" w:type="pct"/>
            <w:tcBorders>
              <w:top w:val="nil"/>
              <w:left w:val="nil"/>
              <w:bottom w:val="single" w:sz="4" w:space="0" w:color="auto"/>
              <w:right w:val="single" w:sz="4" w:space="0" w:color="auto"/>
            </w:tcBorders>
            <w:shd w:val="clear" w:color="000000" w:fill="D9D9D9"/>
            <w:vAlign w:val="center"/>
            <w:hideMark/>
          </w:tcPr>
          <w:p w14:paraId="5729A260"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25,189,463</w:t>
            </w:r>
          </w:p>
        </w:tc>
        <w:tc>
          <w:tcPr>
            <w:tcW w:w="163" w:type="pct"/>
            <w:tcBorders>
              <w:top w:val="nil"/>
              <w:left w:val="nil"/>
              <w:bottom w:val="single" w:sz="4" w:space="0" w:color="auto"/>
              <w:right w:val="single" w:sz="4" w:space="0" w:color="auto"/>
            </w:tcBorders>
            <w:shd w:val="clear" w:color="000000" w:fill="D9D9D9"/>
            <w:vAlign w:val="center"/>
            <w:hideMark/>
          </w:tcPr>
          <w:p w14:paraId="73471703"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5" w:type="pct"/>
            <w:tcBorders>
              <w:top w:val="nil"/>
              <w:left w:val="nil"/>
              <w:bottom w:val="single" w:sz="4" w:space="0" w:color="auto"/>
              <w:right w:val="single" w:sz="4" w:space="0" w:color="auto"/>
            </w:tcBorders>
            <w:shd w:val="clear" w:color="000000" w:fill="D9D9D9"/>
            <w:vAlign w:val="center"/>
            <w:hideMark/>
          </w:tcPr>
          <w:p w14:paraId="094ABBA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25,189,463</w:t>
            </w:r>
          </w:p>
        </w:tc>
        <w:tc>
          <w:tcPr>
            <w:tcW w:w="163" w:type="pct"/>
            <w:tcBorders>
              <w:top w:val="nil"/>
              <w:left w:val="nil"/>
              <w:bottom w:val="single" w:sz="4" w:space="0" w:color="auto"/>
              <w:right w:val="single" w:sz="4" w:space="0" w:color="auto"/>
            </w:tcBorders>
            <w:shd w:val="clear" w:color="000000" w:fill="D9D9D9"/>
            <w:vAlign w:val="center"/>
            <w:hideMark/>
          </w:tcPr>
          <w:p w14:paraId="130D254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5,568,597</w:t>
            </w:r>
          </w:p>
        </w:tc>
        <w:tc>
          <w:tcPr>
            <w:tcW w:w="155" w:type="pct"/>
            <w:tcBorders>
              <w:top w:val="nil"/>
              <w:left w:val="nil"/>
              <w:bottom w:val="single" w:sz="4" w:space="0" w:color="auto"/>
              <w:right w:val="single" w:sz="4" w:space="0" w:color="auto"/>
            </w:tcBorders>
            <w:shd w:val="clear" w:color="000000" w:fill="D9D9D9"/>
            <w:vAlign w:val="center"/>
            <w:hideMark/>
          </w:tcPr>
          <w:p w14:paraId="7A5BA5B9"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63" w:type="pct"/>
            <w:tcBorders>
              <w:top w:val="nil"/>
              <w:left w:val="nil"/>
              <w:bottom w:val="single" w:sz="4" w:space="0" w:color="auto"/>
              <w:right w:val="single" w:sz="4" w:space="0" w:color="auto"/>
            </w:tcBorders>
            <w:shd w:val="clear" w:color="000000" w:fill="D9D9D9"/>
            <w:vAlign w:val="center"/>
            <w:hideMark/>
          </w:tcPr>
          <w:p w14:paraId="28F1AC5C"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5,568,597</w:t>
            </w:r>
          </w:p>
        </w:tc>
        <w:tc>
          <w:tcPr>
            <w:tcW w:w="162" w:type="pct"/>
            <w:tcBorders>
              <w:top w:val="nil"/>
              <w:left w:val="nil"/>
              <w:bottom w:val="single" w:sz="4" w:space="0" w:color="auto"/>
              <w:right w:val="single" w:sz="4" w:space="0" w:color="auto"/>
            </w:tcBorders>
            <w:shd w:val="clear" w:color="000000" w:fill="D9D9D9"/>
            <w:vAlign w:val="center"/>
            <w:hideMark/>
          </w:tcPr>
          <w:p w14:paraId="5A6E0C87"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19,620,866</w:t>
            </w:r>
          </w:p>
        </w:tc>
        <w:tc>
          <w:tcPr>
            <w:tcW w:w="155" w:type="pct"/>
            <w:tcBorders>
              <w:top w:val="nil"/>
              <w:left w:val="nil"/>
              <w:bottom w:val="single" w:sz="4" w:space="0" w:color="auto"/>
              <w:right w:val="single" w:sz="4" w:space="0" w:color="auto"/>
            </w:tcBorders>
            <w:shd w:val="clear" w:color="000000" w:fill="D9D9D9"/>
            <w:vAlign w:val="center"/>
            <w:hideMark/>
          </w:tcPr>
          <w:p w14:paraId="4AE37F58"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218" w:type="pct"/>
            <w:tcBorders>
              <w:top w:val="nil"/>
              <w:left w:val="nil"/>
              <w:bottom w:val="single" w:sz="4" w:space="0" w:color="auto"/>
              <w:right w:val="single" w:sz="4" w:space="0" w:color="auto"/>
            </w:tcBorders>
            <w:shd w:val="clear" w:color="000000" w:fill="D9D9D9"/>
            <w:vAlign w:val="center"/>
            <w:hideMark/>
          </w:tcPr>
          <w:p w14:paraId="149926D1"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5272DD37"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19,620,866</w:t>
            </w:r>
          </w:p>
        </w:tc>
        <w:tc>
          <w:tcPr>
            <w:tcW w:w="139" w:type="pct"/>
            <w:tcBorders>
              <w:top w:val="nil"/>
              <w:left w:val="nil"/>
              <w:bottom w:val="single" w:sz="4" w:space="0" w:color="auto"/>
              <w:right w:val="single" w:sz="4" w:space="0" w:color="auto"/>
            </w:tcBorders>
            <w:shd w:val="clear" w:color="000000" w:fill="D9D9D9"/>
            <w:vAlign w:val="center"/>
            <w:hideMark/>
          </w:tcPr>
          <w:p w14:paraId="1B9D7727"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42" w:type="pct"/>
            <w:tcBorders>
              <w:top w:val="nil"/>
              <w:left w:val="nil"/>
              <w:bottom w:val="single" w:sz="4" w:space="0" w:color="auto"/>
              <w:right w:val="single" w:sz="4" w:space="0" w:color="auto"/>
            </w:tcBorders>
            <w:shd w:val="clear" w:color="000000" w:fill="D9D9D9"/>
            <w:vAlign w:val="center"/>
            <w:hideMark/>
          </w:tcPr>
          <w:p w14:paraId="02F0C36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28" w:type="pct"/>
            <w:tcBorders>
              <w:top w:val="nil"/>
              <w:left w:val="nil"/>
              <w:bottom w:val="single" w:sz="4" w:space="0" w:color="auto"/>
              <w:right w:val="single" w:sz="4" w:space="0" w:color="auto"/>
            </w:tcBorders>
            <w:shd w:val="clear" w:color="000000" w:fill="D9D9D9"/>
            <w:vAlign w:val="center"/>
            <w:hideMark/>
          </w:tcPr>
          <w:p w14:paraId="6985DF2C"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77" w:type="pct"/>
            <w:tcBorders>
              <w:top w:val="nil"/>
              <w:left w:val="nil"/>
              <w:bottom w:val="single" w:sz="4" w:space="0" w:color="auto"/>
              <w:right w:val="single" w:sz="4" w:space="0" w:color="auto"/>
            </w:tcBorders>
            <w:shd w:val="clear" w:color="000000" w:fill="D9D9D9"/>
            <w:vAlign w:val="center"/>
            <w:hideMark/>
          </w:tcPr>
          <w:p w14:paraId="4FCF8C21" w14:textId="4C04458A"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6CABFB67" w14:textId="77777777" w:rsidTr="00C260C3">
        <w:trPr>
          <w:trHeight w:val="20"/>
        </w:trPr>
        <w:tc>
          <w:tcPr>
            <w:tcW w:w="131" w:type="pct"/>
            <w:tcBorders>
              <w:top w:val="nil"/>
              <w:left w:val="single" w:sz="4" w:space="0" w:color="auto"/>
              <w:bottom w:val="single" w:sz="4" w:space="0" w:color="auto"/>
              <w:right w:val="single" w:sz="4" w:space="0" w:color="auto"/>
            </w:tcBorders>
            <w:shd w:val="clear" w:color="000000" w:fill="D9D9D9"/>
            <w:vAlign w:val="center"/>
            <w:hideMark/>
          </w:tcPr>
          <w:p w14:paraId="6C6129D5"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81" w:type="pct"/>
            <w:tcBorders>
              <w:top w:val="nil"/>
              <w:left w:val="nil"/>
              <w:bottom w:val="single" w:sz="4" w:space="0" w:color="auto"/>
              <w:right w:val="single" w:sz="4" w:space="0" w:color="auto"/>
            </w:tcBorders>
            <w:shd w:val="clear" w:color="000000" w:fill="D9D9D9"/>
            <w:vAlign w:val="center"/>
            <w:hideMark/>
          </w:tcPr>
          <w:p w14:paraId="668EC737" w14:textId="2532486A" w:rsidR="00C260C3" w:rsidRPr="00B457F5" w:rsidRDefault="00C260C3" w:rsidP="00C260C3">
            <w:pPr>
              <w:spacing w:before="0" w:after="0"/>
              <w:jc w:val="lef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Kosto</w:t>
            </w:r>
            <w:r w:rsidR="0028334E" w:rsidRPr="00B457F5">
              <w:rPr>
                <w:rFonts w:ascii="Garamond" w:eastAsia="Times New Roman" w:hAnsi="Garamond" w:cs="Times New Roman"/>
                <w:b/>
                <w:bCs/>
                <w:color w:val="FF0000"/>
                <w:sz w:val="4"/>
                <w:szCs w:val="10"/>
              </w:rPr>
              <w:t>ja</w:t>
            </w:r>
            <w:r w:rsidRPr="00B457F5">
              <w:rPr>
                <w:rFonts w:ascii="Garamond" w:eastAsia="Times New Roman" w:hAnsi="Garamond" w:cs="Times New Roman"/>
                <w:b/>
                <w:bCs/>
                <w:color w:val="FF0000"/>
                <w:sz w:val="4"/>
                <w:szCs w:val="10"/>
              </w:rPr>
              <w:t xml:space="preserve"> totale </w:t>
            </w:r>
            <w:r w:rsidR="0028334E" w:rsidRPr="00B457F5">
              <w:rPr>
                <w:rFonts w:ascii="Garamond" w:eastAsia="Times New Roman" w:hAnsi="Garamond" w:cs="Times New Roman"/>
                <w:b/>
                <w:bCs/>
                <w:color w:val="FF0000"/>
                <w:sz w:val="4"/>
                <w:szCs w:val="10"/>
              </w:rPr>
              <w:t>e q</w:t>
            </w:r>
            <w:r w:rsidRPr="00B457F5">
              <w:rPr>
                <w:rFonts w:ascii="Garamond" w:eastAsia="Times New Roman" w:hAnsi="Garamond" w:cs="Times New Roman"/>
                <w:b/>
                <w:bCs/>
                <w:color w:val="FF0000"/>
                <w:sz w:val="4"/>
                <w:szCs w:val="10"/>
              </w:rPr>
              <w:t>ëllimi</w:t>
            </w:r>
            <w:r w:rsidR="0028334E" w:rsidRPr="00B457F5">
              <w:rPr>
                <w:rFonts w:ascii="Garamond" w:eastAsia="Times New Roman" w:hAnsi="Garamond" w:cs="Times New Roman"/>
                <w:b/>
                <w:bCs/>
                <w:color w:val="FF0000"/>
                <w:sz w:val="4"/>
                <w:szCs w:val="10"/>
              </w:rPr>
              <w:t>t</w:t>
            </w:r>
            <w:r w:rsidRPr="00B457F5">
              <w:rPr>
                <w:rFonts w:ascii="Garamond" w:eastAsia="Times New Roman" w:hAnsi="Garamond" w:cs="Times New Roman"/>
                <w:b/>
                <w:bCs/>
                <w:color w:val="FF0000"/>
                <w:sz w:val="4"/>
                <w:szCs w:val="10"/>
              </w:rPr>
              <w:t xml:space="preserve"> </w:t>
            </w:r>
            <w:r w:rsidR="0028334E" w:rsidRPr="00B457F5">
              <w:rPr>
                <w:rFonts w:ascii="Garamond" w:eastAsia="Times New Roman" w:hAnsi="Garamond" w:cs="Times New Roman"/>
                <w:b/>
                <w:bCs/>
                <w:color w:val="FF0000"/>
                <w:sz w:val="4"/>
                <w:szCs w:val="10"/>
              </w:rPr>
              <w:t>t</w:t>
            </w:r>
            <w:r w:rsidR="0028334E" w:rsidRPr="00B457F5">
              <w:rPr>
                <w:rFonts w:ascii="Garamond" w:eastAsia="Times New Roman" w:hAnsi="Garamond" w:cs="Times New Roman"/>
                <w:color w:val="FF0000"/>
                <w:sz w:val="4"/>
                <w:szCs w:val="10"/>
              </w:rPr>
              <w:t>ë</w:t>
            </w:r>
            <w:r w:rsidRPr="00B457F5">
              <w:rPr>
                <w:rFonts w:ascii="Garamond" w:eastAsia="Times New Roman" w:hAnsi="Garamond" w:cs="Times New Roman"/>
                <w:b/>
                <w:bCs/>
                <w:color w:val="FF0000"/>
                <w:sz w:val="4"/>
                <w:szCs w:val="10"/>
              </w:rPr>
              <w:t xml:space="preserve"> </w:t>
            </w:r>
            <w:r w:rsidR="0028334E" w:rsidRPr="00B457F5">
              <w:rPr>
                <w:rFonts w:ascii="Garamond" w:eastAsia="Times New Roman" w:hAnsi="Garamond" w:cs="Times New Roman"/>
                <w:b/>
                <w:bCs/>
                <w:color w:val="FF0000"/>
                <w:sz w:val="4"/>
                <w:szCs w:val="10"/>
              </w:rPr>
              <w:t>p</w:t>
            </w:r>
            <w:r w:rsidRPr="00B457F5">
              <w:rPr>
                <w:rFonts w:ascii="Garamond" w:eastAsia="Times New Roman" w:hAnsi="Garamond" w:cs="Times New Roman"/>
                <w:b/>
                <w:bCs/>
                <w:color w:val="FF0000"/>
                <w:sz w:val="4"/>
                <w:szCs w:val="10"/>
              </w:rPr>
              <w:t>olitikës IV (objektiva</w:t>
            </w:r>
            <w:r w:rsidR="0028334E" w:rsidRPr="00B457F5">
              <w:rPr>
                <w:rFonts w:ascii="Garamond" w:eastAsia="Times New Roman" w:hAnsi="Garamond" w:cs="Times New Roman"/>
                <w:b/>
                <w:bCs/>
                <w:color w:val="FF0000"/>
                <w:sz w:val="4"/>
                <w:szCs w:val="10"/>
              </w:rPr>
              <w:t>t</w:t>
            </w:r>
            <w:r w:rsidRPr="00B457F5">
              <w:rPr>
                <w:rFonts w:ascii="Garamond" w:eastAsia="Times New Roman" w:hAnsi="Garamond" w:cs="Times New Roman"/>
                <w:b/>
                <w:bCs/>
                <w:color w:val="FF0000"/>
                <w:sz w:val="4"/>
                <w:szCs w:val="10"/>
              </w:rPr>
              <w:t xml:space="preserve"> specifik</w:t>
            </w:r>
            <w:r w:rsidR="0028334E" w:rsidRPr="00B457F5">
              <w:rPr>
                <w:rFonts w:ascii="Garamond" w:eastAsia="Times New Roman" w:hAnsi="Garamond" w:cs="Times New Roman"/>
                <w:b/>
                <w:bCs/>
                <w:color w:val="FF0000"/>
                <w:sz w:val="4"/>
                <w:szCs w:val="10"/>
              </w:rPr>
              <w:t>ë</w:t>
            </w:r>
            <w:r w:rsidRPr="00B457F5">
              <w:rPr>
                <w:rFonts w:ascii="Garamond" w:eastAsia="Times New Roman" w:hAnsi="Garamond" w:cs="Times New Roman"/>
                <w:b/>
                <w:bCs/>
                <w:color w:val="FF0000"/>
                <w:sz w:val="4"/>
                <w:szCs w:val="10"/>
              </w:rPr>
              <w:t xml:space="preserve"> 4.1+4.2+4.3)</w:t>
            </w:r>
          </w:p>
        </w:tc>
        <w:tc>
          <w:tcPr>
            <w:tcW w:w="186" w:type="pct"/>
            <w:tcBorders>
              <w:top w:val="nil"/>
              <w:left w:val="nil"/>
              <w:bottom w:val="single" w:sz="4" w:space="0" w:color="auto"/>
              <w:right w:val="single" w:sz="4" w:space="0" w:color="auto"/>
            </w:tcBorders>
            <w:shd w:val="clear" w:color="000000" w:fill="D9D9D9"/>
            <w:vAlign w:val="center"/>
            <w:hideMark/>
          </w:tcPr>
          <w:p w14:paraId="0E7D661F" w14:textId="77777777" w:rsidR="00C260C3" w:rsidRPr="00B457F5" w:rsidRDefault="00C260C3" w:rsidP="00C260C3">
            <w:pPr>
              <w:spacing w:before="0" w:after="0"/>
              <w:jc w:val="left"/>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9" w:type="pct"/>
            <w:tcBorders>
              <w:top w:val="nil"/>
              <w:left w:val="nil"/>
              <w:bottom w:val="single" w:sz="4" w:space="0" w:color="auto"/>
              <w:right w:val="single" w:sz="4" w:space="0" w:color="auto"/>
            </w:tcBorders>
            <w:shd w:val="clear" w:color="000000" w:fill="D9D9D9"/>
            <w:vAlign w:val="center"/>
            <w:hideMark/>
          </w:tcPr>
          <w:p w14:paraId="7BC35E44"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244" w:type="pct"/>
            <w:tcBorders>
              <w:top w:val="nil"/>
              <w:left w:val="nil"/>
              <w:bottom w:val="single" w:sz="4" w:space="0" w:color="auto"/>
              <w:right w:val="single" w:sz="4" w:space="0" w:color="auto"/>
            </w:tcBorders>
            <w:shd w:val="clear" w:color="000000" w:fill="D9D9D9"/>
            <w:vAlign w:val="center"/>
            <w:hideMark/>
          </w:tcPr>
          <w:p w14:paraId="110460F3"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35" w:type="pct"/>
            <w:tcBorders>
              <w:top w:val="nil"/>
              <w:left w:val="nil"/>
              <w:bottom w:val="single" w:sz="4" w:space="0" w:color="auto"/>
              <w:right w:val="single" w:sz="4" w:space="0" w:color="auto"/>
            </w:tcBorders>
            <w:shd w:val="clear" w:color="000000" w:fill="D9D9D9"/>
            <w:vAlign w:val="center"/>
            <w:hideMark/>
          </w:tcPr>
          <w:p w14:paraId="700802B2"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52" w:type="pct"/>
            <w:tcBorders>
              <w:top w:val="nil"/>
              <w:left w:val="nil"/>
              <w:bottom w:val="single" w:sz="4" w:space="0" w:color="auto"/>
              <w:right w:val="single" w:sz="4" w:space="0" w:color="auto"/>
            </w:tcBorders>
            <w:shd w:val="clear" w:color="000000" w:fill="D9D9D9"/>
            <w:vAlign w:val="center"/>
            <w:hideMark/>
          </w:tcPr>
          <w:p w14:paraId="7E5C5E3F" w14:textId="77777777" w:rsidR="00C260C3" w:rsidRPr="00B457F5" w:rsidRDefault="00C260C3" w:rsidP="00C260C3">
            <w:pPr>
              <w:spacing w:before="0" w:after="0"/>
              <w:jc w:val="center"/>
              <w:rPr>
                <w:rFonts w:ascii="Garamond" w:eastAsia="Times New Roman" w:hAnsi="Garamond" w:cs="Times New Roman"/>
                <w:b/>
                <w:bCs/>
                <w:color w:val="000000"/>
                <w:sz w:val="4"/>
                <w:szCs w:val="10"/>
              </w:rPr>
            </w:pPr>
            <w:r w:rsidRPr="00B457F5">
              <w:rPr>
                <w:rFonts w:ascii="Garamond" w:eastAsia="Times New Roman" w:hAnsi="Garamond" w:cs="Times New Roman"/>
                <w:b/>
                <w:bCs/>
                <w:color w:val="00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3898933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47,558,641</w:t>
            </w:r>
          </w:p>
        </w:tc>
        <w:tc>
          <w:tcPr>
            <w:tcW w:w="155" w:type="pct"/>
            <w:tcBorders>
              <w:top w:val="nil"/>
              <w:left w:val="nil"/>
              <w:bottom w:val="single" w:sz="4" w:space="0" w:color="auto"/>
              <w:right w:val="single" w:sz="4" w:space="0" w:color="auto"/>
            </w:tcBorders>
            <w:shd w:val="clear" w:color="000000" w:fill="D9D9D9"/>
            <w:vAlign w:val="center"/>
            <w:hideMark/>
          </w:tcPr>
          <w:p w14:paraId="5053A5D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4,600,000</w:t>
            </w:r>
          </w:p>
        </w:tc>
        <w:tc>
          <w:tcPr>
            <w:tcW w:w="162" w:type="pct"/>
            <w:tcBorders>
              <w:top w:val="nil"/>
              <w:left w:val="nil"/>
              <w:bottom w:val="single" w:sz="4" w:space="0" w:color="auto"/>
              <w:right w:val="single" w:sz="4" w:space="0" w:color="auto"/>
            </w:tcBorders>
            <w:shd w:val="clear" w:color="000000" w:fill="D9D9D9"/>
            <w:vAlign w:val="center"/>
            <w:hideMark/>
          </w:tcPr>
          <w:p w14:paraId="340D867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52,158,641</w:t>
            </w:r>
          </w:p>
        </w:tc>
        <w:tc>
          <w:tcPr>
            <w:tcW w:w="165" w:type="pct"/>
            <w:tcBorders>
              <w:top w:val="nil"/>
              <w:left w:val="nil"/>
              <w:bottom w:val="single" w:sz="4" w:space="0" w:color="auto"/>
              <w:right w:val="single" w:sz="4" w:space="0" w:color="auto"/>
            </w:tcBorders>
            <w:shd w:val="clear" w:color="000000" w:fill="D9D9D9"/>
            <w:vAlign w:val="center"/>
            <w:hideMark/>
          </w:tcPr>
          <w:p w14:paraId="05ED466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34,960,836</w:t>
            </w:r>
          </w:p>
        </w:tc>
        <w:tc>
          <w:tcPr>
            <w:tcW w:w="163" w:type="pct"/>
            <w:tcBorders>
              <w:top w:val="nil"/>
              <w:left w:val="nil"/>
              <w:bottom w:val="single" w:sz="4" w:space="0" w:color="auto"/>
              <w:right w:val="single" w:sz="4" w:space="0" w:color="auto"/>
            </w:tcBorders>
            <w:shd w:val="clear" w:color="000000" w:fill="D9D9D9"/>
            <w:vAlign w:val="center"/>
            <w:hideMark/>
          </w:tcPr>
          <w:p w14:paraId="7AB27A7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10,350,000</w:t>
            </w:r>
          </w:p>
        </w:tc>
        <w:tc>
          <w:tcPr>
            <w:tcW w:w="163" w:type="pct"/>
            <w:tcBorders>
              <w:top w:val="nil"/>
              <w:left w:val="nil"/>
              <w:bottom w:val="single" w:sz="4" w:space="0" w:color="auto"/>
              <w:right w:val="single" w:sz="4" w:space="0" w:color="auto"/>
            </w:tcBorders>
            <w:shd w:val="clear" w:color="000000" w:fill="D9D9D9"/>
            <w:vAlign w:val="center"/>
            <w:hideMark/>
          </w:tcPr>
          <w:p w14:paraId="2C11F989"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45,310,836</w:t>
            </w:r>
          </w:p>
        </w:tc>
        <w:tc>
          <w:tcPr>
            <w:tcW w:w="163" w:type="pct"/>
            <w:tcBorders>
              <w:top w:val="nil"/>
              <w:left w:val="nil"/>
              <w:bottom w:val="single" w:sz="4" w:space="0" w:color="auto"/>
              <w:right w:val="single" w:sz="4" w:space="0" w:color="auto"/>
            </w:tcBorders>
            <w:shd w:val="clear" w:color="000000" w:fill="D9D9D9"/>
            <w:vAlign w:val="center"/>
            <w:hideMark/>
          </w:tcPr>
          <w:p w14:paraId="489EB471"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26,638,422</w:t>
            </w:r>
          </w:p>
        </w:tc>
        <w:tc>
          <w:tcPr>
            <w:tcW w:w="148" w:type="pct"/>
            <w:tcBorders>
              <w:top w:val="nil"/>
              <w:left w:val="nil"/>
              <w:bottom w:val="single" w:sz="4" w:space="0" w:color="auto"/>
              <w:right w:val="single" w:sz="4" w:space="0" w:color="auto"/>
            </w:tcBorders>
            <w:shd w:val="clear" w:color="000000" w:fill="D9D9D9"/>
            <w:vAlign w:val="center"/>
            <w:hideMark/>
          </w:tcPr>
          <w:p w14:paraId="0B7D2B5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4,600,000</w:t>
            </w:r>
          </w:p>
        </w:tc>
        <w:tc>
          <w:tcPr>
            <w:tcW w:w="162" w:type="pct"/>
            <w:tcBorders>
              <w:top w:val="nil"/>
              <w:left w:val="nil"/>
              <w:bottom w:val="single" w:sz="4" w:space="0" w:color="auto"/>
              <w:right w:val="single" w:sz="4" w:space="0" w:color="auto"/>
            </w:tcBorders>
            <w:shd w:val="clear" w:color="000000" w:fill="D9D9D9"/>
            <w:vAlign w:val="center"/>
            <w:hideMark/>
          </w:tcPr>
          <w:p w14:paraId="5BF39B37"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31,238,422</w:t>
            </w:r>
          </w:p>
        </w:tc>
        <w:tc>
          <w:tcPr>
            <w:tcW w:w="165" w:type="pct"/>
            <w:tcBorders>
              <w:top w:val="nil"/>
              <w:left w:val="nil"/>
              <w:bottom w:val="single" w:sz="4" w:space="0" w:color="auto"/>
              <w:right w:val="single" w:sz="4" w:space="0" w:color="auto"/>
            </w:tcBorders>
            <w:shd w:val="clear" w:color="000000" w:fill="D9D9D9"/>
            <w:vAlign w:val="center"/>
            <w:hideMark/>
          </w:tcPr>
          <w:p w14:paraId="2B967030"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109,157,899</w:t>
            </w:r>
          </w:p>
        </w:tc>
        <w:tc>
          <w:tcPr>
            <w:tcW w:w="163" w:type="pct"/>
            <w:tcBorders>
              <w:top w:val="nil"/>
              <w:left w:val="nil"/>
              <w:bottom w:val="single" w:sz="4" w:space="0" w:color="auto"/>
              <w:right w:val="single" w:sz="4" w:space="0" w:color="auto"/>
            </w:tcBorders>
            <w:shd w:val="clear" w:color="000000" w:fill="D9D9D9"/>
            <w:vAlign w:val="center"/>
            <w:hideMark/>
          </w:tcPr>
          <w:p w14:paraId="455AA7CC"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19,550,000</w:t>
            </w:r>
          </w:p>
        </w:tc>
        <w:tc>
          <w:tcPr>
            <w:tcW w:w="165" w:type="pct"/>
            <w:tcBorders>
              <w:top w:val="nil"/>
              <w:left w:val="nil"/>
              <w:bottom w:val="single" w:sz="4" w:space="0" w:color="auto"/>
              <w:right w:val="single" w:sz="4" w:space="0" w:color="auto"/>
            </w:tcBorders>
            <w:shd w:val="clear" w:color="000000" w:fill="D9D9D9"/>
            <w:vAlign w:val="center"/>
            <w:hideMark/>
          </w:tcPr>
          <w:p w14:paraId="41E40617"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128,707,899</w:t>
            </w:r>
          </w:p>
        </w:tc>
        <w:tc>
          <w:tcPr>
            <w:tcW w:w="163" w:type="pct"/>
            <w:tcBorders>
              <w:top w:val="nil"/>
              <w:left w:val="nil"/>
              <w:bottom w:val="single" w:sz="4" w:space="0" w:color="auto"/>
              <w:right w:val="single" w:sz="4" w:space="0" w:color="auto"/>
            </w:tcBorders>
            <w:shd w:val="clear" w:color="000000" w:fill="D9D9D9"/>
            <w:vAlign w:val="center"/>
            <w:hideMark/>
          </w:tcPr>
          <w:p w14:paraId="63CA770C"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45,968,130</w:t>
            </w:r>
          </w:p>
        </w:tc>
        <w:tc>
          <w:tcPr>
            <w:tcW w:w="155" w:type="pct"/>
            <w:tcBorders>
              <w:top w:val="nil"/>
              <w:left w:val="nil"/>
              <w:bottom w:val="single" w:sz="4" w:space="0" w:color="auto"/>
              <w:right w:val="single" w:sz="4" w:space="0" w:color="auto"/>
            </w:tcBorders>
            <w:shd w:val="clear" w:color="000000" w:fill="D9D9D9"/>
            <w:vAlign w:val="center"/>
            <w:hideMark/>
          </w:tcPr>
          <w:p w14:paraId="6945E74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3,450,000</w:t>
            </w:r>
          </w:p>
        </w:tc>
        <w:tc>
          <w:tcPr>
            <w:tcW w:w="163" w:type="pct"/>
            <w:tcBorders>
              <w:top w:val="nil"/>
              <w:left w:val="nil"/>
              <w:bottom w:val="single" w:sz="4" w:space="0" w:color="auto"/>
              <w:right w:val="single" w:sz="4" w:space="0" w:color="auto"/>
            </w:tcBorders>
            <w:shd w:val="clear" w:color="000000" w:fill="D9D9D9"/>
            <w:vAlign w:val="center"/>
            <w:hideMark/>
          </w:tcPr>
          <w:p w14:paraId="39C608B9"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49,418,130</w:t>
            </w:r>
          </w:p>
        </w:tc>
        <w:tc>
          <w:tcPr>
            <w:tcW w:w="162" w:type="pct"/>
            <w:tcBorders>
              <w:top w:val="nil"/>
              <w:left w:val="nil"/>
              <w:bottom w:val="single" w:sz="4" w:space="0" w:color="auto"/>
              <w:right w:val="single" w:sz="4" w:space="0" w:color="auto"/>
            </w:tcBorders>
            <w:shd w:val="clear" w:color="000000" w:fill="D9D9D9"/>
            <w:vAlign w:val="center"/>
            <w:hideMark/>
          </w:tcPr>
          <w:p w14:paraId="7D49860F"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63,189,769</w:t>
            </w:r>
          </w:p>
        </w:tc>
        <w:tc>
          <w:tcPr>
            <w:tcW w:w="155" w:type="pct"/>
            <w:tcBorders>
              <w:top w:val="nil"/>
              <w:left w:val="nil"/>
              <w:bottom w:val="single" w:sz="4" w:space="0" w:color="auto"/>
              <w:right w:val="single" w:sz="4" w:space="0" w:color="auto"/>
            </w:tcBorders>
            <w:shd w:val="clear" w:color="000000" w:fill="D9D9D9"/>
            <w:vAlign w:val="center"/>
            <w:hideMark/>
          </w:tcPr>
          <w:p w14:paraId="08A8DA0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16,100,000</w:t>
            </w:r>
          </w:p>
        </w:tc>
        <w:tc>
          <w:tcPr>
            <w:tcW w:w="218" w:type="pct"/>
            <w:tcBorders>
              <w:top w:val="nil"/>
              <w:left w:val="nil"/>
              <w:bottom w:val="single" w:sz="4" w:space="0" w:color="auto"/>
              <w:right w:val="single" w:sz="4" w:space="0" w:color="auto"/>
            </w:tcBorders>
            <w:shd w:val="clear" w:color="000000" w:fill="D9D9D9"/>
            <w:vAlign w:val="center"/>
            <w:hideMark/>
          </w:tcPr>
          <w:p w14:paraId="50C0D34C"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000000" w:fill="D9D9D9"/>
            <w:vAlign w:val="center"/>
            <w:hideMark/>
          </w:tcPr>
          <w:p w14:paraId="1076F08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79,289,769</w:t>
            </w:r>
          </w:p>
        </w:tc>
        <w:tc>
          <w:tcPr>
            <w:tcW w:w="139" w:type="pct"/>
            <w:tcBorders>
              <w:top w:val="nil"/>
              <w:left w:val="nil"/>
              <w:bottom w:val="single" w:sz="4" w:space="0" w:color="auto"/>
              <w:right w:val="single" w:sz="4" w:space="0" w:color="auto"/>
            </w:tcBorders>
            <w:shd w:val="clear" w:color="000000" w:fill="D9D9D9"/>
            <w:vAlign w:val="center"/>
            <w:hideMark/>
          </w:tcPr>
          <w:p w14:paraId="3DF5ACA1"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42" w:type="pct"/>
            <w:tcBorders>
              <w:top w:val="nil"/>
              <w:left w:val="nil"/>
              <w:bottom w:val="single" w:sz="4" w:space="0" w:color="auto"/>
              <w:right w:val="single" w:sz="4" w:space="0" w:color="auto"/>
            </w:tcBorders>
            <w:shd w:val="clear" w:color="000000" w:fill="D9D9D9"/>
            <w:vAlign w:val="center"/>
            <w:hideMark/>
          </w:tcPr>
          <w:p w14:paraId="14EC6A91"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28" w:type="pct"/>
            <w:tcBorders>
              <w:top w:val="nil"/>
              <w:left w:val="nil"/>
              <w:bottom w:val="single" w:sz="4" w:space="0" w:color="auto"/>
              <w:right w:val="single" w:sz="4" w:space="0" w:color="auto"/>
            </w:tcBorders>
            <w:shd w:val="clear" w:color="000000" w:fill="D9D9D9"/>
            <w:vAlign w:val="center"/>
            <w:hideMark/>
          </w:tcPr>
          <w:p w14:paraId="4CC0FA7E"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77" w:type="pct"/>
            <w:tcBorders>
              <w:top w:val="nil"/>
              <w:left w:val="nil"/>
              <w:bottom w:val="single" w:sz="4" w:space="0" w:color="auto"/>
              <w:right w:val="single" w:sz="4" w:space="0" w:color="auto"/>
            </w:tcBorders>
            <w:shd w:val="clear" w:color="000000" w:fill="D9D9D9"/>
            <w:vAlign w:val="center"/>
            <w:hideMark/>
          </w:tcPr>
          <w:p w14:paraId="225687FF" w14:textId="5AEC941A"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 </w:t>
            </w:r>
          </w:p>
        </w:tc>
      </w:tr>
      <w:tr w:rsidR="00C260C3" w:rsidRPr="00B457F5" w14:paraId="058DE431" w14:textId="77777777" w:rsidTr="00C260C3">
        <w:trPr>
          <w:trHeight w:val="20"/>
        </w:trPr>
        <w:tc>
          <w:tcPr>
            <w:tcW w:w="131" w:type="pct"/>
            <w:tcBorders>
              <w:top w:val="nil"/>
              <w:left w:val="single" w:sz="4" w:space="0" w:color="auto"/>
              <w:bottom w:val="single" w:sz="4" w:space="0" w:color="auto"/>
              <w:right w:val="single" w:sz="4" w:space="0" w:color="auto"/>
            </w:tcBorders>
            <w:shd w:val="clear" w:color="auto" w:fill="auto"/>
            <w:noWrap/>
            <w:vAlign w:val="bottom"/>
            <w:hideMark/>
          </w:tcPr>
          <w:p w14:paraId="1CD8A059"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281" w:type="pct"/>
            <w:tcBorders>
              <w:top w:val="nil"/>
              <w:left w:val="nil"/>
              <w:bottom w:val="single" w:sz="4" w:space="0" w:color="auto"/>
              <w:right w:val="single" w:sz="4" w:space="0" w:color="auto"/>
            </w:tcBorders>
            <w:shd w:val="clear" w:color="auto" w:fill="auto"/>
            <w:noWrap/>
            <w:vAlign w:val="center"/>
            <w:hideMark/>
          </w:tcPr>
          <w:p w14:paraId="3D8C289C" w14:textId="7B140113" w:rsidR="00C260C3" w:rsidRPr="00B457F5" w:rsidRDefault="0028334E" w:rsidP="00C260C3">
            <w:pPr>
              <w:spacing w:before="0" w:after="0"/>
              <w:jc w:val="lef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Kostoja totale e qëllimit t</w:t>
            </w:r>
            <w:r w:rsidRPr="00B457F5">
              <w:rPr>
                <w:rFonts w:ascii="Garamond" w:eastAsia="Times New Roman" w:hAnsi="Garamond" w:cs="Times New Roman"/>
                <w:color w:val="FF0000"/>
                <w:sz w:val="4"/>
                <w:szCs w:val="10"/>
              </w:rPr>
              <w:t>ë</w:t>
            </w:r>
            <w:r w:rsidRPr="00B457F5">
              <w:rPr>
                <w:rFonts w:ascii="Garamond" w:eastAsia="Times New Roman" w:hAnsi="Garamond" w:cs="Times New Roman"/>
                <w:b/>
                <w:bCs/>
                <w:color w:val="FF0000"/>
                <w:sz w:val="4"/>
                <w:szCs w:val="10"/>
              </w:rPr>
              <w:t xml:space="preserve"> politikës </w:t>
            </w:r>
            <w:r w:rsidR="00C260C3" w:rsidRPr="00B457F5">
              <w:rPr>
                <w:rFonts w:ascii="Garamond" w:eastAsia="Times New Roman" w:hAnsi="Garamond" w:cs="Times New Roman"/>
                <w:b/>
                <w:bCs/>
                <w:color w:val="FF0000"/>
                <w:sz w:val="4"/>
                <w:szCs w:val="10"/>
              </w:rPr>
              <w:t>I+II+III</w:t>
            </w:r>
          </w:p>
        </w:tc>
        <w:tc>
          <w:tcPr>
            <w:tcW w:w="186" w:type="pct"/>
            <w:tcBorders>
              <w:top w:val="nil"/>
              <w:left w:val="nil"/>
              <w:bottom w:val="single" w:sz="4" w:space="0" w:color="auto"/>
              <w:right w:val="single" w:sz="4" w:space="0" w:color="auto"/>
            </w:tcBorders>
            <w:shd w:val="clear" w:color="auto" w:fill="auto"/>
            <w:noWrap/>
            <w:vAlign w:val="bottom"/>
            <w:hideMark/>
          </w:tcPr>
          <w:p w14:paraId="44FEBDF1" w14:textId="77777777" w:rsidR="00C260C3" w:rsidRPr="00B457F5" w:rsidRDefault="00C260C3" w:rsidP="00C260C3">
            <w:pPr>
              <w:spacing w:before="0" w:after="0"/>
              <w:jc w:val="left"/>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9" w:type="pct"/>
            <w:tcBorders>
              <w:top w:val="nil"/>
              <w:left w:val="nil"/>
              <w:bottom w:val="single" w:sz="4" w:space="0" w:color="auto"/>
              <w:right w:val="single" w:sz="4" w:space="0" w:color="auto"/>
            </w:tcBorders>
            <w:shd w:val="clear" w:color="auto" w:fill="auto"/>
            <w:noWrap/>
            <w:vAlign w:val="bottom"/>
            <w:hideMark/>
          </w:tcPr>
          <w:p w14:paraId="7BC99526"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244" w:type="pct"/>
            <w:tcBorders>
              <w:top w:val="nil"/>
              <w:left w:val="nil"/>
              <w:bottom w:val="single" w:sz="4" w:space="0" w:color="auto"/>
              <w:right w:val="single" w:sz="4" w:space="0" w:color="auto"/>
            </w:tcBorders>
            <w:shd w:val="clear" w:color="auto" w:fill="auto"/>
            <w:noWrap/>
            <w:vAlign w:val="bottom"/>
            <w:hideMark/>
          </w:tcPr>
          <w:p w14:paraId="7F6BC165"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35" w:type="pct"/>
            <w:tcBorders>
              <w:top w:val="nil"/>
              <w:left w:val="nil"/>
              <w:bottom w:val="single" w:sz="4" w:space="0" w:color="auto"/>
              <w:right w:val="single" w:sz="4" w:space="0" w:color="auto"/>
            </w:tcBorders>
            <w:shd w:val="clear" w:color="auto" w:fill="auto"/>
            <w:noWrap/>
            <w:vAlign w:val="bottom"/>
            <w:hideMark/>
          </w:tcPr>
          <w:p w14:paraId="63E743CA"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52" w:type="pct"/>
            <w:tcBorders>
              <w:top w:val="nil"/>
              <w:left w:val="nil"/>
              <w:bottom w:val="single" w:sz="4" w:space="0" w:color="auto"/>
              <w:right w:val="single" w:sz="4" w:space="0" w:color="auto"/>
            </w:tcBorders>
            <w:shd w:val="clear" w:color="auto" w:fill="auto"/>
            <w:noWrap/>
            <w:vAlign w:val="bottom"/>
            <w:hideMark/>
          </w:tcPr>
          <w:p w14:paraId="3A207F37"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0BBD2AD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296,452,717</w:t>
            </w:r>
          </w:p>
        </w:tc>
        <w:tc>
          <w:tcPr>
            <w:tcW w:w="155" w:type="pct"/>
            <w:tcBorders>
              <w:top w:val="nil"/>
              <w:left w:val="nil"/>
              <w:bottom w:val="single" w:sz="4" w:space="0" w:color="auto"/>
              <w:right w:val="single" w:sz="4" w:space="0" w:color="auto"/>
            </w:tcBorders>
            <w:shd w:val="clear" w:color="auto" w:fill="auto"/>
            <w:noWrap/>
            <w:vAlign w:val="center"/>
            <w:hideMark/>
          </w:tcPr>
          <w:p w14:paraId="73221781"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16,100,000</w:t>
            </w:r>
          </w:p>
        </w:tc>
        <w:tc>
          <w:tcPr>
            <w:tcW w:w="162" w:type="pct"/>
            <w:tcBorders>
              <w:top w:val="nil"/>
              <w:left w:val="nil"/>
              <w:bottom w:val="single" w:sz="4" w:space="0" w:color="auto"/>
              <w:right w:val="single" w:sz="4" w:space="0" w:color="auto"/>
            </w:tcBorders>
            <w:shd w:val="clear" w:color="auto" w:fill="auto"/>
            <w:noWrap/>
            <w:vAlign w:val="center"/>
            <w:hideMark/>
          </w:tcPr>
          <w:p w14:paraId="7DECAB0B"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312,552,717</w:t>
            </w:r>
          </w:p>
        </w:tc>
        <w:tc>
          <w:tcPr>
            <w:tcW w:w="165" w:type="pct"/>
            <w:tcBorders>
              <w:top w:val="nil"/>
              <w:left w:val="nil"/>
              <w:bottom w:val="single" w:sz="4" w:space="0" w:color="auto"/>
              <w:right w:val="single" w:sz="4" w:space="0" w:color="auto"/>
            </w:tcBorders>
            <w:shd w:val="clear" w:color="auto" w:fill="auto"/>
            <w:noWrap/>
            <w:vAlign w:val="center"/>
            <w:hideMark/>
          </w:tcPr>
          <w:p w14:paraId="7B6AB682"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279,363,758</w:t>
            </w:r>
          </w:p>
        </w:tc>
        <w:tc>
          <w:tcPr>
            <w:tcW w:w="163" w:type="pct"/>
            <w:tcBorders>
              <w:top w:val="nil"/>
              <w:left w:val="nil"/>
              <w:bottom w:val="single" w:sz="4" w:space="0" w:color="auto"/>
              <w:right w:val="single" w:sz="4" w:space="0" w:color="auto"/>
            </w:tcBorders>
            <w:shd w:val="clear" w:color="auto" w:fill="auto"/>
            <w:noWrap/>
            <w:vAlign w:val="center"/>
            <w:hideMark/>
          </w:tcPr>
          <w:p w14:paraId="47E8A09F"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136,850,000</w:t>
            </w:r>
          </w:p>
        </w:tc>
        <w:tc>
          <w:tcPr>
            <w:tcW w:w="163" w:type="pct"/>
            <w:tcBorders>
              <w:top w:val="nil"/>
              <w:left w:val="nil"/>
              <w:bottom w:val="single" w:sz="4" w:space="0" w:color="auto"/>
              <w:right w:val="single" w:sz="4" w:space="0" w:color="auto"/>
            </w:tcBorders>
            <w:shd w:val="clear" w:color="auto" w:fill="auto"/>
            <w:noWrap/>
            <w:vAlign w:val="center"/>
            <w:hideMark/>
          </w:tcPr>
          <w:p w14:paraId="4266D64B"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416,213,758</w:t>
            </w:r>
          </w:p>
        </w:tc>
        <w:tc>
          <w:tcPr>
            <w:tcW w:w="163" w:type="pct"/>
            <w:tcBorders>
              <w:top w:val="nil"/>
              <w:left w:val="nil"/>
              <w:bottom w:val="single" w:sz="4" w:space="0" w:color="auto"/>
              <w:right w:val="single" w:sz="4" w:space="0" w:color="auto"/>
            </w:tcBorders>
            <w:shd w:val="clear" w:color="auto" w:fill="auto"/>
            <w:noWrap/>
            <w:vAlign w:val="center"/>
            <w:hideMark/>
          </w:tcPr>
          <w:p w14:paraId="7E37CF9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233,885,371</w:t>
            </w:r>
          </w:p>
        </w:tc>
        <w:tc>
          <w:tcPr>
            <w:tcW w:w="148" w:type="pct"/>
            <w:tcBorders>
              <w:top w:val="nil"/>
              <w:left w:val="nil"/>
              <w:bottom w:val="single" w:sz="4" w:space="0" w:color="auto"/>
              <w:right w:val="single" w:sz="4" w:space="0" w:color="auto"/>
            </w:tcBorders>
            <w:shd w:val="clear" w:color="auto" w:fill="auto"/>
            <w:noWrap/>
            <w:vAlign w:val="center"/>
            <w:hideMark/>
          </w:tcPr>
          <w:p w14:paraId="3E24A81B"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7,475,000</w:t>
            </w:r>
          </w:p>
        </w:tc>
        <w:tc>
          <w:tcPr>
            <w:tcW w:w="162" w:type="pct"/>
            <w:tcBorders>
              <w:top w:val="nil"/>
              <w:left w:val="nil"/>
              <w:bottom w:val="single" w:sz="4" w:space="0" w:color="auto"/>
              <w:right w:val="single" w:sz="4" w:space="0" w:color="auto"/>
            </w:tcBorders>
            <w:shd w:val="clear" w:color="auto" w:fill="auto"/>
            <w:noWrap/>
            <w:vAlign w:val="center"/>
            <w:hideMark/>
          </w:tcPr>
          <w:p w14:paraId="1F51E735"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241,360,371</w:t>
            </w:r>
          </w:p>
        </w:tc>
        <w:tc>
          <w:tcPr>
            <w:tcW w:w="165" w:type="pct"/>
            <w:tcBorders>
              <w:top w:val="nil"/>
              <w:left w:val="nil"/>
              <w:bottom w:val="single" w:sz="4" w:space="0" w:color="auto"/>
              <w:right w:val="single" w:sz="4" w:space="0" w:color="auto"/>
            </w:tcBorders>
            <w:shd w:val="clear" w:color="auto" w:fill="auto"/>
            <w:noWrap/>
            <w:vAlign w:val="center"/>
            <w:hideMark/>
          </w:tcPr>
          <w:p w14:paraId="241F961A"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809,701,845</w:t>
            </w:r>
          </w:p>
        </w:tc>
        <w:tc>
          <w:tcPr>
            <w:tcW w:w="163" w:type="pct"/>
            <w:tcBorders>
              <w:top w:val="nil"/>
              <w:left w:val="nil"/>
              <w:bottom w:val="single" w:sz="4" w:space="0" w:color="auto"/>
              <w:right w:val="single" w:sz="4" w:space="0" w:color="auto"/>
            </w:tcBorders>
            <w:shd w:val="clear" w:color="auto" w:fill="auto"/>
            <w:noWrap/>
            <w:vAlign w:val="center"/>
            <w:hideMark/>
          </w:tcPr>
          <w:p w14:paraId="6ACE1F9C"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160,425,000</w:t>
            </w:r>
          </w:p>
        </w:tc>
        <w:tc>
          <w:tcPr>
            <w:tcW w:w="165" w:type="pct"/>
            <w:tcBorders>
              <w:top w:val="nil"/>
              <w:left w:val="nil"/>
              <w:bottom w:val="single" w:sz="4" w:space="0" w:color="auto"/>
              <w:right w:val="single" w:sz="4" w:space="0" w:color="auto"/>
            </w:tcBorders>
            <w:shd w:val="clear" w:color="auto" w:fill="auto"/>
            <w:noWrap/>
            <w:vAlign w:val="center"/>
            <w:hideMark/>
          </w:tcPr>
          <w:p w14:paraId="009F9E69"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970,126,845</w:t>
            </w:r>
          </w:p>
        </w:tc>
        <w:tc>
          <w:tcPr>
            <w:tcW w:w="163" w:type="pct"/>
            <w:tcBorders>
              <w:top w:val="nil"/>
              <w:left w:val="nil"/>
              <w:bottom w:val="single" w:sz="4" w:space="0" w:color="auto"/>
              <w:right w:val="single" w:sz="4" w:space="0" w:color="auto"/>
            </w:tcBorders>
            <w:shd w:val="clear" w:color="auto" w:fill="auto"/>
            <w:noWrap/>
            <w:vAlign w:val="center"/>
            <w:hideMark/>
          </w:tcPr>
          <w:p w14:paraId="068CC3A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467,208,351</w:t>
            </w:r>
          </w:p>
        </w:tc>
        <w:tc>
          <w:tcPr>
            <w:tcW w:w="155" w:type="pct"/>
            <w:tcBorders>
              <w:top w:val="nil"/>
              <w:left w:val="nil"/>
              <w:bottom w:val="single" w:sz="4" w:space="0" w:color="auto"/>
              <w:right w:val="single" w:sz="4" w:space="0" w:color="auto"/>
            </w:tcBorders>
            <w:shd w:val="clear" w:color="auto" w:fill="auto"/>
            <w:noWrap/>
            <w:vAlign w:val="center"/>
            <w:hideMark/>
          </w:tcPr>
          <w:p w14:paraId="613A2579"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14,950,000</w:t>
            </w:r>
          </w:p>
        </w:tc>
        <w:tc>
          <w:tcPr>
            <w:tcW w:w="163" w:type="pct"/>
            <w:tcBorders>
              <w:top w:val="nil"/>
              <w:left w:val="nil"/>
              <w:bottom w:val="single" w:sz="4" w:space="0" w:color="auto"/>
              <w:right w:val="single" w:sz="4" w:space="0" w:color="auto"/>
            </w:tcBorders>
            <w:shd w:val="clear" w:color="auto" w:fill="auto"/>
            <w:noWrap/>
            <w:vAlign w:val="center"/>
            <w:hideMark/>
          </w:tcPr>
          <w:p w14:paraId="0EBC6F7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482,158,351</w:t>
            </w:r>
          </w:p>
        </w:tc>
        <w:tc>
          <w:tcPr>
            <w:tcW w:w="162" w:type="pct"/>
            <w:tcBorders>
              <w:top w:val="nil"/>
              <w:left w:val="nil"/>
              <w:bottom w:val="single" w:sz="4" w:space="0" w:color="auto"/>
              <w:right w:val="single" w:sz="4" w:space="0" w:color="auto"/>
            </w:tcBorders>
            <w:shd w:val="clear" w:color="auto" w:fill="auto"/>
            <w:noWrap/>
            <w:vAlign w:val="center"/>
            <w:hideMark/>
          </w:tcPr>
          <w:p w14:paraId="6E0C7D38"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284,195,841</w:t>
            </w:r>
          </w:p>
        </w:tc>
        <w:tc>
          <w:tcPr>
            <w:tcW w:w="155" w:type="pct"/>
            <w:tcBorders>
              <w:top w:val="nil"/>
              <w:left w:val="nil"/>
              <w:bottom w:val="single" w:sz="4" w:space="0" w:color="auto"/>
              <w:right w:val="single" w:sz="4" w:space="0" w:color="auto"/>
            </w:tcBorders>
            <w:shd w:val="clear" w:color="auto" w:fill="auto"/>
            <w:noWrap/>
            <w:vAlign w:val="center"/>
            <w:hideMark/>
          </w:tcPr>
          <w:p w14:paraId="702CC381"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16,100,000</w:t>
            </w:r>
          </w:p>
        </w:tc>
        <w:tc>
          <w:tcPr>
            <w:tcW w:w="218" w:type="pct"/>
            <w:tcBorders>
              <w:top w:val="nil"/>
              <w:left w:val="nil"/>
              <w:bottom w:val="single" w:sz="4" w:space="0" w:color="auto"/>
              <w:right w:val="single" w:sz="4" w:space="0" w:color="auto"/>
            </w:tcBorders>
            <w:shd w:val="clear" w:color="auto" w:fill="auto"/>
            <w:noWrap/>
            <w:vAlign w:val="center"/>
            <w:hideMark/>
          </w:tcPr>
          <w:p w14:paraId="005516F1"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w:t>
            </w:r>
          </w:p>
        </w:tc>
        <w:tc>
          <w:tcPr>
            <w:tcW w:w="163" w:type="pct"/>
            <w:tcBorders>
              <w:top w:val="nil"/>
              <w:left w:val="nil"/>
              <w:bottom w:val="single" w:sz="4" w:space="0" w:color="auto"/>
              <w:right w:val="single" w:sz="4" w:space="0" w:color="auto"/>
            </w:tcBorders>
            <w:shd w:val="clear" w:color="auto" w:fill="auto"/>
            <w:noWrap/>
            <w:vAlign w:val="center"/>
            <w:hideMark/>
          </w:tcPr>
          <w:p w14:paraId="5B5DBE64"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300,295,841</w:t>
            </w:r>
          </w:p>
        </w:tc>
        <w:tc>
          <w:tcPr>
            <w:tcW w:w="139" w:type="pct"/>
            <w:tcBorders>
              <w:top w:val="nil"/>
              <w:left w:val="nil"/>
              <w:bottom w:val="single" w:sz="4" w:space="0" w:color="auto"/>
              <w:right w:val="single" w:sz="4" w:space="0" w:color="auto"/>
            </w:tcBorders>
            <w:shd w:val="clear" w:color="auto" w:fill="auto"/>
            <w:noWrap/>
            <w:vAlign w:val="center"/>
            <w:hideMark/>
          </w:tcPr>
          <w:p w14:paraId="365DEDED"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42" w:type="pct"/>
            <w:tcBorders>
              <w:top w:val="nil"/>
              <w:left w:val="nil"/>
              <w:bottom w:val="single" w:sz="4" w:space="0" w:color="auto"/>
              <w:right w:val="single" w:sz="4" w:space="0" w:color="auto"/>
            </w:tcBorders>
            <w:shd w:val="clear" w:color="auto" w:fill="auto"/>
            <w:noWrap/>
            <w:vAlign w:val="center"/>
            <w:hideMark/>
          </w:tcPr>
          <w:p w14:paraId="4C7D7F07"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28" w:type="pct"/>
            <w:tcBorders>
              <w:top w:val="nil"/>
              <w:left w:val="nil"/>
              <w:bottom w:val="single" w:sz="4" w:space="0" w:color="auto"/>
              <w:right w:val="single" w:sz="4" w:space="0" w:color="auto"/>
            </w:tcBorders>
            <w:shd w:val="clear" w:color="auto" w:fill="auto"/>
            <w:noWrap/>
            <w:vAlign w:val="center"/>
            <w:hideMark/>
          </w:tcPr>
          <w:p w14:paraId="057F18E5" w14:textId="77777777"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0</w:t>
            </w:r>
          </w:p>
        </w:tc>
        <w:tc>
          <w:tcPr>
            <w:tcW w:w="177" w:type="pct"/>
            <w:tcBorders>
              <w:top w:val="nil"/>
              <w:left w:val="nil"/>
              <w:bottom w:val="single" w:sz="4" w:space="0" w:color="auto"/>
              <w:right w:val="single" w:sz="4" w:space="0" w:color="auto"/>
            </w:tcBorders>
            <w:shd w:val="clear" w:color="auto" w:fill="auto"/>
            <w:noWrap/>
            <w:vAlign w:val="center"/>
            <w:hideMark/>
          </w:tcPr>
          <w:p w14:paraId="77EACB80" w14:textId="190F1F84" w:rsidR="00C260C3" w:rsidRPr="00B457F5" w:rsidRDefault="00C260C3" w:rsidP="00C260C3">
            <w:pPr>
              <w:spacing w:before="0" w:after="0"/>
              <w:jc w:val="center"/>
              <w:rPr>
                <w:rFonts w:ascii="Garamond" w:eastAsia="Times New Roman" w:hAnsi="Garamond" w:cs="Times New Roman"/>
                <w:b/>
                <w:bCs/>
                <w:color w:val="FF0000"/>
                <w:sz w:val="4"/>
                <w:szCs w:val="10"/>
              </w:rPr>
            </w:pPr>
            <w:r w:rsidRPr="00B457F5">
              <w:rPr>
                <w:rFonts w:ascii="Garamond" w:eastAsia="Times New Roman" w:hAnsi="Garamond" w:cs="Times New Roman"/>
                <w:b/>
                <w:bCs/>
                <w:color w:val="FF0000"/>
                <w:sz w:val="4"/>
                <w:szCs w:val="10"/>
              </w:rPr>
              <w:t xml:space="preserve"> (187,672,653)</w:t>
            </w:r>
          </w:p>
        </w:tc>
      </w:tr>
    </w:tbl>
    <w:p w14:paraId="5E2C70E9" w14:textId="2DD6347C" w:rsidR="00151C91" w:rsidRPr="00B457F5" w:rsidRDefault="00151C91" w:rsidP="002E693B">
      <w:pPr>
        <w:tabs>
          <w:tab w:val="left" w:pos="540"/>
        </w:tabs>
        <w:spacing w:before="0" w:after="0"/>
        <w:ind w:firstLine="284"/>
        <w:rPr>
          <w:rFonts w:ascii="Garamond" w:hAnsi="Garamond" w:cs="Times New Roman"/>
          <w:szCs w:val="24"/>
        </w:rPr>
      </w:pPr>
    </w:p>
    <w:tbl>
      <w:tblPr>
        <w:tblW w:w="5000" w:type="pct"/>
        <w:tblLook w:val="04A0" w:firstRow="1" w:lastRow="0" w:firstColumn="1" w:lastColumn="0" w:noHBand="0" w:noVBand="1"/>
      </w:tblPr>
      <w:tblGrid>
        <w:gridCol w:w="959"/>
        <w:gridCol w:w="744"/>
        <w:gridCol w:w="1326"/>
        <w:gridCol w:w="548"/>
        <w:gridCol w:w="646"/>
        <w:gridCol w:w="724"/>
        <w:gridCol w:w="778"/>
        <w:gridCol w:w="727"/>
        <w:gridCol w:w="875"/>
        <w:gridCol w:w="716"/>
        <w:gridCol w:w="716"/>
        <w:gridCol w:w="708"/>
        <w:gridCol w:w="666"/>
        <w:gridCol w:w="716"/>
        <w:gridCol w:w="573"/>
        <w:gridCol w:w="590"/>
        <w:gridCol w:w="498"/>
        <w:gridCol w:w="794"/>
        <w:gridCol w:w="680"/>
      </w:tblGrid>
      <w:tr w:rsidR="00635943" w:rsidRPr="00B457F5" w14:paraId="0CD87B05" w14:textId="77777777" w:rsidTr="00635943">
        <w:trPr>
          <w:trHeight w:val="20"/>
        </w:trPr>
        <w:tc>
          <w:tcPr>
            <w:tcW w:w="5000" w:type="pct"/>
            <w:gridSpan w:val="19"/>
            <w:tcBorders>
              <w:top w:val="single" w:sz="8" w:space="0" w:color="auto"/>
              <w:left w:val="single" w:sz="8" w:space="0" w:color="auto"/>
              <w:bottom w:val="single" w:sz="8" w:space="0" w:color="auto"/>
              <w:right w:val="single" w:sz="8" w:space="0" w:color="000000"/>
            </w:tcBorders>
            <w:shd w:val="clear" w:color="auto" w:fill="auto"/>
            <w:vAlign w:val="center"/>
            <w:hideMark/>
          </w:tcPr>
          <w:p w14:paraId="0E166976" w14:textId="7C412EB3" w:rsidR="00635943" w:rsidRPr="00B457F5" w:rsidRDefault="00635943" w:rsidP="00635943">
            <w:pPr>
              <w:spacing w:before="0" w:after="0"/>
              <w:jc w:val="left"/>
              <w:rPr>
                <w:rFonts w:ascii="Garamond" w:eastAsia="Times New Roman" w:hAnsi="Garamond" w:cs="Times New Roman"/>
                <w:b/>
                <w:bCs/>
                <w:color w:val="305496"/>
                <w:sz w:val="4"/>
                <w:szCs w:val="4"/>
              </w:rPr>
            </w:pPr>
            <w:r w:rsidRPr="00B457F5">
              <w:rPr>
                <w:rFonts w:ascii="Garamond" w:eastAsia="Times New Roman" w:hAnsi="Garamond" w:cs="Times New Roman"/>
                <w:b/>
                <w:bCs/>
                <w:color w:val="305496"/>
                <w:sz w:val="4"/>
                <w:szCs w:val="4"/>
              </w:rPr>
              <w:t xml:space="preserve">Qëllimi i </w:t>
            </w:r>
            <w:r w:rsidR="0028334E" w:rsidRPr="00B457F5">
              <w:rPr>
                <w:rFonts w:ascii="Garamond" w:eastAsia="Times New Roman" w:hAnsi="Garamond" w:cs="Times New Roman"/>
                <w:b/>
                <w:bCs/>
                <w:color w:val="305496"/>
                <w:sz w:val="4"/>
                <w:szCs w:val="4"/>
              </w:rPr>
              <w:t>p</w:t>
            </w:r>
            <w:r w:rsidRPr="00B457F5">
              <w:rPr>
                <w:rFonts w:ascii="Garamond" w:eastAsia="Times New Roman" w:hAnsi="Garamond" w:cs="Times New Roman"/>
                <w:b/>
                <w:bCs/>
                <w:color w:val="305496"/>
                <w:sz w:val="4"/>
                <w:szCs w:val="4"/>
              </w:rPr>
              <w:t>olitikës 1:</w:t>
            </w:r>
            <w:r w:rsidR="0006016F" w:rsidRPr="00B457F5">
              <w:rPr>
                <w:rFonts w:ascii="Garamond" w:eastAsia="Times New Roman" w:hAnsi="Garamond" w:cs="Times New Roman"/>
                <w:b/>
                <w:bCs/>
                <w:color w:val="305496"/>
                <w:sz w:val="4"/>
                <w:szCs w:val="4"/>
              </w:rPr>
              <w:t xml:space="preserve"> </w:t>
            </w:r>
            <w:r w:rsidRPr="00B457F5">
              <w:rPr>
                <w:rFonts w:ascii="Garamond" w:eastAsia="Times New Roman" w:hAnsi="Garamond" w:cs="Times New Roman"/>
                <w:b/>
                <w:bCs/>
                <w:color w:val="305496"/>
                <w:sz w:val="4"/>
                <w:szCs w:val="4"/>
              </w:rPr>
              <w:t>Garantimi i qeverisjes strategjike të migracionit në Shqipëri</w:t>
            </w:r>
          </w:p>
        </w:tc>
      </w:tr>
      <w:tr w:rsidR="00635943" w:rsidRPr="00B457F5" w14:paraId="61CFE642" w14:textId="77777777" w:rsidTr="00635943">
        <w:trPr>
          <w:trHeight w:val="20"/>
        </w:trPr>
        <w:tc>
          <w:tcPr>
            <w:tcW w:w="343" w:type="pct"/>
            <w:vMerge w:val="restart"/>
            <w:tcBorders>
              <w:top w:val="nil"/>
              <w:left w:val="single" w:sz="8" w:space="0" w:color="auto"/>
              <w:bottom w:val="single" w:sz="8" w:space="0" w:color="auto"/>
              <w:right w:val="single" w:sz="8" w:space="0" w:color="auto"/>
            </w:tcBorders>
            <w:shd w:val="clear" w:color="auto" w:fill="auto"/>
            <w:vAlign w:val="center"/>
            <w:hideMark/>
          </w:tcPr>
          <w:p w14:paraId="67F431EA" w14:textId="7997CF68"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Objektivat </w:t>
            </w:r>
            <w:r w:rsidR="0028334E" w:rsidRPr="00B457F5">
              <w:rPr>
                <w:rFonts w:ascii="Garamond" w:eastAsia="Times New Roman" w:hAnsi="Garamond" w:cs="Times New Roman"/>
                <w:b/>
                <w:bCs/>
                <w:color w:val="000000"/>
                <w:sz w:val="4"/>
                <w:szCs w:val="4"/>
              </w:rPr>
              <w:t>s</w:t>
            </w:r>
            <w:r w:rsidRPr="00B457F5">
              <w:rPr>
                <w:rFonts w:ascii="Garamond" w:eastAsia="Times New Roman" w:hAnsi="Garamond" w:cs="Times New Roman"/>
                <w:b/>
                <w:bCs/>
                <w:color w:val="000000"/>
                <w:sz w:val="4"/>
                <w:szCs w:val="4"/>
              </w:rPr>
              <w:t>pecifik</w:t>
            </w:r>
            <w:r w:rsidR="0028334E" w:rsidRPr="00B457F5">
              <w:rPr>
                <w:rFonts w:ascii="Garamond" w:eastAsia="Times New Roman" w:hAnsi="Garamond" w:cs="Times New Roman"/>
                <w:b/>
                <w:bCs/>
                <w:color w:val="000000"/>
                <w:sz w:val="4"/>
                <w:szCs w:val="4"/>
              </w:rPr>
              <w:t>ë</w:t>
            </w:r>
          </w:p>
        </w:tc>
        <w:tc>
          <w:tcPr>
            <w:tcW w:w="739" w:type="pct"/>
            <w:gridSpan w:val="2"/>
            <w:tcBorders>
              <w:top w:val="single" w:sz="8" w:space="0" w:color="auto"/>
              <w:left w:val="nil"/>
              <w:bottom w:val="single" w:sz="8" w:space="0" w:color="auto"/>
              <w:right w:val="single" w:sz="8" w:space="0" w:color="auto"/>
            </w:tcBorders>
            <w:shd w:val="clear" w:color="000000" w:fill="FFFFFF"/>
            <w:vAlign w:val="center"/>
            <w:hideMark/>
          </w:tcPr>
          <w:p w14:paraId="1E2BBDF5" w14:textId="39C79FD5"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Institucionet përgjegjëse</w:t>
            </w:r>
          </w:p>
        </w:tc>
        <w:tc>
          <w:tcPr>
            <w:tcW w:w="427" w:type="pct"/>
            <w:gridSpan w:val="2"/>
            <w:tcBorders>
              <w:top w:val="single" w:sz="8" w:space="0" w:color="auto"/>
              <w:left w:val="nil"/>
              <w:bottom w:val="single" w:sz="8" w:space="0" w:color="auto"/>
              <w:right w:val="single" w:sz="8" w:space="0" w:color="auto"/>
            </w:tcBorders>
            <w:shd w:val="clear" w:color="000000" w:fill="FFFFFF"/>
            <w:vAlign w:val="center"/>
            <w:hideMark/>
          </w:tcPr>
          <w:p w14:paraId="0F231701" w14:textId="11BDC452"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Afati i </w:t>
            </w:r>
            <w:r w:rsidR="0028334E" w:rsidRPr="00B457F5">
              <w:rPr>
                <w:rFonts w:ascii="Garamond" w:eastAsia="Times New Roman" w:hAnsi="Garamond" w:cs="Times New Roman"/>
                <w:b/>
                <w:bCs/>
                <w:color w:val="000000"/>
                <w:sz w:val="4"/>
                <w:szCs w:val="4"/>
              </w:rPr>
              <w:t>z</w:t>
            </w:r>
            <w:r w:rsidRPr="00B457F5">
              <w:rPr>
                <w:rFonts w:ascii="Garamond" w:eastAsia="Times New Roman" w:hAnsi="Garamond" w:cs="Times New Roman"/>
                <w:b/>
                <w:bCs/>
                <w:color w:val="000000"/>
                <w:sz w:val="4"/>
                <w:szCs w:val="4"/>
              </w:rPr>
              <w:t xml:space="preserve">batimit </w:t>
            </w:r>
          </w:p>
        </w:tc>
        <w:tc>
          <w:tcPr>
            <w:tcW w:w="797" w:type="pct"/>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50364147" w14:textId="0BC2B742"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Kosto</w:t>
            </w:r>
            <w:r w:rsidR="0028334E" w:rsidRPr="00B457F5">
              <w:rPr>
                <w:rFonts w:ascii="Garamond" w:eastAsia="Times New Roman" w:hAnsi="Garamond" w:cs="Times New Roman"/>
                <w:b/>
                <w:bCs/>
                <w:color w:val="000000"/>
                <w:sz w:val="4"/>
                <w:szCs w:val="4"/>
              </w:rPr>
              <w:t>ja</w:t>
            </w:r>
            <w:r w:rsidRPr="00B457F5">
              <w:rPr>
                <w:rFonts w:ascii="Garamond" w:eastAsia="Times New Roman" w:hAnsi="Garamond" w:cs="Times New Roman"/>
                <w:b/>
                <w:bCs/>
                <w:color w:val="000000"/>
                <w:sz w:val="4"/>
                <w:szCs w:val="4"/>
              </w:rPr>
              <w:t xml:space="preserve"> </w:t>
            </w:r>
            <w:r w:rsidR="0028334E" w:rsidRPr="00B457F5">
              <w:rPr>
                <w:rFonts w:ascii="Garamond" w:eastAsia="Times New Roman" w:hAnsi="Garamond" w:cs="Times New Roman"/>
                <w:b/>
                <w:bCs/>
                <w:color w:val="000000"/>
                <w:sz w:val="4"/>
                <w:szCs w:val="4"/>
              </w:rPr>
              <w:t>indiktive totale</w:t>
            </w:r>
          </w:p>
        </w:tc>
        <w:tc>
          <w:tcPr>
            <w:tcW w:w="1572" w:type="pct"/>
            <w:gridSpan w:val="6"/>
            <w:tcBorders>
              <w:top w:val="single" w:sz="8" w:space="0" w:color="auto"/>
              <w:left w:val="nil"/>
              <w:bottom w:val="single" w:sz="8" w:space="0" w:color="auto"/>
              <w:right w:val="nil"/>
            </w:tcBorders>
            <w:shd w:val="clear" w:color="auto" w:fill="auto"/>
            <w:vAlign w:val="center"/>
            <w:hideMark/>
          </w:tcPr>
          <w:p w14:paraId="4C73184F" w14:textId="6C2C3CF4"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Burimi i mbulimit deri n</w:t>
            </w:r>
            <w:r w:rsidR="0028334E" w:rsidRPr="00B457F5">
              <w:rPr>
                <w:rFonts w:ascii="Garamond" w:eastAsia="Times New Roman" w:hAnsi="Garamond" w:cs="Times New Roman"/>
                <w:b/>
                <w:bCs/>
                <w:color w:val="000000"/>
                <w:sz w:val="4"/>
                <w:szCs w:val="4"/>
              </w:rPr>
              <w:t>ë</w:t>
            </w:r>
            <w:r w:rsidRPr="00B457F5">
              <w:rPr>
                <w:rFonts w:ascii="Garamond" w:eastAsia="Times New Roman" w:hAnsi="Garamond" w:cs="Times New Roman"/>
                <w:b/>
                <w:bCs/>
                <w:color w:val="000000"/>
                <w:sz w:val="4"/>
                <w:szCs w:val="4"/>
              </w:rPr>
              <w:t xml:space="preserve"> 2026</w:t>
            </w:r>
          </w:p>
        </w:tc>
        <w:tc>
          <w:tcPr>
            <w:tcW w:w="594" w:type="pct"/>
            <w:gridSpan w:val="3"/>
            <w:tcBorders>
              <w:top w:val="single" w:sz="8" w:space="0" w:color="auto"/>
              <w:left w:val="single" w:sz="8" w:space="0" w:color="auto"/>
              <w:bottom w:val="nil"/>
              <w:right w:val="single" w:sz="8" w:space="0" w:color="000000"/>
            </w:tcBorders>
            <w:shd w:val="clear" w:color="000000" w:fill="FFFFFF"/>
            <w:vAlign w:val="center"/>
            <w:hideMark/>
          </w:tcPr>
          <w:p w14:paraId="76786E88" w14:textId="6320FD62"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Burimi i </w:t>
            </w:r>
            <w:r w:rsidR="0028334E" w:rsidRPr="00B457F5">
              <w:rPr>
                <w:rFonts w:ascii="Garamond" w:eastAsia="Times New Roman" w:hAnsi="Garamond" w:cs="Times New Roman"/>
                <w:b/>
                <w:bCs/>
                <w:color w:val="000000"/>
                <w:sz w:val="4"/>
                <w:szCs w:val="4"/>
              </w:rPr>
              <w:t>f</w:t>
            </w:r>
            <w:r w:rsidRPr="00B457F5">
              <w:rPr>
                <w:rFonts w:ascii="Garamond" w:eastAsia="Times New Roman" w:hAnsi="Garamond" w:cs="Times New Roman"/>
                <w:b/>
                <w:bCs/>
                <w:color w:val="000000"/>
                <w:sz w:val="4"/>
                <w:szCs w:val="4"/>
              </w:rPr>
              <w:t>inancimit</w:t>
            </w:r>
          </w:p>
        </w:tc>
        <w:tc>
          <w:tcPr>
            <w:tcW w:w="284" w:type="pct"/>
            <w:vMerge w:val="restart"/>
            <w:tcBorders>
              <w:top w:val="nil"/>
              <w:left w:val="single" w:sz="8" w:space="0" w:color="auto"/>
              <w:bottom w:val="single" w:sz="4" w:space="0" w:color="auto"/>
              <w:right w:val="single" w:sz="8" w:space="0" w:color="auto"/>
            </w:tcBorders>
            <w:shd w:val="clear" w:color="auto" w:fill="auto"/>
            <w:vAlign w:val="center"/>
            <w:hideMark/>
          </w:tcPr>
          <w:p w14:paraId="05353D76" w14:textId="0EC49B34"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Hendeku financiar</w:t>
            </w:r>
            <w:r w:rsidRPr="00B457F5">
              <w:rPr>
                <w:rFonts w:ascii="Garamond" w:eastAsia="Times New Roman" w:hAnsi="Garamond" w:cs="Times New Roman"/>
                <w:b/>
                <w:bCs/>
                <w:color w:val="000000"/>
                <w:sz w:val="4"/>
                <w:szCs w:val="4"/>
              </w:rPr>
              <w:br/>
              <w:t>2024</w:t>
            </w:r>
            <w:r w:rsidR="0028334E" w:rsidRPr="00B457F5">
              <w:rPr>
                <w:rFonts w:ascii="Garamond" w:eastAsia="Times New Roman" w:hAnsi="Garamond" w:cs="Times New Roman"/>
                <w:b/>
                <w:bCs/>
                <w:color w:val="000000"/>
                <w:sz w:val="4"/>
                <w:szCs w:val="4"/>
              </w:rPr>
              <w:t>–</w:t>
            </w:r>
            <w:r w:rsidRPr="00B457F5">
              <w:rPr>
                <w:rFonts w:ascii="Garamond" w:eastAsia="Times New Roman" w:hAnsi="Garamond" w:cs="Times New Roman"/>
                <w:b/>
                <w:bCs/>
                <w:color w:val="000000"/>
                <w:sz w:val="4"/>
                <w:szCs w:val="4"/>
              </w:rPr>
              <w:t>2026</w:t>
            </w:r>
            <w:r w:rsidRPr="00B457F5">
              <w:rPr>
                <w:rFonts w:ascii="Garamond" w:eastAsia="Times New Roman" w:hAnsi="Garamond" w:cs="Times New Roman"/>
                <w:b/>
                <w:bCs/>
                <w:color w:val="000000"/>
                <w:sz w:val="4"/>
                <w:szCs w:val="4"/>
              </w:rPr>
              <w:br/>
              <w:t xml:space="preserve">(në </w:t>
            </w:r>
            <w:r w:rsidR="0028334E" w:rsidRPr="00B457F5">
              <w:rPr>
                <w:rFonts w:ascii="Garamond" w:eastAsia="Times New Roman" w:hAnsi="Garamond" w:cs="Times New Roman"/>
                <w:b/>
                <w:bCs/>
                <w:color w:val="000000"/>
                <w:sz w:val="4"/>
                <w:szCs w:val="4"/>
              </w:rPr>
              <w:t>l</w:t>
            </w:r>
            <w:r w:rsidRPr="00B457F5">
              <w:rPr>
                <w:rFonts w:ascii="Garamond" w:eastAsia="Times New Roman" w:hAnsi="Garamond" w:cs="Times New Roman"/>
                <w:b/>
                <w:bCs/>
                <w:color w:val="000000"/>
                <w:sz w:val="4"/>
                <w:szCs w:val="4"/>
              </w:rPr>
              <w:t>ekë)</w:t>
            </w:r>
          </w:p>
        </w:tc>
        <w:tc>
          <w:tcPr>
            <w:tcW w:w="244" w:type="pct"/>
            <w:vMerge w:val="restart"/>
            <w:tcBorders>
              <w:top w:val="nil"/>
              <w:left w:val="single" w:sz="8" w:space="0" w:color="auto"/>
              <w:bottom w:val="nil"/>
              <w:right w:val="single" w:sz="8" w:space="0" w:color="auto"/>
            </w:tcBorders>
            <w:shd w:val="clear" w:color="auto" w:fill="auto"/>
            <w:vAlign w:val="center"/>
            <w:hideMark/>
          </w:tcPr>
          <w:p w14:paraId="66839AA0" w14:textId="5E323BDE"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Kosto</w:t>
            </w:r>
            <w:r w:rsidR="0028334E" w:rsidRPr="00B457F5">
              <w:rPr>
                <w:rFonts w:ascii="Garamond" w:eastAsia="Times New Roman" w:hAnsi="Garamond" w:cs="Times New Roman"/>
                <w:b/>
                <w:bCs/>
                <w:color w:val="000000"/>
                <w:sz w:val="4"/>
                <w:szCs w:val="4"/>
              </w:rPr>
              <w:t>ja</w:t>
            </w:r>
            <w:r w:rsidRPr="00B457F5">
              <w:rPr>
                <w:rFonts w:ascii="Garamond" w:eastAsia="Times New Roman" w:hAnsi="Garamond" w:cs="Times New Roman"/>
                <w:b/>
                <w:bCs/>
                <w:color w:val="000000"/>
                <w:sz w:val="4"/>
                <w:szCs w:val="4"/>
              </w:rPr>
              <w:t xml:space="preserve"> totale n</w:t>
            </w:r>
            <w:r w:rsidR="0028334E" w:rsidRPr="00B457F5">
              <w:rPr>
                <w:rFonts w:ascii="Garamond" w:eastAsia="Times New Roman" w:hAnsi="Garamond" w:cs="Times New Roman"/>
                <w:b/>
                <w:bCs/>
                <w:color w:val="000000"/>
                <w:sz w:val="4"/>
                <w:szCs w:val="4"/>
              </w:rPr>
              <w:t>ë</w:t>
            </w:r>
            <w:r w:rsidRPr="00B457F5">
              <w:rPr>
                <w:rFonts w:ascii="Garamond" w:eastAsia="Times New Roman" w:hAnsi="Garamond" w:cs="Times New Roman"/>
                <w:b/>
                <w:bCs/>
                <w:color w:val="000000"/>
                <w:sz w:val="4"/>
                <w:szCs w:val="4"/>
              </w:rPr>
              <w:t xml:space="preserve"> EUR</w:t>
            </w:r>
            <w:r w:rsidRPr="00B457F5">
              <w:rPr>
                <w:rFonts w:ascii="Garamond" w:eastAsia="Times New Roman" w:hAnsi="Garamond" w:cs="Times New Roman"/>
                <w:b/>
                <w:bCs/>
                <w:color w:val="000000"/>
                <w:sz w:val="4"/>
                <w:szCs w:val="4"/>
              </w:rPr>
              <w:br/>
              <w:t xml:space="preserve">(kursi </w:t>
            </w:r>
            <w:r w:rsidR="00AF12C0" w:rsidRPr="00B457F5">
              <w:rPr>
                <w:rFonts w:ascii="Garamond" w:eastAsia="Times New Roman" w:hAnsi="Garamond" w:cs="Times New Roman"/>
                <w:b/>
                <w:bCs/>
                <w:color w:val="000000"/>
                <w:sz w:val="4"/>
                <w:szCs w:val="4"/>
              </w:rPr>
              <w:t xml:space="preserve">i </w:t>
            </w:r>
            <w:r w:rsidRPr="00B457F5">
              <w:rPr>
                <w:rFonts w:ascii="Garamond" w:eastAsia="Times New Roman" w:hAnsi="Garamond" w:cs="Times New Roman"/>
                <w:b/>
                <w:bCs/>
                <w:color w:val="000000"/>
                <w:sz w:val="4"/>
                <w:szCs w:val="4"/>
              </w:rPr>
              <w:t>k</w:t>
            </w:r>
            <w:r w:rsidR="00AF12C0" w:rsidRPr="00B457F5">
              <w:rPr>
                <w:rFonts w:ascii="Garamond" w:eastAsia="Times New Roman" w:hAnsi="Garamond" w:cs="Times New Roman"/>
                <w:b/>
                <w:bCs/>
                <w:color w:val="000000"/>
                <w:sz w:val="4"/>
                <w:szCs w:val="4"/>
              </w:rPr>
              <w:t>ë</w:t>
            </w:r>
            <w:r w:rsidRPr="00B457F5">
              <w:rPr>
                <w:rFonts w:ascii="Garamond" w:eastAsia="Times New Roman" w:hAnsi="Garamond" w:cs="Times New Roman"/>
                <w:b/>
                <w:bCs/>
                <w:color w:val="000000"/>
                <w:sz w:val="4"/>
                <w:szCs w:val="4"/>
              </w:rPr>
              <w:t>mbimit: 1 EUR = 110 ALL)</w:t>
            </w:r>
          </w:p>
        </w:tc>
      </w:tr>
      <w:tr w:rsidR="00635943" w:rsidRPr="00B457F5" w14:paraId="08DDE119" w14:textId="77777777" w:rsidTr="00635943">
        <w:trPr>
          <w:trHeight w:val="20"/>
        </w:trPr>
        <w:tc>
          <w:tcPr>
            <w:tcW w:w="343" w:type="pct"/>
            <w:vMerge/>
            <w:tcBorders>
              <w:top w:val="nil"/>
              <w:left w:val="single" w:sz="8" w:space="0" w:color="auto"/>
              <w:bottom w:val="single" w:sz="8" w:space="0" w:color="auto"/>
              <w:right w:val="single" w:sz="8" w:space="0" w:color="auto"/>
            </w:tcBorders>
            <w:vAlign w:val="center"/>
            <w:hideMark/>
          </w:tcPr>
          <w:p w14:paraId="7FC14EA9"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c>
          <w:tcPr>
            <w:tcW w:w="266" w:type="pct"/>
            <w:vMerge w:val="restart"/>
            <w:tcBorders>
              <w:top w:val="nil"/>
              <w:left w:val="single" w:sz="8" w:space="0" w:color="auto"/>
              <w:bottom w:val="single" w:sz="8" w:space="0" w:color="auto"/>
              <w:right w:val="single" w:sz="8" w:space="0" w:color="auto"/>
            </w:tcBorders>
            <w:shd w:val="clear" w:color="000000" w:fill="FFFFFF"/>
            <w:vAlign w:val="center"/>
            <w:hideMark/>
          </w:tcPr>
          <w:p w14:paraId="35F39DAF" w14:textId="77777777"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Institucioni përgjegjës</w:t>
            </w:r>
          </w:p>
        </w:tc>
        <w:tc>
          <w:tcPr>
            <w:tcW w:w="474" w:type="pct"/>
            <w:vMerge w:val="restart"/>
            <w:tcBorders>
              <w:top w:val="nil"/>
              <w:left w:val="single" w:sz="8" w:space="0" w:color="auto"/>
              <w:bottom w:val="single" w:sz="8" w:space="0" w:color="auto"/>
              <w:right w:val="single" w:sz="8" w:space="0" w:color="auto"/>
            </w:tcBorders>
            <w:shd w:val="clear" w:color="000000" w:fill="FFFFFF"/>
            <w:vAlign w:val="center"/>
            <w:hideMark/>
          </w:tcPr>
          <w:p w14:paraId="5DF518D1" w14:textId="703F013A"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Institucioni kontrib</w:t>
            </w:r>
            <w:r w:rsidR="00AF12C0" w:rsidRPr="00B457F5">
              <w:rPr>
                <w:rFonts w:ascii="Garamond" w:eastAsia="Times New Roman" w:hAnsi="Garamond" w:cs="Times New Roman"/>
                <w:b/>
                <w:bCs/>
                <w:color w:val="000000"/>
                <w:sz w:val="4"/>
                <w:szCs w:val="4"/>
              </w:rPr>
              <w:t>u</w:t>
            </w:r>
            <w:r w:rsidRPr="00B457F5">
              <w:rPr>
                <w:rFonts w:ascii="Garamond" w:eastAsia="Times New Roman" w:hAnsi="Garamond" w:cs="Times New Roman"/>
                <w:b/>
                <w:bCs/>
                <w:color w:val="000000"/>
                <w:sz w:val="4"/>
                <w:szCs w:val="4"/>
              </w:rPr>
              <w:t>ues</w:t>
            </w:r>
          </w:p>
        </w:tc>
        <w:tc>
          <w:tcPr>
            <w:tcW w:w="196" w:type="pct"/>
            <w:vMerge w:val="restart"/>
            <w:tcBorders>
              <w:top w:val="nil"/>
              <w:left w:val="single" w:sz="8" w:space="0" w:color="auto"/>
              <w:bottom w:val="single" w:sz="8" w:space="0" w:color="auto"/>
              <w:right w:val="single" w:sz="8" w:space="0" w:color="auto"/>
            </w:tcBorders>
            <w:shd w:val="clear" w:color="000000" w:fill="FFFFFF"/>
            <w:vAlign w:val="center"/>
            <w:hideMark/>
          </w:tcPr>
          <w:p w14:paraId="1EC5E664" w14:textId="3829E228"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Afati </w:t>
            </w:r>
            <w:r w:rsidR="0028334E" w:rsidRPr="00B457F5">
              <w:rPr>
                <w:rFonts w:ascii="Garamond" w:eastAsia="Times New Roman" w:hAnsi="Garamond" w:cs="Times New Roman"/>
                <w:b/>
                <w:bCs/>
                <w:color w:val="000000"/>
                <w:sz w:val="4"/>
                <w:szCs w:val="4"/>
              </w:rPr>
              <w:t>i f</w:t>
            </w:r>
            <w:r w:rsidRPr="00B457F5">
              <w:rPr>
                <w:rFonts w:ascii="Garamond" w:eastAsia="Times New Roman" w:hAnsi="Garamond" w:cs="Times New Roman"/>
                <w:b/>
                <w:bCs/>
                <w:color w:val="000000"/>
                <w:sz w:val="4"/>
                <w:szCs w:val="4"/>
              </w:rPr>
              <w:t>illimit</w:t>
            </w:r>
          </w:p>
        </w:tc>
        <w:tc>
          <w:tcPr>
            <w:tcW w:w="231" w:type="pct"/>
            <w:vMerge w:val="restart"/>
            <w:tcBorders>
              <w:top w:val="nil"/>
              <w:left w:val="single" w:sz="8" w:space="0" w:color="auto"/>
              <w:bottom w:val="single" w:sz="8" w:space="0" w:color="auto"/>
              <w:right w:val="single" w:sz="8" w:space="0" w:color="auto"/>
            </w:tcBorders>
            <w:shd w:val="clear" w:color="000000" w:fill="FFFFFF"/>
            <w:vAlign w:val="center"/>
            <w:hideMark/>
          </w:tcPr>
          <w:p w14:paraId="2924435A" w14:textId="78346A88"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Afati </w:t>
            </w:r>
            <w:r w:rsidR="0028334E" w:rsidRPr="00B457F5">
              <w:rPr>
                <w:rFonts w:ascii="Garamond" w:eastAsia="Times New Roman" w:hAnsi="Garamond" w:cs="Times New Roman"/>
                <w:b/>
                <w:bCs/>
                <w:color w:val="000000"/>
                <w:sz w:val="4"/>
                <w:szCs w:val="4"/>
              </w:rPr>
              <w:t>i m</w:t>
            </w:r>
            <w:r w:rsidRPr="00B457F5">
              <w:rPr>
                <w:rFonts w:ascii="Garamond" w:eastAsia="Times New Roman" w:hAnsi="Garamond" w:cs="Times New Roman"/>
                <w:b/>
                <w:bCs/>
                <w:color w:val="000000"/>
                <w:sz w:val="4"/>
                <w:szCs w:val="4"/>
              </w:rPr>
              <w:t>barimit</w:t>
            </w:r>
          </w:p>
        </w:tc>
        <w:tc>
          <w:tcPr>
            <w:tcW w:w="797" w:type="pct"/>
            <w:gridSpan w:val="3"/>
            <w:vMerge/>
            <w:tcBorders>
              <w:top w:val="nil"/>
              <w:left w:val="single" w:sz="8" w:space="0" w:color="auto"/>
              <w:bottom w:val="single" w:sz="8" w:space="0" w:color="auto"/>
              <w:right w:val="single" w:sz="8" w:space="0" w:color="auto"/>
            </w:tcBorders>
            <w:vAlign w:val="center"/>
            <w:hideMark/>
          </w:tcPr>
          <w:p w14:paraId="6F388FEF"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c>
          <w:tcPr>
            <w:tcW w:w="825" w:type="pct"/>
            <w:gridSpan w:val="3"/>
            <w:tcBorders>
              <w:top w:val="single" w:sz="8" w:space="0" w:color="auto"/>
              <w:left w:val="nil"/>
              <w:bottom w:val="single" w:sz="8" w:space="0" w:color="auto"/>
              <w:right w:val="single" w:sz="8" w:space="0" w:color="000000"/>
            </w:tcBorders>
            <w:shd w:val="clear" w:color="auto" w:fill="auto"/>
            <w:vAlign w:val="center"/>
            <w:hideMark/>
          </w:tcPr>
          <w:p w14:paraId="67F6C586" w14:textId="152E8EA3"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PBA 2024</w:t>
            </w:r>
            <w:r w:rsidR="0028334E" w:rsidRPr="00B457F5">
              <w:rPr>
                <w:rFonts w:ascii="Garamond" w:eastAsia="Times New Roman" w:hAnsi="Garamond" w:cs="Times New Roman"/>
                <w:b/>
                <w:bCs/>
                <w:color w:val="000000"/>
                <w:sz w:val="4"/>
                <w:szCs w:val="4"/>
              </w:rPr>
              <w:t>–</w:t>
            </w:r>
            <w:r w:rsidRPr="00B457F5">
              <w:rPr>
                <w:rFonts w:ascii="Garamond" w:eastAsia="Times New Roman" w:hAnsi="Garamond" w:cs="Times New Roman"/>
                <w:b/>
                <w:bCs/>
                <w:color w:val="000000"/>
                <w:sz w:val="4"/>
                <w:szCs w:val="4"/>
              </w:rPr>
              <w:t xml:space="preserve">2026 (në </w:t>
            </w:r>
            <w:r w:rsidR="0028334E" w:rsidRPr="00B457F5">
              <w:rPr>
                <w:rFonts w:ascii="Garamond" w:eastAsia="Times New Roman" w:hAnsi="Garamond" w:cs="Times New Roman"/>
                <w:b/>
                <w:bCs/>
                <w:color w:val="000000"/>
                <w:sz w:val="4"/>
                <w:szCs w:val="4"/>
              </w:rPr>
              <w:t>l</w:t>
            </w:r>
            <w:r w:rsidRPr="00B457F5">
              <w:rPr>
                <w:rFonts w:ascii="Garamond" w:eastAsia="Times New Roman" w:hAnsi="Garamond" w:cs="Times New Roman"/>
                <w:b/>
                <w:bCs/>
                <w:color w:val="000000"/>
                <w:sz w:val="4"/>
                <w:szCs w:val="4"/>
              </w:rPr>
              <w:t>ekë)</w:t>
            </w:r>
          </w:p>
        </w:tc>
        <w:tc>
          <w:tcPr>
            <w:tcW w:w="747" w:type="pct"/>
            <w:gridSpan w:val="3"/>
            <w:tcBorders>
              <w:top w:val="single" w:sz="8" w:space="0" w:color="auto"/>
              <w:left w:val="nil"/>
              <w:bottom w:val="single" w:sz="8" w:space="0" w:color="auto"/>
              <w:right w:val="nil"/>
            </w:tcBorders>
            <w:shd w:val="clear" w:color="auto" w:fill="auto"/>
            <w:vAlign w:val="center"/>
            <w:hideMark/>
          </w:tcPr>
          <w:p w14:paraId="01048FB5" w14:textId="61FCA2EE"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Financim i </w:t>
            </w:r>
            <w:r w:rsidR="0028334E" w:rsidRPr="00B457F5">
              <w:rPr>
                <w:rFonts w:ascii="Garamond" w:eastAsia="Times New Roman" w:hAnsi="Garamond" w:cs="Times New Roman"/>
                <w:b/>
                <w:bCs/>
                <w:color w:val="000000"/>
                <w:sz w:val="4"/>
                <w:szCs w:val="4"/>
              </w:rPr>
              <w:t>huaj/burime t</w:t>
            </w:r>
            <w:r w:rsidR="0028334E" w:rsidRPr="00B457F5">
              <w:rPr>
                <w:rFonts w:ascii="Garamond" w:eastAsia="Times New Roman" w:hAnsi="Garamond" w:cs="Calibri"/>
                <w:b/>
                <w:bCs/>
                <w:color w:val="000000"/>
                <w:sz w:val="4"/>
                <w:szCs w:val="4"/>
              </w:rPr>
              <w:t>ë</w:t>
            </w:r>
            <w:r w:rsidR="0028334E" w:rsidRPr="00B457F5">
              <w:rPr>
                <w:rFonts w:ascii="Garamond" w:eastAsia="Times New Roman" w:hAnsi="Garamond" w:cs="Times New Roman"/>
                <w:b/>
                <w:bCs/>
                <w:color w:val="000000"/>
                <w:sz w:val="4"/>
                <w:szCs w:val="4"/>
              </w:rPr>
              <w:t xml:space="preserve"> tjera </w:t>
            </w:r>
            <w:r w:rsidRPr="00B457F5">
              <w:rPr>
                <w:rFonts w:ascii="Garamond" w:eastAsia="Times New Roman" w:hAnsi="Garamond" w:cs="Times New Roman"/>
                <w:b/>
                <w:bCs/>
                <w:color w:val="000000"/>
                <w:sz w:val="4"/>
                <w:szCs w:val="4"/>
              </w:rPr>
              <w:t>(në lekë)</w:t>
            </w:r>
          </w:p>
        </w:tc>
        <w:tc>
          <w:tcPr>
            <w:tcW w:w="594" w:type="pct"/>
            <w:gridSpan w:val="3"/>
            <w:tcBorders>
              <w:top w:val="single" w:sz="8" w:space="0" w:color="auto"/>
              <w:left w:val="single" w:sz="8" w:space="0" w:color="auto"/>
              <w:bottom w:val="single" w:sz="8" w:space="0" w:color="auto"/>
              <w:right w:val="single" w:sz="8" w:space="0" w:color="000000"/>
            </w:tcBorders>
            <w:shd w:val="clear" w:color="000000" w:fill="FFFFFF"/>
            <w:vAlign w:val="center"/>
            <w:hideMark/>
          </w:tcPr>
          <w:p w14:paraId="2709C70E" w14:textId="14653986"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Buxheti 2027</w:t>
            </w:r>
            <w:r w:rsidR="0028334E" w:rsidRPr="00B457F5">
              <w:rPr>
                <w:rFonts w:ascii="Garamond" w:eastAsia="Times New Roman" w:hAnsi="Garamond" w:cs="Times New Roman"/>
                <w:b/>
                <w:bCs/>
                <w:color w:val="000000"/>
                <w:sz w:val="4"/>
                <w:szCs w:val="4"/>
              </w:rPr>
              <w:t>–</w:t>
            </w:r>
            <w:r w:rsidRPr="00B457F5">
              <w:rPr>
                <w:rFonts w:ascii="Garamond" w:eastAsia="Times New Roman" w:hAnsi="Garamond" w:cs="Times New Roman"/>
                <w:b/>
                <w:bCs/>
                <w:color w:val="000000"/>
                <w:sz w:val="4"/>
                <w:szCs w:val="4"/>
              </w:rPr>
              <w:t>2030 (në lekë)</w:t>
            </w:r>
          </w:p>
        </w:tc>
        <w:tc>
          <w:tcPr>
            <w:tcW w:w="284" w:type="pct"/>
            <w:vMerge/>
            <w:tcBorders>
              <w:top w:val="nil"/>
              <w:left w:val="single" w:sz="8" w:space="0" w:color="auto"/>
              <w:bottom w:val="single" w:sz="4" w:space="0" w:color="auto"/>
              <w:right w:val="single" w:sz="8" w:space="0" w:color="auto"/>
            </w:tcBorders>
            <w:vAlign w:val="center"/>
            <w:hideMark/>
          </w:tcPr>
          <w:p w14:paraId="3D2635AF"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c>
          <w:tcPr>
            <w:tcW w:w="244" w:type="pct"/>
            <w:vMerge/>
            <w:tcBorders>
              <w:top w:val="nil"/>
              <w:left w:val="single" w:sz="8" w:space="0" w:color="auto"/>
              <w:bottom w:val="nil"/>
              <w:right w:val="single" w:sz="8" w:space="0" w:color="auto"/>
            </w:tcBorders>
            <w:vAlign w:val="center"/>
            <w:hideMark/>
          </w:tcPr>
          <w:p w14:paraId="7DE6587E"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r>
      <w:tr w:rsidR="0028334E" w:rsidRPr="00B457F5" w14:paraId="738347F1" w14:textId="77777777" w:rsidTr="00635943">
        <w:trPr>
          <w:trHeight w:val="20"/>
        </w:trPr>
        <w:tc>
          <w:tcPr>
            <w:tcW w:w="343" w:type="pct"/>
            <w:vMerge/>
            <w:tcBorders>
              <w:top w:val="nil"/>
              <w:left w:val="single" w:sz="8" w:space="0" w:color="auto"/>
              <w:bottom w:val="single" w:sz="8" w:space="0" w:color="auto"/>
              <w:right w:val="single" w:sz="8" w:space="0" w:color="auto"/>
            </w:tcBorders>
            <w:vAlign w:val="center"/>
            <w:hideMark/>
          </w:tcPr>
          <w:p w14:paraId="4311315B"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c>
          <w:tcPr>
            <w:tcW w:w="266" w:type="pct"/>
            <w:vMerge/>
            <w:tcBorders>
              <w:top w:val="nil"/>
              <w:left w:val="single" w:sz="8" w:space="0" w:color="auto"/>
              <w:bottom w:val="single" w:sz="8" w:space="0" w:color="auto"/>
              <w:right w:val="single" w:sz="8" w:space="0" w:color="auto"/>
            </w:tcBorders>
            <w:vAlign w:val="center"/>
            <w:hideMark/>
          </w:tcPr>
          <w:p w14:paraId="059F4F85"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c>
          <w:tcPr>
            <w:tcW w:w="474" w:type="pct"/>
            <w:vMerge/>
            <w:tcBorders>
              <w:top w:val="nil"/>
              <w:left w:val="single" w:sz="8" w:space="0" w:color="auto"/>
              <w:bottom w:val="single" w:sz="8" w:space="0" w:color="auto"/>
              <w:right w:val="single" w:sz="8" w:space="0" w:color="auto"/>
            </w:tcBorders>
            <w:vAlign w:val="center"/>
            <w:hideMark/>
          </w:tcPr>
          <w:p w14:paraId="4BBA6487"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c>
          <w:tcPr>
            <w:tcW w:w="196" w:type="pct"/>
            <w:vMerge/>
            <w:tcBorders>
              <w:top w:val="nil"/>
              <w:left w:val="single" w:sz="8" w:space="0" w:color="auto"/>
              <w:bottom w:val="single" w:sz="8" w:space="0" w:color="auto"/>
              <w:right w:val="single" w:sz="8" w:space="0" w:color="auto"/>
            </w:tcBorders>
            <w:vAlign w:val="center"/>
            <w:hideMark/>
          </w:tcPr>
          <w:p w14:paraId="48AF6642"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c>
          <w:tcPr>
            <w:tcW w:w="231" w:type="pct"/>
            <w:vMerge/>
            <w:tcBorders>
              <w:top w:val="nil"/>
              <w:left w:val="single" w:sz="8" w:space="0" w:color="auto"/>
              <w:bottom w:val="single" w:sz="8" w:space="0" w:color="auto"/>
              <w:right w:val="single" w:sz="8" w:space="0" w:color="auto"/>
            </w:tcBorders>
            <w:vAlign w:val="center"/>
            <w:hideMark/>
          </w:tcPr>
          <w:p w14:paraId="0BF2DC4E"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c>
          <w:tcPr>
            <w:tcW w:w="259" w:type="pct"/>
            <w:tcBorders>
              <w:top w:val="nil"/>
              <w:left w:val="nil"/>
              <w:bottom w:val="single" w:sz="8" w:space="0" w:color="auto"/>
              <w:right w:val="single" w:sz="8" w:space="0" w:color="auto"/>
            </w:tcBorders>
            <w:shd w:val="clear" w:color="000000" w:fill="FFFFFF"/>
            <w:vAlign w:val="center"/>
            <w:hideMark/>
          </w:tcPr>
          <w:p w14:paraId="7EFA4624" w14:textId="47FD2542"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Kor</w:t>
            </w:r>
            <w:r w:rsidR="0028334E" w:rsidRPr="00B457F5">
              <w:rPr>
                <w:rFonts w:ascii="Garamond" w:eastAsia="Times New Roman" w:hAnsi="Garamond" w:cs="Times New Roman"/>
                <w:b/>
                <w:bCs/>
                <w:color w:val="000000"/>
                <w:sz w:val="4"/>
                <w:szCs w:val="4"/>
              </w:rPr>
              <w:t>r</w:t>
            </w:r>
            <w:r w:rsidRPr="00B457F5">
              <w:rPr>
                <w:rFonts w:ascii="Garamond" w:eastAsia="Times New Roman" w:hAnsi="Garamond" w:cs="Times New Roman"/>
                <w:b/>
                <w:bCs/>
                <w:color w:val="000000"/>
                <w:sz w:val="4"/>
                <w:szCs w:val="4"/>
              </w:rPr>
              <w:t>ente</w:t>
            </w:r>
          </w:p>
        </w:tc>
        <w:tc>
          <w:tcPr>
            <w:tcW w:w="278" w:type="pct"/>
            <w:tcBorders>
              <w:top w:val="nil"/>
              <w:left w:val="nil"/>
              <w:bottom w:val="single" w:sz="8" w:space="0" w:color="auto"/>
              <w:right w:val="single" w:sz="8" w:space="0" w:color="auto"/>
            </w:tcBorders>
            <w:shd w:val="clear" w:color="000000" w:fill="FFFFFF"/>
            <w:vAlign w:val="center"/>
            <w:hideMark/>
          </w:tcPr>
          <w:p w14:paraId="6261E0EA" w14:textId="77777777"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Kapitale</w:t>
            </w:r>
          </w:p>
        </w:tc>
        <w:tc>
          <w:tcPr>
            <w:tcW w:w="260" w:type="pct"/>
            <w:tcBorders>
              <w:top w:val="nil"/>
              <w:left w:val="nil"/>
              <w:bottom w:val="single" w:sz="8" w:space="0" w:color="auto"/>
              <w:right w:val="single" w:sz="8" w:space="0" w:color="auto"/>
            </w:tcBorders>
            <w:shd w:val="clear" w:color="000000" w:fill="FFFFFF"/>
            <w:vAlign w:val="center"/>
            <w:hideMark/>
          </w:tcPr>
          <w:p w14:paraId="5FFE6B5D" w14:textId="59BD8082"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Total </w:t>
            </w:r>
            <w:r w:rsidR="0028334E" w:rsidRPr="00B457F5">
              <w:rPr>
                <w:rFonts w:ascii="Garamond" w:eastAsia="Times New Roman" w:hAnsi="Garamond" w:cs="Times New Roman"/>
                <w:b/>
                <w:bCs/>
                <w:color w:val="000000"/>
                <w:sz w:val="4"/>
                <w:szCs w:val="4"/>
              </w:rPr>
              <w:t>k</w:t>
            </w:r>
            <w:r w:rsidRPr="00B457F5">
              <w:rPr>
                <w:rFonts w:ascii="Garamond" w:eastAsia="Times New Roman" w:hAnsi="Garamond" w:cs="Times New Roman"/>
                <w:b/>
                <w:bCs/>
                <w:color w:val="000000"/>
                <w:sz w:val="4"/>
                <w:szCs w:val="4"/>
              </w:rPr>
              <w:t>osto</w:t>
            </w:r>
          </w:p>
        </w:tc>
        <w:tc>
          <w:tcPr>
            <w:tcW w:w="313" w:type="pct"/>
            <w:tcBorders>
              <w:top w:val="nil"/>
              <w:left w:val="nil"/>
              <w:bottom w:val="nil"/>
              <w:right w:val="nil"/>
            </w:tcBorders>
            <w:shd w:val="clear" w:color="auto" w:fill="auto"/>
            <w:vAlign w:val="center"/>
            <w:hideMark/>
          </w:tcPr>
          <w:p w14:paraId="3E69C060" w14:textId="55F7DAC2"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Kor</w:t>
            </w:r>
            <w:r w:rsidR="0028334E" w:rsidRPr="00B457F5">
              <w:rPr>
                <w:rFonts w:ascii="Garamond" w:eastAsia="Times New Roman" w:hAnsi="Garamond" w:cs="Times New Roman"/>
                <w:b/>
                <w:bCs/>
                <w:color w:val="000000"/>
                <w:sz w:val="4"/>
                <w:szCs w:val="4"/>
              </w:rPr>
              <w:t>r</w:t>
            </w:r>
            <w:r w:rsidRPr="00B457F5">
              <w:rPr>
                <w:rFonts w:ascii="Garamond" w:eastAsia="Times New Roman" w:hAnsi="Garamond" w:cs="Times New Roman"/>
                <w:b/>
                <w:bCs/>
                <w:color w:val="000000"/>
                <w:sz w:val="4"/>
                <w:szCs w:val="4"/>
              </w:rPr>
              <w:t>ente</w:t>
            </w:r>
          </w:p>
        </w:tc>
        <w:tc>
          <w:tcPr>
            <w:tcW w:w="256" w:type="pct"/>
            <w:tcBorders>
              <w:top w:val="nil"/>
              <w:left w:val="single" w:sz="8" w:space="0" w:color="auto"/>
              <w:bottom w:val="nil"/>
              <w:right w:val="single" w:sz="8" w:space="0" w:color="auto"/>
            </w:tcBorders>
            <w:shd w:val="clear" w:color="auto" w:fill="auto"/>
            <w:vAlign w:val="center"/>
            <w:hideMark/>
          </w:tcPr>
          <w:p w14:paraId="7A060ACC" w14:textId="77777777"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Kapitale</w:t>
            </w:r>
          </w:p>
        </w:tc>
        <w:tc>
          <w:tcPr>
            <w:tcW w:w="256" w:type="pct"/>
            <w:tcBorders>
              <w:top w:val="nil"/>
              <w:left w:val="nil"/>
              <w:bottom w:val="nil"/>
              <w:right w:val="single" w:sz="8" w:space="0" w:color="auto"/>
            </w:tcBorders>
            <w:shd w:val="clear" w:color="auto" w:fill="auto"/>
            <w:vAlign w:val="center"/>
            <w:hideMark/>
          </w:tcPr>
          <w:p w14:paraId="54D931D7" w14:textId="77777777"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Total BSH</w:t>
            </w:r>
          </w:p>
        </w:tc>
        <w:tc>
          <w:tcPr>
            <w:tcW w:w="253" w:type="pct"/>
            <w:tcBorders>
              <w:top w:val="nil"/>
              <w:left w:val="nil"/>
              <w:bottom w:val="nil"/>
              <w:right w:val="nil"/>
            </w:tcBorders>
            <w:shd w:val="clear" w:color="auto" w:fill="auto"/>
            <w:vAlign w:val="center"/>
            <w:hideMark/>
          </w:tcPr>
          <w:p w14:paraId="2B59D727" w14:textId="782B54BF"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Kor</w:t>
            </w:r>
            <w:r w:rsidR="0028334E" w:rsidRPr="00B457F5">
              <w:rPr>
                <w:rFonts w:ascii="Garamond" w:eastAsia="Times New Roman" w:hAnsi="Garamond" w:cs="Times New Roman"/>
                <w:b/>
                <w:bCs/>
                <w:color w:val="000000"/>
                <w:sz w:val="4"/>
                <w:szCs w:val="4"/>
              </w:rPr>
              <w:t>r</w:t>
            </w:r>
            <w:r w:rsidRPr="00B457F5">
              <w:rPr>
                <w:rFonts w:ascii="Garamond" w:eastAsia="Times New Roman" w:hAnsi="Garamond" w:cs="Times New Roman"/>
                <w:b/>
                <w:bCs/>
                <w:color w:val="000000"/>
                <w:sz w:val="4"/>
                <w:szCs w:val="4"/>
              </w:rPr>
              <w:t>ente</w:t>
            </w:r>
          </w:p>
        </w:tc>
        <w:tc>
          <w:tcPr>
            <w:tcW w:w="238" w:type="pct"/>
            <w:tcBorders>
              <w:top w:val="nil"/>
              <w:left w:val="single" w:sz="8" w:space="0" w:color="auto"/>
              <w:bottom w:val="nil"/>
              <w:right w:val="single" w:sz="8" w:space="0" w:color="auto"/>
            </w:tcBorders>
            <w:shd w:val="clear" w:color="auto" w:fill="auto"/>
            <w:vAlign w:val="center"/>
            <w:hideMark/>
          </w:tcPr>
          <w:p w14:paraId="309FC909" w14:textId="77777777"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Kapitale</w:t>
            </w:r>
          </w:p>
        </w:tc>
        <w:tc>
          <w:tcPr>
            <w:tcW w:w="256" w:type="pct"/>
            <w:tcBorders>
              <w:top w:val="nil"/>
              <w:left w:val="nil"/>
              <w:bottom w:val="nil"/>
              <w:right w:val="single" w:sz="8" w:space="0" w:color="auto"/>
            </w:tcBorders>
            <w:shd w:val="clear" w:color="auto" w:fill="auto"/>
            <w:vAlign w:val="center"/>
            <w:hideMark/>
          </w:tcPr>
          <w:p w14:paraId="7CF03E40" w14:textId="77777777"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Total FH</w:t>
            </w:r>
          </w:p>
        </w:tc>
        <w:tc>
          <w:tcPr>
            <w:tcW w:w="205" w:type="pct"/>
            <w:tcBorders>
              <w:top w:val="nil"/>
              <w:left w:val="nil"/>
              <w:bottom w:val="nil"/>
              <w:right w:val="nil"/>
            </w:tcBorders>
            <w:shd w:val="clear" w:color="000000" w:fill="FFFFFF"/>
            <w:vAlign w:val="center"/>
            <w:hideMark/>
          </w:tcPr>
          <w:p w14:paraId="2791113E" w14:textId="3403827E"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Ko</w:t>
            </w:r>
            <w:r w:rsidR="0028334E" w:rsidRPr="00B457F5">
              <w:rPr>
                <w:rFonts w:ascii="Garamond" w:eastAsia="Times New Roman" w:hAnsi="Garamond" w:cs="Times New Roman"/>
                <w:b/>
                <w:bCs/>
                <w:color w:val="000000"/>
                <w:sz w:val="4"/>
                <w:szCs w:val="4"/>
              </w:rPr>
              <w:t>r</w:t>
            </w:r>
            <w:r w:rsidRPr="00B457F5">
              <w:rPr>
                <w:rFonts w:ascii="Garamond" w:eastAsia="Times New Roman" w:hAnsi="Garamond" w:cs="Times New Roman"/>
                <w:b/>
                <w:bCs/>
                <w:color w:val="000000"/>
                <w:sz w:val="4"/>
                <w:szCs w:val="4"/>
              </w:rPr>
              <w:t>rente</w:t>
            </w:r>
          </w:p>
        </w:tc>
        <w:tc>
          <w:tcPr>
            <w:tcW w:w="211" w:type="pct"/>
            <w:tcBorders>
              <w:top w:val="nil"/>
              <w:left w:val="single" w:sz="8" w:space="0" w:color="auto"/>
              <w:bottom w:val="nil"/>
              <w:right w:val="single" w:sz="8" w:space="0" w:color="auto"/>
            </w:tcBorders>
            <w:shd w:val="clear" w:color="000000" w:fill="FFFFFF"/>
            <w:vAlign w:val="center"/>
            <w:hideMark/>
          </w:tcPr>
          <w:p w14:paraId="034F31E6" w14:textId="77777777"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Kapitale</w:t>
            </w:r>
          </w:p>
        </w:tc>
        <w:tc>
          <w:tcPr>
            <w:tcW w:w="177" w:type="pct"/>
            <w:tcBorders>
              <w:top w:val="nil"/>
              <w:left w:val="nil"/>
              <w:bottom w:val="nil"/>
              <w:right w:val="single" w:sz="8" w:space="0" w:color="auto"/>
            </w:tcBorders>
            <w:shd w:val="clear" w:color="000000" w:fill="FFFFFF"/>
            <w:vAlign w:val="center"/>
            <w:hideMark/>
          </w:tcPr>
          <w:p w14:paraId="1039E4C7" w14:textId="77777777"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Total BSH</w:t>
            </w:r>
          </w:p>
        </w:tc>
        <w:tc>
          <w:tcPr>
            <w:tcW w:w="284" w:type="pct"/>
            <w:tcBorders>
              <w:top w:val="single" w:sz="8" w:space="0" w:color="auto"/>
              <w:left w:val="nil"/>
              <w:bottom w:val="nil"/>
              <w:right w:val="single" w:sz="8" w:space="0" w:color="auto"/>
            </w:tcBorders>
            <w:shd w:val="clear" w:color="auto" w:fill="auto"/>
            <w:vAlign w:val="center"/>
            <w:hideMark/>
          </w:tcPr>
          <w:p w14:paraId="180A5DD2" w14:textId="77777777"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w:t>
            </w:r>
          </w:p>
        </w:tc>
        <w:tc>
          <w:tcPr>
            <w:tcW w:w="244" w:type="pct"/>
            <w:tcBorders>
              <w:top w:val="single" w:sz="8" w:space="0" w:color="auto"/>
              <w:left w:val="nil"/>
              <w:bottom w:val="nil"/>
              <w:right w:val="single" w:sz="8" w:space="0" w:color="auto"/>
            </w:tcBorders>
            <w:shd w:val="clear" w:color="auto" w:fill="auto"/>
            <w:vAlign w:val="center"/>
            <w:hideMark/>
          </w:tcPr>
          <w:p w14:paraId="60BDFC42" w14:textId="77777777"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w:t>
            </w:r>
          </w:p>
        </w:tc>
      </w:tr>
      <w:tr w:rsidR="0028334E" w:rsidRPr="00B457F5" w14:paraId="79DBE8D5" w14:textId="77777777" w:rsidTr="00635943">
        <w:trPr>
          <w:trHeight w:val="20"/>
        </w:trPr>
        <w:tc>
          <w:tcPr>
            <w:tcW w:w="343" w:type="pct"/>
            <w:tcBorders>
              <w:top w:val="single" w:sz="8" w:space="0" w:color="auto"/>
              <w:left w:val="single" w:sz="8" w:space="0" w:color="auto"/>
              <w:bottom w:val="single" w:sz="4" w:space="0" w:color="auto"/>
              <w:right w:val="single" w:sz="4" w:space="0" w:color="auto"/>
            </w:tcBorders>
            <w:shd w:val="clear" w:color="auto" w:fill="auto"/>
            <w:vAlign w:val="center"/>
            <w:hideMark/>
          </w:tcPr>
          <w:p w14:paraId="0E6BCBD6" w14:textId="5E819687" w:rsidR="00635943" w:rsidRPr="00B457F5" w:rsidRDefault="00635943" w:rsidP="00635943">
            <w:pPr>
              <w:spacing w:before="0" w:after="0"/>
              <w:jc w:val="lef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Objektivi specifik 1.1: Menaxhimi i migracionit nëpërmjet përmirësimit të kuadrit ligjor dhe institucional</w:t>
            </w:r>
            <w:r w:rsidR="0006016F" w:rsidRPr="00B457F5">
              <w:rPr>
                <w:rFonts w:ascii="Garamond" w:eastAsia="Times New Roman" w:hAnsi="Garamond" w:cs="Times New Roman"/>
                <w:color w:val="000000"/>
                <w:sz w:val="4"/>
                <w:szCs w:val="4"/>
              </w:rPr>
              <w:t xml:space="preserve"> </w:t>
            </w:r>
          </w:p>
        </w:tc>
        <w:tc>
          <w:tcPr>
            <w:tcW w:w="266" w:type="pct"/>
            <w:tcBorders>
              <w:top w:val="single" w:sz="8" w:space="0" w:color="auto"/>
              <w:left w:val="nil"/>
              <w:bottom w:val="single" w:sz="4" w:space="0" w:color="auto"/>
              <w:right w:val="single" w:sz="4" w:space="0" w:color="auto"/>
            </w:tcBorders>
            <w:shd w:val="clear" w:color="auto" w:fill="auto"/>
            <w:vAlign w:val="center"/>
            <w:hideMark/>
          </w:tcPr>
          <w:p w14:paraId="587777C7" w14:textId="4D1C263F" w:rsidR="00635943" w:rsidRPr="00B457F5" w:rsidRDefault="00635943" w:rsidP="00635943">
            <w:pPr>
              <w:spacing w:before="0" w:after="0"/>
              <w:jc w:val="center"/>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 xml:space="preserve">MB, MEPJ, ASPA, </w:t>
            </w:r>
            <w:r w:rsidR="00AF12C0" w:rsidRPr="00B457F5">
              <w:rPr>
                <w:rFonts w:ascii="Garamond" w:eastAsia="Times New Roman" w:hAnsi="Garamond" w:cs="Times New Roman"/>
                <w:color w:val="000000"/>
                <w:sz w:val="4"/>
                <w:szCs w:val="4"/>
              </w:rPr>
              <w:t>b</w:t>
            </w:r>
            <w:r w:rsidRPr="00B457F5">
              <w:rPr>
                <w:rFonts w:ascii="Garamond" w:eastAsia="Times New Roman" w:hAnsi="Garamond" w:cs="Times New Roman"/>
                <w:color w:val="000000"/>
                <w:sz w:val="4"/>
                <w:szCs w:val="4"/>
              </w:rPr>
              <w:t>ashkitë, MFE, AMVV</w:t>
            </w:r>
          </w:p>
        </w:tc>
        <w:tc>
          <w:tcPr>
            <w:tcW w:w="474" w:type="pct"/>
            <w:tcBorders>
              <w:top w:val="single" w:sz="8" w:space="0" w:color="auto"/>
              <w:left w:val="nil"/>
              <w:bottom w:val="single" w:sz="4" w:space="0" w:color="auto"/>
              <w:right w:val="single" w:sz="4" w:space="0" w:color="auto"/>
            </w:tcBorders>
            <w:shd w:val="clear" w:color="auto" w:fill="auto"/>
            <w:vAlign w:val="center"/>
            <w:hideMark/>
          </w:tcPr>
          <w:p w14:paraId="7A3AFF7B" w14:textId="6E0C4D40" w:rsidR="00635943" w:rsidRPr="00B457F5" w:rsidRDefault="00635943" w:rsidP="00635943">
            <w:pPr>
              <w:spacing w:before="0" w:after="0"/>
              <w:jc w:val="center"/>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 xml:space="preserve">MEPJ, MFE, MSHMS, MD, DNJF, Inspektorati </w:t>
            </w:r>
            <w:r w:rsidR="00AF12C0" w:rsidRPr="00B457F5">
              <w:rPr>
                <w:rFonts w:ascii="Garamond" w:eastAsia="Times New Roman" w:hAnsi="Garamond" w:cs="Times New Roman"/>
                <w:color w:val="000000"/>
                <w:sz w:val="4"/>
                <w:szCs w:val="4"/>
              </w:rPr>
              <w:t xml:space="preserve">i </w:t>
            </w:r>
            <w:r w:rsidRPr="00B457F5">
              <w:rPr>
                <w:rFonts w:ascii="Garamond" w:eastAsia="Times New Roman" w:hAnsi="Garamond" w:cs="Times New Roman"/>
                <w:color w:val="000000"/>
                <w:sz w:val="4"/>
                <w:szCs w:val="4"/>
              </w:rPr>
              <w:t>Punës, AKPA, DKM, MAS, MB, ASPA, AMVV,</w:t>
            </w:r>
            <w:r w:rsidR="0006016F" w:rsidRPr="00B457F5">
              <w:rPr>
                <w:rFonts w:ascii="Garamond" w:eastAsia="Times New Roman" w:hAnsi="Garamond" w:cs="Times New Roman"/>
                <w:color w:val="000000"/>
                <w:sz w:val="4"/>
                <w:szCs w:val="4"/>
              </w:rPr>
              <w:t xml:space="preserve"> </w:t>
            </w:r>
            <w:r w:rsidRPr="00B457F5">
              <w:rPr>
                <w:rFonts w:ascii="Garamond" w:eastAsia="Times New Roman" w:hAnsi="Garamond" w:cs="Times New Roman"/>
                <w:color w:val="000000"/>
                <w:sz w:val="4"/>
                <w:szCs w:val="4"/>
              </w:rPr>
              <w:t>ISHPSHSH, ISSH</w:t>
            </w:r>
          </w:p>
        </w:tc>
        <w:tc>
          <w:tcPr>
            <w:tcW w:w="196" w:type="pct"/>
            <w:tcBorders>
              <w:top w:val="single" w:sz="8" w:space="0" w:color="auto"/>
              <w:left w:val="nil"/>
              <w:bottom w:val="single" w:sz="4" w:space="0" w:color="auto"/>
              <w:right w:val="single" w:sz="4" w:space="0" w:color="auto"/>
            </w:tcBorders>
            <w:shd w:val="clear" w:color="auto" w:fill="auto"/>
            <w:vAlign w:val="center"/>
            <w:hideMark/>
          </w:tcPr>
          <w:p w14:paraId="44680AFE" w14:textId="77777777" w:rsidR="00635943" w:rsidRPr="00B457F5" w:rsidRDefault="00635943" w:rsidP="00635943">
            <w:pPr>
              <w:spacing w:before="0" w:after="0"/>
              <w:jc w:val="center"/>
              <w:rPr>
                <w:rFonts w:ascii="Garamond" w:eastAsia="Times New Roman" w:hAnsi="Garamond" w:cs="Times New Roman"/>
                <w:sz w:val="4"/>
                <w:szCs w:val="4"/>
              </w:rPr>
            </w:pPr>
            <w:r w:rsidRPr="00B457F5">
              <w:rPr>
                <w:rFonts w:ascii="Garamond" w:eastAsia="Times New Roman" w:hAnsi="Garamond" w:cs="Times New Roman"/>
                <w:sz w:val="4"/>
                <w:szCs w:val="4"/>
              </w:rPr>
              <w:t>2024</w:t>
            </w:r>
          </w:p>
        </w:tc>
        <w:tc>
          <w:tcPr>
            <w:tcW w:w="231" w:type="pct"/>
            <w:tcBorders>
              <w:top w:val="single" w:sz="8" w:space="0" w:color="auto"/>
              <w:left w:val="nil"/>
              <w:bottom w:val="single" w:sz="4" w:space="0" w:color="auto"/>
              <w:right w:val="single" w:sz="4" w:space="0" w:color="auto"/>
            </w:tcBorders>
            <w:shd w:val="clear" w:color="auto" w:fill="auto"/>
            <w:vAlign w:val="center"/>
            <w:hideMark/>
          </w:tcPr>
          <w:p w14:paraId="667A8F1C" w14:textId="77777777" w:rsidR="00635943" w:rsidRPr="00B457F5" w:rsidRDefault="00635943" w:rsidP="00635943">
            <w:pPr>
              <w:spacing w:before="0" w:after="0"/>
              <w:jc w:val="center"/>
              <w:rPr>
                <w:rFonts w:ascii="Garamond" w:eastAsia="Times New Roman" w:hAnsi="Garamond" w:cs="Times New Roman"/>
                <w:sz w:val="4"/>
                <w:szCs w:val="4"/>
              </w:rPr>
            </w:pPr>
            <w:r w:rsidRPr="00B457F5">
              <w:rPr>
                <w:rFonts w:ascii="Garamond" w:eastAsia="Times New Roman" w:hAnsi="Garamond" w:cs="Times New Roman"/>
                <w:sz w:val="4"/>
                <w:szCs w:val="4"/>
              </w:rPr>
              <w:t>2026</w:t>
            </w:r>
          </w:p>
        </w:tc>
        <w:tc>
          <w:tcPr>
            <w:tcW w:w="259" w:type="pct"/>
            <w:tcBorders>
              <w:top w:val="nil"/>
              <w:left w:val="nil"/>
              <w:bottom w:val="single" w:sz="4" w:space="0" w:color="auto"/>
              <w:right w:val="single" w:sz="4" w:space="0" w:color="auto"/>
            </w:tcBorders>
            <w:shd w:val="clear" w:color="auto" w:fill="auto"/>
            <w:vAlign w:val="center"/>
            <w:hideMark/>
          </w:tcPr>
          <w:p w14:paraId="06D1010A"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147,515,842</w:t>
            </w:r>
          </w:p>
        </w:tc>
        <w:tc>
          <w:tcPr>
            <w:tcW w:w="278" w:type="pct"/>
            <w:tcBorders>
              <w:top w:val="nil"/>
              <w:left w:val="nil"/>
              <w:bottom w:val="single" w:sz="4" w:space="0" w:color="auto"/>
              <w:right w:val="single" w:sz="4" w:space="0" w:color="auto"/>
            </w:tcBorders>
            <w:shd w:val="clear" w:color="auto" w:fill="auto"/>
            <w:vAlign w:val="center"/>
            <w:hideMark/>
          </w:tcPr>
          <w:p w14:paraId="1B218446"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60" w:type="pct"/>
            <w:tcBorders>
              <w:top w:val="nil"/>
              <w:left w:val="nil"/>
              <w:bottom w:val="single" w:sz="4" w:space="0" w:color="auto"/>
              <w:right w:val="single" w:sz="4" w:space="0" w:color="auto"/>
            </w:tcBorders>
            <w:shd w:val="clear" w:color="auto" w:fill="auto"/>
            <w:vAlign w:val="center"/>
            <w:hideMark/>
          </w:tcPr>
          <w:p w14:paraId="6FDC2846" w14:textId="7777777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147,515,842</w:t>
            </w:r>
          </w:p>
        </w:tc>
        <w:tc>
          <w:tcPr>
            <w:tcW w:w="313" w:type="pct"/>
            <w:tcBorders>
              <w:top w:val="single" w:sz="8" w:space="0" w:color="auto"/>
              <w:left w:val="nil"/>
              <w:bottom w:val="single" w:sz="4" w:space="0" w:color="auto"/>
              <w:right w:val="single" w:sz="4" w:space="0" w:color="auto"/>
            </w:tcBorders>
            <w:shd w:val="clear" w:color="auto" w:fill="auto"/>
            <w:vAlign w:val="center"/>
            <w:hideMark/>
          </w:tcPr>
          <w:p w14:paraId="6C020422"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77,028,823</w:t>
            </w:r>
          </w:p>
        </w:tc>
        <w:tc>
          <w:tcPr>
            <w:tcW w:w="256" w:type="pct"/>
            <w:tcBorders>
              <w:top w:val="single" w:sz="8" w:space="0" w:color="auto"/>
              <w:left w:val="nil"/>
              <w:bottom w:val="single" w:sz="4" w:space="0" w:color="auto"/>
              <w:right w:val="single" w:sz="4" w:space="0" w:color="auto"/>
            </w:tcBorders>
            <w:shd w:val="clear" w:color="auto" w:fill="auto"/>
            <w:vAlign w:val="center"/>
            <w:hideMark/>
          </w:tcPr>
          <w:p w14:paraId="24656C30"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56" w:type="pct"/>
            <w:tcBorders>
              <w:top w:val="single" w:sz="8" w:space="0" w:color="auto"/>
              <w:left w:val="nil"/>
              <w:bottom w:val="single" w:sz="4" w:space="0" w:color="auto"/>
              <w:right w:val="single" w:sz="4" w:space="0" w:color="auto"/>
            </w:tcBorders>
            <w:shd w:val="clear" w:color="auto" w:fill="auto"/>
            <w:vAlign w:val="center"/>
            <w:hideMark/>
          </w:tcPr>
          <w:p w14:paraId="61F42D33" w14:textId="7777777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77,028,823</w:t>
            </w:r>
          </w:p>
        </w:tc>
        <w:tc>
          <w:tcPr>
            <w:tcW w:w="253" w:type="pct"/>
            <w:tcBorders>
              <w:top w:val="single" w:sz="8" w:space="0" w:color="auto"/>
              <w:left w:val="nil"/>
              <w:bottom w:val="single" w:sz="4" w:space="0" w:color="auto"/>
              <w:right w:val="single" w:sz="4" w:space="0" w:color="auto"/>
            </w:tcBorders>
            <w:shd w:val="clear" w:color="auto" w:fill="auto"/>
            <w:vAlign w:val="center"/>
            <w:hideMark/>
          </w:tcPr>
          <w:p w14:paraId="6F76ED78"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55,393,419</w:t>
            </w:r>
          </w:p>
        </w:tc>
        <w:tc>
          <w:tcPr>
            <w:tcW w:w="238" w:type="pct"/>
            <w:tcBorders>
              <w:top w:val="single" w:sz="8" w:space="0" w:color="auto"/>
              <w:left w:val="nil"/>
              <w:bottom w:val="single" w:sz="4" w:space="0" w:color="auto"/>
              <w:right w:val="single" w:sz="4" w:space="0" w:color="auto"/>
            </w:tcBorders>
            <w:shd w:val="clear" w:color="auto" w:fill="auto"/>
            <w:vAlign w:val="center"/>
            <w:hideMark/>
          </w:tcPr>
          <w:p w14:paraId="4080FCAB"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56" w:type="pct"/>
            <w:tcBorders>
              <w:top w:val="single" w:sz="8" w:space="0" w:color="auto"/>
              <w:left w:val="nil"/>
              <w:bottom w:val="single" w:sz="4" w:space="0" w:color="auto"/>
              <w:right w:val="single" w:sz="4" w:space="0" w:color="auto"/>
            </w:tcBorders>
            <w:shd w:val="clear" w:color="auto" w:fill="auto"/>
            <w:vAlign w:val="center"/>
            <w:hideMark/>
          </w:tcPr>
          <w:p w14:paraId="2F6A1180"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55,393,419</w:t>
            </w:r>
          </w:p>
        </w:tc>
        <w:tc>
          <w:tcPr>
            <w:tcW w:w="205" w:type="pct"/>
            <w:tcBorders>
              <w:top w:val="single" w:sz="8" w:space="0" w:color="auto"/>
              <w:left w:val="nil"/>
              <w:bottom w:val="single" w:sz="4" w:space="0" w:color="auto"/>
              <w:right w:val="single" w:sz="4" w:space="0" w:color="auto"/>
            </w:tcBorders>
            <w:shd w:val="clear" w:color="auto" w:fill="auto"/>
            <w:vAlign w:val="center"/>
            <w:hideMark/>
          </w:tcPr>
          <w:p w14:paraId="132E2C20"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11" w:type="pct"/>
            <w:tcBorders>
              <w:top w:val="single" w:sz="8" w:space="0" w:color="auto"/>
              <w:left w:val="nil"/>
              <w:bottom w:val="single" w:sz="4" w:space="0" w:color="auto"/>
              <w:right w:val="single" w:sz="4" w:space="0" w:color="auto"/>
            </w:tcBorders>
            <w:shd w:val="clear" w:color="auto" w:fill="auto"/>
            <w:vAlign w:val="center"/>
            <w:hideMark/>
          </w:tcPr>
          <w:p w14:paraId="6D5F8C2F"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177" w:type="pct"/>
            <w:tcBorders>
              <w:top w:val="single" w:sz="8" w:space="0" w:color="auto"/>
              <w:left w:val="nil"/>
              <w:bottom w:val="single" w:sz="4" w:space="0" w:color="auto"/>
              <w:right w:val="single" w:sz="4" w:space="0" w:color="auto"/>
            </w:tcBorders>
            <w:shd w:val="clear" w:color="auto" w:fill="auto"/>
            <w:vAlign w:val="center"/>
            <w:hideMark/>
          </w:tcPr>
          <w:p w14:paraId="0591C8A2" w14:textId="7777777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0</w:t>
            </w:r>
          </w:p>
        </w:tc>
        <w:tc>
          <w:tcPr>
            <w:tcW w:w="284" w:type="pct"/>
            <w:tcBorders>
              <w:top w:val="single" w:sz="8" w:space="0" w:color="auto"/>
              <w:left w:val="nil"/>
              <w:bottom w:val="single" w:sz="4" w:space="0" w:color="auto"/>
              <w:right w:val="single" w:sz="4" w:space="0" w:color="auto"/>
            </w:tcBorders>
            <w:shd w:val="clear" w:color="auto" w:fill="auto"/>
            <w:vAlign w:val="center"/>
            <w:hideMark/>
          </w:tcPr>
          <w:p w14:paraId="44CAB582" w14:textId="187CF164" w:rsidR="00635943" w:rsidRPr="00B457F5" w:rsidRDefault="0006016F"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 </w:t>
            </w:r>
            <w:r w:rsidR="00635943" w:rsidRPr="00B457F5">
              <w:rPr>
                <w:rFonts w:ascii="Garamond" w:eastAsia="Times New Roman" w:hAnsi="Garamond" w:cs="Times New Roman"/>
                <w:b/>
                <w:bCs/>
                <w:color w:val="000000"/>
                <w:sz w:val="4"/>
                <w:szCs w:val="4"/>
              </w:rPr>
              <w:t>(15,093,600)</w:t>
            </w:r>
          </w:p>
        </w:tc>
        <w:tc>
          <w:tcPr>
            <w:tcW w:w="244" w:type="pct"/>
            <w:tcBorders>
              <w:top w:val="single" w:sz="8" w:space="0" w:color="auto"/>
              <w:left w:val="nil"/>
              <w:bottom w:val="single" w:sz="4" w:space="0" w:color="auto"/>
              <w:right w:val="single" w:sz="8" w:space="0" w:color="auto"/>
            </w:tcBorders>
            <w:shd w:val="clear" w:color="auto" w:fill="auto"/>
            <w:noWrap/>
            <w:vAlign w:val="center"/>
            <w:hideMark/>
          </w:tcPr>
          <w:p w14:paraId="2FA22115" w14:textId="7777777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1,341,053</w:t>
            </w:r>
          </w:p>
        </w:tc>
      </w:tr>
      <w:tr w:rsidR="0028334E" w:rsidRPr="00B457F5" w14:paraId="059EF777" w14:textId="77777777" w:rsidTr="00635943">
        <w:trPr>
          <w:trHeight w:val="20"/>
        </w:trPr>
        <w:tc>
          <w:tcPr>
            <w:tcW w:w="343" w:type="pct"/>
            <w:tcBorders>
              <w:top w:val="nil"/>
              <w:left w:val="single" w:sz="8" w:space="0" w:color="auto"/>
              <w:bottom w:val="single" w:sz="4" w:space="0" w:color="auto"/>
              <w:right w:val="single" w:sz="4" w:space="0" w:color="auto"/>
            </w:tcBorders>
            <w:shd w:val="clear" w:color="auto" w:fill="auto"/>
            <w:vAlign w:val="center"/>
            <w:hideMark/>
          </w:tcPr>
          <w:p w14:paraId="04803B27" w14:textId="11162AE3" w:rsidR="00635943" w:rsidRPr="00B457F5" w:rsidRDefault="00635943" w:rsidP="00635943">
            <w:pPr>
              <w:spacing w:before="0" w:after="0"/>
              <w:jc w:val="lef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Objektivi specifik 1.2</w:t>
            </w:r>
            <w:r w:rsidR="00AF12C0" w:rsidRPr="00B457F5">
              <w:rPr>
                <w:rFonts w:ascii="Garamond" w:eastAsia="Times New Roman" w:hAnsi="Garamond" w:cs="Times New Roman"/>
                <w:color w:val="000000"/>
                <w:sz w:val="4"/>
                <w:szCs w:val="4"/>
              </w:rPr>
              <w:t>:</w:t>
            </w:r>
            <w:r w:rsidRPr="00B457F5">
              <w:rPr>
                <w:rFonts w:ascii="Garamond" w:eastAsia="Times New Roman" w:hAnsi="Garamond" w:cs="Times New Roman"/>
                <w:color w:val="000000"/>
                <w:sz w:val="4"/>
                <w:szCs w:val="4"/>
              </w:rPr>
              <w:t xml:space="preserve"> Hartimi dhe rish</w:t>
            </w:r>
            <w:r w:rsidR="00AF12C0" w:rsidRPr="00B457F5">
              <w:rPr>
                <w:rFonts w:ascii="Garamond" w:eastAsia="Times New Roman" w:hAnsi="Garamond" w:cs="Times New Roman"/>
                <w:color w:val="000000"/>
                <w:sz w:val="4"/>
                <w:szCs w:val="4"/>
              </w:rPr>
              <w:t>i</w:t>
            </w:r>
            <w:r w:rsidRPr="00B457F5">
              <w:rPr>
                <w:rFonts w:ascii="Garamond" w:eastAsia="Times New Roman" w:hAnsi="Garamond" w:cs="Times New Roman"/>
                <w:color w:val="000000"/>
                <w:sz w:val="4"/>
                <w:szCs w:val="4"/>
              </w:rPr>
              <w:t>kimi i politikave t</w:t>
            </w:r>
            <w:r w:rsidR="0028334E" w:rsidRPr="00B457F5">
              <w:rPr>
                <w:rFonts w:ascii="Garamond" w:eastAsia="Times New Roman" w:hAnsi="Garamond" w:cs="Times New Roman"/>
                <w:color w:val="000000"/>
                <w:sz w:val="4"/>
                <w:szCs w:val="4"/>
              </w:rPr>
              <w:t>ë</w:t>
            </w:r>
            <w:r w:rsidRPr="00B457F5">
              <w:rPr>
                <w:rFonts w:ascii="Garamond" w:eastAsia="Times New Roman" w:hAnsi="Garamond" w:cs="Times New Roman"/>
                <w:color w:val="000000"/>
                <w:sz w:val="4"/>
                <w:szCs w:val="4"/>
              </w:rPr>
              <w:t xml:space="preserve"> migracionit bazuar në të dhëna të sakta dhe </w:t>
            </w:r>
            <w:r w:rsidR="00164C66" w:rsidRPr="00B457F5">
              <w:rPr>
                <w:rFonts w:ascii="Garamond" w:eastAsia="Times New Roman" w:hAnsi="Garamond" w:cs="Times New Roman"/>
                <w:color w:val="000000"/>
                <w:sz w:val="4"/>
                <w:szCs w:val="4"/>
              </w:rPr>
              <w:t>të</w:t>
            </w:r>
            <w:r w:rsidRPr="00B457F5">
              <w:rPr>
                <w:rFonts w:ascii="Garamond" w:eastAsia="Times New Roman" w:hAnsi="Garamond" w:cs="Times New Roman"/>
                <w:color w:val="000000"/>
                <w:sz w:val="4"/>
                <w:szCs w:val="4"/>
              </w:rPr>
              <w:t xml:space="preserve"> koordinuara</w:t>
            </w:r>
          </w:p>
        </w:tc>
        <w:tc>
          <w:tcPr>
            <w:tcW w:w="266" w:type="pct"/>
            <w:tcBorders>
              <w:top w:val="nil"/>
              <w:left w:val="nil"/>
              <w:bottom w:val="single" w:sz="4" w:space="0" w:color="auto"/>
              <w:right w:val="single" w:sz="4" w:space="0" w:color="auto"/>
            </w:tcBorders>
            <w:shd w:val="clear" w:color="auto" w:fill="auto"/>
            <w:vAlign w:val="center"/>
            <w:hideMark/>
          </w:tcPr>
          <w:p w14:paraId="4669FFBD" w14:textId="77777777" w:rsidR="00635943" w:rsidRPr="00B457F5" w:rsidRDefault="00635943" w:rsidP="00635943">
            <w:pPr>
              <w:spacing w:before="0" w:after="0"/>
              <w:jc w:val="center"/>
              <w:rPr>
                <w:rFonts w:ascii="Garamond" w:eastAsia="Times New Roman" w:hAnsi="Garamond" w:cs="Times New Roman"/>
                <w:sz w:val="4"/>
                <w:szCs w:val="4"/>
              </w:rPr>
            </w:pPr>
            <w:r w:rsidRPr="00B457F5">
              <w:rPr>
                <w:rFonts w:ascii="Garamond" w:eastAsia="Times New Roman" w:hAnsi="Garamond" w:cs="Times New Roman"/>
                <w:sz w:val="4"/>
                <w:szCs w:val="4"/>
              </w:rPr>
              <w:t>MB</w:t>
            </w:r>
          </w:p>
        </w:tc>
        <w:tc>
          <w:tcPr>
            <w:tcW w:w="474" w:type="pct"/>
            <w:tcBorders>
              <w:top w:val="nil"/>
              <w:left w:val="nil"/>
              <w:bottom w:val="single" w:sz="4" w:space="0" w:color="auto"/>
              <w:right w:val="single" w:sz="4" w:space="0" w:color="auto"/>
            </w:tcBorders>
            <w:shd w:val="clear" w:color="auto" w:fill="auto"/>
            <w:vAlign w:val="center"/>
            <w:hideMark/>
          </w:tcPr>
          <w:p w14:paraId="6B84D4D1" w14:textId="77777777" w:rsidR="00635943" w:rsidRPr="00B457F5" w:rsidRDefault="00635943" w:rsidP="00635943">
            <w:pPr>
              <w:spacing w:before="0" w:after="0"/>
              <w:jc w:val="center"/>
              <w:rPr>
                <w:rFonts w:ascii="Garamond" w:eastAsia="Times New Roman" w:hAnsi="Garamond" w:cs="Times New Roman"/>
                <w:sz w:val="4"/>
                <w:szCs w:val="4"/>
              </w:rPr>
            </w:pPr>
            <w:r w:rsidRPr="00B457F5">
              <w:rPr>
                <w:rFonts w:ascii="Garamond" w:eastAsia="Times New Roman" w:hAnsi="Garamond" w:cs="Times New Roman"/>
                <w:sz w:val="4"/>
                <w:szCs w:val="4"/>
              </w:rPr>
              <w:t>MEPJ, MFE, AKPA, MSHMS, MAS, BSH, INSTAT, BSH</w:t>
            </w:r>
          </w:p>
        </w:tc>
        <w:tc>
          <w:tcPr>
            <w:tcW w:w="196" w:type="pct"/>
            <w:tcBorders>
              <w:top w:val="nil"/>
              <w:left w:val="nil"/>
              <w:bottom w:val="single" w:sz="4" w:space="0" w:color="auto"/>
              <w:right w:val="single" w:sz="4" w:space="0" w:color="auto"/>
            </w:tcBorders>
            <w:shd w:val="clear" w:color="auto" w:fill="auto"/>
            <w:vAlign w:val="center"/>
            <w:hideMark/>
          </w:tcPr>
          <w:p w14:paraId="61E549FD" w14:textId="77777777" w:rsidR="00635943" w:rsidRPr="00B457F5" w:rsidRDefault="00635943" w:rsidP="00635943">
            <w:pPr>
              <w:spacing w:before="0" w:after="0"/>
              <w:jc w:val="center"/>
              <w:rPr>
                <w:rFonts w:ascii="Garamond" w:eastAsia="Times New Roman" w:hAnsi="Garamond" w:cs="Times New Roman"/>
                <w:sz w:val="4"/>
                <w:szCs w:val="4"/>
              </w:rPr>
            </w:pPr>
            <w:r w:rsidRPr="00B457F5">
              <w:rPr>
                <w:rFonts w:ascii="Garamond" w:eastAsia="Times New Roman" w:hAnsi="Garamond" w:cs="Times New Roman"/>
                <w:sz w:val="4"/>
                <w:szCs w:val="4"/>
              </w:rPr>
              <w:t>2024</w:t>
            </w:r>
          </w:p>
        </w:tc>
        <w:tc>
          <w:tcPr>
            <w:tcW w:w="231" w:type="pct"/>
            <w:tcBorders>
              <w:top w:val="nil"/>
              <w:left w:val="nil"/>
              <w:bottom w:val="single" w:sz="4" w:space="0" w:color="auto"/>
              <w:right w:val="single" w:sz="4" w:space="0" w:color="auto"/>
            </w:tcBorders>
            <w:shd w:val="clear" w:color="auto" w:fill="auto"/>
            <w:vAlign w:val="center"/>
            <w:hideMark/>
          </w:tcPr>
          <w:p w14:paraId="345456B0" w14:textId="77777777" w:rsidR="00635943" w:rsidRPr="00B457F5" w:rsidRDefault="00635943" w:rsidP="00635943">
            <w:pPr>
              <w:spacing w:before="0" w:after="0"/>
              <w:jc w:val="center"/>
              <w:rPr>
                <w:rFonts w:ascii="Garamond" w:eastAsia="Times New Roman" w:hAnsi="Garamond" w:cs="Times New Roman"/>
                <w:sz w:val="4"/>
                <w:szCs w:val="4"/>
              </w:rPr>
            </w:pPr>
            <w:r w:rsidRPr="00B457F5">
              <w:rPr>
                <w:rFonts w:ascii="Garamond" w:eastAsia="Times New Roman" w:hAnsi="Garamond" w:cs="Times New Roman"/>
                <w:sz w:val="4"/>
                <w:szCs w:val="4"/>
              </w:rPr>
              <w:t>2026</w:t>
            </w:r>
          </w:p>
        </w:tc>
        <w:tc>
          <w:tcPr>
            <w:tcW w:w="259" w:type="pct"/>
            <w:tcBorders>
              <w:top w:val="nil"/>
              <w:left w:val="nil"/>
              <w:bottom w:val="single" w:sz="4" w:space="0" w:color="auto"/>
              <w:right w:val="single" w:sz="4" w:space="0" w:color="auto"/>
            </w:tcBorders>
            <w:shd w:val="clear" w:color="auto" w:fill="auto"/>
            <w:vAlign w:val="center"/>
            <w:hideMark/>
          </w:tcPr>
          <w:p w14:paraId="228E675F"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45,197,226</w:t>
            </w:r>
          </w:p>
        </w:tc>
        <w:tc>
          <w:tcPr>
            <w:tcW w:w="278" w:type="pct"/>
            <w:tcBorders>
              <w:top w:val="nil"/>
              <w:left w:val="nil"/>
              <w:bottom w:val="single" w:sz="4" w:space="0" w:color="auto"/>
              <w:right w:val="single" w:sz="4" w:space="0" w:color="auto"/>
            </w:tcBorders>
            <w:shd w:val="clear" w:color="auto" w:fill="auto"/>
            <w:vAlign w:val="center"/>
            <w:hideMark/>
          </w:tcPr>
          <w:p w14:paraId="4C205B49"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138,000,000</w:t>
            </w:r>
          </w:p>
        </w:tc>
        <w:tc>
          <w:tcPr>
            <w:tcW w:w="260" w:type="pct"/>
            <w:tcBorders>
              <w:top w:val="nil"/>
              <w:left w:val="nil"/>
              <w:bottom w:val="single" w:sz="4" w:space="0" w:color="auto"/>
              <w:right w:val="single" w:sz="4" w:space="0" w:color="auto"/>
            </w:tcBorders>
            <w:shd w:val="clear" w:color="auto" w:fill="auto"/>
            <w:vAlign w:val="center"/>
            <w:hideMark/>
          </w:tcPr>
          <w:p w14:paraId="105AED11" w14:textId="7777777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183,197,226</w:t>
            </w:r>
          </w:p>
        </w:tc>
        <w:tc>
          <w:tcPr>
            <w:tcW w:w="313" w:type="pct"/>
            <w:tcBorders>
              <w:top w:val="single" w:sz="8" w:space="0" w:color="auto"/>
              <w:left w:val="nil"/>
              <w:bottom w:val="single" w:sz="4" w:space="0" w:color="auto"/>
              <w:right w:val="single" w:sz="4" w:space="0" w:color="auto"/>
            </w:tcBorders>
            <w:shd w:val="clear" w:color="auto" w:fill="auto"/>
            <w:vAlign w:val="center"/>
            <w:hideMark/>
          </w:tcPr>
          <w:p w14:paraId="0B456E16"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36,029,226</w:t>
            </w:r>
          </w:p>
        </w:tc>
        <w:tc>
          <w:tcPr>
            <w:tcW w:w="256" w:type="pct"/>
            <w:tcBorders>
              <w:top w:val="single" w:sz="8" w:space="0" w:color="auto"/>
              <w:left w:val="nil"/>
              <w:bottom w:val="single" w:sz="4" w:space="0" w:color="auto"/>
              <w:right w:val="single" w:sz="4" w:space="0" w:color="auto"/>
            </w:tcBorders>
            <w:shd w:val="clear" w:color="auto" w:fill="auto"/>
            <w:vAlign w:val="center"/>
            <w:hideMark/>
          </w:tcPr>
          <w:p w14:paraId="019CEB5B"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11,500,000</w:t>
            </w:r>
          </w:p>
        </w:tc>
        <w:tc>
          <w:tcPr>
            <w:tcW w:w="256" w:type="pct"/>
            <w:tcBorders>
              <w:top w:val="nil"/>
              <w:left w:val="nil"/>
              <w:bottom w:val="single" w:sz="4" w:space="0" w:color="auto"/>
              <w:right w:val="single" w:sz="4" w:space="0" w:color="auto"/>
            </w:tcBorders>
            <w:shd w:val="clear" w:color="auto" w:fill="auto"/>
            <w:vAlign w:val="center"/>
            <w:hideMark/>
          </w:tcPr>
          <w:p w14:paraId="7BFDBFB9" w14:textId="7777777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47,529,226</w:t>
            </w:r>
          </w:p>
        </w:tc>
        <w:tc>
          <w:tcPr>
            <w:tcW w:w="253" w:type="pct"/>
            <w:tcBorders>
              <w:top w:val="single" w:sz="8" w:space="0" w:color="auto"/>
              <w:left w:val="nil"/>
              <w:bottom w:val="single" w:sz="4" w:space="0" w:color="auto"/>
              <w:right w:val="single" w:sz="4" w:space="0" w:color="auto"/>
            </w:tcBorders>
            <w:shd w:val="clear" w:color="auto" w:fill="auto"/>
            <w:vAlign w:val="center"/>
            <w:hideMark/>
          </w:tcPr>
          <w:p w14:paraId="50B108DB"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3,060,000</w:t>
            </w:r>
          </w:p>
        </w:tc>
        <w:tc>
          <w:tcPr>
            <w:tcW w:w="238" w:type="pct"/>
            <w:tcBorders>
              <w:top w:val="single" w:sz="8" w:space="0" w:color="auto"/>
              <w:left w:val="nil"/>
              <w:bottom w:val="single" w:sz="4" w:space="0" w:color="auto"/>
              <w:right w:val="single" w:sz="4" w:space="0" w:color="auto"/>
            </w:tcBorders>
            <w:shd w:val="clear" w:color="auto" w:fill="auto"/>
            <w:vAlign w:val="center"/>
            <w:hideMark/>
          </w:tcPr>
          <w:p w14:paraId="32AD871C"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56" w:type="pct"/>
            <w:tcBorders>
              <w:top w:val="nil"/>
              <w:left w:val="nil"/>
              <w:bottom w:val="single" w:sz="4" w:space="0" w:color="auto"/>
              <w:right w:val="single" w:sz="4" w:space="0" w:color="auto"/>
            </w:tcBorders>
            <w:shd w:val="clear" w:color="auto" w:fill="auto"/>
            <w:vAlign w:val="center"/>
            <w:hideMark/>
          </w:tcPr>
          <w:p w14:paraId="462516F0"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3,060,000</w:t>
            </w:r>
          </w:p>
        </w:tc>
        <w:tc>
          <w:tcPr>
            <w:tcW w:w="205" w:type="pct"/>
            <w:tcBorders>
              <w:top w:val="single" w:sz="8" w:space="0" w:color="auto"/>
              <w:left w:val="nil"/>
              <w:bottom w:val="single" w:sz="4" w:space="0" w:color="auto"/>
              <w:right w:val="single" w:sz="4" w:space="0" w:color="auto"/>
            </w:tcBorders>
            <w:shd w:val="clear" w:color="auto" w:fill="auto"/>
            <w:vAlign w:val="center"/>
            <w:hideMark/>
          </w:tcPr>
          <w:p w14:paraId="17EDBFE5"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11" w:type="pct"/>
            <w:tcBorders>
              <w:top w:val="single" w:sz="8" w:space="0" w:color="auto"/>
              <w:left w:val="nil"/>
              <w:bottom w:val="single" w:sz="4" w:space="0" w:color="auto"/>
              <w:right w:val="single" w:sz="4" w:space="0" w:color="auto"/>
            </w:tcBorders>
            <w:shd w:val="clear" w:color="auto" w:fill="auto"/>
            <w:vAlign w:val="center"/>
            <w:hideMark/>
          </w:tcPr>
          <w:p w14:paraId="16E76B57"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177" w:type="pct"/>
            <w:tcBorders>
              <w:top w:val="nil"/>
              <w:left w:val="nil"/>
              <w:bottom w:val="single" w:sz="4" w:space="0" w:color="auto"/>
              <w:right w:val="single" w:sz="4" w:space="0" w:color="auto"/>
            </w:tcBorders>
            <w:shd w:val="clear" w:color="auto" w:fill="auto"/>
            <w:vAlign w:val="center"/>
            <w:hideMark/>
          </w:tcPr>
          <w:p w14:paraId="470DB675" w14:textId="7777777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0</w:t>
            </w:r>
          </w:p>
        </w:tc>
        <w:tc>
          <w:tcPr>
            <w:tcW w:w="284" w:type="pct"/>
            <w:tcBorders>
              <w:top w:val="single" w:sz="8" w:space="0" w:color="auto"/>
              <w:left w:val="nil"/>
              <w:bottom w:val="single" w:sz="4" w:space="0" w:color="auto"/>
              <w:right w:val="single" w:sz="4" w:space="0" w:color="auto"/>
            </w:tcBorders>
            <w:shd w:val="clear" w:color="auto" w:fill="auto"/>
            <w:vAlign w:val="center"/>
            <w:hideMark/>
          </w:tcPr>
          <w:p w14:paraId="741D75C6" w14:textId="2B411E73"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(132,608,000)</w:t>
            </w:r>
          </w:p>
        </w:tc>
        <w:tc>
          <w:tcPr>
            <w:tcW w:w="244" w:type="pct"/>
            <w:tcBorders>
              <w:top w:val="nil"/>
              <w:left w:val="nil"/>
              <w:bottom w:val="single" w:sz="4" w:space="0" w:color="auto"/>
              <w:right w:val="single" w:sz="8" w:space="0" w:color="auto"/>
            </w:tcBorders>
            <w:shd w:val="clear" w:color="auto" w:fill="auto"/>
            <w:noWrap/>
            <w:vAlign w:val="center"/>
            <w:hideMark/>
          </w:tcPr>
          <w:p w14:paraId="293C33E1" w14:textId="7777777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1,665,429</w:t>
            </w:r>
          </w:p>
        </w:tc>
      </w:tr>
      <w:tr w:rsidR="0028334E" w:rsidRPr="00B457F5" w14:paraId="7DEA99FE" w14:textId="77777777" w:rsidTr="00635943">
        <w:trPr>
          <w:trHeight w:val="20"/>
        </w:trPr>
        <w:tc>
          <w:tcPr>
            <w:tcW w:w="343" w:type="pct"/>
            <w:tcBorders>
              <w:top w:val="nil"/>
              <w:left w:val="single" w:sz="8" w:space="0" w:color="auto"/>
              <w:bottom w:val="nil"/>
              <w:right w:val="single" w:sz="4" w:space="0" w:color="auto"/>
            </w:tcBorders>
            <w:shd w:val="clear" w:color="auto" w:fill="auto"/>
            <w:vAlign w:val="center"/>
            <w:hideMark/>
          </w:tcPr>
          <w:p w14:paraId="3E88309A" w14:textId="1A77EE1B" w:rsidR="00635943" w:rsidRPr="00B457F5" w:rsidRDefault="00635943" w:rsidP="00635943">
            <w:pPr>
              <w:spacing w:before="0" w:after="0"/>
              <w:jc w:val="lef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Objektivi specifik 1.3</w:t>
            </w:r>
            <w:r w:rsidR="00AF12C0" w:rsidRPr="00B457F5">
              <w:rPr>
                <w:rFonts w:ascii="Garamond" w:eastAsia="Times New Roman" w:hAnsi="Garamond" w:cs="Times New Roman"/>
                <w:color w:val="000000"/>
                <w:sz w:val="4"/>
                <w:szCs w:val="4"/>
              </w:rPr>
              <w:t>:</w:t>
            </w:r>
            <w:r w:rsidR="0006016F" w:rsidRPr="00B457F5">
              <w:rPr>
                <w:rFonts w:ascii="Garamond" w:eastAsia="Times New Roman" w:hAnsi="Garamond" w:cs="Times New Roman"/>
                <w:color w:val="000000"/>
                <w:sz w:val="4"/>
                <w:szCs w:val="4"/>
              </w:rPr>
              <w:t xml:space="preserve"> </w:t>
            </w:r>
            <w:r w:rsidRPr="00B457F5">
              <w:rPr>
                <w:rFonts w:ascii="Garamond" w:eastAsia="Times New Roman" w:hAnsi="Garamond" w:cs="Times New Roman"/>
                <w:color w:val="000000"/>
                <w:sz w:val="4"/>
                <w:szCs w:val="4"/>
              </w:rPr>
              <w:t>Forcimi i bashkëpunimit ndërkombëtar dhe partneriteteve globale për migrim të sigurt dhe të rregullt</w:t>
            </w:r>
          </w:p>
        </w:tc>
        <w:tc>
          <w:tcPr>
            <w:tcW w:w="266" w:type="pct"/>
            <w:tcBorders>
              <w:top w:val="nil"/>
              <w:left w:val="nil"/>
              <w:bottom w:val="single" w:sz="4" w:space="0" w:color="auto"/>
              <w:right w:val="single" w:sz="4" w:space="0" w:color="auto"/>
            </w:tcBorders>
            <w:shd w:val="clear" w:color="auto" w:fill="auto"/>
            <w:vAlign w:val="center"/>
            <w:hideMark/>
          </w:tcPr>
          <w:p w14:paraId="09BD4968" w14:textId="77777777" w:rsidR="00635943" w:rsidRPr="00B457F5" w:rsidRDefault="00635943" w:rsidP="00635943">
            <w:pPr>
              <w:spacing w:before="0" w:after="0"/>
              <w:jc w:val="center"/>
              <w:rPr>
                <w:rFonts w:ascii="Garamond" w:eastAsia="Times New Roman" w:hAnsi="Garamond" w:cs="Times New Roman"/>
                <w:sz w:val="4"/>
                <w:szCs w:val="4"/>
              </w:rPr>
            </w:pPr>
            <w:r w:rsidRPr="00B457F5">
              <w:rPr>
                <w:rFonts w:ascii="Garamond" w:eastAsia="Times New Roman" w:hAnsi="Garamond" w:cs="Times New Roman"/>
                <w:sz w:val="4"/>
                <w:szCs w:val="4"/>
              </w:rPr>
              <w:t>MEPJ, MB</w:t>
            </w:r>
          </w:p>
        </w:tc>
        <w:tc>
          <w:tcPr>
            <w:tcW w:w="474" w:type="pct"/>
            <w:tcBorders>
              <w:top w:val="nil"/>
              <w:left w:val="nil"/>
              <w:bottom w:val="single" w:sz="4" w:space="0" w:color="auto"/>
              <w:right w:val="single" w:sz="4" w:space="0" w:color="auto"/>
            </w:tcBorders>
            <w:shd w:val="clear" w:color="auto" w:fill="auto"/>
            <w:vAlign w:val="center"/>
            <w:hideMark/>
          </w:tcPr>
          <w:p w14:paraId="3DB5DCDE" w14:textId="77777777" w:rsidR="00635943" w:rsidRPr="00B457F5" w:rsidRDefault="00635943" w:rsidP="00635943">
            <w:pPr>
              <w:spacing w:before="0" w:after="0"/>
              <w:jc w:val="center"/>
              <w:rPr>
                <w:rFonts w:ascii="Garamond" w:eastAsia="Times New Roman" w:hAnsi="Garamond" w:cs="Times New Roman"/>
                <w:sz w:val="4"/>
                <w:szCs w:val="4"/>
              </w:rPr>
            </w:pPr>
            <w:r w:rsidRPr="00B457F5">
              <w:rPr>
                <w:rFonts w:ascii="Garamond" w:eastAsia="Times New Roman" w:hAnsi="Garamond" w:cs="Times New Roman"/>
                <w:sz w:val="4"/>
                <w:szCs w:val="4"/>
              </w:rPr>
              <w:t>MB, MFE, MEPJ, iom</w:t>
            </w:r>
          </w:p>
        </w:tc>
        <w:tc>
          <w:tcPr>
            <w:tcW w:w="196" w:type="pct"/>
            <w:tcBorders>
              <w:top w:val="nil"/>
              <w:left w:val="nil"/>
              <w:bottom w:val="single" w:sz="4" w:space="0" w:color="auto"/>
              <w:right w:val="single" w:sz="4" w:space="0" w:color="auto"/>
            </w:tcBorders>
            <w:shd w:val="clear" w:color="auto" w:fill="auto"/>
            <w:vAlign w:val="center"/>
            <w:hideMark/>
          </w:tcPr>
          <w:p w14:paraId="04E7126F" w14:textId="77777777" w:rsidR="00635943" w:rsidRPr="00B457F5" w:rsidRDefault="00635943" w:rsidP="00635943">
            <w:pPr>
              <w:spacing w:before="0" w:after="0"/>
              <w:jc w:val="center"/>
              <w:rPr>
                <w:rFonts w:ascii="Garamond" w:eastAsia="Times New Roman" w:hAnsi="Garamond" w:cs="Times New Roman"/>
                <w:sz w:val="4"/>
                <w:szCs w:val="4"/>
              </w:rPr>
            </w:pPr>
            <w:r w:rsidRPr="00B457F5">
              <w:rPr>
                <w:rFonts w:ascii="Garamond" w:eastAsia="Times New Roman" w:hAnsi="Garamond" w:cs="Times New Roman"/>
                <w:sz w:val="4"/>
                <w:szCs w:val="4"/>
              </w:rPr>
              <w:t>2024</w:t>
            </w:r>
          </w:p>
        </w:tc>
        <w:tc>
          <w:tcPr>
            <w:tcW w:w="231" w:type="pct"/>
            <w:tcBorders>
              <w:top w:val="nil"/>
              <w:left w:val="nil"/>
              <w:bottom w:val="single" w:sz="4" w:space="0" w:color="auto"/>
              <w:right w:val="single" w:sz="4" w:space="0" w:color="auto"/>
            </w:tcBorders>
            <w:shd w:val="clear" w:color="auto" w:fill="auto"/>
            <w:vAlign w:val="center"/>
            <w:hideMark/>
          </w:tcPr>
          <w:p w14:paraId="2FBAE160" w14:textId="77777777" w:rsidR="00635943" w:rsidRPr="00B457F5" w:rsidRDefault="00635943" w:rsidP="00635943">
            <w:pPr>
              <w:spacing w:before="0" w:after="0"/>
              <w:jc w:val="center"/>
              <w:rPr>
                <w:rFonts w:ascii="Garamond" w:eastAsia="Times New Roman" w:hAnsi="Garamond" w:cs="Times New Roman"/>
                <w:sz w:val="4"/>
                <w:szCs w:val="4"/>
              </w:rPr>
            </w:pPr>
            <w:r w:rsidRPr="00B457F5">
              <w:rPr>
                <w:rFonts w:ascii="Garamond" w:eastAsia="Times New Roman" w:hAnsi="Garamond" w:cs="Times New Roman"/>
                <w:sz w:val="4"/>
                <w:szCs w:val="4"/>
              </w:rPr>
              <w:t>2026</w:t>
            </w:r>
          </w:p>
        </w:tc>
        <w:tc>
          <w:tcPr>
            <w:tcW w:w="259" w:type="pct"/>
            <w:tcBorders>
              <w:top w:val="nil"/>
              <w:left w:val="nil"/>
              <w:bottom w:val="single" w:sz="4" w:space="0" w:color="auto"/>
              <w:right w:val="single" w:sz="4" w:space="0" w:color="auto"/>
            </w:tcBorders>
            <w:shd w:val="clear" w:color="auto" w:fill="auto"/>
            <w:vAlign w:val="center"/>
            <w:hideMark/>
          </w:tcPr>
          <w:p w14:paraId="2F64EA6E"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30,997,713</w:t>
            </w:r>
          </w:p>
        </w:tc>
        <w:tc>
          <w:tcPr>
            <w:tcW w:w="278" w:type="pct"/>
            <w:tcBorders>
              <w:top w:val="nil"/>
              <w:left w:val="nil"/>
              <w:bottom w:val="single" w:sz="4" w:space="0" w:color="auto"/>
              <w:right w:val="single" w:sz="4" w:space="0" w:color="auto"/>
            </w:tcBorders>
            <w:shd w:val="clear" w:color="auto" w:fill="auto"/>
            <w:vAlign w:val="center"/>
            <w:hideMark/>
          </w:tcPr>
          <w:p w14:paraId="4D824D89"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60" w:type="pct"/>
            <w:tcBorders>
              <w:top w:val="nil"/>
              <w:left w:val="nil"/>
              <w:bottom w:val="single" w:sz="4" w:space="0" w:color="auto"/>
              <w:right w:val="single" w:sz="4" w:space="0" w:color="auto"/>
            </w:tcBorders>
            <w:shd w:val="clear" w:color="auto" w:fill="auto"/>
            <w:vAlign w:val="center"/>
            <w:hideMark/>
          </w:tcPr>
          <w:p w14:paraId="1AE556DD" w14:textId="7777777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30,997,713</w:t>
            </w:r>
          </w:p>
        </w:tc>
        <w:tc>
          <w:tcPr>
            <w:tcW w:w="313" w:type="pct"/>
            <w:tcBorders>
              <w:top w:val="single" w:sz="8" w:space="0" w:color="auto"/>
              <w:left w:val="nil"/>
              <w:bottom w:val="single" w:sz="4" w:space="0" w:color="auto"/>
              <w:right w:val="single" w:sz="4" w:space="0" w:color="auto"/>
            </w:tcBorders>
            <w:shd w:val="clear" w:color="auto" w:fill="auto"/>
            <w:vAlign w:val="center"/>
            <w:hideMark/>
          </w:tcPr>
          <w:p w14:paraId="6B422ACF"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19,117,713</w:t>
            </w:r>
          </w:p>
        </w:tc>
        <w:tc>
          <w:tcPr>
            <w:tcW w:w="256" w:type="pct"/>
            <w:tcBorders>
              <w:top w:val="single" w:sz="8" w:space="0" w:color="auto"/>
              <w:left w:val="nil"/>
              <w:bottom w:val="single" w:sz="4" w:space="0" w:color="auto"/>
              <w:right w:val="single" w:sz="4" w:space="0" w:color="auto"/>
            </w:tcBorders>
            <w:shd w:val="clear" w:color="auto" w:fill="auto"/>
            <w:vAlign w:val="center"/>
            <w:hideMark/>
          </w:tcPr>
          <w:p w14:paraId="64712ED3"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56" w:type="pct"/>
            <w:tcBorders>
              <w:top w:val="nil"/>
              <w:left w:val="nil"/>
              <w:bottom w:val="single" w:sz="4" w:space="0" w:color="auto"/>
              <w:right w:val="single" w:sz="4" w:space="0" w:color="auto"/>
            </w:tcBorders>
            <w:shd w:val="clear" w:color="auto" w:fill="auto"/>
            <w:vAlign w:val="center"/>
            <w:hideMark/>
          </w:tcPr>
          <w:p w14:paraId="651E3695" w14:textId="7777777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19,117,713</w:t>
            </w:r>
          </w:p>
        </w:tc>
        <w:tc>
          <w:tcPr>
            <w:tcW w:w="253" w:type="pct"/>
            <w:tcBorders>
              <w:top w:val="single" w:sz="8" w:space="0" w:color="auto"/>
              <w:left w:val="nil"/>
              <w:bottom w:val="single" w:sz="4" w:space="0" w:color="auto"/>
              <w:right w:val="single" w:sz="4" w:space="0" w:color="auto"/>
            </w:tcBorders>
            <w:shd w:val="clear" w:color="auto" w:fill="auto"/>
            <w:vAlign w:val="center"/>
            <w:hideMark/>
          </w:tcPr>
          <w:p w14:paraId="5320DB7A"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38" w:type="pct"/>
            <w:tcBorders>
              <w:top w:val="single" w:sz="8" w:space="0" w:color="auto"/>
              <w:left w:val="nil"/>
              <w:bottom w:val="single" w:sz="4" w:space="0" w:color="auto"/>
              <w:right w:val="single" w:sz="4" w:space="0" w:color="auto"/>
            </w:tcBorders>
            <w:shd w:val="clear" w:color="auto" w:fill="auto"/>
            <w:vAlign w:val="center"/>
            <w:hideMark/>
          </w:tcPr>
          <w:p w14:paraId="2E90BFFF"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56" w:type="pct"/>
            <w:tcBorders>
              <w:top w:val="nil"/>
              <w:left w:val="nil"/>
              <w:bottom w:val="single" w:sz="4" w:space="0" w:color="auto"/>
              <w:right w:val="single" w:sz="4" w:space="0" w:color="auto"/>
            </w:tcBorders>
            <w:shd w:val="clear" w:color="auto" w:fill="auto"/>
            <w:vAlign w:val="center"/>
            <w:hideMark/>
          </w:tcPr>
          <w:p w14:paraId="022269F7"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05" w:type="pct"/>
            <w:tcBorders>
              <w:top w:val="single" w:sz="8" w:space="0" w:color="auto"/>
              <w:left w:val="nil"/>
              <w:bottom w:val="single" w:sz="4" w:space="0" w:color="auto"/>
              <w:right w:val="single" w:sz="4" w:space="0" w:color="auto"/>
            </w:tcBorders>
            <w:shd w:val="clear" w:color="auto" w:fill="auto"/>
            <w:vAlign w:val="center"/>
            <w:hideMark/>
          </w:tcPr>
          <w:p w14:paraId="7D47D16A"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11" w:type="pct"/>
            <w:tcBorders>
              <w:top w:val="single" w:sz="8" w:space="0" w:color="auto"/>
              <w:left w:val="nil"/>
              <w:bottom w:val="single" w:sz="4" w:space="0" w:color="auto"/>
              <w:right w:val="single" w:sz="4" w:space="0" w:color="auto"/>
            </w:tcBorders>
            <w:shd w:val="clear" w:color="auto" w:fill="auto"/>
            <w:vAlign w:val="center"/>
            <w:hideMark/>
          </w:tcPr>
          <w:p w14:paraId="4739C18D"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177" w:type="pct"/>
            <w:tcBorders>
              <w:top w:val="nil"/>
              <w:left w:val="nil"/>
              <w:bottom w:val="single" w:sz="4" w:space="0" w:color="auto"/>
              <w:right w:val="single" w:sz="4" w:space="0" w:color="auto"/>
            </w:tcBorders>
            <w:shd w:val="clear" w:color="auto" w:fill="auto"/>
            <w:vAlign w:val="center"/>
            <w:hideMark/>
          </w:tcPr>
          <w:p w14:paraId="0DC31A50" w14:textId="7777777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0</w:t>
            </w:r>
          </w:p>
        </w:tc>
        <w:tc>
          <w:tcPr>
            <w:tcW w:w="284" w:type="pct"/>
            <w:tcBorders>
              <w:top w:val="single" w:sz="8" w:space="0" w:color="auto"/>
              <w:left w:val="nil"/>
              <w:bottom w:val="single" w:sz="4" w:space="0" w:color="auto"/>
              <w:right w:val="single" w:sz="4" w:space="0" w:color="auto"/>
            </w:tcBorders>
            <w:shd w:val="clear" w:color="auto" w:fill="auto"/>
            <w:vAlign w:val="center"/>
            <w:hideMark/>
          </w:tcPr>
          <w:p w14:paraId="10D52B9C" w14:textId="0DB5BCE1" w:rsidR="00635943" w:rsidRPr="00B457F5" w:rsidRDefault="0006016F"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 </w:t>
            </w:r>
            <w:r w:rsidR="00635943" w:rsidRPr="00B457F5">
              <w:rPr>
                <w:rFonts w:ascii="Garamond" w:eastAsia="Times New Roman" w:hAnsi="Garamond" w:cs="Times New Roman"/>
                <w:b/>
                <w:bCs/>
                <w:color w:val="000000"/>
                <w:sz w:val="4"/>
                <w:szCs w:val="4"/>
              </w:rPr>
              <w:t>(11,880,000)</w:t>
            </w:r>
          </w:p>
        </w:tc>
        <w:tc>
          <w:tcPr>
            <w:tcW w:w="244" w:type="pct"/>
            <w:tcBorders>
              <w:top w:val="nil"/>
              <w:left w:val="nil"/>
              <w:bottom w:val="single" w:sz="4" w:space="0" w:color="auto"/>
              <w:right w:val="single" w:sz="8" w:space="0" w:color="auto"/>
            </w:tcBorders>
            <w:shd w:val="clear" w:color="auto" w:fill="auto"/>
            <w:noWrap/>
            <w:vAlign w:val="center"/>
            <w:hideMark/>
          </w:tcPr>
          <w:p w14:paraId="5CF6AA28" w14:textId="7777777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281,797</w:t>
            </w:r>
          </w:p>
        </w:tc>
      </w:tr>
      <w:tr w:rsidR="0028334E" w:rsidRPr="00B457F5" w14:paraId="32767C72" w14:textId="77777777" w:rsidTr="00635943">
        <w:trPr>
          <w:trHeight w:val="20"/>
        </w:trPr>
        <w:tc>
          <w:tcPr>
            <w:tcW w:w="343" w:type="pct"/>
            <w:tcBorders>
              <w:top w:val="single" w:sz="4" w:space="0" w:color="auto"/>
              <w:left w:val="single" w:sz="8" w:space="0" w:color="auto"/>
              <w:bottom w:val="nil"/>
              <w:right w:val="single" w:sz="4" w:space="0" w:color="auto"/>
            </w:tcBorders>
            <w:shd w:val="clear" w:color="auto" w:fill="auto"/>
            <w:vAlign w:val="center"/>
            <w:hideMark/>
          </w:tcPr>
          <w:p w14:paraId="2C22A0D5" w14:textId="15A36460" w:rsidR="00635943" w:rsidRPr="00B457F5" w:rsidRDefault="00635943" w:rsidP="00635943">
            <w:pPr>
              <w:spacing w:before="0" w:after="0"/>
              <w:jc w:val="lef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Objektivi specifik 1.4</w:t>
            </w:r>
            <w:r w:rsidR="0028334E" w:rsidRPr="00B457F5">
              <w:rPr>
                <w:rFonts w:ascii="Garamond" w:eastAsia="Times New Roman" w:hAnsi="Garamond" w:cs="Times New Roman"/>
                <w:color w:val="000000"/>
                <w:sz w:val="4"/>
                <w:szCs w:val="4"/>
              </w:rPr>
              <w:t>:</w:t>
            </w:r>
            <w:r w:rsidRPr="00B457F5">
              <w:rPr>
                <w:rFonts w:ascii="Garamond" w:eastAsia="Times New Roman" w:hAnsi="Garamond" w:cs="Times New Roman"/>
                <w:color w:val="000000"/>
                <w:sz w:val="4"/>
                <w:szCs w:val="4"/>
              </w:rPr>
              <w:t xml:space="preserve"> Parandalimi i</w:t>
            </w:r>
            <w:r w:rsidR="0006016F" w:rsidRPr="00B457F5">
              <w:rPr>
                <w:rFonts w:ascii="Garamond" w:eastAsia="Times New Roman" w:hAnsi="Garamond" w:cs="Times New Roman"/>
                <w:color w:val="000000"/>
                <w:sz w:val="4"/>
                <w:szCs w:val="4"/>
              </w:rPr>
              <w:t xml:space="preserve"> </w:t>
            </w:r>
            <w:r w:rsidRPr="00B457F5">
              <w:rPr>
                <w:rFonts w:ascii="Garamond" w:eastAsia="Times New Roman" w:hAnsi="Garamond" w:cs="Times New Roman"/>
                <w:color w:val="000000"/>
                <w:sz w:val="4"/>
                <w:szCs w:val="4"/>
              </w:rPr>
              <w:t>migracionit të parregullt në dhe nga Shqipëria</w:t>
            </w:r>
          </w:p>
        </w:tc>
        <w:tc>
          <w:tcPr>
            <w:tcW w:w="266" w:type="pct"/>
            <w:tcBorders>
              <w:top w:val="nil"/>
              <w:left w:val="nil"/>
              <w:bottom w:val="single" w:sz="4" w:space="0" w:color="auto"/>
              <w:right w:val="single" w:sz="4" w:space="0" w:color="auto"/>
            </w:tcBorders>
            <w:shd w:val="clear" w:color="auto" w:fill="auto"/>
            <w:vAlign w:val="center"/>
            <w:hideMark/>
          </w:tcPr>
          <w:p w14:paraId="4780D316" w14:textId="6ABB1E93" w:rsidR="00635943" w:rsidRPr="00B457F5" w:rsidRDefault="00635943" w:rsidP="00635943">
            <w:pPr>
              <w:spacing w:before="0" w:after="0"/>
              <w:jc w:val="center"/>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MB, MAS, MFE, AKPA, BASHKIT</w:t>
            </w:r>
            <w:r w:rsidR="0028334E" w:rsidRPr="00B457F5">
              <w:rPr>
                <w:rFonts w:ascii="Garamond" w:eastAsia="Times New Roman" w:hAnsi="Garamond" w:cs="Times New Roman"/>
                <w:color w:val="000000"/>
                <w:sz w:val="4"/>
                <w:szCs w:val="4"/>
              </w:rPr>
              <w:t>Ë</w:t>
            </w:r>
          </w:p>
        </w:tc>
        <w:tc>
          <w:tcPr>
            <w:tcW w:w="474" w:type="pct"/>
            <w:tcBorders>
              <w:top w:val="nil"/>
              <w:left w:val="nil"/>
              <w:bottom w:val="single" w:sz="4" w:space="0" w:color="auto"/>
              <w:right w:val="single" w:sz="4" w:space="0" w:color="auto"/>
            </w:tcBorders>
            <w:shd w:val="clear" w:color="auto" w:fill="auto"/>
            <w:vAlign w:val="center"/>
            <w:hideMark/>
          </w:tcPr>
          <w:p w14:paraId="342EC650" w14:textId="346C83B2" w:rsidR="00635943" w:rsidRPr="00B457F5" w:rsidRDefault="00635943" w:rsidP="00635943">
            <w:pPr>
              <w:spacing w:before="0" w:after="0"/>
              <w:jc w:val="center"/>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DKM, MEPJ, MFE, IOM,</w:t>
            </w:r>
            <w:r w:rsidR="0006016F" w:rsidRPr="00B457F5">
              <w:rPr>
                <w:rFonts w:ascii="Garamond" w:eastAsia="Times New Roman" w:hAnsi="Garamond" w:cs="Times New Roman"/>
                <w:color w:val="000000"/>
                <w:sz w:val="4"/>
                <w:szCs w:val="4"/>
              </w:rPr>
              <w:t xml:space="preserve"> </w:t>
            </w:r>
            <w:r w:rsidR="0028334E" w:rsidRPr="00B457F5">
              <w:rPr>
                <w:rFonts w:ascii="Garamond" w:eastAsia="Times New Roman" w:hAnsi="Garamond" w:cs="Times New Roman"/>
                <w:color w:val="000000"/>
                <w:sz w:val="4"/>
                <w:szCs w:val="4"/>
              </w:rPr>
              <w:t>o</w:t>
            </w:r>
            <w:r w:rsidRPr="00B457F5">
              <w:rPr>
                <w:rFonts w:ascii="Garamond" w:eastAsia="Times New Roman" w:hAnsi="Garamond" w:cs="Times New Roman"/>
                <w:color w:val="000000"/>
                <w:sz w:val="4"/>
                <w:szCs w:val="4"/>
              </w:rPr>
              <w:t>rganizatat</w:t>
            </w:r>
          </w:p>
        </w:tc>
        <w:tc>
          <w:tcPr>
            <w:tcW w:w="196" w:type="pct"/>
            <w:tcBorders>
              <w:top w:val="nil"/>
              <w:left w:val="nil"/>
              <w:bottom w:val="single" w:sz="4" w:space="0" w:color="auto"/>
              <w:right w:val="single" w:sz="4" w:space="0" w:color="auto"/>
            </w:tcBorders>
            <w:shd w:val="clear" w:color="auto" w:fill="auto"/>
            <w:vAlign w:val="bottom"/>
            <w:hideMark/>
          </w:tcPr>
          <w:p w14:paraId="017AC44E" w14:textId="77777777" w:rsidR="00635943" w:rsidRPr="00B457F5" w:rsidRDefault="00635943" w:rsidP="00635943">
            <w:pPr>
              <w:spacing w:before="0" w:after="0"/>
              <w:jc w:val="center"/>
              <w:rPr>
                <w:rFonts w:ascii="Garamond" w:eastAsia="Times New Roman" w:hAnsi="Garamond" w:cs="Times New Roman"/>
                <w:sz w:val="4"/>
                <w:szCs w:val="4"/>
              </w:rPr>
            </w:pPr>
            <w:r w:rsidRPr="00B457F5">
              <w:rPr>
                <w:rFonts w:ascii="Garamond" w:eastAsia="Times New Roman" w:hAnsi="Garamond" w:cs="Times New Roman"/>
                <w:sz w:val="4"/>
                <w:szCs w:val="4"/>
              </w:rPr>
              <w:t>2024</w:t>
            </w:r>
          </w:p>
        </w:tc>
        <w:tc>
          <w:tcPr>
            <w:tcW w:w="231" w:type="pct"/>
            <w:tcBorders>
              <w:top w:val="nil"/>
              <w:left w:val="nil"/>
              <w:bottom w:val="single" w:sz="4" w:space="0" w:color="auto"/>
              <w:right w:val="single" w:sz="4" w:space="0" w:color="auto"/>
            </w:tcBorders>
            <w:shd w:val="clear" w:color="auto" w:fill="auto"/>
            <w:vAlign w:val="bottom"/>
            <w:hideMark/>
          </w:tcPr>
          <w:p w14:paraId="5DC9A49F" w14:textId="77777777" w:rsidR="00635943" w:rsidRPr="00B457F5" w:rsidRDefault="00635943" w:rsidP="00635943">
            <w:pPr>
              <w:spacing w:before="0" w:after="0"/>
              <w:jc w:val="center"/>
              <w:rPr>
                <w:rFonts w:ascii="Garamond" w:eastAsia="Times New Roman" w:hAnsi="Garamond" w:cs="Times New Roman"/>
                <w:sz w:val="4"/>
                <w:szCs w:val="4"/>
              </w:rPr>
            </w:pPr>
            <w:r w:rsidRPr="00B457F5">
              <w:rPr>
                <w:rFonts w:ascii="Garamond" w:eastAsia="Times New Roman" w:hAnsi="Garamond" w:cs="Times New Roman"/>
                <w:sz w:val="4"/>
                <w:szCs w:val="4"/>
              </w:rPr>
              <w:t>2026</w:t>
            </w:r>
          </w:p>
        </w:tc>
        <w:tc>
          <w:tcPr>
            <w:tcW w:w="259" w:type="pct"/>
            <w:tcBorders>
              <w:top w:val="nil"/>
              <w:left w:val="nil"/>
              <w:bottom w:val="single" w:sz="4" w:space="0" w:color="auto"/>
              <w:right w:val="single" w:sz="4" w:space="0" w:color="auto"/>
            </w:tcBorders>
            <w:shd w:val="clear" w:color="auto" w:fill="auto"/>
            <w:vAlign w:val="center"/>
            <w:hideMark/>
          </w:tcPr>
          <w:p w14:paraId="1BBD6220"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103,846,447</w:t>
            </w:r>
          </w:p>
        </w:tc>
        <w:tc>
          <w:tcPr>
            <w:tcW w:w="278" w:type="pct"/>
            <w:tcBorders>
              <w:top w:val="nil"/>
              <w:left w:val="nil"/>
              <w:bottom w:val="single" w:sz="4" w:space="0" w:color="auto"/>
              <w:right w:val="single" w:sz="4" w:space="0" w:color="auto"/>
            </w:tcBorders>
            <w:shd w:val="clear" w:color="auto" w:fill="auto"/>
            <w:vAlign w:val="center"/>
            <w:hideMark/>
          </w:tcPr>
          <w:p w14:paraId="4B6A15F4"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60" w:type="pct"/>
            <w:tcBorders>
              <w:top w:val="nil"/>
              <w:left w:val="nil"/>
              <w:bottom w:val="single" w:sz="4" w:space="0" w:color="auto"/>
              <w:right w:val="single" w:sz="4" w:space="0" w:color="auto"/>
            </w:tcBorders>
            <w:shd w:val="clear" w:color="auto" w:fill="auto"/>
            <w:vAlign w:val="center"/>
            <w:hideMark/>
          </w:tcPr>
          <w:p w14:paraId="3FD9118D" w14:textId="7777777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103,846,447</w:t>
            </w:r>
          </w:p>
        </w:tc>
        <w:tc>
          <w:tcPr>
            <w:tcW w:w="313" w:type="pct"/>
            <w:tcBorders>
              <w:top w:val="single" w:sz="8" w:space="0" w:color="auto"/>
              <w:left w:val="nil"/>
              <w:bottom w:val="single" w:sz="4" w:space="0" w:color="auto"/>
              <w:right w:val="single" w:sz="4" w:space="0" w:color="auto"/>
            </w:tcBorders>
            <w:shd w:val="clear" w:color="auto" w:fill="auto"/>
            <w:vAlign w:val="center"/>
            <w:hideMark/>
          </w:tcPr>
          <w:p w14:paraId="058314E2"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49,306,054</w:t>
            </w:r>
          </w:p>
        </w:tc>
        <w:tc>
          <w:tcPr>
            <w:tcW w:w="256" w:type="pct"/>
            <w:tcBorders>
              <w:top w:val="single" w:sz="8" w:space="0" w:color="auto"/>
              <w:left w:val="nil"/>
              <w:bottom w:val="single" w:sz="4" w:space="0" w:color="auto"/>
              <w:right w:val="single" w:sz="4" w:space="0" w:color="auto"/>
            </w:tcBorders>
            <w:shd w:val="clear" w:color="auto" w:fill="auto"/>
            <w:vAlign w:val="center"/>
            <w:hideMark/>
          </w:tcPr>
          <w:p w14:paraId="10C4E098"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56" w:type="pct"/>
            <w:tcBorders>
              <w:top w:val="nil"/>
              <w:left w:val="nil"/>
              <w:bottom w:val="single" w:sz="4" w:space="0" w:color="auto"/>
              <w:right w:val="single" w:sz="4" w:space="0" w:color="auto"/>
            </w:tcBorders>
            <w:shd w:val="clear" w:color="auto" w:fill="auto"/>
            <w:vAlign w:val="center"/>
            <w:hideMark/>
          </w:tcPr>
          <w:p w14:paraId="6BE8ED6D" w14:textId="7777777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49,306,054</w:t>
            </w:r>
          </w:p>
        </w:tc>
        <w:tc>
          <w:tcPr>
            <w:tcW w:w="253" w:type="pct"/>
            <w:tcBorders>
              <w:top w:val="single" w:sz="8" w:space="0" w:color="auto"/>
              <w:left w:val="nil"/>
              <w:bottom w:val="single" w:sz="4" w:space="0" w:color="auto"/>
              <w:right w:val="single" w:sz="4" w:space="0" w:color="auto"/>
            </w:tcBorders>
            <w:shd w:val="clear" w:color="auto" w:fill="auto"/>
            <w:vAlign w:val="center"/>
            <w:hideMark/>
          </w:tcPr>
          <w:p w14:paraId="61E95001"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47,772,393</w:t>
            </w:r>
          </w:p>
        </w:tc>
        <w:tc>
          <w:tcPr>
            <w:tcW w:w="238" w:type="pct"/>
            <w:tcBorders>
              <w:top w:val="single" w:sz="8" w:space="0" w:color="auto"/>
              <w:left w:val="nil"/>
              <w:bottom w:val="single" w:sz="4" w:space="0" w:color="auto"/>
              <w:right w:val="single" w:sz="4" w:space="0" w:color="auto"/>
            </w:tcBorders>
            <w:shd w:val="clear" w:color="auto" w:fill="auto"/>
            <w:vAlign w:val="center"/>
            <w:hideMark/>
          </w:tcPr>
          <w:p w14:paraId="4EAF154C"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56" w:type="pct"/>
            <w:tcBorders>
              <w:top w:val="nil"/>
              <w:left w:val="nil"/>
              <w:bottom w:val="single" w:sz="4" w:space="0" w:color="auto"/>
              <w:right w:val="single" w:sz="4" w:space="0" w:color="auto"/>
            </w:tcBorders>
            <w:shd w:val="clear" w:color="auto" w:fill="auto"/>
            <w:vAlign w:val="center"/>
            <w:hideMark/>
          </w:tcPr>
          <w:p w14:paraId="2DD0E3C5"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47,772,393</w:t>
            </w:r>
          </w:p>
        </w:tc>
        <w:tc>
          <w:tcPr>
            <w:tcW w:w="205" w:type="pct"/>
            <w:tcBorders>
              <w:top w:val="single" w:sz="8" w:space="0" w:color="auto"/>
              <w:left w:val="nil"/>
              <w:bottom w:val="single" w:sz="4" w:space="0" w:color="auto"/>
              <w:right w:val="single" w:sz="4" w:space="0" w:color="auto"/>
            </w:tcBorders>
            <w:shd w:val="clear" w:color="auto" w:fill="auto"/>
            <w:vAlign w:val="center"/>
            <w:hideMark/>
          </w:tcPr>
          <w:p w14:paraId="41BECA44"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11" w:type="pct"/>
            <w:tcBorders>
              <w:top w:val="single" w:sz="8" w:space="0" w:color="auto"/>
              <w:left w:val="nil"/>
              <w:bottom w:val="single" w:sz="4" w:space="0" w:color="auto"/>
              <w:right w:val="single" w:sz="4" w:space="0" w:color="auto"/>
            </w:tcBorders>
            <w:shd w:val="clear" w:color="auto" w:fill="auto"/>
            <w:vAlign w:val="center"/>
            <w:hideMark/>
          </w:tcPr>
          <w:p w14:paraId="4F627A67"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177" w:type="pct"/>
            <w:tcBorders>
              <w:top w:val="nil"/>
              <w:left w:val="nil"/>
              <w:bottom w:val="single" w:sz="4" w:space="0" w:color="auto"/>
              <w:right w:val="single" w:sz="4" w:space="0" w:color="auto"/>
            </w:tcBorders>
            <w:shd w:val="clear" w:color="auto" w:fill="auto"/>
            <w:vAlign w:val="center"/>
            <w:hideMark/>
          </w:tcPr>
          <w:p w14:paraId="0FFEAA3F" w14:textId="7777777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0</w:t>
            </w:r>
          </w:p>
        </w:tc>
        <w:tc>
          <w:tcPr>
            <w:tcW w:w="284" w:type="pct"/>
            <w:tcBorders>
              <w:top w:val="single" w:sz="8" w:space="0" w:color="auto"/>
              <w:left w:val="nil"/>
              <w:bottom w:val="single" w:sz="4" w:space="0" w:color="auto"/>
              <w:right w:val="single" w:sz="4" w:space="0" w:color="auto"/>
            </w:tcBorders>
            <w:shd w:val="clear" w:color="auto" w:fill="auto"/>
            <w:vAlign w:val="center"/>
            <w:hideMark/>
          </w:tcPr>
          <w:p w14:paraId="37D5EAC9" w14:textId="68D52B40"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(6,768,000)</w:t>
            </w:r>
          </w:p>
        </w:tc>
        <w:tc>
          <w:tcPr>
            <w:tcW w:w="244" w:type="pct"/>
            <w:tcBorders>
              <w:top w:val="nil"/>
              <w:left w:val="nil"/>
              <w:bottom w:val="single" w:sz="4" w:space="0" w:color="auto"/>
              <w:right w:val="single" w:sz="8" w:space="0" w:color="auto"/>
            </w:tcBorders>
            <w:shd w:val="clear" w:color="auto" w:fill="auto"/>
            <w:noWrap/>
            <w:vAlign w:val="center"/>
            <w:hideMark/>
          </w:tcPr>
          <w:p w14:paraId="249CE7D4" w14:textId="7777777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944,059</w:t>
            </w:r>
          </w:p>
        </w:tc>
      </w:tr>
      <w:tr w:rsidR="0028334E" w:rsidRPr="00B457F5" w14:paraId="047CF470" w14:textId="77777777" w:rsidTr="00635943">
        <w:trPr>
          <w:trHeight w:val="20"/>
        </w:trPr>
        <w:tc>
          <w:tcPr>
            <w:tcW w:w="343" w:type="pct"/>
            <w:tcBorders>
              <w:top w:val="single" w:sz="4" w:space="0" w:color="auto"/>
              <w:left w:val="single" w:sz="8" w:space="0" w:color="auto"/>
              <w:bottom w:val="single" w:sz="8" w:space="0" w:color="auto"/>
              <w:right w:val="single" w:sz="4" w:space="0" w:color="auto"/>
            </w:tcBorders>
            <w:shd w:val="clear" w:color="auto" w:fill="auto"/>
            <w:vAlign w:val="bottom"/>
            <w:hideMark/>
          </w:tcPr>
          <w:p w14:paraId="0690DF62" w14:textId="272E8D41" w:rsidR="00635943" w:rsidRPr="00B457F5" w:rsidRDefault="00635943" w:rsidP="00635943">
            <w:pPr>
              <w:spacing w:before="0" w:after="0"/>
              <w:jc w:val="left"/>
              <w:rPr>
                <w:rFonts w:ascii="Garamond" w:eastAsia="Times New Roman" w:hAnsi="Garamond" w:cs="Times New Roman"/>
                <w:color w:val="000000"/>
                <w:sz w:val="4"/>
                <w:szCs w:val="4"/>
              </w:rPr>
            </w:pPr>
            <w:r w:rsidRPr="00B457F5">
              <w:rPr>
                <w:rFonts w:ascii="Garamond" w:eastAsia="Times New Roman" w:hAnsi="Garamond" w:cs="Times New Roman"/>
                <w:b/>
                <w:bCs/>
                <w:color w:val="FF0000"/>
                <w:sz w:val="4"/>
                <w:szCs w:val="4"/>
              </w:rPr>
              <w:t>Kosto</w:t>
            </w:r>
            <w:r w:rsidR="0028334E" w:rsidRPr="00B457F5">
              <w:rPr>
                <w:rFonts w:ascii="Garamond" w:eastAsia="Times New Roman" w:hAnsi="Garamond" w:cs="Times New Roman"/>
                <w:b/>
                <w:bCs/>
                <w:color w:val="FF0000"/>
                <w:sz w:val="4"/>
                <w:szCs w:val="4"/>
              </w:rPr>
              <w:t>ja</w:t>
            </w:r>
            <w:r w:rsidRPr="00B457F5">
              <w:rPr>
                <w:rFonts w:ascii="Garamond" w:eastAsia="Times New Roman" w:hAnsi="Garamond" w:cs="Times New Roman"/>
                <w:b/>
                <w:bCs/>
                <w:color w:val="FF0000"/>
                <w:sz w:val="4"/>
                <w:szCs w:val="4"/>
              </w:rPr>
              <w:t xml:space="preserve"> totale </w:t>
            </w:r>
            <w:r w:rsidR="0028334E" w:rsidRPr="00B457F5">
              <w:rPr>
                <w:rFonts w:ascii="Garamond" w:eastAsia="Times New Roman" w:hAnsi="Garamond" w:cs="Times New Roman"/>
                <w:b/>
                <w:bCs/>
                <w:color w:val="FF0000"/>
                <w:sz w:val="4"/>
                <w:szCs w:val="4"/>
              </w:rPr>
              <w:t>e q</w:t>
            </w:r>
            <w:r w:rsidRPr="00B457F5">
              <w:rPr>
                <w:rFonts w:ascii="Garamond" w:eastAsia="Times New Roman" w:hAnsi="Garamond" w:cs="Times New Roman"/>
                <w:b/>
                <w:bCs/>
                <w:color w:val="FF0000"/>
                <w:sz w:val="4"/>
                <w:szCs w:val="4"/>
              </w:rPr>
              <w:t>ëllimi</w:t>
            </w:r>
            <w:r w:rsidR="0028334E" w:rsidRPr="00B457F5">
              <w:rPr>
                <w:rFonts w:ascii="Garamond" w:eastAsia="Times New Roman" w:hAnsi="Garamond" w:cs="Times New Roman"/>
                <w:b/>
                <w:bCs/>
                <w:color w:val="FF0000"/>
                <w:sz w:val="4"/>
                <w:szCs w:val="4"/>
              </w:rPr>
              <w:t>t</w:t>
            </w:r>
            <w:r w:rsidRPr="00B457F5">
              <w:rPr>
                <w:rFonts w:ascii="Garamond" w:eastAsia="Times New Roman" w:hAnsi="Garamond" w:cs="Times New Roman"/>
                <w:b/>
                <w:bCs/>
                <w:color w:val="FF0000"/>
                <w:sz w:val="4"/>
                <w:szCs w:val="4"/>
              </w:rPr>
              <w:t xml:space="preserve"> </w:t>
            </w:r>
            <w:r w:rsidR="0028334E" w:rsidRPr="00B457F5">
              <w:rPr>
                <w:rFonts w:ascii="Garamond" w:eastAsia="Times New Roman" w:hAnsi="Garamond" w:cs="Times New Roman"/>
                <w:b/>
                <w:bCs/>
                <w:color w:val="FF0000"/>
                <w:sz w:val="4"/>
                <w:szCs w:val="4"/>
              </w:rPr>
              <w:t>të</w:t>
            </w:r>
            <w:r w:rsidRPr="00B457F5">
              <w:rPr>
                <w:rFonts w:ascii="Garamond" w:eastAsia="Times New Roman" w:hAnsi="Garamond" w:cs="Times New Roman"/>
                <w:b/>
                <w:bCs/>
                <w:color w:val="FF0000"/>
                <w:sz w:val="4"/>
                <w:szCs w:val="4"/>
              </w:rPr>
              <w:t xml:space="preserve"> </w:t>
            </w:r>
            <w:r w:rsidR="0028334E" w:rsidRPr="00B457F5">
              <w:rPr>
                <w:rFonts w:ascii="Garamond" w:eastAsia="Times New Roman" w:hAnsi="Garamond" w:cs="Times New Roman"/>
                <w:b/>
                <w:bCs/>
                <w:color w:val="FF0000"/>
                <w:sz w:val="4"/>
                <w:szCs w:val="4"/>
              </w:rPr>
              <w:t>p</w:t>
            </w:r>
            <w:r w:rsidRPr="00B457F5">
              <w:rPr>
                <w:rFonts w:ascii="Garamond" w:eastAsia="Times New Roman" w:hAnsi="Garamond" w:cs="Times New Roman"/>
                <w:b/>
                <w:bCs/>
                <w:color w:val="FF0000"/>
                <w:sz w:val="4"/>
                <w:szCs w:val="4"/>
              </w:rPr>
              <w:t xml:space="preserve">olitikës I </w:t>
            </w:r>
            <w:r w:rsidRPr="00B457F5">
              <w:rPr>
                <w:rFonts w:ascii="Garamond" w:eastAsia="Times New Roman" w:hAnsi="Garamond" w:cs="Times New Roman"/>
                <w:color w:val="000000"/>
                <w:sz w:val="4"/>
                <w:szCs w:val="4"/>
              </w:rPr>
              <w:br/>
              <w:t>(objektiva</w:t>
            </w:r>
            <w:r w:rsidR="00AF4731" w:rsidRPr="00B457F5">
              <w:rPr>
                <w:rFonts w:ascii="Garamond" w:eastAsia="Times New Roman" w:hAnsi="Garamond" w:cs="Times New Roman"/>
                <w:color w:val="000000"/>
                <w:sz w:val="4"/>
                <w:szCs w:val="4"/>
              </w:rPr>
              <w:t>t</w:t>
            </w:r>
            <w:r w:rsidRPr="00B457F5">
              <w:rPr>
                <w:rFonts w:ascii="Garamond" w:eastAsia="Times New Roman" w:hAnsi="Garamond" w:cs="Times New Roman"/>
                <w:color w:val="000000"/>
                <w:sz w:val="4"/>
                <w:szCs w:val="4"/>
              </w:rPr>
              <w:t xml:space="preserve"> specifik</w:t>
            </w:r>
            <w:r w:rsidR="00AF4731" w:rsidRPr="00B457F5">
              <w:rPr>
                <w:rFonts w:ascii="Garamond" w:eastAsia="Times New Roman" w:hAnsi="Garamond" w:cs="Times New Roman"/>
                <w:color w:val="000000"/>
                <w:sz w:val="4"/>
                <w:szCs w:val="4"/>
              </w:rPr>
              <w:t>ë</w:t>
            </w:r>
            <w:r w:rsidRPr="00B457F5">
              <w:rPr>
                <w:rFonts w:ascii="Garamond" w:eastAsia="Times New Roman" w:hAnsi="Garamond" w:cs="Times New Roman"/>
                <w:color w:val="000000"/>
                <w:sz w:val="4"/>
                <w:szCs w:val="4"/>
              </w:rPr>
              <w:t xml:space="preserve"> 1.1+1.2+1.3+1.4)</w:t>
            </w:r>
          </w:p>
        </w:tc>
        <w:tc>
          <w:tcPr>
            <w:tcW w:w="266" w:type="pct"/>
            <w:tcBorders>
              <w:top w:val="nil"/>
              <w:left w:val="nil"/>
              <w:bottom w:val="single" w:sz="8" w:space="0" w:color="auto"/>
              <w:right w:val="single" w:sz="4" w:space="0" w:color="auto"/>
            </w:tcBorders>
            <w:shd w:val="clear" w:color="auto" w:fill="auto"/>
            <w:vAlign w:val="center"/>
            <w:hideMark/>
          </w:tcPr>
          <w:p w14:paraId="7ED66E64" w14:textId="77777777" w:rsidR="00635943" w:rsidRPr="00B457F5" w:rsidRDefault="00635943" w:rsidP="00635943">
            <w:pPr>
              <w:spacing w:before="0" w:after="0"/>
              <w:jc w:val="center"/>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 </w:t>
            </w:r>
          </w:p>
        </w:tc>
        <w:tc>
          <w:tcPr>
            <w:tcW w:w="474" w:type="pct"/>
            <w:tcBorders>
              <w:top w:val="nil"/>
              <w:left w:val="nil"/>
              <w:bottom w:val="single" w:sz="8" w:space="0" w:color="auto"/>
              <w:right w:val="single" w:sz="4" w:space="0" w:color="auto"/>
            </w:tcBorders>
            <w:shd w:val="clear" w:color="auto" w:fill="auto"/>
            <w:vAlign w:val="center"/>
            <w:hideMark/>
          </w:tcPr>
          <w:p w14:paraId="0355F096" w14:textId="77777777" w:rsidR="00635943" w:rsidRPr="00B457F5" w:rsidRDefault="00635943" w:rsidP="00635943">
            <w:pPr>
              <w:spacing w:before="0" w:after="0"/>
              <w:jc w:val="center"/>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 </w:t>
            </w:r>
          </w:p>
        </w:tc>
        <w:tc>
          <w:tcPr>
            <w:tcW w:w="196" w:type="pct"/>
            <w:tcBorders>
              <w:top w:val="nil"/>
              <w:left w:val="nil"/>
              <w:bottom w:val="single" w:sz="8" w:space="0" w:color="auto"/>
              <w:right w:val="single" w:sz="4" w:space="0" w:color="auto"/>
            </w:tcBorders>
            <w:shd w:val="clear" w:color="auto" w:fill="auto"/>
            <w:noWrap/>
            <w:vAlign w:val="bottom"/>
            <w:hideMark/>
          </w:tcPr>
          <w:p w14:paraId="12FB6085" w14:textId="77777777" w:rsidR="00635943" w:rsidRPr="00B457F5" w:rsidRDefault="00635943" w:rsidP="00635943">
            <w:pPr>
              <w:spacing w:before="0" w:after="0"/>
              <w:jc w:val="lef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 </w:t>
            </w:r>
          </w:p>
        </w:tc>
        <w:tc>
          <w:tcPr>
            <w:tcW w:w="231" w:type="pct"/>
            <w:tcBorders>
              <w:top w:val="nil"/>
              <w:left w:val="nil"/>
              <w:bottom w:val="single" w:sz="8" w:space="0" w:color="auto"/>
              <w:right w:val="single" w:sz="4" w:space="0" w:color="auto"/>
            </w:tcBorders>
            <w:shd w:val="clear" w:color="auto" w:fill="auto"/>
            <w:noWrap/>
            <w:vAlign w:val="bottom"/>
            <w:hideMark/>
          </w:tcPr>
          <w:p w14:paraId="50B2805E" w14:textId="77777777" w:rsidR="00635943" w:rsidRPr="00B457F5" w:rsidRDefault="00635943" w:rsidP="00635943">
            <w:pPr>
              <w:spacing w:before="0" w:after="0"/>
              <w:jc w:val="lef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 </w:t>
            </w:r>
          </w:p>
        </w:tc>
        <w:tc>
          <w:tcPr>
            <w:tcW w:w="259" w:type="pct"/>
            <w:tcBorders>
              <w:top w:val="nil"/>
              <w:left w:val="nil"/>
              <w:bottom w:val="single" w:sz="8" w:space="0" w:color="auto"/>
              <w:right w:val="single" w:sz="4" w:space="0" w:color="auto"/>
            </w:tcBorders>
            <w:shd w:val="clear" w:color="auto" w:fill="auto"/>
            <w:noWrap/>
            <w:vAlign w:val="center"/>
            <w:hideMark/>
          </w:tcPr>
          <w:p w14:paraId="6AF37CDF" w14:textId="37A6C424"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 xml:space="preserve">327,557,228 </w:t>
            </w:r>
          </w:p>
        </w:tc>
        <w:tc>
          <w:tcPr>
            <w:tcW w:w="278" w:type="pct"/>
            <w:tcBorders>
              <w:top w:val="nil"/>
              <w:left w:val="nil"/>
              <w:bottom w:val="single" w:sz="8" w:space="0" w:color="auto"/>
              <w:right w:val="single" w:sz="4" w:space="0" w:color="auto"/>
            </w:tcBorders>
            <w:shd w:val="clear" w:color="auto" w:fill="auto"/>
            <w:noWrap/>
            <w:vAlign w:val="center"/>
            <w:hideMark/>
          </w:tcPr>
          <w:p w14:paraId="1A0A7857" w14:textId="54E92F53"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 xml:space="preserve">138,000,000 </w:t>
            </w:r>
          </w:p>
        </w:tc>
        <w:tc>
          <w:tcPr>
            <w:tcW w:w="260" w:type="pct"/>
            <w:tcBorders>
              <w:top w:val="nil"/>
              <w:left w:val="nil"/>
              <w:bottom w:val="single" w:sz="8" w:space="0" w:color="auto"/>
              <w:right w:val="single" w:sz="4" w:space="0" w:color="auto"/>
            </w:tcBorders>
            <w:shd w:val="clear" w:color="auto" w:fill="auto"/>
            <w:noWrap/>
            <w:vAlign w:val="center"/>
            <w:hideMark/>
          </w:tcPr>
          <w:p w14:paraId="1EB768DD" w14:textId="5630533A" w:rsidR="00635943" w:rsidRPr="00B457F5" w:rsidRDefault="0006016F"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 xml:space="preserve"> </w:t>
            </w:r>
            <w:r w:rsidR="00635943" w:rsidRPr="00B457F5">
              <w:rPr>
                <w:rFonts w:ascii="Garamond" w:eastAsia="Times New Roman" w:hAnsi="Garamond" w:cs="Times New Roman"/>
                <w:b/>
                <w:bCs/>
                <w:color w:val="FF0000"/>
                <w:sz w:val="4"/>
                <w:szCs w:val="4"/>
              </w:rPr>
              <w:t xml:space="preserve">465,557,228 </w:t>
            </w:r>
          </w:p>
        </w:tc>
        <w:tc>
          <w:tcPr>
            <w:tcW w:w="313" w:type="pct"/>
            <w:tcBorders>
              <w:top w:val="nil"/>
              <w:left w:val="nil"/>
              <w:bottom w:val="single" w:sz="8" w:space="0" w:color="auto"/>
              <w:right w:val="single" w:sz="4" w:space="0" w:color="auto"/>
            </w:tcBorders>
            <w:shd w:val="clear" w:color="auto" w:fill="auto"/>
            <w:noWrap/>
            <w:vAlign w:val="center"/>
            <w:hideMark/>
          </w:tcPr>
          <w:p w14:paraId="7D3EB628" w14:textId="1E2D0514"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 xml:space="preserve">181,481,816 </w:t>
            </w:r>
          </w:p>
        </w:tc>
        <w:tc>
          <w:tcPr>
            <w:tcW w:w="256" w:type="pct"/>
            <w:tcBorders>
              <w:top w:val="nil"/>
              <w:left w:val="nil"/>
              <w:bottom w:val="single" w:sz="8" w:space="0" w:color="auto"/>
              <w:right w:val="single" w:sz="4" w:space="0" w:color="auto"/>
            </w:tcBorders>
            <w:shd w:val="clear" w:color="auto" w:fill="auto"/>
            <w:noWrap/>
            <w:vAlign w:val="center"/>
            <w:hideMark/>
          </w:tcPr>
          <w:p w14:paraId="69DF0E7F" w14:textId="28AF42F2"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 xml:space="preserve">11,500,000 </w:t>
            </w:r>
          </w:p>
        </w:tc>
        <w:tc>
          <w:tcPr>
            <w:tcW w:w="256" w:type="pct"/>
            <w:tcBorders>
              <w:top w:val="nil"/>
              <w:left w:val="nil"/>
              <w:bottom w:val="single" w:sz="8" w:space="0" w:color="auto"/>
              <w:right w:val="single" w:sz="4" w:space="0" w:color="auto"/>
            </w:tcBorders>
            <w:shd w:val="clear" w:color="auto" w:fill="auto"/>
            <w:noWrap/>
            <w:vAlign w:val="center"/>
            <w:hideMark/>
          </w:tcPr>
          <w:p w14:paraId="2D3C029E" w14:textId="6E601F27" w:rsidR="00635943" w:rsidRPr="00B457F5" w:rsidRDefault="0006016F"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 xml:space="preserve"> </w:t>
            </w:r>
            <w:r w:rsidR="00635943" w:rsidRPr="00B457F5">
              <w:rPr>
                <w:rFonts w:ascii="Garamond" w:eastAsia="Times New Roman" w:hAnsi="Garamond" w:cs="Times New Roman"/>
                <w:b/>
                <w:bCs/>
                <w:color w:val="FF0000"/>
                <w:sz w:val="4"/>
                <w:szCs w:val="4"/>
              </w:rPr>
              <w:t xml:space="preserve">192,981,816 </w:t>
            </w:r>
          </w:p>
        </w:tc>
        <w:tc>
          <w:tcPr>
            <w:tcW w:w="253" w:type="pct"/>
            <w:tcBorders>
              <w:top w:val="nil"/>
              <w:left w:val="nil"/>
              <w:bottom w:val="single" w:sz="8" w:space="0" w:color="auto"/>
              <w:right w:val="single" w:sz="4" w:space="0" w:color="auto"/>
            </w:tcBorders>
            <w:shd w:val="clear" w:color="auto" w:fill="auto"/>
            <w:noWrap/>
            <w:vAlign w:val="center"/>
            <w:hideMark/>
          </w:tcPr>
          <w:p w14:paraId="723D3120" w14:textId="6DCD28DD"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 xml:space="preserve"> 106,225,812 </w:t>
            </w:r>
          </w:p>
        </w:tc>
        <w:tc>
          <w:tcPr>
            <w:tcW w:w="238" w:type="pct"/>
            <w:tcBorders>
              <w:top w:val="nil"/>
              <w:left w:val="nil"/>
              <w:bottom w:val="single" w:sz="8" w:space="0" w:color="auto"/>
              <w:right w:val="single" w:sz="4" w:space="0" w:color="auto"/>
            </w:tcBorders>
            <w:shd w:val="clear" w:color="auto" w:fill="auto"/>
            <w:noWrap/>
            <w:vAlign w:val="center"/>
            <w:hideMark/>
          </w:tcPr>
          <w:p w14:paraId="30928EA3" w14:textId="3AE54414"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 xml:space="preserve"> - </w:t>
            </w:r>
          </w:p>
        </w:tc>
        <w:tc>
          <w:tcPr>
            <w:tcW w:w="256" w:type="pct"/>
            <w:tcBorders>
              <w:top w:val="nil"/>
              <w:left w:val="nil"/>
              <w:bottom w:val="single" w:sz="8" w:space="0" w:color="auto"/>
              <w:right w:val="single" w:sz="4" w:space="0" w:color="auto"/>
            </w:tcBorders>
            <w:shd w:val="clear" w:color="auto" w:fill="auto"/>
            <w:noWrap/>
            <w:vAlign w:val="center"/>
            <w:hideMark/>
          </w:tcPr>
          <w:p w14:paraId="0176E05B" w14:textId="10C9621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 xml:space="preserve">106,225,812 </w:t>
            </w:r>
          </w:p>
        </w:tc>
        <w:tc>
          <w:tcPr>
            <w:tcW w:w="205" w:type="pct"/>
            <w:tcBorders>
              <w:top w:val="nil"/>
              <w:left w:val="nil"/>
              <w:bottom w:val="single" w:sz="8" w:space="0" w:color="auto"/>
              <w:right w:val="single" w:sz="4" w:space="0" w:color="auto"/>
            </w:tcBorders>
            <w:shd w:val="clear" w:color="auto" w:fill="auto"/>
            <w:noWrap/>
            <w:vAlign w:val="center"/>
            <w:hideMark/>
          </w:tcPr>
          <w:p w14:paraId="4889AE11" w14:textId="7E30DF53" w:rsidR="00635943" w:rsidRPr="00B457F5" w:rsidRDefault="0006016F"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 xml:space="preserve"> </w:t>
            </w:r>
            <w:r w:rsidR="00635943" w:rsidRPr="00B457F5">
              <w:rPr>
                <w:rFonts w:ascii="Garamond" w:eastAsia="Times New Roman" w:hAnsi="Garamond" w:cs="Times New Roman"/>
                <w:b/>
                <w:bCs/>
                <w:color w:val="FF0000"/>
                <w:sz w:val="4"/>
                <w:szCs w:val="4"/>
              </w:rPr>
              <w:t xml:space="preserve">- </w:t>
            </w:r>
          </w:p>
        </w:tc>
        <w:tc>
          <w:tcPr>
            <w:tcW w:w="211" w:type="pct"/>
            <w:tcBorders>
              <w:top w:val="nil"/>
              <w:left w:val="nil"/>
              <w:bottom w:val="single" w:sz="8" w:space="0" w:color="auto"/>
              <w:right w:val="single" w:sz="4" w:space="0" w:color="auto"/>
            </w:tcBorders>
            <w:shd w:val="clear" w:color="auto" w:fill="auto"/>
            <w:noWrap/>
            <w:vAlign w:val="center"/>
            <w:hideMark/>
          </w:tcPr>
          <w:p w14:paraId="64E7A60E" w14:textId="4359430C" w:rsidR="00635943" w:rsidRPr="00B457F5" w:rsidRDefault="0006016F"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 xml:space="preserve"> </w:t>
            </w:r>
            <w:r w:rsidR="00635943" w:rsidRPr="00B457F5">
              <w:rPr>
                <w:rFonts w:ascii="Garamond" w:eastAsia="Times New Roman" w:hAnsi="Garamond" w:cs="Times New Roman"/>
                <w:b/>
                <w:bCs/>
                <w:color w:val="FF0000"/>
                <w:sz w:val="4"/>
                <w:szCs w:val="4"/>
              </w:rPr>
              <w:t xml:space="preserve">- </w:t>
            </w:r>
          </w:p>
        </w:tc>
        <w:tc>
          <w:tcPr>
            <w:tcW w:w="177" w:type="pct"/>
            <w:tcBorders>
              <w:top w:val="nil"/>
              <w:left w:val="nil"/>
              <w:bottom w:val="single" w:sz="8" w:space="0" w:color="auto"/>
              <w:right w:val="single" w:sz="4" w:space="0" w:color="auto"/>
            </w:tcBorders>
            <w:shd w:val="clear" w:color="auto" w:fill="auto"/>
            <w:noWrap/>
            <w:vAlign w:val="center"/>
            <w:hideMark/>
          </w:tcPr>
          <w:p w14:paraId="25DA5143" w14:textId="2E5F6C5A"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 xml:space="preserve">- </w:t>
            </w:r>
          </w:p>
        </w:tc>
        <w:tc>
          <w:tcPr>
            <w:tcW w:w="284" w:type="pct"/>
            <w:tcBorders>
              <w:top w:val="nil"/>
              <w:left w:val="nil"/>
              <w:bottom w:val="single" w:sz="8" w:space="0" w:color="auto"/>
              <w:right w:val="single" w:sz="4" w:space="0" w:color="auto"/>
            </w:tcBorders>
            <w:shd w:val="clear" w:color="auto" w:fill="auto"/>
            <w:noWrap/>
            <w:vAlign w:val="center"/>
            <w:hideMark/>
          </w:tcPr>
          <w:p w14:paraId="436C3994" w14:textId="029F724D"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(166,349,600)</w:t>
            </w:r>
          </w:p>
        </w:tc>
        <w:tc>
          <w:tcPr>
            <w:tcW w:w="244" w:type="pct"/>
            <w:tcBorders>
              <w:top w:val="nil"/>
              <w:left w:val="nil"/>
              <w:bottom w:val="single" w:sz="8" w:space="0" w:color="auto"/>
              <w:right w:val="single" w:sz="4" w:space="0" w:color="auto"/>
            </w:tcBorders>
            <w:shd w:val="clear" w:color="auto" w:fill="auto"/>
            <w:noWrap/>
            <w:vAlign w:val="center"/>
            <w:hideMark/>
          </w:tcPr>
          <w:p w14:paraId="29E9AC1F" w14:textId="1DCC97C8"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 xml:space="preserve">4,232,338 </w:t>
            </w:r>
          </w:p>
        </w:tc>
      </w:tr>
      <w:tr w:rsidR="00635943" w:rsidRPr="00B457F5" w14:paraId="25431605" w14:textId="77777777" w:rsidTr="00635943">
        <w:trPr>
          <w:trHeight w:val="20"/>
        </w:trPr>
        <w:tc>
          <w:tcPr>
            <w:tcW w:w="5000" w:type="pct"/>
            <w:gridSpan w:val="19"/>
            <w:tcBorders>
              <w:top w:val="nil"/>
              <w:left w:val="single" w:sz="8" w:space="0" w:color="auto"/>
              <w:bottom w:val="single" w:sz="8" w:space="0" w:color="auto"/>
              <w:right w:val="single" w:sz="8" w:space="0" w:color="000000"/>
            </w:tcBorders>
            <w:shd w:val="clear" w:color="auto" w:fill="auto"/>
            <w:vAlign w:val="center"/>
            <w:hideMark/>
          </w:tcPr>
          <w:p w14:paraId="48BA11A0" w14:textId="05F638A9" w:rsidR="00635943" w:rsidRPr="00B457F5" w:rsidRDefault="00635943" w:rsidP="00635943">
            <w:pPr>
              <w:spacing w:before="0" w:after="0"/>
              <w:jc w:val="left"/>
              <w:rPr>
                <w:rFonts w:ascii="Garamond" w:eastAsia="Times New Roman" w:hAnsi="Garamond" w:cs="Times New Roman"/>
                <w:b/>
                <w:bCs/>
                <w:color w:val="305496"/>
                <w:sz w:val="4"/>
                <w:szCs w:val="4"/>
              </w:rPr>
            </w:pPr>
            <w:r w:rsidRPr="00B457F5">
              <w:rPr>
                <w:rFonts w:ascii="Garamond" w:eastAsia="Times New Roman" w:hAnsi="Garamond" w:cs="Times New Roman"/>
                <w:b/>
                <w:bCs/>
                <w:color w:val="305496"/>
                <w:sz w:val="4"/>
                <w:szCs w:val="4"/>
              </w:rPr>
              <w:t xml:space="preserve">Qëllimi i </w:t>
            </w:r>
            <w:r w:rsidR="0028334E" w:rsidRPr="00B457F5">
              <w:rPr>
                <w:rFonts w:ascii="Garamond" w:eastAsia="Times New Roman" w:hAnsi="Garamond" w:cs="Times New Roman"/>
                <w:b/>
                <w:bCs/>
                <w:color w:val="305496"/>
                <w:sz w:val="4"/>
                <w:szCs w:val="4"/>
              </w:rPr>
              <w:t>p</w:t>
            </w:r>
            <w:r w:rsidRPr="00B457F5">
              <w:rPr>
                <w:rFonts w:ascii="Garamond" w:eastAsia="Times New Roman" w:hAnsi="Garamond" w:cs="Times New Roman"/>
                <w:b/>
                <w:bCs/>
                <w:color w:val="305496"/>
                <w:sz w:val="4"/>
                <w:szCs w:val="4"/>
              </w:rPr>
              <w:t>olitikës 2: Zhvillimi i politikave të efektshme për migracionin për motive punësimi</w:t>
            </w:r>
            <w:r w:rsidR="00AF12C0" w:rsidRPr="00B457F5">
              <w:rPr>
                <w:rFonts w:ascii="Garamond" w:eastAsia="Times New Roman" w:hAnsi="Garamond" w:cs="Times New Roman"/>
                <w:b/>
                <w:bCs/>
                <w:color w:val="305496"/>
                <w:sz w:val="4"/>
                <w:szCs w:val="4"/>
              </w:rPr>
              <w:t>,</w:t>
            </w:r>
            <w:r w:rsidRPr="00B457F5">
              <w:rPr>
                <w:rFonts w:ascii="Garamond" w:eastAsia="Times New Roman" w:hAnsi="Garamond" w:cs="Times New Roman"/>
                <w:b/>
                <w:bCs/>
                <w:color w:val="305496"/>
                <w:sz w:val="4"/>
                <w:szCs w:val="4"/>
              </w:rPr>
              <w:t xml:space="preserve"> duke rritur ndikimin pozitiv të migracionit tek zhvillimi socio-ekonomik kombëtar/lokal</w:t>
            </w:r>
          </w:p>
        </w:tc>
      </w:tr>
      <w:tr w:rsidR="00635943" w:rsidRPr="00B457F5" w14:paraId="4788E6DF" w14:textId="77777777" w:rsidTr="00635943">
        <w:trPr>
          <w:trHeight w:val="20"/>
        </w:trPr>
        <w:tc>
          <w:tcPr>
            <w:tcW w:w="343" w:type="pct"/>
            <w:vMerge w:val="restart"/>
            <w:tcBorders>
              <w:top w:val="nil"/>
              <w:left w:val="single" w:sz="8" w:space="0" w:color="auto"/>
              <w:bottom w:val="single" w:sz="8" w:space="0" w:color="auto"/>
              <w:right w:val="single" w:sz="8" w:space="0" w:color="auto"/>
            </w:tcBorders>
            <w:shd w:val="clear" w:color="auto" w:fill="auto"/>
            <w:vAlign w:val="center"/>
            <w:hideMark/>
          </w:tcPr>
          <w:p w14:paraId="19B09110" w14:textId="16824906" w:rsidR="00635943" w:rsidRPr="00B457F5" w:rsidRDefault="00635943" w:rsidP="00635943">
            <w:pPr>
              <w:spacing w:before="0" w:after="0"/>
              <w:jc w:val="lef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Objektivat </w:t>
            </w:r>
            <w:r w:rsidR="0028334E" w:rsidRPr="00B457F5">
              <w:rPr>
                <w:rFonts w:ascii="Garamond" w:eastAsia="Times New Roman" w:hAnsi="Garamond" w:cs="Times New Roman"/>
                <w:b/>
                <w:bCs/>
                <w:color w:val="000000"/>
                <w:sz w:val="4"/>
                <w:szCs w:val="4"/>
              </w:rPr>
              <w:t>s</w:t>
            </w:r>
            <w:r w:rsidRPr="00B457F5">
              <w:rPr>
                <w:rFonts w:ascii="Garamond" w:eastAsia="Times New Roman" w:hAnsi="Garamond" w:cs="Times New Roman"/>
                <w:b/>
                <w:bCs/>
                <w:color w:val="000000"/>
                <w:sz w:val="4"/>
                <w:szCs w:val="4"/>
              </w:rPr>
              <w:t>pecifik</w:t>
            </w:r>
            <w:r w:rsidR="0028334E" w:rsidRPr="00B457F5">
              <w:rPr>
                <w:rFonts w:ascii="Garamond" w:eastAsia="Times New Roman" w:hAnsi="Garamond" w:cs="Times New Roman"/>
                <w:b/>
                <w:bCs/>
                <w:color w:val="000000"/>
                <w:sz w:val="4"/>
                <w:szCs w:val="4"/>
              </w:rPr>
              <w:t>ë</w:t>
            </w:r>
          </w:p>
        </w:tc>
        <w:tc>
          <w:tcPr>
            <w:tcW w:w="739" w:type="pct"/>
            <w:gridSpan w:val="2"/>
            <w:tcBorders>
              <w:top w:val="single" w:sz="8" w:space="0" w:color="auto"/>
              <w:left w:val="nil"/>
              <w:bottom w:val="single" w:sz="8" w:space="0" w:color="auto"/>
              <w:right w:val="single" w:sz="8" w:space="0" w:color="auto"/>
            </w:tcBorders>
            <w:shd w:val="clear" w:color="000000" w:fill="FFFFFF"/>
            <w:vAlign w:val="center"/>
            <w:hideMark/>
          </w:tcPr>
          <w:p w14:paraId="25B9E516" w14:textId="247892E2"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Institucionet </w:t>
            </w:r>
            <w:r w:rsidR="004E4DD1" w:rsidRPr="00B457F5">
              <w:rPr>
                <w:rFonts w:ascii="Garamond" w:eastAsia="Times New Roman" w:hAnsi="Garamond" w:cs="Times New Roman"/>
                <w:b/>
                <w:bCs/>
                <w:color w:val="000000"/>
                <w:sz w:val="4"/>
                <w:szCs w:val="4"/>
              </w:rPr>
              <w:t xml:space="preserve">përgjegjëse </w:t>
            </w:r>
          </w:p>
        </w:tc>
        <w:tc>
          <w:tcPr>
            <w:tcW w:w="427" w:type="pct"/>
            <w:gridSpan w:val="2"/>
            <w:tcBorders>
              <w:top w:val="single" w:sz="8" w:space="0" w:color="auto"/>
              <w:left w:val="nil"/>
              <w:bottom w:val="single" w:sz="8" w:space="0" w:color="auto"/>
              <w:right w:val="single" w:sz="8" w:space="0" w:color="auto"/>
            </w:tcBorders>
            <w:shd w:val="clear" w:color="000000" w:fill="FFFFFF"/>
            <w:vAlign w:val="center"/>
            <w:hideMark/>
          </w:tcPr>
          <w:p w14:paraId="67964166" w14:textId="77777777" w:rsidR="00635943" w:rsidRPr="00B457F5" w:rsidRDefault="00635943" w:rsidP="00635943">
            <w:pPr>
              <w:spacing w:before="0" w:after="0"/>
              <w:jc w:val="lef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Afati i Zbatimit </w:t>
            </w:r>
          </w:p>
        </w:tc>
        <w:tc>
          <w:tcPr>
            <w:tcW w:w="797" w:type="pct"/>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0A57E00B" w14:textId="72A646D5"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Kosto</w:t>
            </w:r>
            <w:r w:rsidR="0028334E" w:rsidRPr="00B457F5">
              <w:rPr>
                <w:rFonts w:ascii="Garamond" w:eastAsia="Times New Roman" w:hAnsi="Garamond" w:cs="Times New Roman"/>
                <w:b/>
                <w:bCs/>
                <w:color w:val="000000"/>
                <w:sz w:val="4"/>
                <w:szCs w:val="4"/>
              </w:rPr>
              <w:t>ja</w:t>
            </w:r>
            <w:r w:rsidRPr="00B457F5">
              <w:rPr>
                <w:rFonts w:ascii="Garamond" w:eastAsia="Times New Roman" w:hAnsi="Garamond" w:cs="Times New Roman"/>
                <w:b/>
                <w:bCs/>
                <w:color w:val="000000"/>
                <w:sz w:val="4"/>
                <w:szCs w:val="4"/>
              </w:rPr>
              <w:t xml:space="preserve"> </w:t>
            </w:r>
            <w:r w:rsidR="0028334E" w:rsidRPr="00B457F5">
              <w:rPr>
                <w:rFonts w:ascii="Garamond" w:eastAsia="Times New Roman" w:hAnsi="Garamond" w:cs="Times New Roman"/>
                <w:b/>
                <w:bCs/>
                <w:color w:val="000000"/>
                <w:sz w:val="4"/>
                <w:szCs w:val="4"/>
              </w:rPr>
              <w:t>indiktive totale</w:t>
            </w:r>
          </w:p>
        </w:tc>
        <w:tc>
          <w:tcPr>
            <w:tcW w:w="1572" w:type="pct"/>
            <w:gridSpan w:val="6"/>
            <w:tcBorders>
              <w:top w:val="single" w:sz="8" w:space="0" w:color="auto"/>
              <w:left w:val="nil"/>
              <w:bottom w:val="single" w:sz="8" w:space="0" w:color="auto"/>
              <w:right w:val="nil"/>
            </w:tcBorders>
            <w:shd w:val="clear" w:color="auto" w:fill="auto"/>
            <w:vAlign w:val="center"/>
            <w:hideMark/>
          </w:tcPr>
          <w:p w14:paraId="683AAE61" w14:textId="0B0050B2"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Burimi i mbulimit deri n</w:t>
            </w:r>
            <w:r w:rsidR="0028334E" w:rsidRPr="00B457F5">
              <w:rPr>
                <w:rFonts w:ascii="Garamond" w:eastAsia="Times New Roman" w:hAnsi="Garamond" w:cs="Times New Roman"/>
                <w:b/>
                <w:bCs/>
                <w:color w:val="000000"/>
                <w:sz w:val="4"/>
                <w:szCs w:val="4"/>
              </w:rPr>
              <w:t>ë</w:t>
            </w:r>
            <w:r w:rsidRPr="00B457F5">
              <w:rPr>
                <w:rFonts w:ascii="Garamond" w:eastAsia="Times New Roman" w:hAnsi="Garamond" w:cs="Times New Roman"/>
                <w:b/>
                <w:bCs/>
                <w:color w:val="000000"/>
                <w:sz w:val="4"/>
                <w:szCs w:val="4"/>
              </w:rPr>
              <w:t xml:space="preserve"> 2026</w:t>
            </w:r>
          </w:p>
        </w:tc>
        <w:tc>
          <w:tcPr>
            <w:tcW w:w="594" w:type="pct"/>
            <w:gridSpan w:val="3"/>
            <w:tcBorders>
              <w:top w:val="single" w:sz="8" w:space="0" w:color="auto"/>
              <w:left w:val="single" w:sz="8" w:space="0" w:color="auto"/>
              <w:bottom w:val="nil"/>
              <w:right w:val="single" w:sz="8" w:space="0" w:color="000000"/>
            </w:tcBorders>
            <w:shd w:val="clear" w:color="000000" w:fill="FFFFFF"/>
            <w:vAlign w:val="center"/>
            <w:hideMark/>
          </w:tcPr>
          <w:p w14:paraId="2E40BBC5" w14:textId="3ED0575F"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Burimi i </w:t>
            </w:r>
            <w:r w:rsidR="0028334E" w:rsidRPr="00B457F5">
              <w:rPr>
                <w:rFonts w:ascii="Garamond" w:eastAsia="Times New Roman" w:hAnsi="Garamond" w:cs="Times New Roman"/>
                <w:b/>
                <w:bCs/>
                <w:color w:val="000000"/>
                <w:sz w:val="4"/>
                <w:szCs w:val="4"/>
              </w:rPr>
              <w:t>f</w:t>
            </w:r>
            <w:r w:rsidRPr="00B457F5">
              <w:rPr>
                <w:rFonts w:ascii="Garamond" w:eastAsia="Times New Roman" w:hAnsi="Garamond" w:cs="Times New Roman"/>
                <w:b/>
                <w:bCs/>
                <w:color w:val="000000"/>
                <w:sz w:val="4"/>
                <w:szCs w:val="4"/>
              </w:rPr>
              <w:t>inancimit</w:t>
            </w:r>
          </w:p>
        </w:tc>
        <w:tc>
          <w:tcPr>
            <w:tcW w:w="284" w:type="pct"/>
            <w:vMerge w:val="restart"/>
            <w:tcBorders>
              <w:top w:val="nil"/>
              <w:left w:val="single" w:sz="8" w:space="0" w:color="auto"/>
              <w:bottom w:val="single" w:sz="4" w:space="0" w:color="auto"/>
              <w:right w:val="single" w:sz="8" w:space="0" w:color="auto"/>
            </w:tcBorders>
            <w:shd w:val="clear" w:color="auto" w:fill="auto"/>
            <w:vAlign w:val="center"/>
            <w:hideMark/>
          </w:tcPr>
          <w:p w14:paraId="04704A10" w14:textId="63EAC8AD"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Hendeku financiar</w:t>
            </w:r>
            <w:r w:rsidRPr="00B457F5">
              <w:rPr>
                <w:rFonts w:ascii="Garamond" w:eastAsia="Times New Roman" w:hAnsi="Garamond" w:cs="Times New Roman"/>
                <w:b/>
                <w:bCs/>
                <w:color w:val="000000"/>
                <w:sz w:val="4"/>
                <w:szCs w:val="4"/>
              </w:rPr>
              <w:br/>
              <w:t>2024</w:t>
            </w:r>
            <w:r w:rsidR="0028334E" w:rsidRPr="00B457F5">
              <w:rPr>
                <w:rFonts w:ascii="Garamond" w:eastAsia="Times New Roman" w:hAnsi="Garamond" w:cs="Times New Roman"/>
                <w:b/>
                <w:bCs/>
                <w:color w:val="000000"/>
                <w:sz w:val="4"/>
                <w:szCs w:val="4"/>
              </w:rPr>
              <w:t>–</w:t>
            </w:r>
            <w:r w:rsidRPr="00B457F5">
              <w:rPr>
                <w:rFonts w:ascii="Garamond" w:eastAsia="Times New Roman" w:hAnsi="Garamond" w:cs="Times New Roman"/>
                <w:b/>
                <w:bCs/>
                <w:color w:val="000000"/>
                <w:sz w:val="4"/>
                <w:szCs w:val="4"/>
              </w:rPr>
              <w:t>2026</w:t>
            </w:r>
            <w:r w:rsidRPr="00B457F5">
              <w:rPr>
                <w:rFonts w:ascii="Garamond" w:eastAsia="Times New Roman" w:hAnsi="Garamond" w:cs="Times New Roman"/>
                <w:b/>
                <w:bCs/>
                <w:color w:val="000000"/>
                <w:sz w:val="4"/>
                <w:szCs w:val="4"/>
              </w:rPr>
              <w:br/>
              <w:t xml:space="preserve">(në </w:t>
            </w:r>
            <w:r w:rsidR="0028334E" w:rsidRPr="00B457F5">
              <w:rPr>
                <w:rFonts w:ascii="Garamond" w:eastAsia="Times New Roman" w:hAnsi="Garamond" w:cs="Times New Roman"/>
                <w:b/>
                <w:bCs/>
                <w:color w:val="000000"/>
                <w:sz w:val="4"/>
                <w:szCs w:val="4"/>
              </w:rPr>
              <w:t>l</w:t>
            </w:r>
            <w:r w:rsidRPr="00B457F5">
              <w:rPr>
                <w:rFonts w:ascii="Garamond" w:eastAsia="Times New Roman" w:hAnsi="Garamond" w:cs="Times New Roman"/>
                <w:b/>
                <w:bCs/>
                <w:color w:val="000000"/>
                <w:sz w:val="4"/>
                <w:szCs w:val="4"/>
              </w:rPr>
              <w:t>ekë)</w:t>
            </w:r>
          </w:p>
        </w:tc>
        <w:tc>
          <w:tcPr>
            <w:tcW w:w="244" w:type="pct"/>
            <w:vMerge w:val="restart"/>
            <w:tcBorders>
              <w:top w:val="nil"/>
              <w:left w:val="single" w:sz="8" w:space="0" w:color="auto"/>
              <w:bottom w:val="nil"/>
              <w:right w:val="single" w:sz="8" w:space="0" w:color="auto"/>
            </w:tcBorders>
            <w:shd w:val="clear" w:color="auto" w:fill="auto"/>
            <w:vAlign w:val="center"/>
            <w:hideMark/>
          </w:tcPr>
          <w:p w14:paraId="62D604F4" w14:textId="73BF4ED6"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Kosto</w:t>
            </w:r>
            <w:r w:rsidR="002803F2" w:rsidRPr="00B457F5">
              <w:rPr>
                <w:rFonts w:ascii="Garamond" w:eastAsia="Times New Roman" w:hAnsi="Garamond" w:cs="Times New Roman"/>
                <w:b/>
                <w:bCs/>
                <w:color w:val="000000"/>
                <w:sz w:val="4"/>
                <w:szCs w:val="4"/>
              </w:rPr>
              <w:t>ja</w:t>
            </w:r>
            <w:r w:rsidRPr="00B457F5">
              <w:rPr>
                <w:rFonts w:ascii="Garamond" w:eastAsia="Times New Roman" w:hAnsi="Garamond" w:cs="Times New Roman"/>
                <w:b/>
                <w:bCs/>
                <w:color w:val="000000"/>
                <w:sz w:val="4"/>
                <w:szCs w:val="4"/>
              </w:rPr>
              <w:t xml:space="preserve"> totale n</w:t>
            </w:r>
            <w:r w:rsidR="002803F2" w:rsidRPr="00B457F5">
              <w:rPr>
                <w:rFonts w:ascii="Garamond" w:eastAsia="Times New Roman" w:hAnsi="Garamond" w:cs="Times New Roman"/>
                <w:b/>
                <w:bCs/>
                <w:color w:val="000000"/>
                <w:sz w:val="4"/>
                <w:szCs w:val="4"/>
              </w:rPr>
              <w:t>ë</w:t>
            </w:r>
            <w:r w:rsidRPr="00B457F5">
              <w:rPr>
                <w:rFonts w:ascii="Garamond" w:eastAsia="Times New Roman" w:hAnsi="Garamond" w:cs="Times New Roman"/>
                <w:b/>
                <w:bCs/>
                <w:color w:val="000000"/>
                <w:sz w:val="4"/>
                <w:szCs w:val="4"/>
              </w:rPr>
              <w:t xml:space="preserve"> EUR</w:t>
            </w:r>
            <w:r w:rsidRPr="00B457F5">
              <w:rPr>
                <w:rFonts w:ascii="Garamond" w:eastAsia="Times New Roman" w:hAnsi="Garamond" w:cs="Times New Roman"/>
                <w:b/>
                <w:bCs/>
                <w:color w:val="000000"/>
                <w:sz w:val="4"/>
                <w:szCs w:val="4"/>
              </w:rPr>
              <w:br/>
              <w:t xml:space="preserve">(kursi </w:t>
            </w:r>
            <w:r w:rsidR="00AF12C0" w:rsidRPr="00B457F5">
              <w:rPr>
                <w:rFonts w:ascii="Garamond" w:eastAsia="Times New Roman" w:hAnsi="Garamond" w:cs="Times New Roman"/>
                <w:b/>
                <w:bCs/>
                <w:color w:val="000000"/>
                <w:sz w:val="4"/>
                <w:szCs w:val="4"/>
              </w:rPr>
              <w:t xml:space="preserve">i </w:t>
            </w:r>
            <w:r w:rsidRPr="00B457F5">
              <w:rPr>
                <w:rFonts w:ascii="Garamond" w:eastAsia="Times New Roman" w:hAnsi="Garamond" w:cs="Times New Roman"/>
                <w:b/>
                <w:bCs/>
                <w:color w:val="000000"/>
                <w:sz w:val="4"/>
                <w:szCs w:val="4"/>
              </w:rPr>
              <w:t>k</w:t>
            </w:r>
            <w:r w:rsidR="00AF12C0" w:rsidRPr="00B457F5">
              <w:rPr>
                <w:rFonts w:ascii="Garamond" w:eastAsia="Times New Roman" w:hAnsi="Garamond" w:cs="Times New Roman"/>
                <w:b/>
                <w:bCs/>
                <w:color w:val="000000"/>
                <w:sz w:val="4"/>
                <w:szCs w:val="4"/>
              </w:rPr>
              <w:t>ë</w:t>
            </w:r>
            <w:r w:rsidRPr="00B457F5">
              <w:rPr>
                <w:rFonts w:ascii="Garamond" w:eastAsia="Times New Roman" w:hAnsi="Garamond" w:cs="Times New Roman"/>
                <w:b/>
                <w:bCs/>
                <w:color w:val="000000"/>
                <w:sz w:val="4"/>
                <w:szCs w:val="4"/>
              </w:rPr>
              <w:t>mbimit: 1 EUR = 110ALL)</w:t>
            </w:r>
          </w:p>
        </w:tc>
      </w:tr>
      <w:tr w:rsidR="00635943" w:rsidRPr="00B457F5" w14:paraId="4283E31E" w14:textId="77777777" w:rsidTr="00635943">
        <w:trPr>
          <w:trHeight w:val="20"/>
        </w:trPr>
        <w:tc>
          <w:tcPr>
            <w:tcW w:w="343" w:type="pct"/>
            <w:vMerge/>
            <w:tcBorders>
              <w:top w:val="nil"/>
              <w:left w:val="single" w:sz="8" w:space="0" w:color="auto"/>
              <w:bottom w:val="single" w:sz="8" w:space="0" w:color="auto"/>
              <w:right w:val="single" w:sz="8" w:space="0" w:color="auto"/>
            </w:tcBorders>
            <w:vAlign w:val="center"/>
            <w:hideMark/>
          </w:tcPr>
          <w:p w14:paraId="6A0DD7DE"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c>
          <w:tcPr>
            <w:tcW w:w="266" w:type="pct"/>
            <w:vMerge w:val="restart"/>
            <w:tcBorders>
              <w:top w:val="nil"/>
              <w:left w:val="single" w:sz="8" w:space="0" w:color="auto"/>
              <w:bottom w:val="single" w:sz="8" w:space="0" w:color="auto"/>
              <w:right w:val="single" w:sz="8" w:space="0" w:color="auto"/>
            </w:tcBorders>
            <w:shd w:val="clear" w:color="000000" w:fill="FFFFFF"/>
            <w:vAlign w:val="center"/>
            <w:hideMark/>
          </w:tcPr>
          <w:p w14:paraId="301F5E34" w14:textId="77777777"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Institucioni përgjegjës</w:t>
            </w:r>
          </w:p>
        </w:tc>
        <w:tc>
          <w:tcPr>
            <w:tcW w:w="474" w:type="pct"/>
            <w:vMerge w:val="restart"/>
            <w:tcBorders>
              <w:top w:val="nil"/>
              <w:left w:val="single" w:sz="8" w:space="0" w:color="auto"/>
              <w:bottom w:val="single" w:sz="8" w:space="0" w:color="auto"/>
              <w:right w:val="single" w:sz="8" w:space="0" w:color="auto"/>
            </w:tcBorders>
            <w:shd w:val="clear" w:color="000000" w:fill="FFFFFF"/>
            <w:vAlign w:val="center"/>
            <w:hideMark/>
          </w:tcPr>
          <w:p w14:paraId="3E6DC2B6" w14:textId="7BEFA63C"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Institucioni kontrib</w:t>
            </w:r>
            <w:r w:rsidR="00AF12C0" w:rsidRPr="00B457F5">
              <w:rPr>
                <w:rFonts w:ascii="Garamond" w:eastAsia="Times New Roman" w:hAnsi="Garamond" w:cs="Times New Roman"/>
                <w:b/>
                <w:bCs/>
                <w:color w:val="000000"/>
                <w:sz w:val="4"/>
                <w:szCs w:val="4"/>
              </w:rPr>
              <w:t>u</w:t>
            </w:r>
            <w:r w:rsidRPr="00B457F5">
              <w:rPr>
                <w:rFonts w:ascii="Garamond" w:eastAsia="Times New Roman" w:hAnsi="Garamond" w:cs="Times New Roman"/>
                <w:b/>
                <w:bCs/>
                <w:color w:val="000000"/>
                <w:sz w:val="4"/>
                <w:szCs w:val="4"/>
              </w:rPr>
              <w:t>ues</w:t>
            </w:r>
          </w:p>
        </w:tc>
        <w:tc>
          <w:tcPr>
            <w:tcW w:w="196" w:type="pct"/>
            <w:vMerge w:val="restart"/>
            <w:tcBorders>
              <w:top w:val="nil"/>
              <w:left w:val="single" w:sz="8" w:space="0" w:color="auto"/>
              <w:bottom w:val="single" w:sz="8" w:space="0" w:color="auto"/>
              <w:right w:val="single" w:sz="8" w:space="0" w:color="auto"/>
            </w:tcBorders>
            <w:shd w:val="clear" w:color="000000" w:fill="FFFFFF"/>
            <w:vAlign w:val="center"/>
            <w:hideMark/>
          </w:tcPr>
          <w:p w14:paraId="13D3A772" w14:textId="2B83D784"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Afati </w:t>
            </w:r>
            <w:r w:rsidR="00AF12C0" w:rsidRPr="00B457F5">
              <w:rPr>
                <w:rFonts w:ascii="Garamond" w:eastAsia="Times New Roman" w:hAnsi="Garamond" w:cs="Times New Roman"/>
                <w:b/>
                <w:bCs/>
                <w:color w:val="000000"/>
                <w:sz w:val="4"/>
                <w:szCs w:val="4"/>
              </w:rPr>
              <w:t>i f</w:t>
            </w:r>
            <w:r w:rsidRPr="00B457F5">
              <w:rPr>
                <w:rFonts w:ascii="Garamond" w:eastAsia="Times New Roman" w:hAnsi="Garamond" w:cs="Times New Roman"/>
                <w:b/>
                <w:bCs/>
                <w:color w:val="000000"/>
                <w:sz w:val="4"/>
                <w:szCs w:val="4"/>
              </w:rPr>
              <w:t>illimit</w:t>
            </w:r>
          </w:p>
        </w:tc>
        <w:tc>
          <w:tcPr>
            <w:tcW w:w="231" w:type="pct"/>
            <w:vMerge w:val="restart"/>
            <w:tcBorders>
              <w:top w:val="nil"/>
              <w:left w:val="single" w:sz="8" w:space="0" w:color="auto"/>
              <w:bottom w:val="single" w:sz="8" w:space="0" w:color="auto"/>
              <w:right w:val="single" w:sz="8" w:space="0" w:color="auto"/>
            </w:tcBorders>
            <w:shd w:val="clear" w:color="000000" w:fill="FFFFFF"/>
            <w:vAlign w:val="center"/>
            <w:hideMark/>
          </w:tcPr>
          <w:p w14:paraId="39CB8666" w14:textId="7932D8F4"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Afati </w:t>
            </w:r>
            <w:r w:rsidR="0028334E" w:rsidRPr="00B457F5">
              <w:rPr>
                <w:rFonts w:ascii="Garamond" w:eastAsia="Times New Roman" w:hAnsi="Garamond" w:cs="Times New Roman"/>
                <w:b/>
                <w:bCs/>
                <w:color w:val="000000"/>
                <w:sz w:val="4"/>
                <w:szCs w:val="4"/>
              </w:rPr>
              <w:t>i m</w:t>
            </w:r>
            <w:r w:rsidRPr="00B457F5">
              <w:rPr>
                <w:rFonts w:ascii="Garamond" w:eastAsia="Times New Roman" w:hAnsi="Garamond" w:cs="Times New Roman"/>
                <w:b/>
                <w:bCs/>
                <w:color w:val="000000"/>
                <w:sz w:val="4"/>
                <w:szCs w:val="4"/>
              </w:rPr>
              <w:t>barimit</w:t>
            </w:r>
          </w:p>
        </w:tc>
        <w:tc>
          <w:tcPr>
            <w:tcW w:w="797" w:type="pct"/>
            <w:gridSpan w:val="3"/>
            <w:vMerge/>
            <w:tcBorders>
              <w:top w:val="nil"/>
              <w:left w:val="single" w:sz="8" w:space="0" w:color="auto"/>
              <w:bottom w:val="single" w:sz="8" w:space="0" w:color="auto"/>
              <w:right w:val="single" w:sz="8" w:space="0" w:color="auto"/>
            </w:tcBorders>
            <w:vAlign w:val="center"/>
            <w:hideMark/>
          </w:tcPr>
          <w:p w14:paraId="4FEFC38E"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c>
          <w:tcPr>
            <w:tcW w:w="825" w:type="pct"/>
            <w:gridSpan w:val="3"/>
            <w:tcBorders>
              <w:top w:val="single" w:sz="8" w:space="0" w:color="auto"/>
              <w:left w:val="nil"/>
              <w:bottom w:val="single" w:sz="8" w:space="0" w:color="auto"/>
              <w:right w:val="single" w:sz="8" w:space="0" w:color="000000"/>
            </w:tcBorders>
            <w:shd w:val="clear" w:color="auto" w:fill="auto"/>
            <w:vAlign w:val="center"/>
            <w:hideMark/>
          </w:tcPr>
          <w:p w14:paraId="3C2E09E2" w14:textId="7DEDA1EA"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PBA 2024</w:t>
            </w:r>
            <w:r w:rsidR="0028334E" w:rsidRPr="00B457F5">
              <w:rPr>
                <w:rFonts w:ascii="Garamond" w:eastAsia="Times New Roman" w:hAnsi="Garamond" w:cs="Times New Roman"/>
                <w:b/>
                <w:bCs/>
                <w:color w:val="000000"/>
                <w:sz w:val="4"/>
                <w:szCs w:val="4"/>
              </w:rPr>
              <w:t>–</w:t>
            </w:r>
            <w:r w:rsidRPr="00B457F5">
              <w:rPr>
                <w:rFonts w:ascii="Garamond" w:eastAsia="Times New Roman" w:hAnsi="Garamond" w:cs="Times New Roman"/>
                <w:b/>
                <w:bCs/>
                <w:color w:val="000000"/>
                <w:sz w:val="4"/>
                <w:szCs w:val="4"/>
              </w:rPr>
              <w:t xml:space="preserve">2026 (në </w:t>
            </w:r>
            <w:r w:rsidR="0028334E" w:rsidRPr="00B457F5">
              <w:rPr>
                <w:rFonts w:ascii="Garamond" w:eastAsia="Times New Roman" w:hAnsi="Garamond" w:cs="Times New Roman"/>
                <w:b/>
                <w:bCs/>
                <w:color w:val="000000"/>
                <w:sz w:val="4"/>
                <w:szCs w:val="4"/>
              </w:rPr>
              <w:t>l</w:t>
            </w:r>
            <w:r w:rsidRPr="00B457F5">
              <w:rPr>
                <w:rFonts w:ascii="Garamond" w:eastAsia="Times New Roman" w:hAnsi="Garamond" w:cs="Times New Roman"/>
                <w:b/>
                <w:bCs/>
                <w:color w:val="000000"/>
                <w:sz w:val="4"/>
                <w:szCs w:val="4"/>
              </w:rPr>
              <w:t>ekë)</w:t>
            </w:r>
          </w:p>
        </w:tc>
        <w:tc>
          <w:tcPr>
            <w:tcW w:w="747" w:type="pct"/>
            <w:gridSpan w:val="3"/>
            <w:tcBorders>
              <w:top w:val="single" w:sz="8" w:space="0" w:color="auto"/>
              <w:left w:val="nil"/>
              <w:bottom w:val="single" w:sz="8" w:space="0" w:color="auto"/>
              <w:right w:val="nil"/>
            </w:tcBorders>
            <w:shd w:val="clear" w:color="auto" w:fill="auto"/>
            <w:vAlign w:val="center"/>
            <w:hideMark/>
          </w:tcPr>
          <w:p w14:paraId="4D3E0123" w14:textId="2EBC5609"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Financim i </w:t>
            </w:r>
            <w:r w:rsidR="0028334E" w:rsidRPr="00B457F5">
              <w:rPr>
                <w:rFonts w:ascii="Garamond" w:eastAsia="Times New Roman" w:hAnsi="Garamond" w:cs="Times New Roman"/>
                <w:b/>
                <w:bCs/>
                <w:color w:val="000000"/>
                <w:sz w:val="4"/>
                <w:szCs w:val="4"/>
              </w:rPr>
              <w:t>huaj/burime t</w:t>
            </w:r>
            <w:r w:rsidR="0028334E" w:rsidRPr="00B457F5">
              <w:rPr>
                <w:rFonts w:ascii="Garamond" w:eastAsia="Times New Roman" w:hAnsi="Garamond" w:cs="Calibri"/>
                <w:b/>
                <w:bCs/>
                <w:color w:val="000000"/>
                <w:sz w:val="4"/>
                <w:szCs w:val="4"/>
              </w:rPr>
              <w:t>ë</w:t>
            </w:r>
            <w:r w:rsidR="0028334E" w:rsidRPr="00B457F5">
              <w:rPr>
                <w:rFonts w:ascii="Garamond" w:eastAsia="Times New Roman" w:hAnsi="Garamond" w:cs="Times New Roman"/>
                <w:b/>
                <w:bCs/>
                <w:color w:val="000000"/>
                <w:sz w:val="4"/>
                <w:szCs w:val="4"/>
              </w:rPr>
              <w:t xml:space="preserve"> tjera </w:t>
            </w:r>
            <w:r w:rsidRPr="00B457F5">
              <w:rPr>
                <w:rFonts w:ascii="Garamond" w:eastAsia="Times New Roman" w:hAnsi="Garamond" w:cs="Times New Roman"/>
                <w:b/>
                <w:bCs/>
                <w:color w:val="000000"/>
                <w:sz w:val="4"/>
                <w:szCs w:val="4"/>
              </w:rPr>
              <w:t>(në lekë)</w:t>
            </w:r>
          </w:p>
        </w:tc>
        <w:tc>
          <w:tcPr>
            <w:tcW w:w="594" w:type="pct"/>
            <w:gridSpan w:val="3"/>
            <w:tcBorders>
              <w:top w:val="single" w:sz="8" w:space="0" w:color="auto"/>
              <w:left w:val="single" w:sz="8" w:space="0" w:color="auto"/>
              <w:bottom w:val="single" w:sz="8" w:space="0" w:color="auto"/>
              <w:right w:val="single" w:sz="8" w:space="0" w:color="000000"/>
            </w:tcBorders>
            <w:shd w:val="clear" w:color="000000" w:fill="FFFFFF"/>
            <w:vAlign w:val="center"/>
            <w:hideMark/>
          </w:tcPr>
          <w:p w14:paraId="5EBE73FB" w14:textId="746E1055"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Buxheti 2027</w:t>
            </w:r>
            <w:r w:rsidR="0028334E" w:rsidRPr="00B457F5">
              <w:rPr>
                <w:rFonts w:ascii="Garamond" w:eastAsia="Times New Roman" w:hAnsi="Garamond" w:cs="Times New Roman"/>
                <w:b/>
                <w:bCs/>
                <w:color w:val="000000"/>
                <w:sz w:val="4"/>
                <w:szCs w:val="4"/>
              </w:rPr>
              <w:t>–</w:t>
            </w:r>
            <w:r w:rsidRPr="00B457F5">
              <w:rPr>
                <w:rFonts w:ascii="Garamond" w:eastAsia="Times New Roman" w:hAnsi="Garamond" w:cs="Times New Roman"/>
                <w:b/>
                <w:bCs/>
                <w:color w:val="000000"/>
                <w:sz w:val="4"/>
                <w:szCs w:val="4"/>
              </w:rPr>
              <w:t>2030 (në lekë)</w:t>
            </w:r>
          </w:p>
        </w:tc>
        <w:tc>
          <w:tcPr>
            <w:tcW w:w="284" w:type="pct"/>
            <w:vMerge/>
            <w:tcBorders>
              <w:top w:val="nil"/>
              <w:left w:val="single" w:sz="8" w:space="0" w:color="auto"/>
              <w:bottom w:val="single" w:sz="4" w:space="0" w:color="auto"/>
              <w:right w:val="single" w:sz="8" w:space="0" w:color="auto"/>
            </w:tcBorders>
            <w:vAlign w:val="center"/>
            <w:hideMark/>
          </w:tcPr>
          <w:p w14:paraId="4B743CF9"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c>
          <w:tcPr>
            <w:tcW w:w="244" w:type="pct"/>
            <w:vMerge/>
            <w:tcBorders>
              <w:top w:val="nil"/>
              <w:left w:val="single" w:sz="8" w:space="0" w:color="auto"/>
              <w:bottom w:val="nil"/>
              <w:right w:val="single" w:sz="8" w:space="0" w:color="auto"/>
            </w:tcBorders>
            <w:vAlign w:val="center"/>
            <w:hideMark/>
          </w:tcPr>
          <w:p w14:paraId="4553FFA9"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r>
      <w:tr w:rsidR="0028334E" w:rsidRPr="00B457F5" w14:paraId="646DE4F7" w14:textId="77777777" w:rsidTr="00635943">
        <w:trPr>
          <w:trHeight w:val="20"/>
        </w:trPr>
        <w:tc>
          <w:tcPr>
            <w:tcW w:w="343" w:type="pct"/>
            <w:vMerge/>
            <w:tcBorders>
              <w:top w:val="nil"/>
              <w:left w:val="single" w:sz="8" w:space="0" w:color="auto"/>
              <w:bottom w:val="single" w:sz="8" w:space="0" w:color="auto"/>
              <w:right w:val="single" w:sz="8" w:space="0" w:color="auto"/>
            </w:tcBorders>
            <w:vAlign w:val="center"/>
            <w:hideMark/>
          </w:tcPr>
          <w:p w14:paraId="58ACBEE1"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c>
          <w:tcPr>
            <w:tcW w:w="266" w:type="pct"/>
            <w:vMerge/>
            <w:tcBorders>
              <w:top w:val="nil"/>
              <w:left w:val="single" w:sz="8" w:space="0" w:color="auto"/>
              <w:bottom w:val="single" w:sz="8" w:space="0" w:color="auto"/>
              <w:right w:val="single" w:sz="8" w:space="0" w:color="auto"/>
            </w:tcBorders>
            <w:vAlign w:val="center"/>
            <w:hideMark/>
          </w:tcPr>
          <w:p w14:paraId="7623946D"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c>
          <w:tcPr>
            <w:tcW w:w="474" w:type="pct"/>
            <w:vMerge/>
            <w:tcBorders>
              <w:top w:val="nil"/>
              <w:left w:val="single" w:sz="8" w:space="0" w:color="auto"/>
              <w:bottom w:val="single" w:sz="8" w:space="0" w:color="auto"/>
              <w:right w:val="single" w:sz="8" w:space="0" w:color="auto"/>
            </w:tcBorders>
            <w:vAlign w:val="center"/>
            <w:hideMark/>
          </w:tcPr>
          <w:p w14:paraId="4E021FDE"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c>
          <w:tcPr>
            <w:tcW w:w="196" w:type="pct"/>
            <w:vMerge/>
            <w:tcBorders>
              <w:top w:val="nil"/>
              <w:left w:val="single" w:sz="8" w:space="0" w:color="auto"/>
              <w:bottom w:val="single" w:sz="8" w:space="0" w:color="auto"/>
              <w:right w:val="single" w:sz="8" w:space="0" w:color="auto"/>
            </w:tcBorders>
            <w:vAlign w:val="center"/>
            <w:hideMark/>
          </w:tcPr>
          <w:p w14:paraId="428D74AB"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c>
          <w:tcPr>
            <w:tcW w:w="231" w:type="pct"/>
            <w:vMerge/>
            <w:tcBorders>
              <w:top w:val="nil"/>
              <w:left w:val="single" w:sz="8" w:space="0" w:color="auto"/>
              <w:bottom w:val="single" w:sz="8" w:space="0" w:color="auto"/>
              <w:right w:val="single" w:sz="8" w:space="0" w:color="auto"/>
            </w:tcBorders>
            <w:vAlign w:val="center"/>
            <w:hideMark/>
          </w:tcPr>
          <w:p w14:paraId="47C1A8F9"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c>
          <w:tcPr>
            <w:tcW w:w="259" w:type="pct"/>
            <w:tcBorders>
              <w:top w:val="nil"/>
              <w:left w:val="nil"/>
              <w:bottom w:val="nil"/>
              <w:right w:val="single" w:sz="8" w:space="0" w:color="auto"/>
            </w:tcBorders>
            <w:shd w:val="clear" w:color="000000" w:fill="FFFFFF"/>
            <w:vAlign w:val="center"/>
            <w:hideMark/>
          </w:tcPr>
          <w:p w14:paraId="6B7C4507" w14:textId="2EBA113C" w:rsidR="00635943" w:rsidRPr="00B457F5" w:rsidRDefault="00635943" w:rsidP="00635943">
            <w:pPr>
              <w:spacing w:before="0" w:after="0"/>
              <w:jc w:val="lef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Kor</w:t>
            </w:r>
            <w:r w:rsidR="0028334E" w:rsidRPr="00B457F5">
              <w:rPr>
                <w:rFonts w:ascii="Garamond" w:eastAsia="Times New Roman" w:hAnsi="Garamond" w:cs="Times New Roman"/>
                <w:b/>
                <w:bCs/>
                <w:color w:val="000000"/>
                <w:sz w:val="4"/>
                <w:szCs w:val="4"/>
              </w:rPr>
              <w:t>r</w:t>
            </w:r>
            <w:r w:rsidRPr="00B457F5">
              <w:rPr>
                <w:rFonts w:ascii="Garamond" w:eastAsia="Times New Roman" w:hAnsi="Garamond" w:cs="Times New Roman"/>
                <w:b/>
                <w:bCs/>
                <w:color w:val="000000"/>
                <w:sz w:val="4"/>
                <w:szCs w:val="4"/>
              </w:rPr>
              <w:t>ente</w:t>
            </w:r>
          </w:p>
        </w:tc>
        <w:tc>
          <w:tcPr>
            <w:tcW w:w="278" w:type="pct"/>
            <w:tcBorders>
              <w:top w:val="nil"/>
              <w:left w:val="nil"/>
              <w:bottom w:val="nil"/>
              <w:right w:val="single" w:sz="8" w:space="0" w:color="auto"/>
            </w:tcBorders>
            <w:shd w:val="clear" w:color="000000" w:fill="FFFFFF"/>
            <w:vAlign w:val="center"/>
            <w:hideMark/>
          </w:tcPr>
          <w:p w14:paraId="1970FEF4" w14:textId="77777777" w:rsidR="00635943" w:rsidRPr="00B457F5" w:rsidRDefault="00635943" w:rsidP="00635943">
            <w:pPr>
              <w:spacing w:before="0" w:after="0"/>
              <w:jc w:val="lef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Kapitale</w:t>
            </w:r>
          </w:p>
        </w:tc>
        <w:tc>
          <w:tcPr>
            <w:tcW w:w="260" w:type="pct"/>
            <w:tcBorders>
              <w:top w:val="nil"/>
              <w:left w:val="nil"/>
              <w:bottom w:val="nil"/>
              <w:right w:val="single" w:sz="8" w:space="0" w:color="auto"/>
            </w:tcBorders>
            <w:shd w:val="clear" w:color="000000" w:fill="FFFFFF"/>
            <w:vAlign w:val="center"/>
            <w:hideMark/>
          </w:tcPr>
          <w:p w14:paraId="1EF18F37" w14:textId="6E662A17" w:rsidR="00635943" w:rsidRPr="00B457F5" w:rsidRDefault="00635943" w:rsidP="00635943">
            <w:pPr>
              <w:spacing w:before="0" w:after="0"/>
              <w:jc w:val="lef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Total </w:t>
            </w:r>
            <w:r w:rsidR="0028334E" w:rsidRPr="00B457F5">
              <w:rPr>
                <w:rFonts w:ascii="Garamond" w:eastAsia="Times New Roman" w:hAnsi="Garamond" w:cs="Times New Roman"/>
                <w:b/>
                <w:bCs/>
                <w:color w:val="000000"/>
                <w:sz w:val="4"/>
                <w:szCs w:val="4"/>
              </w:rPr>
              <w:t>k</w:t>
            </w:r>
            <w:r w:rsidRPr="00B457F5">
              <w:rPr>
                <w:rFonts w:ascii="Garamond" w:eastAsia="Times New Roman" w:hAnsi="Garamond" w:cs="Times New Roman"/>
                <w:b/>
                <w:bCs/>
                <w:color w:val="000000"/>
                <w:sz w:val="4"/>
                <w:szCs w:val="4"/>
              </w:rPr>
              <w:t>osto</w:t>
            </w:r>
          </w:p>
        </w:tc>
        <w:tc>
          <w:tcPr>
            <w:tcW w:w="313" w:type="pct"/>
            <w:tcBorders>
              <w:top w:val="nil"/>
              <w:left w:val="nil"/>
              <w:bottom w:val="nil"/>
              <w:right w:val="nil"/>
            </w:tcBorders>
            <w:shd w:val="clear" w:color="auto" w:fill="auto"/>
            <w:vAlign w:val="center"/>
            <w:hideMark/>
          </w:tcPr>
          <w:p w14:paraId="340FE9C7" w14:textId="6069A86B" w:rsidR="00635943" w:rsidRPr="00B457F5" w:rsidRDefault="00635943" w:rsidP="00635943">
            <w:pPr>
              <w:spacing w:before="0" w:after="0"/>
              <w:jc w:val="lef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Kor</w:t>
            </w:r>
            <w:r w:rsidR="0028334E" w:rsidRPr="00B457F5">
              <w:rPr>
                <w:rFonts w:ascii="Garamond" w:eastAsia="Times New Roman" w:hAnsi="Garamond" w:cs="Times New Roman"/>
                <w:b/>
                <w:bCs/>
                <w:color w:val="000000"/>
                <w:sz w:val="4"/>
                <w:szCs w:val="4"/>
              </w:rPr>
              <w:t>r</w:t>
            </w:r>
            <w:r w:rsidRPr="00B457F5">
              <w:rPr>
                <w:rFonts w:ascii="Garamond" w:eastAsia="Times New Roman" w:hAnsi="Garamond" w:cs="Times New Roman"/>
                <w:b/>
                <w:bCs/>
                <w:color w:val="000000"/>
                <w:sz w:val="4"/>
                <w:szCs w:val="4"/>
              </w:rPr>
              <w:t>ente</w:t>
            </w:r>
          </w:p>
        </w:tc>
        <w:tc>
          <w:tcPr>
            <w:tcW w:w="256" w:type="pct"/>
            <w:tcBorders>
              <w:top w:val="nil"/>
              <w:left w:val="single" w:sz="8" w:space="0" w:color="auto"/>
              <w:bottom w:val="nil"/>
              <w:right w:val="single" w:sz="8" w:space="0" w:color="auto"/>
            </w:tcBorders>
            <w:shd w:val="clear" w:color="auto" w:fill="auto"/>
            <w:vAlign w:val="center"/>
            <w:hideMark/>
          </w:tcPr>
          <w:p w14:paraId="618844FE" w14:textId="77777777" w:rsidR="00635943" w:rsidRPr="00B457F5" w:rsidRDefault="00635943" w:rsidP="00635943">
            <w:pPr>
              <w:spacing w:before="0" w:after="0"/>
              <w:jc w:val="lef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Kapitale</w:t>
            </w:r>
          </w:p>
        </w:tc>
        <w:tc>
          <w:tcPr>
            <w:tcW w:w="256" w:type="pct"/>
            <w:tcBorders>
              <w:top w:val="nil"/>
              <w:left w:val="nil"/>
              <w:bottom w:val="nil"/>
              <w:right w:val="single" w:sz="8" w:space="0" w:color="auto"/>
            </w:tcBorders>
            <w:shd w:val="clear" w:color="auto" w:fill="auto"/>
            <w:vAlign w:val="center"/>
            <w:hideMark/>
          </w:tcPr>
          <w:p w14:paraId="43CBABF9" w14:textId="77777777" w:rsidR="00635943" w:rsidRPr="00B457F5" w:rsidRDefault="00635943" w:rsidP="00635943">
            <w:pPr>
              <w:spacing w:before="0" w:after="0"/>
              <w:jc w:val="lef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Total BSH</w:t>
            </w:r>
          </w:p>
        </w:tc>
        <w:tc>
          <w:tcPr>
            <w:tcW w:w="253" w:type="pct"/>
            <w:tcBorders>
              <w:top w:val="nil"/>
              <w:left w:val="nil"/>
              <w:bottom w:val="single" w:sz="8" w:space="0" w:color="auto"/>
              <w:right w:val="nil"/>
            </w:tcBorders>
            <w:shd w:val="clear" w:color="auto" w:fill="auto"/>
            <w:vAlign w:val="center"/>
            <w:hideMark/>
          </w:tcPr>
          <w:p w14:paraId="77915847" w14:textId="0A3D5923" w:rsidR="00635943" w:rsidRPr="00B457F5" w:rsidRDefault="00635943" w:rsidP="00635943">
            <w:pPr>
              <w:spacing w:before="0" w:after="0"/>
              <w:jc w:val="lef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Kor</w:t>
            </w:r>
            <w:r w:rsidR="0028334E" w:rsidRPr="00B457F5">
              <w:rPr>
                <w:rFonts w:ascii="Garamond" w:eastAsia="Times New Roman" w:hAnsi="Garamond" w:cs="Times New Roman"/>
                <w:b/>
                <w:bCs/>
                <w:color w:val="000000"/>
                <w:sz w:val="4"/>
                <w:szCs w:val="4"/>
              </w:rPr>
              <w:t>r</w:t>
            </w:r>
            <w:r w:rsidRPr="00B457F5">
              <w:rPr>
                <w:rFonts w:ascii="Garamond" w:eastAsia="Times New Roman" w:hAnsi="Garamond" w:cs="Times New Roman"/>
                <w:b/>
                <w:bCs/>
                <w:color w:val="000000"/>
                <w:sz w:val="4"/>
                <w:szCs w:val="4"/>
              </w:rPr>
              <w:t>ente</w:t>
            </w:r>
          </w:p>
        </w:tc>
        <w:tc>
          <w:tcPr>
            <w:tcW w:w="238" w:type="pct"/>
            <w:tcBorders>
              <w:top w:val="nil"/>
              <w:left w:val="single" w:sz="8" w:space="0" w:color="auto"/>
              <w:bottom w:val="single" w:sz="8" w:space="0" w:color="auto"/>
              <w:right w:val="single" w:sz="8" w:space="0" w:color="auto"/>
            </w:tcBorders>
            <w:shd w:val="clear" w:color="auto" w:fill="auto"/>
            <w:vAlign w:val="center"/>
            <w:hideMark/>
          </w:tcPr>
          <w:p w14:paraId="1DF4A06B" w14:textId="77777777" w:rsidR="00635943" w:rsidRPr="00B457F5" w:rsidRDefault="00635943" w:rsidP="00635943">
            <w:pPr>
              <w:spacing w:before="0" w:after="0"/>
              <w:jc w:val="lef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Kapitale</w:t>
            </w:r>
          </w:p>
        </w:tc>
        <w:tc>
          <w:tcPr>
            <w:tcW w:w="256" w:type="pct"/>
            <w:tcBorders>
              <w:top w:val="nil"/>
              <w:left w:val="nil"/>
              <w:bottom w:val="single" w:sz="8" w:space="0" w:color="auto"/>
              <w:right w:val="single" w:sz="8" w:space="0" w:color="auto"/>
            </w:tcBorders>
            <w:shd w:val="clear" w:color="auto" w:fill="auto"/>
            <w:vAlign w:val="center"/>
            <w:hideMark/>
          </w:tcPr>
          <w:p w14:paraId="4CBAEFD4" w14:textId="77777777" w:rsidR="00635943" w:rsidRPr="00B457F5" w:rsidRDefault="00635943" w:rsidP="00635943">
            <w:pPr>
              <w:spacing w:before="0" w:after="0"/>
              <w:jc w:val="lef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Total FH</w:t>
            </w:r>
          </w:p>
        </w:tc>
        <w:tc>
          <w:tcPr>
            <w:tcW w:w="205" w:type="pct"/>
            <w:tcBorders>
              <w:top w:val="nil"/>
              <w:left w:val="nil"/>
              <w:bottom w:val="single" w:sz="8" w:space="0" w:color="auto"/>
              <w:right w:val="nil"/>
            </w:tcBorders>
            <w:shd w:val="clear" w:color="000000" w:fill="FFFFFF"/>
            <w:vAlign w:val="center"/>
            <w:hideMark/>
          </w:tcPr>
          <w:p w14:paraId="3A8F7261" w14:textId="6E913A3A" w:rsidR="00635943" w:rsidRPr="00B457F5" w:rsidRDefault="00635943" w:rsidP="00635943">
            <w:pPr>
              <w:spacing w:before="0" w:after="0"/>
              <w:jc w:val="lef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Kor</w:t>
            </w:r>
            <w:r w:rsidR="0028334E" w:rsidRPr="00B457F5">
              <w:rPr>
                <w:rFonts w:ascii="Garamond" w:eastAsia="Times New Roman" w:hAnsi="Garamond" w:cs="Times New Roman"/>
                <w:b/>
                <w:bCs/>
                <w:color w:val="000000"/>
                <w:sz w:val="4"/>
                <w:szCs w:val="4"/>
              </w:rPr>
              <w:t>r</w:t>
            </w:r>
            <w:r w:rsidRPr="00B457F5">
              <w:rPr>
                <w:rFonts w:ascii="Garamond" w:eastAsia="Times New Roman" w:hAnsi="Garamond" w:cs="Times New Roman"/>
                <w:b/>
                <w:bCs/>
                <w:color w:val="000000"/>
                <w:sz w:val="4"/>
                <w:szCs w:val="4"/>
              </w:rPr>
              <w:t>ente</w:t>
            </w:r>
          </w:p>
        </w:tc>
        <w:tc>
          <w:tcPr>
            <w:tcW w:w="211" w:type="pct"/>
            <w:tcBorders>
              <w:top w:val="nil"/>
              <w:left w:val="single" w:sz="8" w:space="0" w:color="auto"/>
              <w:bottom w:val="single" w:sz="8" w:space="0" w:color="auto"/>
              <w:right w:val="single" w:sz="8" w:space="0" w:color="auto"/>
            </w:tcBorders>
            <w:shd w:val="clear" w:color="000000" w:fill="FFFFFF"/>
            <w:vAlign w:val="center"/>
            <w:hideMark/>
          </w:tcPr>
          <w:p w14:paraId="2C23CF54" w14:textId="77777777" w:rsidR="00635943" w:rsidRPr="00B457F5" w:rsidRDefault="00635943" w:rsidP="00635943">
            <w:pPr>
              <w:spacing w:before="0" w:after="0"/>
              <w:jc w:val="lef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Kapitale</w:t>
            </w:r>
          </w:p>
        </w:tc>
        <w:tc>
          <w:tcPr>
            <w:tcW w:w="177" w:type="pct"/>
            <w:tcBorders>
              <w:top w:val="nil"/>
              <w:left w:val="nil"/>
              <w:bottom w:val="single" w:sz="8" w:space="0" w:color="auto"/>
              <w:right w:val="single" w:sz="8" w:space="0" w:color="auto"/>
            </w:tcBorders>
            <w:shd w:val="clear" w:color="000000" w:fill="FFFFFF"/>
            <w:vAlign w:val="center"/>
            <w:hideMark/>
          </w:tcPr>
          <w:p w14:paraId="74D5860E" w14:textId="77777777" w:rsidR="00635943" w:rsidRPr="00B457F5" w:rsidRDefault="00635943" w:rsidP="00635943">
            <w:pPr>
              <w:spacing w:before="0" w:after="0"/>
              <w:jc w:val="lef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Total BSH</w:t>
            </w:r>
          </w:p>
        </w:tc>
        <w:tc>
          <w:tcPr>
            <w:tcW w:w="284" w:type="pct"/>
            <w:tcBorders>
              <w:top w:val="single" w:sz="8" w:space="0" w:color="auto"/>
              <w:left w:val="nil"/>
              <w:bottom w:val="single" w:sz="8" w:space="0" w:color="auto"/>
              <w:right w:val="single" w:sz="8" w:space="0" w:color="auto"/>
            </w:tcBorders>
            <w:shd w:val="clear" w:color="auto" w:fill="auto"/>
            <w:vAlign w:val="center"/>
            <w:hideMark/>
          </w:tcPr>
          <w:p w14:paraId="3E84BE4C" w14:textId="77777777" w:rsidR="00635943" w:rsidRPr="00B457F5" w:rsidRDefault="00635943" w:rsidP="00635943">
            <w:pPr>
              <w:spacing w:before="0" w:after="0"/>
              <w:jc w:val="lef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w:t>
            </w:r>
          </w:p>
        </w:tc>
        <w:tc>
          <w:tcPr>
            <w:tcW w:w="244" w:type="pct"/>
            <w:tcBorders>
              <w:top w:val="single" w:sz="8" w:space="0" w:color="auto"/>
              <w:left w:val="nil"/>
              <w:bottom w:val="single" w:sz="8" w:space="0" w:color="auto"/>
              <w:right w:val="single" w:sz="8" w:space="0" w:color="auto"/>
            </w:tcBorders>
            <w:shd w:val="clear" w:color="auto" w:fill="auto"/>
            <w:vAlign w:val="center"/>
            <w:hideMark/>
          </w:tcPr>
          <w:p w14:paraId="05854327" w14:textId="77777777" w:rsidR="00635943" w:rsidRPr="00B457F5" w:rsidRDefault="00635943" w:rsidP="00635943">
            <w:pPr>
              <w:spacing w:before="0" w:after="0"/>
              <w:jc w:val="lef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w:t>
            </w:r>
          </w:p>
        </w:tc>
      </w:tr>
      <w:tr w:rsidR="0028334E" w:rsidRPr="00B457F5" w14:paraId="4948FEEF" w14:textId="77777777" w:rsidTr="00635943">
        <w:trPr>
          <w:trHeight w:val="20"/>
        </w:trPr>
        <w:tc>
          <w:tcPr>
            <w:tcW w:w="343"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66F5C19A" w14:textId="77777777" w:rsidR="00635943" w:rsidRPr="00B457F5" w:rsidRDefault="00635943" w:rsidP="00635943">
            <w:pPr>
              <w:spacing w:before="0" w:after="0"/>
              <w:jc w:val="lef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Objektivi specifik 2.1: Krijimi i mundësive ligjore dhe institucionale për migracionin e punës në dhe nga Shqipëria</w:t>
            </w:r>
          </w:p>
        </w:tc>
        <w:tc>
          <w:tcPr>
            <w:tcW w:w="266" w:type="pct"/>
            <w:tcBorders>
              <w:top w:val="single" w:sz="4" w:space="0" w:color="auto"/>
              <w:left w:val="nil"/>
              <w:bottom w:val="single" w:sz="4" w:space="0" w:color="auto"/>
              <w:right w:val="single" w:sz="4" w:space="0" w:color="auto"/>
            </w:tcBorders>
            <w:shd w:val="clear" w:color="auto" w:fill="auto"/>
            <w:vAlign w:val="center"/>
            <w:hideMark/>
          </w:tcPr>
          <w:p w14:paraId="7D112408" w14:textId="77777777" w:rsidR="00635943" w:rsidRPr="00B457F5" w:rsidRDefault="00635943" w:rsidP="00635943">
            <w:pPr>
              <w:spacing w:before="0" w:after="0"/>
              <w:jc w:val="center"/>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MFE, AKPA, ISHPSH</w:t>
            </w:r>
          </w:p>
        </w:tc>
        <w:tc>
          <w:tcPr>
            <w:tcW w:w="474" w:type="pct"/>
            <w:tcBorders>
              <w:top w:val="single" w:sz="4" w:space="0" w:color="auto"/>
              <w:left w:val="nil"/>
              <w:bottom w:val="single" w:sz="4" w:space="0" w:color="auto"/>
              <w:right w:val="single" w:sz="4" w:space="0" w:color="auto"/>
            </w:tcBorders>
            <w:shd w:val="clear" w:color="auto" w:fill="auto"/>
            <w:vAlign w:val="center"/>
            <w:hideMark/>
          </w:tcPr>
          <w:p w14:paraId="15A0471D" w14:textId="2E7DC8DC" w:rsidR="00635943" w:rsidRPr="00B457F5" w:rsidRDefault="00635943" w:rsidP="00635943">
            <w:pPr>
              <w:spacing w:before="0" w:after="0"/>
              <w:jc w:val="center"/>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AKPA, AKSHI, MB, ISHPSHS, ISSH,</w:t>
            </w:r>
            <w:r w:rsidR="0006016F" w:rsidRPr="00B457F5">
              <w:rPr>
                <w:rFonts w:ascii="Garamond" w:eastAsia="Times New Roman" w:hAnsi="Garamond" w:cs="Times New Roman"/>
                <w:color w:val="000000"/>
                <w:sz w:val="4"/>
                <w:szCs w:val="4"/>
              </w:rPr>
              <w:t xml:space="preserve"> </w:t>
            </w:r>
            <w:r w:rsidR="0028334E" w:rsidRPr="00B457F5">
              <w:rPr>
                <w:rFonts w:ascii="Garamond" w:eastAsia="Times New Roman" w:hAnsi="Garamond" w:cs="Times New Roman"/>
                <w:color w:val="000000"/>
                <w:sz w:val="4"/>
                <w:szCs w:val="4"/>
              </w:rPr>
              <w:t>d</w:t>
            </w:r>
            <w:r w:rsidRPr="00B457F5">
              <w:rPr>
                <w:rFonts w:ascii="Garamond" w:eastAsia="Times New Roman" w:hAnsi="Garamond" w:cs="Times New Roman"/>
                <w:color w:val="000000"/>
                <w:sz w:val="4"/>
                <w:szCs w:val="4"/>
              </w:rPr>
              <w:t>onator</w:t>
            </w:r>
            <w:r w:rsidR="0028334E" w:rsidRPr="00B457F5">
              <w:rPr>
                <w:rFonts w:ascii="Garamond" w:eastAsia="Times New Roman" w:hAnsi="Garamond" w:cs="Times New Roman"/>
                <w:color w:val="000000"/>
                <w:sz w:val="4"/>
                <w:szCs w:val="4"/>
              </w:rPr>
              <w:t>ë</w:t>
            </w:r>
            <w:r w:rsidRPr="00B457F5">
              <w:rPr>
                <w:rFonts w:ascii="Garamond" w:eastAsia="Times New Roman" w:hAnsi="Garamond" w:cs="Times New Roman"/>
                <w:color w:val="000000"/>
                <w:sz w:val="4"/>
                <w:szCs w:val="4"/>
              </w:rPr>
              <w:t>,</w:t>
            </w:r>
            <w:r w:rsidR="0006016F" w:rsidRPr="00B457F5">
              <w:rPr>
                <w:rFonts w:ascii="Garamond" w:eastAsia="Times New Roman" w:hAnsi="Garamond" w:cs="Times New Roman"/>
                <w:color w:val="000000"/>
                <w:sz w:val="4"/>
                <w:szCs w:val="4"/>
              </w:rPr>
              <w:t xml:space="preserve"> </w:t>
            </w:r>
            <w:r w:rsidRPr="00B457F5">
              <w:rPr>
                <w:rFonts w:ascii="Garamond" w:eastAsia="Times New Roman" w:hAnsi="Garamond" w:cs="Times New Roman"/>
                <w:color w:val="000000"/>
                <w:sz w:val="4"/>
                <w:szCs w:val="4"/>
              </w:rPr>
              <w:t>QKB, MFE, donatorë</w:t>
            </w:r>
          </w:p>
        </w:tc>
        <w:tc>
          <w:tcPr>
            <w:tcW w:w="196" w:type="pct"/>
            <w:tcBorders>
              <w:top w:val="single" w:sz="4" w:space="0" w:color="auto"/>
              <w:left w:val="nil"/>
              <w:bottom w:val="single" w:sz="4" w:space="0" w:color="auto"/>
              <w:right w:val="single" w:sz="4" w:space="0" w:color="auto"/>
            </w:tcBorders>
            <w:shd w:val="clear" w:color="auto" w:fill="auto"/>
            <w:vAlign w:val="center"/>
            <w:hideMark/>
          </w:tcPr>
          <w:p w14:paraId="40D4CEEB" w14:textId="77777777" w:rsidR="00635943" w:rsidRPr="00B457F5" w:rsidRDefault="00635943" w:rsidP="00635943">
            <w:pPr>
              <w:spacing w:before="0" w:after="0"/>
              <w:jc w:val="center"/>
              <w:rPr>
                <w:rFonts w:ascii="Garamond" w:eastAsia="Times New Roman" w:hAnsi="Garamond" w:cs="Times New Roman"/>
                <w:sz w:val="4"/>
                <w:szCs w:val="4"/>
              </w:rPr>
            </w:pPr>
            <w:r w:rsidRPr="00B457F5">
              <w:rPr>
                <w:rFonts w:ascii="Garamond" w:eastAsia="Times New Roman" w:hAnsi="Garamond" w:cs="Times New Roman"/>
                <w:sz w:val="4"/>
                <w:szCs w:val="4"/>
              </w:rPr>
              <w:t>2024</w:t>
            </w:r>
          </w:p>
        </w:tc>
        <w:tc>
          <w:tcPr>
            <w:tcW w:w="231" w:type="pct"/>
            <w:tcBorders>
              <w:top w:val="single" w:sz="4" w:space="0" w:color="auto"/>
              <w:left w:val="nil"/>
              <w:bottom w:val="single" w:sz="4" w:space="0" w:color="auto"/>
              <w:right w:val="single" w:sz="4" w:space="0" w:color="auto"/>
            </w:tcBorders>
            <w:shd w:val="clear" w:color="auto" w:fill="auto"/>
            <w:vAlign w:val="center"/>
            <w:hideMark/>
          </w:tcPr>
          <w:p w14:paraId="3F12EDBB" w14:textId="77777777" w:rsidR="00635943" w:rsidRPr="00B457F5" w:rsidRDefault="00635943" w:rsidP="00635943">
            <w:pPr>
              <w:spacing w:before="0" w:after="0"/>
              <w:jc w:val="center"/>
              <w:rPr>
                <w:rFonts w:ascii="Garamond" w:eastAsia="Times New Roman" w:hAnsi="Garamond" w:cs="Times New Roman"/>
                <w:sz w:val="4"/>
                <w:szCs w:val="4"/>
              </w:rPr>
            </w:pPr>
            <w:r w:rsidRPr="00B457F5">
              <w:rPr>
                <w:rFonts w:ascii="Garamond" w:eastAsia="Times New Roman" w:hAnsi="Garamond" w:cs="Times New Roman"/>
                <w:sz w:val="4"/>
                <w:szCs w:val="4"/>
              </w:rPr>
              <w:t>2026</w:t>
            </w:r>
          </w:p>
        </w:tc>
        <w:tc>
          <w:tcPr>
            <w:tcW w:w="259" w:type="pct"/>
            <w:tcBorders>
              <w:top w:val="single" w:sz="4" w:space="0" w:color="auto"/>
              <w:left w:val="nil"/>
              <w:bottom w:val="single" w:sz="4" w:space="0" w:color="auto"/>
              <w:right w:val="single" w:sz="4" w:space="0" w:color="auto"/>
            </w:tcBorders>
            <w:shd w:val="clear" w:color="auto" w:fill="auto"/>
            <w:vAlign w:val="center"/>
            <w:hideMark/>
          </w:tcPr>
          <w:p w14:paraId="5436E909"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91,088,596</w:t>
            </w:r>
          </w:p>
        </w:tc>
        <w:tc>
          <w:tcPr>
            <w:tcW w:w="278" w:type="pct"/>
            <w:tcBorders>
              <w:top w:val="single" w:sz="4" w:space="0" w:color="auto"/>
              <w:left w:val="nil"/>
              <w:bottom w:val="single" w:sz="4" w:space="0" w:color="auto"/>
              <w:right w:val="single" w:sz="4" w:space="0" w:color="auto"/>
            </w:tcBorders>
            <w:shd w:val="clear" w:color="auto" w:fill="auto"/>
            <w:vAlign w:val="center"/>
            <w:hideMark/>
          </w:tcPr>
          <w:p w14:paraId="5996F0C2"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2,875,000</w:t>
            </w:r>
          </w:p>
        </w:tc>
        <w:tc>
          <w:tcPr>
            <w:tcW w:w="260" w:type="pct"/>
            <w:tcBorders>
              <w:top w:val="single" w:sz="4" w:space="0" w:color="auto"/>
              <w:left w:val="nil"/>
              <w:bottom w:val="single" w:sz="4" w:space="0" w:color="auto"/>
              <w:right w:val="single" w:sz="4" w:space="0" w:color="auto"/>
            </w:tcBorders>
            <w:shd w:val="clear" w:color="auto" w:fill="auto"/>
            <w:vAlign w:val="center"/>
            <w:hideMark/>
          </w:tcPr>
          <w:p w14:paraId="0E9F314D" w14:textId="18C4C52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93,963,596 </w:t>
            </w:r>
          </w:p>
        </w:tc>
        <w:tc>
          <w:tcPr>
            <w:tcW w:w="313" w:type="pct"/>
            <w:tcBorders>
              <w:top w:val="single" w:sz="8" w:space="0" w:color="auto"/>
              <w:left w:val="nil"/>
              <w:bottom w:val="single" w:sz="4" w:space="0" w:color="auto"/>
              <w:right w:val="single" w:sz="4" w:space="0" w:color="auto"/>
            </w:tcBorders>
            <w:shd w:val="clear" w:color="auto" w:fill="auto"/>
            <w:vAlign w:val="center"/>
            <w:hideMark/>
          </w:tcPr>
          <w:p w14:paraId="0C32FCE4"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83,815,762</w:t>
            </w:r>
          </w:p>
        </w:tc>
        <w:tc>
          <w:tcPr>
            <w:tcW w:w="256" w:type="pct"/>
            <w:tcBorders>
              <w:top w:val="single" w:sz="8" w:space="0" w:color="auto"/>
              <w:left w:val="nil"/>
              <w:bottom w:val="single" w:sz="4" w:space="0" w:color="auto"/>
              <w:right w:val="single" w:sz="4" w:space="0" w:color="auto"/>
            </w:tcBorders>
            <w:shd w:val="clear" w:color="auto" w:fill="auto"/>
            <w:vAlign w:val="center"/>
            <w:hideMark/>
          </w:tcPr>
          <w:p w14:paraId="1B1C66DC"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56" w:type="pct"/>
            <w:tcBorders>
              <w:top w:val="single" w:sz="4" w:space="0" w:color="auto"/>
              <w:left w:val="nil"/>
              <w:bottom w:val="single" w:sz="4" w:space="0" w:color="auto"/>
              <w:right w:val="single" w:sz="4" w:space="0" w:color="auto"/>
            </w:tcBorders>
            <w:shd w:val="clear" w:color="auto" w:fill="auto"/>
            <w:vAlign w:val="center"/>
            <w:hideMark/>
          </w:tcPr>
          <w:p w14:paraId="2BA2C9F5" w14:textId="7777777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83,815,762</w:t>
            </w:r>
          </w:p>
        </w:tc>
        <w:tc>
          <w:tcPr>
            <w:tcW w:w="253" w:type="pct"/>
            <w:tcBorders>
              <w:top w:val="nil"/>
              <w:left w:val="nil"/>
              <w:bottom w:val="single" w:sz="4" w:space="0" w:color="auto"/>
              <w:right w:val="single" w:sz="4" w:space="0" w:color="auto"/>
            </w:tcBorders>
            <w:shd w:val="clear" w:color="auto" w:fill="auto"/>
            <w:vAlign w:val="center"/>
            <w:hideMark/>
          </w:tcPr>
          <w:p w14:paraId="1F2A9326"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7,272,834</w:t>
            </w:r>
          </w:p>
        </w:tc>
        <w:tc>
          <w:tcPr>
            <w:tcW w:w="238" w:type="pct"/>
            <w:tcBorders>
              <w:top w:val="nil"/>
              <w:left w:val="nil"/>
              <w:bottom w:val="single" w:sz="4" w:space="0" w:color="auto"/>
              <w:right w:val="single" w:sz="4" w:space="0" w:color="auto"/>
            </w:tcBorders>
            <w:shd w:val="clear" w:color="auto" w:fill="auto"/>
            <w:vAlign w:val="center"/>
            <w:hideMark/>
          </w:tcPr>
          <w:p w14:paraId="3F5BD5CC"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56" w:type="pct"/>
            <w:tcBorders>
              <w:top w:val="single" w:sz="4" w:space="0" w:color="auto"/>
              <w:left w:val="nil"/>
              <w:bottom w:val="single" w:sz="4" w:space="0" w:color="auto"/>
              <w:right w:val="single" w:sz="4" w:space="0" w:color="auto"/>
            </w:tcBorders>
            <w:shd w:val="clear" w:color="auto" w:fill="auto"/>
            <w:vAlign w:val="center"/>
            <w:hideMark/>
          </w:tcPr>
          <w:p w14:paraId="4125C767" w14:textId="7777777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7,272,834</w:t>
            </w:r>
          </w:p>
        </w:tc>
        <w:tc>
          <w:tcPr>
            <w:tcW w:w="205" w:type="pct"/>
            <w:tcBorders>
              <w:top w:val="nil"/>
              <w:left w:val="nil"/>
              <w:bottom w:val="single" w:sz="4" w:space="0" w:color="auto"/>
              <w:right w:val="single" w:sz="4" w:space="0" w:color="auto"/>
            </w:tcBorders>
            <w:shd w:val="clear" w:color="auto" w:fill="auto"/>
            <w:vAlign w:val="center"/>
            <w:hideMark/>
          </w:tcPr>
          <w:p w14:paraId="615FA185"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11" w:type="pct"/>
            <w:tcBorders>
              <w:top w:val="nil"/>
              <w:left w:val="nil"/>
              <w:bottom w:val="single" w:sz="4" w:space="0" w:color="auto"/>
              <w:right w:val="single" w:sz="4" w:space="0" w:color="auto"/>
            </w:tcBorders>
            <w:shd w:val="clear" w:color="auto" w:fill="auto"/>
            <w:vAlign w:val="center"/>
            <w:hideMark/>
          </w:tcPr>
          <w:p w14:paraId="2CC442C2"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177" w:type="pct"/>
            <w:tcBorders>
              <w:top w:val="single" w:sz="4" w:space="0" w:color="auto"/>
              <w:left w:val="nil"/>
              <w:bottom w:val="single" w:sz="4" w:space="0" w:color="auto"/>
              <w:right w:val="single" w:sz="4" w:space="0" w:color="auto"/>
            </w:tcBorders>
            <w:shd w:val="clear" w:color="auto" w:fill="auto"/>
            <w:vAlign w:val="center"/>
            <w:hideMark/>
          </w:tcPr>
          <w:p w14:paraId="0041E559" w14:textId="7777777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0</w:t>
            </w:r>
          </w:p>
        </w:tc>
        <w:tc>
          <w:tcPr>
            <w:tcW w:w="284" w:type="pct"/>
            <w:tcBorders>
              <w:top w:val="single" w:sz="4" w:space="0" w:color="auto"/>
              <w:left w:val="nil"/>
              <w:bottom w:val="single" w:sz="4" w:space="0" w:color="auto"/>
              <w:right w:val="single" w:sz="4" w:space="0" w:color="auto"/>
            </w:tcBorders>
            <w:shd w:val="clear" w:color="auto" w:fill="auto"/>
            <w:vAlign w:val="center"/>
            <w:hideMark/>
          </w:tcPr>
          <w:p w14:paraId="7B0824C7" w14:textId="4FCC36DE"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(2,875,000)</w:t>
            </w:r>
          </w:p>
        </w:tc>
        <w:tc>
          <w:tcPr>
            <w:tcW w:w="244" w:type="pct"/>
            <w:tcBorders>
              <w:top w:val="single" w:sz="4" w:space="0" w:color="auto"/>
              <w:left w:val="nil"/>
              <w:bottom w:val="single" w:sz="4" w:space="0" w:color="auto"/>
              <w:right w:val="single" w:sz="8" w:space="0" w:color="auto"/>
            </w:tcBorders>
            <w:shd w:val="clear" w:color="auto" w:fill="auto"/>
            <w:noWrap/>
            <w:vAlign w:val="center"/>
            <w:hideMark/>
          </w:tcPr>
          <w:p w14:paraId="0277CEE6" w14:textId="7777777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854,215</w:t>
            </w:r>
          </w:p>
        </w:tc>
      </w:tr>
      <w:tr w:rsidR="0028334E" w:rsidRPr="00B457F5" w14:paraId="512523F2" w14:textId="77777777" w:rsidTr="00635943">
        <w:trPr>
          <w:trHeight w:val="20"/>
        </w:trPr>
        <w:tc>
          <w:tcPr>
            <w:tcW w:w="343" w:type="pct"/>
            <w:tcBorders>
              <w:top w:val="nil"/>
              <w:left w:val="single" w:sz="8" w:space="0" w:color="auto"/>
              <w:bottom w:val="single" w:sz="4" w:space="0" w:color="auto"/>
              <w:right w:val="single" w:sz="4" w:space="0" w:color="auto"/>
            </w:tcBorders>
            <w:shd w:val="clear" w:color="auto" w:fill="auto"/>
            <w:vAlign w:val="center"/>
            <w:hideMark/>
          </w:tcPr>
          <w:p w14:paraId="1068E534" w14:textId="39326727" w:rsidR="00635943" w:rsidRPr="00B457F5" w:rsidRDefault="00635943" w:rsidP="00635943">
            <w:pPr>
              <w:spacing w:before="0" w:after="0"/>
              <w:jc w:val="lef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 xml:space="preserve">Objektivi specifik 2.2: Krijimi i mundësive dhe </w:t>
            </w:r>
            <w:r w:rsidR="00AF12C0" w:rsidRPr="00B457F5">
              <w:rPr>
                <w:rFonts w:ascii="Garamond" w:eastAsia="Times New Roman" w:hAnsi="Garamond" w:cs="Times New Roman"/>
                <w:color w:val="000000"/>
                <w:sz w:val="4"/>
                <w:szCs w:val="4"/>
              </w:rPr>
              <w:t>stimujve</w:t>
            </w:r>
            <w:r w:rsidRPr="00B457F5">
              <w:rPr>
                <w:rFonts w:ascii="Garamond" w:eastAsia="Times New Roman" w:hAnsi="Garamond" w:cs="Times New Roman"/>
                <w:color w:val="000000"/>
                <w:sz w:val="4"/>
                <w:szCs w:val="4"/>
              </w:rPr>
              <w:t xml:space="preserve"> për emigrantët që të kontribuojnë në zhvillimin e qëndrueshëm </w:t>
            </w:r>
          </w:p>
        </w:tc>
        <w:tc>
          <w:tcPr>
            <w:tcW w:w="266" w:type="pct"/>
            <w:tcBorders>
              <w:top w:val="nil"/>
              <w:left w:val="nil"/>
              <w:bottom w:val="single" w:sz="4" w:space="0" w:color="auto"/>
              <w:right w:val="single" w:sz="4" w:space="0" w:color="auto"/>
            </w:tcBorders>
            <w:shd w:val="clear" w:color="auto" w:fill="auto"/>
            <w:vAlign w:val="center"/>
            <w:hideMark/>
          </w:tcPr>
          <w:p w14:paraId="232DC639" w14:textId="77777777" w:rsidR="00635943" w:rsidRPr="00B457F5" w:rsidRDefault="00635943" w:rsidP="00635943">
            <w:pPr>
              <w:spacing w:before="0" w:after="0"/>
              <w:jc w:val="center"/>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MEPJ, AKSHI, MB</w:t>
            </w:r>
          </w:p>
        </w:tc>
        <w:tc>
          <w:tcPr>
            <w:tcW w:w="474" w:type="pct"/>
            <w:tcBorders>
              <w:top w:val="nil"/>
              <w:left w:val="nil"/>
              <w:bottom w:val="single" w:sz="4" w:space="0" w:color="auto"/>
              <w:right w:val="single" w:sz="4" w:space="0" w:color="auto"/>
            </w:tcBorders>
            <w:shd w:val="clear" w:color="auto" w:fill="auto"/>
            <w:vAlign w:val="center"/>
            <w:hideMark/>
          </w:tcPr>
          <w:p w14:paraId="2E1A3361" w14:textId="77777777" w:rsidR="00635943" w:rsidRPr="00B457F5" w:rsidRDefault="00635943" w:rsidP="00635943">
            <w:pPr>
              <w:spacing w:before="0" w:after="0"/>
              <w:jc w:val="center"/>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MEPJ, MDK</w:t>
            </w:r>
          </w:p>
        </w:tc>
        <w:tc>
          <w:tcPr>
            <w:tcW w:w="196" w:type="pct"/>
            <w:tcBorders>
              <w:top w:val="nil"/>
              <w:left w:val="nil"/>
              <w:bottom w:val="single" w:sz="4" w:space="0" w:color="auto"/>
              <w:right w:val="nil"/>
            </w:tcBorders>
            <w:shd w:val="clear" w:color="auto" w:fill="auto"/>
            <w:vAlign w:val="center"/>
            <w:hideMark/>
          </w:tcPr>
          <w:p w14:paraId="3E31CC55" w14:textId="77777777" w:rsidR="00635943" w:rsidRPr="00B457F5" w:rsidRDefault="00635943" w:rsidP="00635943">
            <w:pPr>
              <w:spacing w:before="0" w:after="0"/>
              <w:jc w:val="center"/>
              <w:rPr>
                <w:rFonts w:ascii="Garamond" w:eastAsia="Times New Roman" w:hAnsi="Garamond" w:cs="Times New Roman"/>
                <w:sz w:val="4"/>
                <w:szCs w:val="4"/>
              </w:rPr>
            </w:pPr>
            <w:r w:rsidRPr="00B457F5">
              <w:rPr>
                <w:rFonts w:ascii="Garamond" w:eastAsia="Times New Roman" w:hAnsi="Garamond" w:cs="Times New Roman"/>
                <w:sz w:val="4"/>
                <w:szCs w:val="4"/>
              </w:rPr>
              <w:t>2024</w:t>
            </w:r>
          </w:p>
        </w:tc>
        <w:tc>
          <w:tcPr>
            <w:tcW w:w="231" w:type="pct"/>
            <w:tcBorders>
              <w:top w:val="nil"/>
              <w:left w:val="single" w:sz="4" w:space="0" w:color="auto"/>
              <w:bottom w:val="single" w:sz="4" w:space="0" w:color="auto"/>
              <w:right w:val="single" w:sz="4" w:space="0" w:color="auto"/>
            </w:tcBorders>
            <w:shd w:val="clear" w:color="auto" w:fill="auto"/>
            <w:vAlign w:val="center"/>
            <w:hideMark/>
          </w:tcPr>
          <w:p w14:paraId="1778A648" w14:textId="77777777" w:rsidR="00635943" w:rsidRPr="00B457F5" w:rsidRDefault="00635943" w:rsidP="00635943">
            <w:pPr>
              <w:spacing w:before="0" w:after="0"/>
              <w:jc w:val="center"/>
              <w:rPr>
                <w:rFonts w:ascii="Garamond" w:eastAsia="Times New Roman" w:hAnsi="Garamond" w:cs="Times New Roman"/>
                <w:sz w:val="4"/>
                <w:szCs w:val="4"/>
              </w:rPr>
            </w:pPr>
            <w:r w:rsidRPr="00B457F5">
              <w:rPr>
                <w:rFonts w:ascii="Garamond" w:eastAsia="Times New Roman" w:hAnsi="Garamond" w:cs="Times New Roman"/>
                <w:sz w:val="4"/>
                <w:szCs w:val="4"/>
              </w:rPr>
              <w:t>2026</w:t>
            </w:r>
          </w:p>
        </w:tc>
        <w:tc>
          <w:tcPr>
            <w:tcW w:w="259" w:type="pct"/>
            <w:tcBorders>
              <w:top w:val="nil"/>
              <w:left w:val="nil"/>
              <w:bottom w:val="single" w:sz="4" w:space="0" w:color="auto"/>
              <w:right w:val="single" w:sz="4" w:space="0" w:color="auto"/>
            </w:tcBorders>
            <w:shd w:val="clear" w:color="auto" w:fill="auto"/>
            <w:vAlign w:val="center"/>
            <w:hideMark/>
          </w:tcPr>
          <w:p w14:paraId="0A8FE3FD"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98,366,125</w:t>
            </w:r>
          </w:p>
        </w:tc>
        <w:tc>
          <w:tcPr>
            <w:tcW w:w="278" w:type="pct"/>
            <w:tcBorders>
              <w:top w:val="nil"/>
              <w:left w:val="nil"/>
              <w:bottom w:val="single" w:sz="4" w:space="0" w:color="auto"/>
              <w:right w:val="single" w:sz="4" w:space="0" w:color="auto"/>
            </w:tcBorders>
            <w:shd w:val="clear" w:color="auto" w:fill="auto"/>
            <w:vAlign w:val="center"/>
            <w:hideMark/>
          </w:tcPr>
          <w:p w14:paraId="4D2A0D7E"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60" w:type="pct"/>
            <w:tcBorders>
              <w:top w:val="nil"/>
              <w:left w:val="nil"/>
              <w:bottom w:val="single" w:sz="4" w:space="0" w:color="auto"/>
              <w:right w:val="single" w:sz="4" w:space="0" w:color="auto"/>
            </w:tcBorders>
            <w:shd w:val="clear" w:color="auto" w:fill="auto"/>
            <w:vAlign w:val="center"/>
            <w:hideMark/>
          </w:tcPr>
          <w:p w14:paraId="61547788" w14:textId="74C9CEEA"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98,366,125 </w:t>
            </w:r>
          </w:p>
        </w:tc>
        <w:tc>
          <w:tcPr>
            <w:tcW w:w="313" w:type="pct"/>
            <w:tcBorders>
              <w:top w:val="single" w:sz="8" w:space="0" w:color="auto"/>
              <w:left w:val="nil"/>
              <w:bottom w:val="single" w:sz="4" w:space="0" w:color="auto"/>
              <w:right w:val="single" w:sz="4" w:space="0" w:color="auto"/>
            </w:tcBorders>
            <w:shd w:val="clear" w:color="auto" w:fill="auto"/>
            <w:vAlign w:val="center"/>
            <w:hideMark/>
          </w:tcPr>
          <w:p w14:paraId="007A97AB"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26,031,935</w:t>
            </w:r>
          </w:p>
        </w:tc>
        <w:tc>
          <w:tcPr>
            <w:tcW w:w="256" w:type="pct"/>
            <w:tcBorders>
              <w:top w:val="single" w:sz="8" w:space="0" w:color="auto"/>
              <w:left w:val="nil"/>
              <w:bottom w:val="single" w:sz="4" w:space="0" w:color="auto"/>
              <w:right w:val="single" w:sz="4" w:space="0" w:color="auto"/>
            </w:tcBorders>
            <w:shd w:val="clear" w:color="auto" w:fill="auto"/>
            <w:vAlign w:val="center"/>
            <w:hideMark/>
          </w:tcPr>
          <w:p w14:paraId="7A1926E0"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56" w:type="pct"/>
            <w:tcBorders>
              <w:top w:val="nil"/>
              <w:left w:val="nil"/>
              <w:bottom w:val="single" w:sz="4" w:space="0" w:color="auto"/>
              <w:right w:val="single" w:sz="4" w:space="0" w:color="auto"/>
            </w:tcBorders>
            <w:shd w:val="clear" w:color="auto" w:fill="auto"/>
            <w:vAlign w:val="center"/>
            <w:hideMark/>
          </w:tcPr>
          <w:p w14:paraId="31F56294" w14:textId="7777777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26,031,935</w:t>
            </w:r>
          </w:p>
        </w:tc>
        <w:tc>
          <w:tcPr>
            <w:tcW w:w="253" w:type="pct"/>
            <w:tcBorders>
              <w:top w:val="single" w:sz="8" w:space="0" w:color="auto"/>
              <w:left w:val="nil"/>
              <w:bottom w:val="single" w:sz="4" w:space="0" w:color="auto"/>
              <w:right w:val="single" w:sz="4" w:space="0" w:color="auto"/>
            </w:tcBorders>
            <w:shd w:val="clear" w:color="auto" w:fill="auto"/>
            <w:vAlign w:val="center"/>
            <w:hideMark/>
          </w:tcPr>
          <w:p w14:paraId="2DD388E1"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65,764,190</w:t>
            </w:r>
          </w:p>
        </w:tc>
        <w:tc>
          <w:tcPr>
            <w:tcW w:w="238" w:type="pct"/>
            <w:tcBorders>
              <w:top w:val="single" w:sz="8" w:space="0" w:color="auto"/>
              <w:left w:val="nil"/>
              <w:bottom w:val="single" w:sz="4" w:space="0" w:color="auto"/>
              <w:right w:val="single" w:sz="4" w:space="0" w:color="auto"/>
            </w:tcBorders>
            <w:shd w:val="clear" w:color="auto" w:fill="auto"/>
            <w:vAlign w:val="center"/>
            <w:hideMark/>
          </w:tcPr>
          <w:p w14:paraId="2736F3A9"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56" w:type="pct"/>
            <w:tcBorders>
              <w:top w:val="nil"/>
              <w:left w:val="nil"/>
              <w:bottom w:val="single" w:sz="4" w:space="0" w:color="auto"/>
              <w:right w:val="single" w:sz="4" w:space="0" w:color="auto"/>
            </w:tcBorders>
            <w:shd w:val="clear" w:color="auto" w:fill="auto"/>
            <w:vAlign w:val="center"/>
            <w:hideMark/>
          </w:tcPr>
          <w:p w14:paraId="022E5EA9" w14:textId="7777777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65,764,190</w:t>
            </w:r>
          </w:p>
        </w:tc>
        <w:tc>
          <w:tcPr>
            <w:tcW w:w="205" w:type="pct"/>
            <w:tcBorders>
              <w:top w:val="single" w:sz="8" w:space="0" w:color="auto"/>
              <w:left w:val="nil"/>
              <w:bottom w:val="single" w:sz="4" w:space="0" w:color="auto"/>
              <w:right w:val="single" w:sz="4" w:space="0" w:color="auto"/>
            </w:tcBorders>
            <w:shd w:val="clear" w:color="auto" w:fill="auto"/>
            <w:vAlign w:val="center"/>
            <w:hideMark/>
          </w:tcPr>
          <w:p w14:paraId="47F218B7"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11" w:type="pct"/>
            <w:tcBorders>
              <w:top w:val="single" w:sz="8" w:space="0" w:color="auto"/>
              <w:left w:val="nil"/>
              <w:bottom w:val="single" w:sz="4" w:space="0" w:color="auto"/>
              <w:right w:val="single" w:sz="4" w:space="0" w:color="auto"/>
            </w:tcBorders>
            <w:shd w:val="clear" w:color="auto" w:fill="auto"/>
            <w:vAlign w:val="center"/>
            <w:hideMark/>
          </w:tcPr>
          <w:p w14:paraId="2DAAFB7A"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177" w:type="pct"/>
            <w:tcBorders>
              <w:top w:val="nil"/>
              <w:left w:val="nil"/>
              <w:bottom w:val="single" w:sz="4" w:space="0" w:color="auto"/>
              <w:right w:val="single" w:sz="4" w:space="0" w:color="auto"/>
            </w:tcBorders>
            <w:shd w:val="clear" w:color="auto" w:fill="auto"/>
            <w:vAlign w:val="center"/>
            <w:hideMark/>
          </w:tcPr>
          <w:p w14:paraId="137E3D62" w14:textId="7777777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0</w:t>
            </w:r>
          </w:p>
        </w:tc>
        <w:tc>
          <w:tcPr>
            <w:tcW w:w="284" w:type="pct"/>
            <w:tcBorders>
              <w:top w:val="nil"/>
              <w:left w:val="nil"/>
              <w:bottom w:val="single" w:sz="4" w:space="0" w:color="auto"/>
              <w:right w:val="single" w:sz="4" w:space="0" w:color="auto"/>
            </w:tcBorders>
            <w:shd w:val="clear" w:color="auto" w:fill="auto"/>
            <w:vAlign w:val="center"/>
            <w:hideMark/>
          </w:tcPr>
          <w:p w14:paraId="6D0585B5" w14:textId="7D13D5C0"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(6,570,000)</w:t>
            </w:r>
          </w:p>
        </w:tc>
        <w:tc>
          <w:tcPr>
            <w:tcW w:w="244" w:type="pct"/>
            <w:tcBorders>
              <w:top w:val="nil"/>
              <w:left w:val="nil"/>
              <w:bottom w:val="single" w:sz="4" w:space="0" w:color="auto"/>
              <w:right w:val="single" w:sz="8" w:space="0" w:color="auto"/>
            </w:tcBorders>
            <w:shd w:val="clear" w:color="auto" w:fill="auto"/>
            <w:noWrap/>
            <w:vAlign w:val="center"/>
            <w:hideMark/>
          </w:tcPr>
          <w:p w14:paraId="07E757EF" w14:textId="7777777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894,238</w:t>
            </w:r>
          </w:p>
        </w:tc>
      </w:tr>
      <w:tr w:rsidR="0028334E" w:rsidRPr="00B457F5" w14:paraId="43A68E26" w14:textId="77777777" w:rsidTr="00635943">
        <w:trPr>
          <w:trHeight w:val="20"/>
        </w:trPr>
        <w:tc>
          <w:tcPr>
            <w:tcW w:w="343" w:type="pct"/>
            <w:tcBorders>
              <w:top w:val="nil"/>
              <w:left w:val="single" w:sz="8" w:space="0" w:color="auto"/>
              <w:bottom w:val="nil"/>
              <w:right w:val="single" w:sz="4" w:space="0" w:color="auto"/>
            </w:tcBorders>
            <w:shd w:val="clear" w:color="auto" w:fill="auto"/>
            <w:vAlign w:val="center"/>
            <w:hideMark/>
          </w:tcPr>
          <w:p w14:paraId="18E0D6A1" w14:textId="5CBDA554" w:rsidR="00635943" w:rsidRPr="00B457F5" w:rsidRDefault="00635943" w:rsidP="00635943">
            <w:pPr>
              <w:spacing w:before="0" w:after="0"/>
              <w:jc w:val="lef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Objektivi specifik</w:t>
            </w:r>
            <w:r w:rsidR="0006016F" w:rsidRPr="00B457F5">
              <w:rPr>
                <w:rFonts w:ascii="Garamond" w:eastAsia="Times New Roman" w:hAnsi="Garamond" w:cs="Times New Roman"/>
                <w:color w:val="000000"/>
                <w:sz w:val="4"/>
                <w:szCs w:val="4"/>
              </w:rPr>
              <w:t xml:space="preserve"> </w:t>
            </w:r>
            <w:r w:rsidRPr="00B457F5">
              <w:rPr>
                <w:rFonts w:ascii="Garamond" w:eastAsia="Times New Roman" w:hAnsi="Garamond" w:cs="Times New Roman"/>
                <w:color w:val="000000"/>
                <w:sz w:val="4"/>
                <w:szCs w:val="4"/>
              </w:rPr>
              <w:t>2.3</w:t>
            </w:r>
            <w:r w:rsidR="0028334E" w:rsidRPr="00B457F5">
              <w:rPr>
                <w:rFonts w:ascii="Garamond" w:eastAsia="Times New Roman" w:hAnsi="Garamond" w:cs="Times New Roman"/>
                <w:color w:val="000000"/>
                <w:sz w:val="4"/>
                <w:szCs w:val="4"/>
              </w:rPr>
              <w:t>:</w:t>
            </w:r>
            <w:r w:rsidRPr="00B457F5">
              <w:rPr>
                <w:rFonts w:ascii="Garamond" w:eastAsia="Times New Roman" w:hAnsi="Garamond" w:cs="Times New Roman"/>
                <w:color w:val="000000"/>
                <w:sz w:val="4"/>
                <w:szCs w:val="4"/>
              </w:rPr>
              <w:t xml:space="preserve"> Garantimi i integrimit të qëndrueshëm të shtetasve shqiptarë të rikthyer nga emigracioni</w:t>
            </w:r>
          </w:p>
        </w:tc>
        <w:tc>
          <w:tcPr>
            <w:tcW w:w="266" w:type="pct"/>
            <w:tcBorders>
              <w:top w:val="nil"/>
              <w:left w:val="nil"/>
              <w:bottom w:val="nil"/>
              <w:right w:val="single" w:sz="4" w:space="0" w:color="auto"/>
            </w:tcBorders>
            <w:shd w:val="clear" w:color="auto" w:fill="auto"/>
            <w:vAlign w:val="center"/>
            <w:hideMark/>
          </w:tcPr>
          <w:p w14:paraId="04969E8E" w14:textId="77777777" w:rsidR="00635943" w:rsidRPr="00B457F5" w:rsidRDefault="00635943" w:rsidP="00635943">
            <w:pPr>
              <w:spacing w:before="0" w:after="0"/>
              <w:jc w:val="center"/>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MFE, AKPA, MB, DKM</w:t>
            </w:r>
          </w:p>
        </w:tc>
        <w:tc>
          <w:tcPr>
            <w:tcW w:w="474" w:type="pct"/>
            <w:tcBorders>
              <w:top w:val="single" w:sz="8" w:space="0" w:color="auto"/>
              <w:left w:val="nil"/>
              <w:bottom w:val="nil"/>
              <w:right w:val="single" w:sz="4" w:space="0" w:color="auto"/>
            </w:tcBorders>
            <w:shd w:val="clear" w:color="auto" w:fill="auto"/>
            <w:vAlign w:val="center"/>
            <w:hideMark/>
          </w:tcPr>
          <w:p w14:paraId="214D6CAE" w14:textId="77777777" w:rsidR="00635943" w:rsidRPr="00B457F5" w:rsidRDefault="00635943" w:rsidP="00635943">
            <w:pPr>
              <w:spacing w:before="0" w:after="0"/>
              <w:jc w:val="center"/>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AKPA,MFE, ZVMD, ANVV, MSHMS, Donatore, Organizata</w:t>
            </w:r>
          </w:p>
        </w:tc>
        <w:tc>
          <w:tcPr>
            <w:tcW w:w="196" w:type="pct"/>
            <w:tcBorders>
              <w:top w:val="single" w:sz="8" w:space="0" w:color="auto"/>
              <w:left w:val="nil"/>
              <w:bottom w:val="nil"/>
              <w:right w:val="single" w:sz="4" w:space="0" w:color="auto"/>
            </w:tcBorders>
            <w:shd w:val="clear" w:color="auto" w:fill="auto"/>
            <w:vAlign w:val="center"/>
            <w:hideMark/>
          </w:tcPr>
          <w:p w14:paraId="324F0071" w14:textId="77777777" w:rsidR="00635943" w:rsidRPr="00B457F5" w:rsidRDefault="00635943" w:rsidP="00635943">
            <w:pPr>
              <w:spacing w:before="0" w:after="0"/>
              <w:jc w:val="center"/>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2024</w:t>
            </w:r>
          </w:p>
        </w:tc>
        <w:tc>
          <w:tcPr>
            <w:tcW w:w="231" w:type="pct"/>
            <w:tcBorders>
              <w:top w:val="single" w:sz="8" w:space="0" w:color="auto"/>
              <w:left w:val="nil"/>
              <w:bottom w:val="nil"/>
              <w:right w:val="single" w:sz="4" w:space="0" w:color="auto"/>
            </w:tcBorders>
            <w:shd w:val="clear" w:color="auto" w:fill="auto"/>
            <w:vAlign w:val="center"/>
            <w:hideMark/>
          </w:tcPr>
          <w:p w14:paraId="1BD0AF7E" w14:textId="77777777" w:rsidR="00635943" w:rsidRPr="00B457F5" w:rsidRDefault="00635943" w:rsidP="00635943">
            <w:pPr>
              <w:spacing w:before="0" w:after="0"/>
              <w:jc w:val="center"/>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2026</w:t>
            </w:r>
          </w:p>
        </w:tc>
        <w:tc>
          <w:tcPr>
            <w:tcW w:w="259" w:type="pct"/>
            <w:tcBorders>
              <w:top w:val="nil"/>
              <w:left w:val="nil"/>
              <w:bottom w:val="single" w:sz="4" w:space="0" w:color="auto"/>
              <w:right w:val="single" w:sz="4" w:space="0" w:color="auto"/>
            </w:tcBorders>
            <w:shd w:val="clear" w:color="auto" w:fill="auto"/>
            <w:vAlign w:val="center"/>
            <w:hideMark/>
          </w:tcPr>
          <w:p w14:paraId="2FE93058"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85,798,314</w:t>
            </w:r>
          </w:p>
        </w:tc>
        <w:tc>
          <w:tcPr>
            <w:tcW w:w="278" w:type="pct"/>
            <w:tcBorders>
              <w:top w:val="nil"/>
              <w:left w:val="nil"/>
              <w:bottom w:val="single" w:sz="4" w:space="0" w:color="auto"/>
              <w:right w:val="single" w:sz="4" w:space="0" w:color="auto"/>
            </w:tcBorders>
            <w:shd w:val="clear" w:color="auto" w:fill="auto"/>
            <w:vAlign w:val="center"/>
            <w:hideMark/>
          </w:tcPr>
          <w:p w14:paraId="1FF062F5"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60" w:type="pct"/>
            <w:tcBorders>
              <w:top w:val="nil"/>
              <w:left w:val="nil"/>
              <w:bottom w:val="single" w:sz="4" w:space="0" w:color="auto"/>
              <w:right w:val="single" w:sz="4" w:space="0" w:color="auto"/>
            </w:tcBorders>
            <w:shd w:val="clear" w:color="auto" w:fill="auto"/>
            <w:vAlign w:val="center"/>
            <w:hideMark/>
          </w:tcPr>
          <w:p w14:paraId="64111350" w14:textId="7CFC1292"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85,798,314 </w:t>
            </w:r>
          </w:p>
        </w:tc>
        <w:tc>
          <w:tcPr>
            <w:tcW w:w="313" w:type="pct"/>
            <w:tcBorders>
              <w:top w:val="single" w:sz="8" w:space="0" w:color="auto"/>
              <w:left w:val="nil"/>
              <w:bottom w:val="single" w:sz="4" w:space="0" w:color="auto"/>
              <w:right w:val="single" w:sz="4" w:space="0" w:color="auto"/>
            </w:tcBorders>
            <w:shd w:val="clear" w:color="auto" w:fill="auto"/>
            <w:vAlign w:val="center"/>
            <w:hideMark/>
          </w:tcPr>
          <w:p w14:paraId="7E1EDABF"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75,720,261</w:t>
            </w:r>
          </w:p>
        </w:tc>
        <w:tc>
          <w:tcPr>
            <w:tcW w:w="256" w:type="pct"/>
            <w:tcBorders>
              <w:top w:val="single" w:sz="8" w:space="0" w:color="auto"/>
              <w:left w:val="nil"/>
              <w:bottom w:val="single" w:sz="4" w:space="0" w:color="auto"/>
              <w:right w:val="single" w:sz="4" w:space="0" w:color="auto"/>
            </w:tcBorders>
            <w:shd w:val="clear" w:color="auto" w:fill="auto"/>
            <w:vAlign w:val="center"/>
            <w:hideMark/>
          </w:tcPr>
          <w:p w14:paraId="00BAC6CE"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56" w:type="pct"/>
            <w:tcBorders>
              <w:top w:val="nil"/>
              <w:left w:val="nil"/>
              <w:bottom w:val="single" w:sz="4" w:space="0" w:color="auto"/>
              <w:right w:val="single" w:sz="4" w:space="0" w:color="auto"/>
            </w:tcBorders>
            <w:shd w:val="clear" w:color="auto" w:fill="auto"/>
            <w:vAlign w:val="center"/>
            <w:hideMark/>
          </w:tcPr>
          <w:p w14:paraId="1869723A" w14:textId="7777777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75,720,261</w:t>
            </w:r>
          </w:p>
        </w:tc>
        <w:tc>
          <w:tcPr>
            <w:tcW w:w="253" w:type="pct"/>
            <w:tcBorders>
              <w:top w:val="single" w:sz="8" w:space="0" w:color="auto"/>
              <w:left w:val="nil"/>
              <w:bottom w:val="single" w:sz="4" w:space="0" w:color="auto"/>
              <w:right w:val="single" w:sz="4" w:space="0" w:color="auto"/>
            </w:tcBorders>
            <w:shd w:val="clear" w:color="auto" w:fill="auto"/>
            <w:vAlign w:val="center"/>
            <w:hideMark/>
          </w:tcPr>
          <w:p w14:paraId="204FE70D"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38" w:type="pct"/>
            <w:tcBorders>
              <w:top w:val="single" w:sz="8" w:space="0" w:color="auto"/>
              <w:left w:val="nil"/>
              <w:bottom w:val="single" w:sz="4" w:space="0" w:color="auto"/>
              <w:right w:val="single" w:sz="4" w:space="0" w:color="auto"/>
            </w:tcBorders>
            <w:shd w:val="clear" w:color="auto" w:fill="auto"/>
            <w:vAlign w:val="center"/>
            <w:hideMark/>
          </w:tcPr>
          <w:p w14:paraId="345FA3BF"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56" w:type="pct"/>
            <w:tcBorders>
              <w:top w:val="nil"/>
              <w:left w:val="nil"/>
              <w:bottom w:val="single" w:sz="4" w:space="0" w:color="auto"/>
              <w:right w:val="single" w:sz="4" w:space="0" w:color="auto"/>
            </w:tcBorders>
            <w:shd w:val="clear" w:color="auto" w:fill="auto"/>
            <w:vAlign w:val="center"/>
            <w:hideMark/>
          </w:tcPr>
          <w:p w14:paraId="54199331" w14:textId="7777777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0</w:t>
            </w:r>
          </w:p>
        </w:tc>
        <w:tc>
          <w:tcPr>
            <w:tcW w:w="205" w:type="pct"/>
            <w:tcBorders>
              <w:top w:val="single" w:sz="8" w:space="0" w:color="auto"/>
              <w:left w:val="nil"/>
              <w:bottom w:val="single" w:sz="4" w:space="0" w:color="auto"/>
              <w:right w:val="single" w:sz="4" w:space="0" w:color="auto"/>
            </w:tcBorders>
            <w:shd w:val="clear" w:color="auto" w:fill="auto"/>
            <w:vAlign w:val="center"/>
            <w:hideMark/>
          </w:tcPr>
          <w:p w14:paraId="743094DA"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11" w:type="pct"/>
            <w:tcBorders>
              <w:top w:val="single" w:sz="8" w:space="0" w:color="auto"/>
              <w:left w:val="nil"/>
              <w:bottom w:val="single" w:sz="4" w:space="0" w:color="auto"/>
              <w:right w:val="single" w:sz="4" w:space="0" w:color="auto"/>
            </w:tcBorders>
            <w:shd w:val="clear" w:color="auto" w:fill="auto"/>
            <w:vAlign w:val="center"/>
            <w:hideMark/>
          </w:tcPr>
          <w:p w14:paraId="06CB73D2"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177" w:type="pct"/>
            <w:tcBorders>
              <w:top w:val="nil"/>
              <w:left w:val="nil"/>
              <w:bottom w:val="single" w:sz="4" w:space="0" w:color="auto"/>
              <w:right w:val="single" w:sz="4" w:space="0" w:color="auto"/>
            </w:tcBorders>
            <w:shd w:val="clear" w:color="auto" w:fill="auto"/>
            <w:vAlign w:val="center"/>
            <w:hideMark/>
          </w:tcPr>
          <w:p w14:paraId="4627063F" w14:textId="7777777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0</w:t>
            </w:r>
          </w:p>
        </w:tc>
        <w:tc>
          <w:tcPr>
            <w:tcW w:w="284" w:type="pct"/>
            <w:tcBorders>
              <w:top w:val="nil"/>
              <w:left w:val="nil"/>
              <w:bottom w:val="single" w:sz="4" w:space="0" w:color="auto"/>
              <w:right w:val="single" w:sz="4" w:space="0" w:color="auto"/>
            </w:tcBorders>
            <w:shd w:val="clear" w:color="auto" w:fill="auto"/>
            <w:vAlign w:val="center"/>
            <w:hideMark/>
          </w:tcPr>
          <w:p w14:paraId="62277940" w14:textId="2D69DB49" w:rsidR="00635943" w:rsidRPr="00B457F5" w:rsidRDefault="0006016F"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 </w:t>
            </w:r>
            <w:r w:rsidR="00635943" w:rsidRPr="00B457F5">
              <w:rPr>
                <w:rFonts w:ascii="Garamond" w:eastAsia="Times New Roman" w:hAnsi="Garamond" w:cs="Times New Roman"/>
                <w:b/>
                <w:bCs/>
                <w:color w:val="000000"/>
                <w:sz w:val="4"/>
                <w:szCs w:val="4"/>
              </w:rPr>
              <w:t>(10,078,053)</w:t>
            </w:r>
          </w:p>
        </w:tc>
        <w:tc>
          <w:tcPr>
            <w:tcW w:w="244" w:type="pct"/>
            <w:tcBorders>
              <w:top w:val="nil"/>
              <w:left w:val="nil"/>
              <w:bottom w:val="single" w:sz="4" w:space="0" w:color="auto"/>
              <w:right w:val="single" w:sz="8" w:space="0" w:color="auto"/>
            </w:tcBorders>
            <w:shd w:val="clear" w:color="auto" w:fill="auto"/>
            <w:noWrap/>
            <w:vAlign w:val="center"/>
            <w:hideMark/>
          </w:tcPr>
          <w:p w14:paraId="1F636857" w14:textId="7777777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779,985</w:t>
            </w:r>
          </w:p>
        </w:tc>
      </w:tr>
      <w:tr w:rsidR="0028334E" w:rsidRPr="00B457F5" w14:paraId="3E7592CA" w14:textId="77777777" w:rsidTr="00635943">
        <w:trPr>
          <w:trHeight w:val="20"/>
        </w:trPr>
        <w:tc>
          <w:tcPr>
            <w:tcW w:w="343" w:type="pct"/>
            <w:tcBorders>
              <w:top w:val="single" w:sz="4" w:space="0" w:color="auto"/>
              <w:left w:val="single" w:sz="8" w:space="0" w:color="auto"/>
              <w:bottom w:val="single" w:sz="8" w:space="0" w:color="auto"/>
              <w:right w:val="single" w:sz="4" w:space="0" w:color="auto"/>
            </w:tcBorders>
            <w:shd w:val="clear" w:color="auto" w:fill="auto"/>
            <w:vAlign w:val="bottom"/>
            <w:hideMark/>
          </w:tcPr>
          <w:p w14:paraId="67A818A6" w14:textId="7CCA7592" w:rsidR="00635943" w:rsidRPr="00B457F5" w:rsidRDefault="00635943" w:rsidP="00635943">
            <w:pPr>
              <w:spacing w:before="0" w:after="0"/>
              <w:jc w:val="left"/>
              <w:rPr>
                <w:rFonts w:ascii="Garamond" w:eastAsia="Times New Roman" w:hAnsi="Garamond" w:cs="Times New Roman"/>
                <w:color w:val="000000"/>
                <w:sz w:val="4"/>
                <w:szCs w:val="4"/>
              </w:rPr>
            </w:pPr>
            <w:r w:rsidRPr="00B457F5">
              <w:rPr>
                <w:rFonts w:ascii="Garamond" w:eastAsia="Times New Roman" w:hAnsi="Garamond" w:cs="Times New Roman"/>
                <w:b/>
                <w:bCs/>
                <w:color w:val="FF0000"/>
                <w:sz w:val="4"/>
                <w:szCs w:val="4"/>
              </w:rPr>
              <w:t>Kosto</w:t>
            </w:r>
            <w:r w:rsidR="0028334E" w:rsidRPr="00B457F5">
              <w:rPr>
                <w:rFonts w:ascii="Garamond" w:eastAsia="Times New Roman" w:hAnsi="Garamond" w:cs="Times New Roman"/>
                <w:b/>
                <w:bCs/>
                <w:color w:val="FF0000"/>
                <w:sz w:val="4"/>
                <w:szCs w:val="4"/>
              </w:rPr>
              <w:t>ja</w:t>
            </w:r>
            <w:r w:rsidRPr="00B457F5">
              <w:rPr>
                <w:rFonts w:ascii="Garamond" w:eastAsia="Times New Roman" w:hAnsi="Garamond" w:cs="Times New Roman"/>
                <w:b/>
                <w:bCs/>
                <w:color w:val="FF0000"/>
                <w:sz w:val="4"/>
                <w:szCs w:val="4"/>
              </w:rPr>
              <w:t xml:space="preserve"> totale </w:t>
            </w:r>
            <w:r w:rsidR="00AF4731" w:rsidRPr="00B457F5">
              <w:rPr>
                <w:rFonts w:ascii="Garamond" w:eastAsia="Times New Roman" w:hAnsi="Garamond" w:cs="Times New Roman"/>
                <w:b/>
                <w:bCs/>
                <w:color w:val="FF0000"/>
                <w:sz w:val="4"/>
                <w:szCs w:val="4"/>
              </w:rPr>
              <w:t>e</w:t>
            </w:r>
            <w:r w:rsidR="0028334E" w:rsidRPr="00B457F5">
              <w:rPr>
                <w:rFonts w:ascii="Garamond" w:eastAsia="Times New Roman" w:hAnsi="Garamond" w:cs="Times New Roman"/>
                <w:b/>
                <w:bCs/>
                <w:color w:val="FF0000"/>
                <w:sz w:val="4"/>
                <w:szCs w:val="4"/>
              </w:rPr>
              <w:t xml:space="preserve"> q</w:t>
            </w:r>
            <w:r w:rsidRPr="00B457F5">
              <w:rPr>
                <w:rFonts w:ascii="Garamond" w:eastAsia="Times New Roman" w:hAnsi="Garamond" w:cs="Times New Roman"/>
                <w:b/>
                <w:bCs/>
                <w:color w:val="FF0000"/>
                <w:sz w:val="4"/>
                <w:szCs w:val="4"/>
              </w:rPr>
              <w:t>ëllimi</w:t>
            </w:r>
            <w:r w:rsidR="0028334E" w:rsidRPr="00B457F5">
              <w:rPr>
                <w:rFonts w:ascii="Garamond" w:eastAsia="Times New Roman" w:hAnsi="Garamond" w:cs="Times New Roman"/>
                <w:b/>
                <w:bCs/>
                <w:color w:val="FF0000"/>
                <w:sz w:val="4"/>
                <w:szCs w:val="4"/>
              </w:rPr>
              <w:t>t</w:t>
            </w:r>
            <w:r w:rsidRPr="00B457F5">
              <w:rPr>
                <w:rFonts w:ascii="Garamond" w:eastAsia="Times New Roman" w:hAnsi="Garamond" w:cs="Times New Roman"/>
                <w:b/>
                <w:bCs/>
                <w:color w:val="FF0000"/>
                <w:sz w:val="4"/>
                <w:szCs w:val="4"/>
              </w:rPr>
              <w:t xml:space="preserve"> </w:t>
            </w:r>
            <w:r w:rsidR="0028334E" w:rsidRPr="00B457F5">
              <w:rPr>
                <w:rFonts w:ascii="Garamond" w:eastAsia="Times New Roman" w:hAnsi="Garamond" w:cs="Times New Roman"/>
                <w:b/>
                <w:bCs/>
                <w:color w:val="FF0000"/>
                <w:sz w:val="4"/>
                <w:szCs w:val="4"/>
              </w:rPr>
              <w:t>të</w:t>
            </w:r>
            <w:r w:rsidRPr="00B457F5">
              <w:rPr>
                <w:rFonts w:ascii="Garamond" w:eastAsia="Times New Roman" w:hAnsi="Garamond" w:cs="Times New Roman"/>
                <w:b/>
                <w:bCs/>
                <w:color w:val="FF0000"/>
                <w:sz w:val="4"/>
                <w:szCs w:val="4"/>
              </w:rPr>
              <w:t xml:space="preserve"> </w:t>
            </w:r>
            <w:r w:rsidR="0028334E" w:rsidRPr="00B457F5">
              <w:rPr>
                <w:rFonts w:ascii="Garamond" w:eastAsia="Times New Roman" w:hAnsi="Garamond" w:cs="Times New Roman"/>
                <w:b/>
                <w:bCs/>
                <w:color w:val="FF0000"/>
                <w:sz w:val="4"/>
                <w:szCs w:val="4"/>
              </w:rPr>
              <w:t>p</w:t>
            </w:r>
            <w:r w:rsidRPr="00B457F5">
              <w:rPr>
                <w:rFonts w:ascii="Garamond" w:eastAsia="Times New Roman" w:hAnsi="Garamond" w:cs="Times New Roman"/>
                <w:b/>
                <w:bCs/>
                <w:color w:val="FF0000"/>
                <w:sz w:val="4"/>
                <w:szCs w:val="4"/>
              </w:rPr>
              <w:t xml:space="preserve">olitikës II </w:t>
            </w:r>
            <w:r w:rsidRPr="00B457F5">
              <w:rPr>
                <w:rFonts w:ascii="Garamond" w:eastAsia="Times New Roman" w:hAnsi="Garamond" w:cs="Times New Roman"/>
                <w:color w:val="000000"/>
                <w:sz w:val="4"/>
                <w:szCs w:val="4"/>
              </w:rPr>
              <w:br/>
              <w:t>(objektiva</w:t>
            </w:r>
            <w:r w:rsidR="00AF4731" w:rsidRPr="00B457F5">
              <w:rPr>
                <w:rFonts w:ascii="Garamond" w:eastAsia="Times New Roman" w:hAnsi="Garamond" w:cs="Times New Roman"/>
                <w:color w:val="000000"/>
                <w:sz w:val="4"/>
                <w:szCs w:val="4"/>
              </w:rPr>
              <w:t>t</w:t>
            </w:r>
            <w:r w:rsidRPr="00B457F5">
              <w:rPr>
                <w:rFonts w:ascii="Garamond" w:eastAsia="Times New Roman" w:hAnsi="Garamond" w:cs="Times New Roman"/>
                <w:color w:val="000000"/>
                <w:sz w:val="4"/>
                <w:szCs w:val="4"/>
              </w:rPr>
              <w:t xml:space="preserve"> specifik</w:t>
            </w:r>
            <w:r w:rsidR="0028334E" w:rsidRPr="00B457F5">
              <w:rPr>
                <w:rFonts w:ascii="Garamond" w:eastAsia="Times New Roman" w:hAnsi="Garamond" w:cs="Times New Roman"/>
                <w:color w:val="000000"/>
                <w:sz w:val="4"/>
                <w:szCs w:val="4"/>
              </w:rPr>
              <w:t>ë</w:t>
            </w:r>
            <w:r w:rsidRPr="00B457F5">
              <w:rPr>
                <w:rFonts w:ascii="Garamond" w:eastAsia="Times New Roman" w:hAnsi="Garamond" w:cs="Times New Roman"/>
                <w:color w:val="000000"/>
                <w:sz w:val="4"/>
                <w:szCs w:val="4"/>
              </w:rPr>
              <w:t xml:space="preserve"> 2.1+2.2+2.3)</w:t>
            </w:r>
          </w:p>
        </w:tc>
        <w:tc>
          <w:tcPr>
            <w:tcW w:w="266" w:type="pct"/>
            <w:tcBorders>
              <w:top w:val="single" w:sz="4" w:space="0" w:color="auto"/>
              <w:left w:val="nil"/>
              <w:bottom w:val="single" w:sz="8" w:space="0" w:color="auto"/>
              <w:right w:val="single" w:sz="4" w:space="0" w:color="auto"/>
            </w:tcBorders>
            <w:shd w:val="clear" w:color="auto" w:fill="auto"/>
            <w:noWrap/>
            <w:vAlign w:val="bottom"/>
            <w:hideMark/>
          </w:tcPr>
          <w:p w14:paraId="36C69822" w14:textId="77777777" w:rsidR="00635943" w:rsidRPr="00B457F5" w:rsidRDefault="00635943" w:rsidP="00635943">
            <w:pPr>
              <w:spacing w:before="0" w:after="0"/>
              <w:jc w:val="lef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 </w:t>
            </w:r>
          </w:p>
        </w:tc>
        <w:tc>
          <w:tcPr>
            <w:tcW w:w="474" w:type="pct"/>
            <w:tcBorders>
              <w:top w:val="single" w:sz="4" w:space="0" w:color="auto"/>
              <w:left w:val="nil"/>
              <w:bottom w:val="single" w:sz="8" w:space="0" w:color="auto"/>
              <w:right w:val="single" w:sz="4" w:space="0" w:color="auto"/>
            </w:tcBorders>
            <w:shd w:val="clear" w:color="auto" w:fill="auto"/>
            <w:noWrap/>
            <w:vAlign w:val="bottom"/>
            <w:hideMark/>
          </w:tcPr>
          <w:p w14:paraId="7BC7258B" w14:textId="77777777" w:rsidR="00635943" w:rsidRPr="00B457F5" w:rsidRDefault="00635943" w:rsidP="00635943">
            <w:pPr>
              <w:spacing w:before="0" w:after="0"/>
              <w:jc w:val="lef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 </w:t>
            </w:r>
          </w:p>
        </w:tc>
        <w:tc>
          <w:tcPr>
            <w:tcW w:w="196" w:type="pct"/>
            <w:tcBorders>
              <w:top w:val="single" w:sz="4" w:space="0" w:color="auto"/>
              <w:left w:val="nil"/>
              <w:bottom w:val="single" w:sz="8" w:space="0" w:color="auto"/>
              <w:right w:val="single" w:sz="4" w:space="0" w:color="auto"/>
            </w:tcBorders>
            <w:shd w:val="clear" w:color="auto" w:fill="auto"/>
            <w:noWrap/>
            <w:vAlign w:val="bottom"/>
            <w:hideMark/>
          </w:tcPr>
          <w:p w14:paraId="21F8337E" w14:textId="77777777" w:rsidR="00635943" w:rsidRPr="00B457F5" w:rsidRDefault="00635943" w:rsidP="00635943">
            <w:pPr>
              <w:spacing w:before="0" w:after="0"/>
              <w:jc w:val="lef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 </w:t>
            </w:r>
          </w:p>
        </w:tc>
        <w:tc>
          <w:tcPr>
            <w:tcW w:w="231" w:type="pct"/>
            <w:tcBorders>
              <w:top w:val="single" w:sz="4" w:space="0" w:color="auto"/>
              <w:left w:val="nil"/>
              <w:bottom w:val="single" w:sz="8" w:space="0" w:color="auto"/>
              <w:right w:val="single" w:sz="4" w:space="0" w:color="auto"/>
            </w:tcBorders>
            <w:shd w:val="clear" w:color="auto" w:fill="auto"/>
            <w:noWrap/>
            <w:vAlign w:val="bottom"/>
            <w:hideMark/>
          </w:tcPr>
          <w:p w14:paraId="49DC3520" w14:textId="77777777" w:rsidR="00635943" w:rsidRPr="00B457F5" w:rsidRDefault="00635943" w:rsidP="00635943">
            <w:pPr>
              <w:spacing w:before="0" w:after="0"/>
              <w:jc w:val="lef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 </w:t>
            </w:r>
          </w:p>
        </w:tc>
        <w:tc>
          <w:tcPr>
            <w:tcW w:w="259" w:type="pct"/>
            <w:tcBorders>
              <w:top w:val="nil"/>
              <w:left w:val="nil"/>
              <w:bottom w:val="single" w:sz="8" w:space="0" w:color="auto"/>
              <w:right w:val="single" w:sz="4" w:space="0" w:color="auto"/>
            </w:tcBorders>
            <w:shd w:val="clear" w:color="auto" w:fill="auto"/>
            <w:noWrap/>
            <w:vAlign w:val="center"/>
            <w:hideMark/>
          </w:tcPr>
          <w:p w14:paraId="1FEEE9FD" w14:textId="3412F16E"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 xml:space="preserve">275,253,035 </w:t>
            </w:r>
          </w:p>
        </w:tc>
        <w:tc>
          <w:tcPr>
            <w:tcW w:w="278" w:type="pct"/>
            <w:tcBorders>
              <w:top w:val="nil"/>
              <w:left w:val="nil"/>
              <w:bottom w:val="single" w:sz="8" w:space="0" w:color="auto"/>
              <w:right w:val="single" w:sz="4" w:space="0" w:color="auto"/>
            </w:tcBorders>
            <w:shd w:val="clear" w:color="auto" w:fill="auto"/>
            <w:noWrap/>
            <w:vAlign w:val="center"/>
            <w:hideMark/>
          </w:tcPr>
          <w:p w14:paraId="2B934ED3" w14:textId="35DF59CB"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 xml:space="preserve">2,875,000 </w:t>
            </w:r>
          </w:p>
        </w:tc>
        <w:tc>
          <w:tcPr>
            <w:tcW w:w="260" w:type="pct"/>
            <w:tcBorders>
              <w:top w:val="nil"/>
              <w:left w:val="nil"/>
              <w:bottom w:val="single" w:sz="8" w:space="0" w:color="auto"/>
              <w:right w:val="single" w:sz="4" w:space="0" w:color="auto"/>
            </w:tcBorders>
            <w:shd w:val="clear" w:color="auto" w:fill="auto"/>
            <w:noWrap/>
            <w:vAlign w:val="center"/>
            <w:hideMark/>
          </w:tcPr>
          <w:p w14:paraId="4D43CC2B" w14:textId="2D2DFF9D" w:rsidR="00635943" w:rsidRPr="00B457F5" w:rsidRDefault="0006016F"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 xml:space="preserve"> </w:t>
            </w:r>
            <w:r w:rsidR="00635943" w:rsidRPr="00B457F5">
              <w:rPr>
                <w:rFonts w:ascii="Garamond" w:eastAsia="Times New Roman" w:hAnsi="Garamond" w:cs="Times New Roman"/>
                <w:b/>
                <w:bCs/>
                <w:color w:val="FF0000"/>
                <w:sz w:val="4"/>
                <w:szCs w:val="4"/>
              </w:rPr>
              <w:t xml:space="preserve">278,128,035 </w:t>
            </w:r>
          </w:p>
        </w:tc>
        <w:tc>
          <w:tcPr>
            <w:tcW w:w="313" w:type="pct"/>
            <w:tcBorders>
              <w:top w:val="nil"/>
              <w:left w:val="nil"/>
              <w:bottom w:val="single" w:sz="8" w:space="0" w:color="auto"/>
              <w:right w:val="single" w:sz="4" w:space="0" w:color="auto"/>
            </w:tcBorders>
            <w:shd w:val="clear" w:color="auto" w:fill="auto"/>
            <w:noWrap/>
            <w:vAlign w:val="center"/>
            <w:hideMark/>
          </w:tcPr>
          <w:p w14:paraId="3CFC6D74" w14:textId="3B8D6773"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 xml:space="preserve">185,567,958 </w:t>
            </w:r>
          </w:p>
        </w:tc>
        <w:tc>
          <w:tcPr>
            <w:tcW w:w="256" w:type="pct"/>
            <w:tcBorders>
              <w:top w:val="nil"/>
              <w:left w:val="nil"/>
              <w:bottom w:val="single" w:sz="8" w:space="0" w:color="auto"/>
              <w:right w:val="single" w:sz="4" w:space="0" w:color="auto"/>
            </w:tcBorders>
            <w:shd w:val="clear" w:color="auto" w:fill="auto"/>
            <w:noWrap/>
            <w:vAlign w:val="center"/>
            <w:hideMark/>
          </w:tcPr>
          <w:p w14:paraId="3AFFE132" w14:textId="0C534212" w:rsidR="00635943" w:rsidRPr="00B457F5" w:rsidRDefault="0006016F"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 xml:space="preserve"> </w:t>
            </w:r>
            <w:r w:rsidR="00635943" w:rsidRPr="00B457F5">
              <w:rPr>
                <w:rFonts w:ascii="Garamond" w:eastAsia="Times New Roman" w:hAnsi="Garamond" w:cs="Times New Roman"/>
                <w:b/>
                <w:bCs/>
                <w:color w:val="FF0000"/>
                <w:sz w:val="4"/>
                <w:szCs w:val="4"/>
              </w:rPr>
              <w:t xml:space="preserve">- </w:t>
            </w:r>
          </w:p>
        </w:tc>
        <w:tc>
          <w:tcPr>
            <w:tcW w:w="256" w:type="pct"/>
            <w:tcBorders>
              <w:top w:val="nil"/>
              <w:left w:val="nil"/>
              <w:bottom w:val="single" w:sz="8" w:space="0" w:color="auto"/>
              <w:right w:val="single" w:sz="4" w:space="0" w:color="auto"/>
            </w:tcBorders>
            <w:shd w:val="clear" w:color="auto" w:fill="auto"/>
            <w:noWrap/>
            <w:vAlign w:val="center"/>
            <w:hideMark/>
          </w:tcPr>
          <w:p w14:paraId="056EFDC7" w14:textId="19DCE268" w:rsidR="00635943" w:rsidRPr="00B457F5" w:rsidRDefault="0006016F"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 xml:space="preserve"> </w:t>
            </w:r>
            <w:r w:rsidR="00635943" w:rsidRPr="00B457F5">
              <w:rPr>
                <w:rFonts w:ascii="Garamond" w:eastAsia="Times New Roman" w:hAnsi="Garamond" w:cs="Times New Roman"/>
                <w:b/>
                <w:bCs/>
                <w:color w:val="FF0000"/>
                <w:sz w:val="4"/>
                <w:szCs w:val="4"/>
              </w:rPr>
              <w:t xml:space="preserve">185,567,958 </w:t>
            </w:r>
          </w:p>
        </w:tc>
        <w:tc>
          <w:tcPr>
            <w:tcW w:w="253" w:type="pct"/>
            <w:tcBorders>
              <w:top w:val="nil"/>
              <w:left w:val="nil"/>
              <w:bottom w:val="single" w:sz="8" w:space="0" w:color="auto"/>
              <w:right w:val="single" w:sz="4" w:space="0" w:color="auto"/>
            </w:tcBorders>
            <w:shd w:val="clear" w:color="auto" w:fill="auto"/>
            <w:noWrap/>
            <w:vAlign w:val="center"/>
            <w:hideMark/>
          </w:tcPr>
          <w:p w14:paraId="0E0A8121" w14:textId="5484878D"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 xml:space="preserve">73,037,024 </w:t>
            </w:r>
          </w:p>
        </w:tc>
        <w:tc>
          <w:tcPr>
            <w:tcW w:w="238" w:type="pct"/>
            <w:tcBorders>
              <w:top w:val="nil"/>
              <w:left w:val="nil"/>
              <w:bottom w:val="single" w:sz="8" w:space="0" w:color="auto"/>
              <w:right w:val="single" w:sz="4" w:space="0" w:color="auto"/>
            </w:tcBorders>
            <w:shd w:val="clear" w:color="auto" w:fill="auto"/>
            <w:noWrap/>
            <w:vAlign w:val="center"/>
            <w:hideMark/>
          </w:tcPr>
          <w:p w14:paraId="44088D8E" w14:textId="0A8FC3A0"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 xml:space="preserve"> - </w:t>
            </w:r>
          </w:p>
        </w:tc>
        <w:tc>
          <w:tcPr>
            <w:tcW w:w="256" w:type="pct"/>
            <w:tcBorders>
              <w:top w:val="nil"/>
              <w:left w:val="nil"/>
              <w:bottom w:val="single" w:sz="8" w:space="0" w:color="auto"/>
              <w:right w:val="single" w:sz="4" w:space="0" w:color="auto"/>
            </w:tcBorders>
            <w:shd w:val="clear" w:color="auto" w:fill="auto"/>
            <w:noWrap/>
            <w:vAlign w:val="center"/>
            <w:hideMark/>
          </w:tcPr>
          <w:p w14:paraId="172B4DC4" w14:textId="0D28983D"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 xml:space="preserve"> 73,037,024 </w:t>
            </w:r>
          </w:p>
        </w:tc>
        <w:tc>
          <w:tcPr>
            <w:tcW w:w="205" w:type="pct"/>
            <w:tcBorders>
              <w:top w:val="nil"/>
              <w:left w:val="nil"/>
              <w:bottom w:val="single" w:sz="8" w:space="0" w:color="auto"/>
              <w:right w:val="single" w:sz="4" w:space="0" w:color="auto"/>
            </w:tcBorders>
            <w:shd w:val="clear" w:color="auto" w:fill="auto"/>
            <w:noWrap/>
            <w:vAlign w:val="center"/>
            <w:hideMark/>
          </w:tcPr>
          <w:p w14:paraId="73530F1F" w14:textId="285D96EC" w:rsidR="00635943" w:rsidRPr="00B457F5" w:rsidRDefault="0006016F"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 xml:space="preserve"> </w:t>
            </w:r>
            <w:r w:rsidR="00635943" w:rsidRPr="00B457F5">
              <w:rPr>
                <w:rFonts w:ascii="Garamond" w:eastAsia="Times New Roman" w:hAnsi="Garamond" w:cs="Times New Roman"/>
                <w:b/>
                <w:bCs/>
                <w:color w:val="FF0000"/>
                <w:sz w:val="4"/>
                <w:szCs w:val="4"/>
              </w:rPr>
              <w:t xml:space="preserve">- </w:t>
            </w:r>
          </w:p>
        </w:tc>
        <w:tc>
          <w:tcPr>
            <w:tcW w:w="211" w:type="pct"/>
            <w:tcBorders>
              <w:top w:val="nil"/>
              <w:left w:val="nil"/>
              <w:bottom w:val="single" w:sz="8" w:space="0" w:color="auto"/>
              <w:right w:val="single" w:sz="4" w:space="0" w:color="auto"/>
            </w:tcBorders>
            <w:shd w:val="clear" w:color="auto" w:fill="auto"/>
            <w:noWrap/>
            <w:vAlign w:val="center"/>
            <w:hideMark/>
          </w:tcPr>
          <w:p w14:paraId="54781DEF" w14:textId="56B35DF4" w:rsidR="00635943" w:rsidRPr="00B457F5" w:rsidRDefault="0006016F"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 xml:space="preserve"> </w:t>
            </w:r>
            <w:r w:rsidR="00635943" w:rsidRPr="00B457F5">
              <w:rPr>
                <w:rFonts w:ascii="Garamond" w:eastAsia="Times New Roman" w:hAnsi="Garamond" w:cs="Times New Roman"/>
                <w:b/>
                <w:bCs/>
                <w:color w:val="FF0000"/>
                <w:sz w:val="4"/>
                <w:szCs w:val="4"/>
              </w:rPr>
              <w:t xml:space="preserve">- </w:t>
            </w:r>
          </w:p>
        </w:tc>
        <w:tc>
          <w:tcPr>
            <w:tcW w:w="177" w:type="pct"/>
            <w:tcBorders>
              <w:top w:val="nil"/>
              <w:left w:val="nil"/>
              <w:bottom w:val="single" w:sz="8" w:space="0" w:color="auto"/>
              <w:right w:val="single" w:sz="4" w:space="0" w:color="auto"/>
            </w:tcBorders>
            <w:shd w:val="clear" w:color="auto" w:fill="auto"/>
            <w:noWrap/>
            <w:vAlign w:val="center"/>
            <w:hideMark/>
          </w:tcPr>
          <w:p w14:paraId="1F213577" w14:textId="7B511F02"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 xml:space="preserve">- </w:t>
            </w:r>
          </w:p>
        </w:tc>
        <w:tc>
          <w:tcPr>
            <w:tcW w:w="284" w:type="pct"/>
            <w:tcBorders>
              <w:top w:val="nil"/>
              <w:left w:val="nil"/>
              <w:bottom w:val="single" w:sz="8" w:space="0" w:color="auto"/>
              <w:right w:val="single" w:sz="4" w:space="0" w:color="auto"/>
            </w:tcBorders>
            <w:shd w:val="clear" w:color="auto" w:fill="auto"/>
            <w:noWrap/>
            <w:vAlign w:val="center"/>
            <w:hideMark/>
          </w:tcPr>
          <w:p w14:paraId="580CCF53" w14:textId="34823964" w:rsidR="00635943" w:rsidRPr="00B457F5" w:rsidRDefault="0006016F"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 xml:space="preserve"> </w:t>
            </w:r>
            <w:r w:rsidR="00635943" w:rsidRPr="00B457F5">
              <w:rPr>
                <w:rFonts w:ascii="Garamond" w:eastAsia="Times New Roman" w:hAnsi="Garamond" w:cs="Times New Roman"/>
                <w:b/>
                <w:bCs/>
                <w:color w:val="FF0000"/>
                <w:sz w:val="4"/>
                <w:szCs w:val="4"/>
              </w:rPr>
              <w:t>(19,523,053)</w:t>
            </w:r>
          </w:p>
        </w:tc>
        <w:tc>
          <w:tcPr>
            <w:tcW w:w="244" w:type="pct"/>
            <w:tcBorders>
              <w:top w:val="nil"/>
              <w:left w:val="nil"/>
              <w:bottom w:val="single" w:sz="8" w:space="0" w:color="auto"/>
              <w:right w:val="single" w:sz="4" w:space="0" w:color="auto"/>
            </w:tcBorders>
            <w:shd w:val="clear" w:color="auto" w:fill="auto"/>
            <w:noWrap/>
            <w:vAlign w:val="center"/>
            <w:hideMark/>
          </w:tcPr>
          <w:p w14:paraId="7E7A8CB9" w14:textId="721F9A6B"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 xml:space="preserve">2,528,437 </w:t>
            </w:r>
          </w:p>
        </w:tc>
      </w:tr>
      <w:tr w:rsidR="00635943" w:rsidRPr="00B457F5" w14:paraId="222BE725" w14:textId="77777777" w:rsidTr="00635943">
        <w:trPr>
          <w:trHeight w:val="20"/>
        </w:trPr>
        <w:tc>
          <w:tcPr>
            <w:tcW w:w="5000" w:type="pct"/>
            <w:gridSpan w:val="19"/>
            <w:tcBorders>
              <w:top w:val="single" w:sz="8" w:space="0" w:color="auto"/>
              <w:left w:val="single" w:sz="8" w:space="0" w:color="auto"/>
              <w:bottom w:val="nil"/>
              <w:right w:val="single" w:sz="8" w:space="0" w:color="000000"/>
            </w:tcBorders>
            <w:shd w:val="clear" w:color="auto" w:fill="auto"/>
            <w:vAlign w:val="center"/>
            <w:hideMark/>
          </w:tcPr>
          <w:p w14:paraId="3F8D1358" w14:textId="7E2042C5" w:rsidR="00635943" w:rsidRPr="00B457F5" w:rsidRDefault="00635943" w:rsidP="00635943">
            <w:pPr>
              <w:spacing w:before="0" w:after="0"/>
              <w:jc w:val="left"/>
              <w:rPr>
                <w:rFonts w:ascii="Garamond" w:eastAsia="Times New Roman" w:hAnsi="Garamond" w:cs="Times New Roman"/>
                <w:b/>
                <w:bCs/>
                <w:color w:val="4472C4"/>
                <w:sz w:val="4"/>
                <w:szCs w:val="4"/>
              </w:rPr>
            </w:pPr>
            <w:r w:rsidRPr="00B457F5">
              <w:rPr>
                <w:rFonts w:ascii="Garamond" w:eastAsia="Times New Roman" w:hAnsi="Garamond" w:cs="Times New Roman"/>
                <w:b/>
                <w:bCs/>
                <w:color w:val="4472C4"/>
                <w:sz w:val="4"/>
                <w:szCs w:val="4"/>
              </w:rPr>
              <w:t xml:space="preserve">Qëllimi i </w:t>
            </w:r>
            <w:r w:rsidR="0028334E" w:rsidRPr="00B457F5">
              <w:rPr>
                <w:rFonts w:ascii="Garamond" w:eastAsia="Times New Roman" w:hAnsi="Garamond" w:cs="Times New Roman"/>
                <w:b/>
                <w:bCs/>
                <w:color w:val="4472C4"/>
                <w:sz w:val="4"/>
                <w:szCs w:val="4"/>
              </w:rPr>
              <w:t>p</w:t>
            </w:r>
            <w:r w:rsidRPr="00B457F5">
              <w:rPr>
                <w:rFonts w:ascii="Garamond" w:eastAsia="Times New Roman" w:hAnsi="Garamond" w:cs="Times New Roman"/>
                <w:b/>
                <w:bCs/>
                <w:color w:val="4472C4"/>
                <w:sz w:val="4"/>
                <w:szCs w:val="4"/>
              </w:rPr>
              <w:t>olitikës</w:t>
            </w:r>
            <w:r w:rsidR="0006016F" w:rsidRPr="00B457F5">
              <w:rPr>
                <w:rFonts w:ascii="Garamond" w:eastAsia="Times New Roman" w:hAnsi="Garamond" w:cs="Times New Roman"/>
                <w:b/>
                <w:bCs/>
                <w:color w:val="4472C4"/>
                <w:sz w:val="4"/>
                <w:szCs w:val="4"/>
              </w:rPr>
              <w:t xml:space="preserve"> </w:t>
            </w:r>
            <w:r w:rsidRPr="00B457F5">
              <w:rPr>
                <w:rFonts w:ascii="Garamond" w:eastAsia="Times New Roman" w:hAnsi="Garamond" w:cs="Times New Roman"/>
                <w:b/>
                <w:bCs/>
                <w:color w:val="4472C4"/>
                <w:sz w:val="4"/>
                <w:szCs w:val="4"/>
              </w:rPr>
              <w:t>3.</w:t>
            </w:r>
            <w:r w:rsidR="0006016F" w:rsidRPr="00B457F5">
              <w:rPr>
                <w:rFonts w:ascii="Garamond" w:eastAsia="Times New Roman" w:hAnsi="Garamond" w:cs="Times New Roman"/>
                <w:b/>
                <w:bCs/>
                <w:color w:val="4472C4"/>
                <w:sz w:val="4"/>
                <w:szCs w:val="4"/>
              </w:rPr>
              <w:t xml:space="preserve"> </w:t>
            </w:r>
            <w:r w:rsidRPr="00B457F5">
              <w:rPr>
                <w:rFonts w:ascii="Garamond" w:eastAsia="Times New Roman" w:hAnsi="Garamond" w:cs="Times New Roman"/>
                <w:b/>
                <w:bCs/>
                <w:color w:val="4472C4"/>
                <w:sz w:val="4"/>
                <w:szCs w:val="4"/>
              </w:rPr>
              <w:t>Promovimi i migracionit t</w:t>
            </w:r>
            <w:r w:rsidR="0028334E" w:rsidRPr="00B457F5">
              <w:rPr>
                <w:rFonts w:ascii="Garamond" w:eastAsia="Times New Roman" w:hAnsi="Garamond" w:cs="Times New Roman"/>
                <w:b/>
                <w:bCs/>
                <w:color w:val="4472C4"/>
                <w:sz w:val="4"/>
                <w:szCs w:val="4"/>
              </w:rPr>
              <w:t>ë</w:t>
            </w:r>
            <w:r w:rsidRPr="00B457F5">
              <w:rPr>
                <w:rFonts w:ascii="Garamond" w:eastAsia="Times New Roman" w:hAnsi="Garamond" w:cs="Times New Roman"/>
                <w:b/>
                <w:bCs/>
                <w:color w:val="4472C4"/>
                <w:sz w:val="4"/>
                <w:szCs w:val="4"/>
              </w:rPr>
              <w:t xml:space="preserve"> rregullt dhe mbrojtja e të drejtave të migrantëve dhe integrimi i tyre në shoqërinë shqiptare</w:t>
            </w:r>
          </w:p>
        </w:tc>
      </w:tr>
      <w:tr w:rsidR="00635943" w:rsidRPr="00B457F5" w14:paraId="6DF0C892" w14:textId="77777777" w:rsidTr="00635943">
        <w:trPr>
          <w:trHeight w:val="20"/>
        </w:trPr>
        <w:tc>
          <w:tcPr>
            <w:tcW w:w="343" w:type="pct"/>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14:paraId="094F378F" w14:textId="68AA7417" w:rsidR="00635943" w:rsidRPr="00B457F5" w:rsidRDefault="00635943" w:rsidP="00635943">
            <w:pPr>
              <w:spacing w:before="0" w:after="0"/>
              <w:jc w:val="lef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Objektivat </w:t>
            </w:r>
            <w:r w:rsidR="0028334E" w:rsidRPr="00B457F5">
              <w:rPr>
                <w:rFonts w:ascii="Garamond" w:eastAsia="Times New Roman" w:hAnsi="Garamond" w:cs="Times New Roman"/>
                <w:b/>
                <w:bCs/>
                <w:color w:val="000000"/>
                <w:sz w:val="4"/>
                <w:szCs w:val="4"/>
              </w:rPr>
              <w:t>s</w:t>
            </w:r>
            <w:r w:rsidRPr="00B457F5">
              <w:rPr>
                <w:rFonts w:ascii="Garamond" w:eastAsia="Times New Roman" w:hAnsi="Garamond" w:cs="Times New Roman"/>
                <w:b/>
                <w:bCs/>
                <w:color w:val="000000"/>
                <w:sz w:val="4"/>
                <w:szCs w:val="4"/>
              </w:rPr>
              <w:t>pecifik</w:t>
            </w:r>
            <w:r w:rsidR="0028334E" w:rsidRPr="00B457F5">
              <w:rPr>
                <w:rFonts w:ascii="Garamond" w:eastAsia="Times New Roman" w:hAnsi="Garamond" w:cs="Times New Roman"/>
                <w:b/>
                <w:bCs/>
                <w:color w:val="000000"/>
                <w:sz w:val="4"/>
                <w:szCs w:val="4"/>
              </w:rPr>
              <w:t>ë</w:t>
            </w:r>
          </w:p>
        </w:tc>
        <w:tc>
          <w:tcPr>
            <w:tcW w:w="739" w:type="pct"/>
            <w:gridSpan w:val="2"/>
            <w:tcBorders>
              <w:top w:val="single" w:sz="8" w:space="0" w:color="auto"/>
              <w:left w:val="nil"/>
              <w:bottom w:val="single" w:sz="4" w:space="0" w:color="auto"/>
              <w:right w:val="single" w:sz="4" w:space="0" w:color="auto"/>
            </w:tcBorders>
            <w:shd w:val="clear" w:color="000000" w:fill="FFFFFF"/>
            <w:vAlign w:val="center"/>
            <w:hideMark/>
          </w:tcPr>
          <w:p w14:paraId="3F131682" w14:textId="7CDF6234"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Institucionet </w:t>
            </w:r>
            <w:r w:rsidR="004E4DD1" w:rsidRPr="00B457F5">
              <w:rPr>
                <w:rFonts w:ascii="Garamond" w:eastAsia="Times New Roman" w:hAnsi="Garamond" w:cs="Times New Roman"/>
                <w:b/>
                <w:bCs/>
                <w:color w:val="000000"/>
                <w:sz w:val="4"/>
                <w:szCs w:val="4"/>
              </w:rPr>
              <w:t xml:space="preserve">përgjegjëse </w:t>
            </w:r>
          </w:p>
        </w:tc>
        <w:tc>
          <w:tcPr>
            <w:tcW w:w="427" w:type="pct"/>
            <w:gridSpan w:val="2"/>
            <w:tcBorders>
              <w:top w:val="single" w:sz="8" w:space="0" w:color="auto"/>
              <w:left w:val="nil"/>
              <w:bottom w:val="single" w:sz="4" w:space="0" w:color="auto"/>
              <w:right w:val="single" w:sz="4" w:space="0" w:color="auto"/>
            </w:tcBorders>
            <w:shd w:val="clear" w:color="000000" w:fill="FFFFFF"/>
            <w:vAlign w:val="center"/>
            <w:hideMark/>
          </w:tcPr>
          <w:p w14:paraId="5A533D7C" w14:textId="02141768"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Afati i </w:t>
            </w:r>
            <w:r w:rsidR="0028334E" w:rsidRPr="00B457F5">
              <w:rPr>
                <w:rFonts w:ascii="Garamond" w:eastAsia="Times New Roman" w:hAnsi="Garamond" w:cs="Times New Roman"/>
                <w:b/>
                <w:bCs/>
                <w:color w:val="000000"/>
                <w:sz w:val="4"/>
                <w:szCs w:val="4"/>
              </w:rPr>
              <w:t>z</w:t>
            </w:r>
            <w:r w:rsidRPr="00B457F5">
              <w:rPr>
                <w:rFonts w:ascii="Garamond" w:eastAsia="Times New Roman" w:hAnsi="Garamond" w:cs="Times New Roman"/>
                <w:b/>
                <w:bCs/>
                <w:color w:val="000000"/>
                <w:sz w:val="4"/>
                <w:szCs w:val="4"/>
              </w:rPr>
              <w:t xml:space="preserve">batimit </w:t>
            </w:r>
          </w:p>
        </w:tc>
        <w:tc>
          <w:tcPr>
            <w:tcW w:w="797" w:type="pct"/>
            <w:gridSpan w:val="3"/>
            <w:vMerge w:val="restart"/>
            <w:tcBorders>
              <w:top w:val="single" w:sz="8" w:space="0" w:color="auto"/>
              <w:left w:val="single" w:sz="4" w:space="0" w:color="auto"/>
              <w:bottom w:val="single" w:sz="4" w:space="0" w:color="auto"/>
              <w:right w:val="single" w:sz="4" w:space="0" w:color="auto"/>
            </w:tcBorders>
            <w:shd w:val="clear" w:color="000000" w:fill="FFFFFF"/>
            <w:vAlign w:val="center"/>
            <w:hideMark/>
          </w:tcPr>
          <w:p w14:paraId="466AAA18" w14:textId="7DF9774D"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Kosto</w:t>
            </w:r>
            <w:r w:rsidR="0028334E" w:rsidRPr="00B457F5">
              <w:rPr>
                <w:rFonts w:ascii="Garamond" w:eastAsia="Times New Roman" w:hAnsi="Garamond" w:cs="Times New Roman"/>
                <w:b/>
                <w:bCs/>
                <w:color w:val="000000"/>
                <w:sz w:val="4"/>
                <w:szCs w:val="4"/>
              </w:rPr>
              <w:t>ja</w:t>
            </w:r>
            <w:r w:rsidRPr="00B457F5">
              <w:rPr>
                <w:rFonts w:ascii="Garamond" w:eastAsia="Times New Roman" w:hAnsi="Garamond" w:cs="Times New Roman"/>
                <w:b/>
                <w:bCs/>
                <w:color w:val="000000"/>
                <w:sz w:val="4"/>
                <w:szCs w:val="4"/>
              </w:rPr>
              <w:t xml:space="preserve"> </w:t>
            </w:r>
            <w:r w:rsidR="0028334E" w:rsidRPr="00B457F5">
              <w:rPr>
                <w:rFonts w:ascii="Garamond" w:eastAsia="Times New Roman" w:hAnsi="Garamond" w:cs="Times New Roman"/>
                <w:b/>
                <w:bCs/>
                <w:color w:val="000000"/>
                <w:sz w:val="4"/>
                <w:szCs w:val="4"/>
              </w:rPr>
              <w:t>indiktive t</w:t>
            </w:r>
            <w:r w:rsidRPr="00B457F5">
              <w:rPr>
                <w:rFonts w:ascii="Garamond" w:eastAsia="Times New Roman" w:hAnsi="Garamond" w:cs="Times New Roman"/>
                <w:b/>
                <w:bCs/>
                <w:color w:val="000000"/>
                <w:sz w:val="4"/>
                <w:szCs w:val="4"/>
              </w:rPr>
              <w:t>otale</w:t>
            </w:r>
          </w:p>
        </w:tc>
        <w:tc>
          <w:tcPr>
            <w:tcW w:w="1572" w:type="pct"/>
            <w:gridSpan w:val="6"/>
            <w:tcBorders>
              <w:top w:val="single" w:sz="8" w:space="0" w:color="auto"/>
              <w:left w:val="nil"/>
              <w:bottom w:val="single" w:sz="4" w:space="0" w:color="auto"/>
              <w:right w:val="single" w:sz="4" w:space="0" w:color="auto"/>
            </w:tcBorders>
            <w:shd w:val="clear" w:color="auto" w:fill="auto"/>
            <w:vAlign w:val="center"/>
            <w:hideMark/>
          </w:tcPr>
          <w:p w14:paraId="050C31B7" w14:textId="5C20CB17"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Burimi i mbulimit deri n</w:t>
            </w:r>
            <w:r w:rsidR="0028334E" w:rsidRPr="00B457F5">
              <w:rPr>
                <w:rFonts w:ascii="Garamond" w:eastAsia="Times New Roman" w:hAnsi="Garamond" w:cs="Times New Roman"/>
                <w:b/>
                <w:bCs/>
                <w:color w:val="000000"/>
                <w:sz w:val="4"/>
                <w:szCs w:val="4"/>
              </w:rPr>
              <w:t>ë</w:t>
            </w:r>
            <w:r w:rsidRPr="00B457F5">
              <w:rPr>
                <w:rFonts w:ascii="Garamond" w:eastAsia="Times New Roman" w:hAnsi="Garamond" w:cs="Times New Roman"/>
                <w:b/>
                <w:bCs/>
                <w:color w:val="000000"/>
                <w:sz w:val="4"/>
                <w:szCs w:val="4"/>
              </w:rPr>
              <w:t xml:space="preserve"> 2026</w:t>
            </w:r>
          </w:p>
        </w:tc>
        <w:tc>
          <w:tcPr>
            <w:tcW w:w="594" w:type="pct"/>
            <w:gridSpan w:val="3"/>
            <w:tcBorders>
              <w:top w:val="single" w:sz="8" w:space="0" w:color="auto"/>
              <w:left w:val="nil"/>
              <w:bottom w:val="single" w:sz="4" w:space="0" w:color="auto"/>
              <w:right w:val="single" w:sz="4" w:space="0" w:color="auto"/>
            </w:tcBorders>
            <w:shd w:val="clear" w:color="000000" w:fill="FFFFFF"/>
            <w:vAlign w:val="center"/>
            <w:hideMark/>
          </w:tcPr>
          <w:p w14:paraId="3FDBE889" w14:textId="5E17236F"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Burimi i </w:t>
            </w:r>
            <w:r w:rsidR="0028334E" w:rsidRPr="00B457F5">
              <w:rPr>
                <w:rFonts w:ascii="Garamond" w:eastAsia="Times New Roman" w:hAnsi="Garamond" w:cs="Times New Roman"/>
                <w:b/>
                <w:bCs/>
                <w:color w:val="000000"/>
                <w:sz w:val="4"/>
                <w:szCs w:val="4"/>
              </w:rPr>
              <w:t>f</w:t>
            </w:r>
            <w:r w:rsidRPr="00B457F5">
              <w:rPr>
                <w:rFonts w:ascii="Garamond" w:eastAsia="Times New Roman" w:hAnsi="Garamond" w:cs="Times New Roman"/>
                <w:b/>
                <w:bCs/>
                <w:color w:val="000000"/>
                <w:sz w:val="4"/>
                <w:szCs w:val="4"/>
              </w:rPr>
              <w:t>inancimit</w:t>
            </w:r>
          </w:p>
        </w:tc>
        <w:tc>
          <w:tcPr>
            <w:tcW w:w="284"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7274AC4E" w14:textId="7798160E"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Hendeku financiar</w:t>
            </w:r>
            <w:r w:rsidRPr="00B457F5">
              <w:rPr>
                <w:rFonts w:ascii="Garamond" w:eastAsia="Times New Roman" w:hAnsi="Garamond" w:cs="Times New Roman"/>
                <w:b/>
                <w:bCs/>
                <w:color w:val="000000"/>
                <w:sz w:val="4"/>
                <w:szCs w:val="4"/>
              </w:rPr>
              <w:br/>
              <w:t>2024</w:t>
            </w:r>
            <w:r w:rsidR="0028334E" w:rsidRPr="00B457F5">
              <w:rPr>
                <w:rFonts w:ascii="Garamond" w:eastAsia="Times New Roman" w:hAnsi="Garamond" w:cs="Times New Roman"/>
                <w:b/>
                <w:bCs/>
                <w:color w:val="000000"/>
                <w:sz w:val="4"/>
                <w:szCs w:val="4"/>
              </w:rPr>
              <w:t>–</w:t>
            </w:r>
            <w:r w:rsidRPr="00B457F5">
              <w:rPr>
                <w:rFonts w:ascii="Garamond" w:eastAsia="Times New Roman" w:hAnsi="Garamond" w:cs="Times New Roman"/>
                <w:b/>
                <w:bCs/>
                <w:color w:val="000000"/>
                <w:sz w:val="4"/>
                <w:szCs w:val="4"/>
              </w:rPr>
              <w:t>2030</w:t>
            </w:r>
            <w:r w:rsidRPr="00B457F5">
              <w:rPr>
                <w:rFonts w:ascii="Garamond" w:eastAsia="Times New Roman" w:hAnsi="Garamond" w:cs="Times New Roman"/>
                <w:b/>
                <w:bCs/>
                <w:color w:val="000000"/>
                <w:sz w:val="4"/>
                <w:szCs w:val="4"/>
              </w:rPr>
              <w:br/>
              <w:t xml:space="preserve">(në </w:t>
            </w:r>
            <w:r w:rsidR="0028334E" w:rsidRPr="00B457F5">
              <w:rPr>
                <w:rFonts w:ascii="Garamond" w:eastAsia="Times New Roman" w:hAnsi="Garamond" w:cs="Times New Roman"/>
                <w:b/>
                <w:bCs/>
                <w:color w:val="000000"/>
                <w:sz w:val="4"/>
                <w:szCs w:val="4"/>
              </w:rPr>
              <w:t>l</w:t>
            </w:r>
            <w:r w:rsidRPr="00B457F5">
              <w:rPr>
                <w:rFonts w:ascii="Garamond" w:eastAsia="Times New Roman" w:hAnsi="Garamond" w:cs="Times New Roman"/>
                <w:b/>
                <w:bCs/>
                <w:color w:val="000000"/>
                <w:sz w:val="4"/>
                <w:szCs w:val="4"/>
              </w:rPr>
              <w:t>ekë)</w:t>
            </w:r>
          </w:p>
        </w:tc>
        <w:tc>
          <w:tcPr>
            <w:tcW w:w="244" w:type="pct"/>
            <w:vMerge w:val="restart"/>
            <w:tcBorders>
              <w:top w:val="single" w:sz="8" w:space="0" w:color="auto"/>
              <w:left w:val="single" w:sz="4" w:space="0" w:color="auto"/>
              <w:bottom w:val="single" w:sz="4" w:space="0" w:color="auto"/>
              <w:right w:val="single" w:sz="8" w:space="0" w:color="auto"/>
            </w:tcBorders>
            <w:shd w:val="clear" w:color="auto" w:fill="auto"/>
            <w:vAlign w:val="center"/>
            <w:hideMark/>
          </w:tcPr>
          <w:p w14:paraId="010312B1" w14:textId="0B4AA884"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Kosto</w:t>
            </w:r>
            <w:r w:rsidR="0028334E" w:rsidRPr="00B457F5">
              <w:rPr>
                <w:rFonts w:ascii="Garamond" w:eastAsia="Times New Roman" w:hAnsi="Garamond" w:cs="Times New Roman"/>
                <w:b/>
                <w:bCs/>
                <w:color w:val="000000"/>
                <w:sz w:val="4"/>
                <w:szCs w:val="4"/>
              </w:rPr>
              <w:t>ja</w:t>
            </w:r>
            <w:r w:rsidRPr="00B457F5">
              <w:rPr>
                <w:rFonts w:ascii="Garamond" w:eastAsia="Times New Roman" w:hAnsi="Garamond" w:cs="Times New Roman"/>
                <w:b/>
                <w:bCs/>
                <w:color w:val="000000"/>
                <w:sz w:val="4"/>
                <w:szCs w:val="4"/>
              </w:rPr>
              <w:t xml:space="preserve"> totale n</w:t>
            </w:r>
            <w:r w:rsidR="0028334E" w:rsidRPr="00B457F5">
              <w:rPr>
                <w:rFonts w:ascii="Garamond" w:eastAsia="Times New Roman" w:hAnsi="Garamond" w:cs="Times New Roman"/>
                <w:b/>
                <w:bCs/>
                <w:color w:val="000000"/>
                <w:sz w:val="4"/>
                <w:szCs w:val="4"/>
              </w:rPr>
              <w:t>ë</w:t>
            </w:r>
            <w:r w:rsidRPr="00B457F5">
              <w:rPr>
                <w:rFonts w:ascii="Garamond" w:eastAsia="Times New Roman" w:hAnsi="Garamond" w:cs="Times New Roman"/>
                <w:b/>
                <w:bCs/>
                <w:color w:val="000000"/>
                <w:sz w:val="4"/>
                <w:szCs w:val="4"/>
              </w:rPr>
              <w:t xml:space="preserve"> EUR</w:t>
            </w:r>
            <w:r w:rsidRPr="00B457F5">
              <w:rPr>
                <w:rFonts w:ascii="Garamond" w:eastAsia="Times New Roman" w:hAnsi="Garamond" w:cs="Times New Roman"/>
                <w:b/>
                <w:bCs/>
                <w:color w:val="000000"/>
                <w:sz w:val="4"/>
                <w:szCs w:val="4"/>
              </w:rPr>
              <w:br/>
              <w:t xml:space="preserve">(kursi </w:t>
            </w:r>
            <w:r w:rsidR="00B457F5" w:rsidRPr="00B457F5">
              <w:rPr>
                <w:rFonts w:ascii="Garamond" w:eastAsia="Times New Roman" w:hAnsi="Garamond" w:cs="Times New Roman"/>
                <w:b/>
                <w:bCs/>
                <w:color w:val="000000"/>
                <w:sz w:val="4"/>
                <w:szCs w:val="4"/>
              </w:rPr>
              <w:t>i këmbimit</w:t>
            </w:r>
            <w:r w:rsidRPr="00B457F5">
              <w:rPr>
                <w:rFonts w:ascii="Garamond" w:eastAsia="Times New Roman" w:hAnsi="Garamond" w:cs="Times New Roman"/>
                <w:b/>
                <w:bCs/>
                <w:color w:val="000000"/>
                <w:sz w:val="4"/>
                <w:szCs w:val="4"/>
              </w:rPr>
              <w:t>: 1 EUR = 110ALL)</w:t>
            </w:r>
          </w:p>
        </w:tc>
      </w:tr>
      <w:tr w:rsidR="00635943" w:rsidRPr="00B457F5" w14:paraId="3036DD5B" w14:textId="77777777" w:rsidTr="00635943">
        <w:trPr>
          <w:trHeight w:val="20"/>
        </w:trPr>
        <w:tc>
          <w:tcPr>
            <w:tcW w:w="343" w:type="pct"/>
            <w:vMerge/>
            <w:tcBorders>
              <w:top w:val="single" w:sz="8" w:space="0" w:color="auto"/>
              <w:left w:val="single" w:sz="8" w:space="0" w:color="auto"/>
              <w:bottom w:val="single" w:sz="4" w:space="0" w:color="auto"/>
              <w:right w:val="single" w:sz="4" w:space="0" w:color="auto"/>
            </w:tcBorders>
            <w:vAlign w:val="center"/>
            <w:hideMark/>
          </w:tcPr>
          <w:p w14:paraId="494B72B0"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c>
          <w:tcPr>
            <w:tcW w:w="266" w:type="pct"/>
            <w:vMerge w:val="restart"/>
            <w:tcBorders>
              <w:top w:val="nil"/>
              <w:left w:val="single" w:sz="4" w:space="0" w:color="auto"/>
              <w:bottom w:val="single" w:sz="4" w:space="0" w:color="auto"/>
              <w:right w:val="single" w:sz="4" w:space="0" w:color="auto"/>
            </w:tcBorders>
            <w:shd w:val="clear" w:color="000000" w:fill="FFFFFF"/>
            <w:vAlign w:val="center"/>
            <w:hideMark/>
          </w:tcPr>
          <w:p w14:paraId="6E7BB3A9" w14:textId="77777777"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Institucioni përgjegjës</w:t>
            </w:r>
          </w:p>
        </w:tc>
        <w:tc>
          <w:tcPr>
            <w:tcW w:w="474" w:type="pct"/>
            <w:vMerge w:val="restart"/>
            <w:tcBorders>
              <w:top w:val="nil"/>
              <w:left w:val="single" w:sz="4" w:space="0" w:color="auto"/>
              <w:bottom w:val="single" w:sz="4" w:space="0" w:color="auto"/>
              <w:right w:val="single" w:sz="4" w:space="0" w:color="auto"/>
            </w:tcBorders>
            <w:shd w:val="clear" w:color="000000" w:fill="FFFFFF"/>
            <w:vAlign w:val="center"/>
            <w:hideMark/>
          </w:tcPr>
          <w:p w14:paraId="1AA83F8D" w14:textId="5DAC09E6"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Institucioni kontribu</w:t>
            </w:r>
            <w:r w:rsidR="00AF12C0" w:rsidRPr="00B457F5">
              <w:rPr>
                <w:rFonts w:ascii="Garamond" w:eastAsia="Times New Roman" w:hAnsi="Garamond" w:cs="Times New Roman"/>
                <w:b/>
                <w:bCs/>
                <w:color w:val="000000"/>
                <w:sz w:val="4"/>
                <w:szCs w:val="4"/>
              </w:rPr>
              <w:t>u</w:t>
            </w:r>
            <w:r w:rsidRPr="00B457F5">
              <w:rPr>
                <w:rFonts w:ascii="Garamond" w:eastAsia="Times New Roman" w:hAnsi="Garamond" w:cs="Times New Roman"/>
                <w:b/>
                <w:bCs/>
                <w:color w:val="000000"/>
                <w:sz w:val="4"/>
                <w:szCs w:val="4"/>
              </w:rPr>
              <w:t>es</w:t>
            </w:r>
          </w:p>
        </w:tc>
        <w:tc>
          <w:tcPr>
            <w:tcW w:w="196" w:type="pct"/>
            <w:vMerge w:val="restart"/>
            <w:tcBorders>
              <w:top w:val="nil"/>
              <w:left w:val="single" w:sz="4" w:space="0" w:color="auto"/>
              <w:bottom w:val="single" w:sz="4" w:space="0" w:color="auto"/>
              <w:right w:val="single" w:sz="4" w:space="0" w:color="auto"/>
            </w:tcBorders>
            <w:shd w:val="clear" w:color="000000" w:fill="FFFFFF"/>
            <w:vAlign w:val="center"/>
            <w:hideMark/>
          </w:tcPr>
          <w:p w14:paraId="439AC017" w14:textId="43357448"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Afati </w:t>
            </w:r>
            <w:r w:rsidR="0028334E" w:rsidRPr="00B457F5">
              <w:rPr>
                <w:rFonts w:ascii="Garamond" w:eastAsia="Times New Roman" w:hAnsi="Garamond" w:cs="Times New Roman"/>
                <w:b/>
                <w:bCs/>
                <w:color w:val="000000"/>
                <w:sz w:val="4"/>
                <w:szCs w:val="4"/>
              </w:rPr>
              <w:t>i f</w:t>
            </w:r>
            <w:r w:rsidRPr="00B457F5">
              <w:rPr>
                <w:rFonts w:ascii="Garamond" w:eastAsia="Times New Roman" w:hAnsi="Garamond" w:cs="Times New Roman"/>
                <w:b/>
                <w:bCs/>
                <w:color w:val="000000"/>
                <w:sz w:val="4"/>
                <w:szCs w:val="4"/>
              </w:rPr>
              <w:t>illimit</w:t>
            </w:r>
          </w:p>
        </w:tc>
        <w:tc>
          <w:tcPr>
            <w:tcW w:w="231" w:type="pct"/>
            <w:vMerge w:val="restart"/>
            <w:tcBorders>
              <w:top w:val="nil"/>
              <w:left w:val="single" w:sz="4" w:space="0" w:color="auto"/>
              <w:bottom w:val="single" w:sz="4" w:space="0" w:color="auto"/>
              <w:right w:val="single" w:sz="4" w:space="0" w:color="auto"/>
            </w:tcBorders>
            <w:shd w:val="clear" w:color="000000" w:fill="FFFFFF"/>
            <w:vAlign w:val="center"/>
            <w:hideMark/>
          </w:tcPr>
          <w:p w14:paraId="22C81137" w14:textId="376830F7"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Afati </w:t>
            </w:r>
            <w:r w:rsidR="0028334E" w:rsidRPr="00B457F5">
              <w:rPr>
                <w:rFonts w:ascii="Garamond" w:eastAsia="Times New Roman" w:hAnsi="Garamond" w:cs="Times New Roman"/>
                <w:b/>
                <w:bCs/>
                <w:color w:val="000000"/>
                <w:sz w:val="4"/>
                <w:szCs w:val="4"/>
              </w:rPr>
              <w:t>i m</w:t>
            </w:r>
            <w:r w:rsidRPr="00B457F5">
              <w:rPr>
                <w:rFonts w:ascii="Garamond" w:eastAsia="Times New Roman" w:hAnsi="Garamond" w:cs="Times New Roman"/>
                <w:b/>
                <w:bCs/>
                <w:color w:val="000000"/>
                <w:sz w:val="4"/>
                <w:szCs w:val="4"/>
              </w:rPr>
              <w:t>barimit</w:t>
            </w:r>
          </w:p>
        </w:tc>
        <w:tc>
          <w:tcPr>
            <w:tcW w:w="797" w:type="pct"/>
            <w:gridSpan w:val="3"/>
            <w:vMerge/>
            <w:tcBorders>
              <w:top w:val="nil"/>
              <w:left w:val="single" w:sz="4" w:space="0" w:color="auto"/>
              <w:bottom w:val="single" w:sz="4" w:space="0" w:color="auto"/>
              <w:right w:val="single" w:sz="4" w:space="0" w:color="auto"/>
            </w:tcBorders>
            <w:vAlign w:val="center"/>
            <w:hideMark/>
          </w:tcPr>
          <w:p w14:paraId="7049432B"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c>
          <w:tcPr>
            <w:tcW w:w="825" w:type="pct"/>
            <w:gridSpan w:val="3"/>
            <w:tcBorders>
              <w:top w:val="single" w:sz="4" w:space="0" w:color="auto"/>
              <w:left w:val="nil"/>
              <w:bottom w:val="single" w:sz="4" w:space="0" w:color="auto"/>
              <w:right w:val="single" w:sz="4" w:space="0" w:color="auto"/>
            </w:tcBorders>
            <w:shd w:val="clear" w:color="auto" w:fill="auto"/>
            <w:vAlign w:val="center"/>
            <w:hideMark/>
          </w:tcPr>
          <w:p w14:paraId="45A2C0CE" w14:textId="2FBF8EA3"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PBA 2024</w:t>
            </w:r>
            <w:r w:rsidR="0028334E" w:rsidRPr="00B457F5">
              <w:rPr>
                <w:rFonts w:ascii="Garamond" w:eastAsia="Times New Roman" w:hAnsi="Garamond" w:cs="Times New Roman"/>
                <w:b/>
                <w:bCs/>
                <w:color w:val="000000"/>
                <w:sz w:val="4"/>
                <w:szCs w:val="4"/>
              </w:rPr>
              <w:t>–</w:t>
            </w:r>
            <w:r w:rsidRPr="00B457F5">
              <w:rPr>
                <w:rFonts w:ascii="Garamond" w:eastAsia="Times New Roman" w:hAnsi="Garamond" w:cs="Times New Roman"/>
                <w:b/>
                <w:bCs/>
                <w:color w:val="000000"/>
                <w:sz w:val="4"/>
                <w:szCs w:val="4"/>
              </w:rPr>
              <w:t xml:space="preserve">2026 (në </w:t>
            </w:r>
            <w:r w:rsidR="0028334E" w:rsidRPr="00B457F5">
              <w:rPr>
                <w:rFonts w:ascii="Garamond" w:eastAsia="Times New Roman" w:hAnsi="Garamond" w:cs="Times New Roman"/>
                <w:b/>
                <w:bCs/>
                <w:color w:val="000000"/>
                <w:sz w:val="4"/>
                <w:szCs w:val="4"/>
              </w:rPr>
              <w:t>l</w:t>
            </w:r>
            <w:r w:rsidRPr="00B457F5">
              <w:rPr>
                <w:rFonts w:ascii="Garamond" w:eastAsia="Times New Roman" w:hAnsi="Garamond" w:cs="Times New Roman"/>
                <w:b/>
                <w:bCs/>
                <w:color w:val="000000"/>
                <w:sz w:val="4"/>
                <w:szCs w:val="4"/>
              </w:rPr>
              <w:t>ekë)</w:t>
            </w:r>
          </w:p>
        </w:tc>
        <w:tc>
          <w:tcPr>
            <w:tcW w:w="747" w:type="pct"/>
            <w:gridSpan w:val="3"/>
            <w:tcBorders>
              <w:top w:val="single" w:sz="4" w:space="0" w:color="auto"/>
              <w:left w:val="nil"/>
              <w:bottom w:val="single" w:sz="4" w:space="0" w:color="auto"/>
              <w:right w:val="single" w:sz="4" w:space="0" w:color="auto"/>
            </w:tcBorders>
            <w:shd w:val="clear" w:color="auto" w:fill="auto"/>
            <w:vAlign w:val="center"/>
            <w:hideMark/>
          </w:tcPr>
          <w:p w14:paraId="0FCB862A" w14:textId="6817960D"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Financim i </w:t>
            </w:r>
            <w:r w:rsidR="0028334E" w:rsidRPr="00B457F5">
              <w:rPr>
                <w:rFonts w:ascii="Garamond" w:eastAsia="Times New Roman" w:hAnsi="Garamond" w:cs="Times New Roman"/>
                <w:b/>
                <w:bCs/>
                <w:color w:val="000000"/>
                <w:sz w:val="4"/>
                <w:szCs w:val="4"/>
              </w:rPr>
              <w:t>huaj/burime t</w:t>
            </w:r>
            <w:r w:rsidR="0028334E" w:rsidRPr="00B457F5">
              <w:rPr>
                <w:rFonts w:ascii="Garamond" w:eastAsia="Times New Roman" w:hAnsi="Garamond" w:cs="Calibri"/>
                <w:b/>
                <w:bCs/>
                <w:color w:val="000000"/>
                <w:sz w:val="4"/>
                <w:szCs w:val="4"/>
              </w:rPr>
              <w:t>ë</w:t>
            </w:r>
            <w:r w:rsidR="0028334E" w:rsidRPr="00B457F5">
              <w:rPr>
                <w:rFonts w:ascii="Garamond" w:eastAsia="Times New Roman" w:hAnsi="Garamond" w:cs="Times New Roman"/>
                <w:b/>
                <w:bCs/>
                <w:color w:val="000000"/>
                <w:sz w:val="4"/>
                <w:szCs w:val="4"/>
              </w:rPr>
              <w:t xml:space="preserve"> tjera </w:t>
            </w:r>
            <w:r w:rsidRPr="00B457F5">
              <w:rPr>
                <w:rFonts w:ascii="Garamond" w:eastAsia="Times New Roman" w:hAnsi="Garamond" w:cs="Times New Roman"/>
                <w:b/>
                <w:bCs/>
                <w:color w:val="000000"/>
                <w:sz w:val="4"/>
                <w:szCs w:val="4"/>
              </w:rPr>
              <w:t>(në lekë)</w:t>
            </w:r>
          </w:p>
        </w:tc>
        <w:tc>
          <w:tcPr>
            <w:tcW w:w="594" w:type="pct"/>
            <w:gridSpan w:val="3"/>
            <w:tcBorders>
              <w:top w:val="single" w:sz="4" w:space="0" w:color="auto"/>
              <w:left w:val="nil"/>
              <w:bottom w:val="single" w:sz="4" w:space="0" w:color="auto"/>
              <w:right w:val="single" w:sz="4" w:space="0" w:color="auto"/>
            </w:tcBorders>
            <w:shd w:val="clear" w:color="000000" w:fill="FFFFFF"/>
            <w:vAlign w:val="center"/>
            <w:hideMark/>
          </w:tcPr>
          <w:p w14:paraId="0DE6BF3F" w14:textId="17E5A5A2"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Buxheti 2027</w:t>
            </w:r>
            <w:r w:rsidR="0028334E" w:rsidRPr="00B457F5">
              <w:rPr>
                <w:rFonts w:ascii="Garamond" w:eastAsia="Times New Roman" w:hAnsi="Garamond" w:cs="Times New Roman"/>
                <w:b/>
                <w:bCs/>
                <w:color w:val="000000"/>
                <w:sz w:val="4"/>
                <w:szCs w:val="4"/>
              </w:rPr>
              <w:t>–</w:t>
            </w:r>
            <w:r w:rsidRPr="00B457F5">
              <w:rPr>
                <w:rFonts w:ascii="Garamond" w:eastAsia="Times New Roman" w:hAnsi="Garamond" w:cs="Times New Roman"/>
                <w:b/>
                <w:bCs/>
                <w:color w:val="000000"/>
                <w:sz w:val="4"/>
                <w:szCs w:val="4"/>
              </w:rPr>
              <w:t>2030 (në lekë)</w:t>
            </w:r>
          </w:p>
        </w:tc>
        <w:tc>
          <w:tcPr>
            <w:tcW w:w="284" w:type="pct"/>
            <w:vMerge/>
            <w:tcBorders>
              <w:top w:val="single" w:sz="8" w:space="0" w:color="auto"/>
              <w:left w:val="single" w:sz="4" w:space="0" w:color="auto"/>
              <w:bottom w:val="single" w:sz="4" w:space="0" w:color="auto"/>
              <w:right w:val="single" w:sz="4" w:space="0" w:color="auto"/>
            </w:tcBorders>
            <w:vAlign w:val="center"/>
            <w:hideMark/>
          </w:tcPr>
          <w:p w14:paraId="68437A06"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c>
          <w:tcPr>
            <w:tcW w:w="244" w:type="pct"/>
            <w:vMerge/>
            <w:tcBorders>
              <w:top w:val="single" w:sz="8" w:space="0" w:color="auto"/>
              <w:left w:val="single" w:sz="4" w:space="0" w:color="auto"/>
              <w:bottom w:val="single" w:sz="4" w:space="0" w:color="auto"/>
              <w:right w:val="single" w:sz="8" w:space="0" w:color="auto"/>
            </w:tcBorders>
            <w:vAlign w:val="center"/>
            <w:hideMark/>
          </w:tcPr>
          <w:p w14:paraId="7FAD2379"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r>
      <w:tr w:rsidR="0028334E" w:rsidRPr="00B457F5" w14:paraId="101EE398" w14:textId="77777777" w:rsidTr="00635943">
        <w:trPr>
          <w:trHeight w:val="20"/>
        </w:trPr>
        <w:tc>
          <w:tcPr>
            <w:tcW w:w="343" w:type="pct"/>
            <w:vMerge/>
            <w:tcBorders>
              <w:top w:val="single" w:sz="8" w:space="0" w:color="auto"/>
              <w:left w:val="single" w:sz="8" w:space="0" w:color="auto"/>
              <w:bottom w:val="single" w:sz="4" w:space="0" w:color="auto"/>
              <w:right w:val="single" w:sz="4" w:space="0" w:color="auto"/>
            </w:tcBorders>
            <w:vAlign w:val="center"/>
            <w:hideMark/>
          </w:tcPr>
          <w:p w14:paraId="43D6C466"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c>
          <w:tcPr>
            <w:tcW w:w="266" w:type="pct"/>
            <w:vMerge/>
            <w:tcBorders>
              <w:top w:val="nil"/>
              <w:left w:val="single" w:sz="4" w:space="0" w:color="auto"/>
              <w:bottom w:val="single" w:sz="4" w:space="0" w:color="auto"/>
              <w:right w:val="single" w:sz="4" w:space="0" w:color="auto"/>
            </w:tcBorders>
            <w:vAlign w:val="center"/>
            <w:hideMark/>
          </w:tcPr>
          <w:p w14:paraId="21395CD1"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c>
          <w:tcPr>
            <w:tcW w:w="474" w:type="pct"/>
            <w:vMerge/>
            <w:tcBorders>
              <w:top w:val="nil"/>
              <w:left w:val="single" w:sz="4" w:space="0" w:color="auto"/>
              <w:bottom w:val="single" w:sz="4" w:space="0" w:color="auto"/>
              <w:right w:val="single" w:sz="4" w:space="0" w:color="auto"/>
            </w:tcBorders>
            <w:vAlign w:val="center"/>
            <w:hideMark/>
          </w:tcPr>
          <w:p w14:paraId="30AA76A6"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1696850A"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c>
          <w:tcPr>
            <w:tcW w:w="231" w:type="pct"/>
            <w:vMerge/>
            <w:tcBorders>
              <w:top w:val="nil"/>
              <w:left w:val="single" w:sz="4" w:space="0" w:color="auto"/>
              <w:bottom w:val="single" w:sz="4" w:space="0" w:color="auto"/>
              <w:right w:val="single" w:sz="4" w:space="0" w:color="auto"/>
            </w:tcBorders>
            <w:vAlign w:val="center"/>
            <w:hideMark/>
          </w:tcPr>
          <w:p w14:paraId="277A9618"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c>
          <w:tcPr>
            <w:tcW w:w="259" w:type="pct"/>
            <w:tcBorders>
              <w:top w:val="nil"/>
              <w:left w:val="nil"/>
              <w:bottom w:val="single" w:sz="4" w:space="0" w:color="auto"/>
              <w:right w:val="single" w:sz="4" w:space="0" w:color="auto"/>
            </w:tcBorders>
            <w:shd w:val="clear" w:color="000000" w:fill="FFFFFF"/>
            <w:vAlign w:val="center"/>
            <w:hideMark/>
          </w:tcPr>
          <w:p w14:paraId="24DCD8CF" w14:textId="6662D223"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Kor</w:t>
            </w:r>
            <w:r w:rsidR="0028334E" w:rsidRPr="00B457F5">
              <w:rPr>
                <w:rFonts w:ascii="Garamond" w:eastAsia="Times New Roman" w:hAnsi="Garamond" w:cs="Times New Roman"/>
                <w:b/>
                <w:bCs/>
                <w:color w:val="000000"/>
                <w:sz w:val="4"/>
                <w:szCs w:val="4"/>
              </w:rPr>
              <w:t>r</w:t>
            </w:r>
            <w:r w:rsidRPr="00B457F5">
              <w:rPr>
                <w:rFonts w:ascii="Garamond" w:eastAsia="Times New Roman" w:hAnsi="Garamond" w:cs="Times New Roman"/>
                <w:b/>
                <w:bCs/>
                <w:color w:val="000000"/>
                <w:sz w:val="4"/>
                <w:szCs w:val="4"/>
              </w:rPr>
              <w:t>ente</w:t>
            </w:r>
          </w:p>
        </w:tc>
        <w:tc>
          <w:tcPr>
            <w:tcW w:w="278" w:type="pct"/>
            <w:tcBorders>
              <w:top w:val="nil"/>
              <w:left w:val="nil"/>
              <w:bottom w:val="single" w:sz="4" w:space="0" w:color="auto"/>
              <w:right w:val="single" w:sz="4" w:space="0" w:color="auto"/>
            </w:tcBorders>
            <w:shd w:val="clear" w:color="000000" w:fill="FFFFFF"/>
            <w:vAlign w:val="center"/>
            <w:hideMark/>
          </w:tcPr>
          <w:p w14:paraId="4776389E" w14:textId="77777777"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Kapitale</w:t>
            </w:r>
          </w:p>
        </w:tc>
        <w:tc>
          <w:tcPr>
            <w:tcW w:w="260" w:type="pct"/>
            <w:tcBorders>
              <w:top w:val="nil"/>
              <w:left w:val="nil"/>
              <w:bottom w:val="single" w:sz="4" w:space="0" w:color="auto"/>
              <w:right w:val="single" w:sz="4" w:space="0" w:color="auto"/>
            </w:tcBorders>
            <w:shd w:val="clear" w:color="000000" w:fill="FFFFFF"/>
            <w:vAlign w:val="center"/>
            <w:hideMark/>
          </w:tcPr>
          <w:p w14:paraId="1D66E0D0" w14:textId="281C254B"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Total </w:t>
            </w:r>
            <w:r w:rsidR="0028334E" w:rsidRPr="00B457F5">
              <w:rPr>
                <w:rFonts w:ascii="Garamond" w:eastAsia="Times New Roman" w:hAnsi="Garamond" w:cs="Times New Roman"/>
                <w:b/>
                <w:bCs/>
                <w:color w:val="000000"/>
                <w:sz w:val="4"/>
                <w:szCs w:val="4"/>
              </w:rPr>
              <w:t>k</w:t>
            </w:r>
            <w:r w:rsidRPr="00B457F5">
              <w:rPr>
                <w:rFonts w:ascii="Garamond" w:eastAsia="Times New Roman" w:hAnsi="Garamond" w:cs="Times New Roman"/>
                <w:b/>
                <w:bCs/>
                <w:color w:val="000000"/>
                <w:sz w:val="4"/>
                <w:szCs w:val="4"/>
              </w:rPr>
              <w:t>osto</w:t>
            </w:r>
          </w:p>
        </w:tc>
        <w:tc>
          <w:tcPr>
            <w:tcW w:w="313" w:type="pct"/>
            <w:tcBorders>
              <w:top w:val="nil"/>
              <w:left w:val="nil"/>
              <w:bottom w:val="single" w:sz="4" w:space="0" w:color="auto"/>
              <w:right w:val="single" w:sz="4" w:space="0" w:color="auto"/>
            </w:tcBorders>
            <w:shd w:val="clear" w:color="auto" w:fill="auto"/>
            <w:vAlign w:val="center"/>
            <w:hideMark/>
          </w:tcPr>
          <w:p w14:paraId="0ECB561F" w14:textId="5ACF70B5"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Kor</w:t>
            </w:r>
            <w:r w:rsidR="0028334E" w:rsidRPr="00B457F5">
              <w:rPr>
                <w:rFonts w:ascii="Garamond" w:eastAsia="Times New Roman" w:hAnsi="Garamond" w:cs="Times New Roman"/>
                <w:b/>
                <w:bCs/>
                <w:color w:val="000000"/>
                <w:sz w:val="4"/>
                <w:szCs w:val="4"/>
              </w:rPr>
              <w:t>r</w:t>
            </w:r>
            <w:r w:rsidRPr="00B457F5">
              <w:rPr>
                <w:rFonts w:ascii="Garamond" w:eastAsia="Times New Roman" w:hAnsi="Garamond" w:cs="Times New Roman"/>
                <w:b/>
                <w:bCs/>
                <w:color w:val="000000"/>
                <w:sz w:val="4"/>
                <w:szCs w:val="4"/>
              </w:rPr>
              <w:t>ente</w:t>
            </w:r>
          </w:p>
        </w:tc>
        <w:tc>
          <w:tcPr>
            <w:tcW w:w="256" w:type="pct"/>
            <w:tcBorders>
              <w:top w:val="nil"/>
              <w:left w:val="nil"/>
              <w:bottom w:val="single" w:sz="4" w:space="0" w:color="auto"/>
              <w:right w:val="single" w:sz="4" w:space="0" w:color="auto"/>
            </w:tcBorders>
            <w:shd w:val="clear" w:color="auto" w:fill="auto"/>
            <w:vAlign w:val="center"/>
            <w:hideMark/>
          </w:tcPr>
          <w:p w14:paraId="29B38C79" w14:textId="77777777"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Kapitale</w:t>
            </w:r>
          </w:p>
        </w:tc>
        <w:tc>
          <w:tcPr>
            <w:tcW w:w="256" w:type="pct"/>
            <w:tcBorders>
              <w:top w:val="nil"/>
              <w:left w:val="nil"/>
              <w:bottom w:val="single" w:sz="4" w:space="0" w:color="auto"/>
              <w:right w:val="single" w:sz="4" w:space="0" w:color="auto"/>
            </w:tcBorders>
            <w:shd w:val="clear" w:color="auto" w:fill="auto"/>
            <w:vAlign w:val="center"/>
            <w:hideMark/>
          </w:tcPr>
          <w:p w14:paraId="6820D40C" w14:textId="77777777"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Total BSH</w:t>
            </w:r>
          </w:p>
        </w:tc>
        <w:tc>
          <w:tcPr>
            <w:tcW w:w="253" w:type="pct"/>
            <w:tcBorders>
              <w:top w:val="nil"/>
              <w:left w:val="nil"/>
              <w:bottom w:val="single" w:sz="4" w:space="0" w:color="auto"/>
              <w:right w:val="single" w:sz="4" w:space="0" w:color="auto"/>
            </w:tcBorders>
            <w:shd w:val="clear" w:color="auto" w:fill="auto"/>
            <w:vAlign w:val="center"/>
            <w:hideMark/>
          </w:tcPr>
          <w:p w14:paraId="4E73C53F" w14:textId="711C298A"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Kor</w:t>
            </w:r>
            <w:r w:rsidR="0028334E" w:rsidRPr="00B457F5">
              <w:rPr>
                <w:rFonts w:ascii="Garamond" w:eastAsia="Times New Roman" w:hAnsi="Garamond" w:cs="Times New Roman"/>
                <w:b/>
                <w:bCs/>
                <w:color w:val="000000"/>
                <w:sz w:val="4"/>
                <w:szCs w:val="4"/>
              </w:rPr>
              <w:t>r</w:t>
            </w:r>
            <w:r w:rsidRPr="00B457F5">
              <w:rPr>
                <w:rFonts w:ascii="Garamond" w:eastAsia="Times New Roman" w:hAnsi="Garamond" w:cs="Times New Roman"/>
                <w:b/>
                <w:bCs/>
                <w:color w:val="000000"/>
                <w:sz w:val="4"/>
                <w:szCs w:val="4"/>
              </w:rPr>
              <w:t>ente</w:t>
            </w:r>
          </w:p>
        </w:tc>
        <w:tc>
          <w:tcPr>
            <w:tcW w:w="238" w:type="pct"/>
            <w:tcBorders>
              <w:top w:val="nil"/>
              <w:left w:val="nil"/>
              <w:bottom w:val="single" w:sz="4" w:space="0" w:color="auto"/>
              <w:right w:val="single" w:sz="4" w:space="0" w:color="auto"/>
            </w:tcBorders>
            <w:shd w:val="clear" w:color="auto" w:fill="auto"/>
            <w:vAlign w:val="center"/>
            <w:hideMark/>
          </w:tcPr>
          <w:p w14:paraId="4A62E983" w14:textId="77777777" w:rsidR="00635943" w:rsidRPr="00B457F5" w:rsidRDefault="00635943" w:rsidP="00635943">
            <w:pPr>
              <w:spacing w:before="0" w:after="0"/>
              <w:jc w:val="lef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Kapitale</w:t>
            </w:r>
          </w:p>
        </w:tc>
        <w:tc>
          <w:tcPr>
            <w:tcW w:w="256" w:type="pct"/>
            <w:tcBorders>
              <w:top w:val="nil"/>
              <w:left w:val="nil"/>
              <w:bottom w:val="single" w:sz="4" w:space="0" w:color="auto"/>
              <w:right w:val="single" w:sz="4" w:space="0" w:color="auto"/>
            </w:tcBorders>
            <w:shd w:val="clear" w:color="auto" w:fill="auto"/>
            <w:vAlign w:val="center"/>
            <w:hideMark/>
          </w:tcPr>
          <w:p w14:paraId="4FA52872" w14:textId="77777777" w:rsidR="00635943" w:rsidRPr="00B457F5" w:rsidRDefault="00635943" w:rsidP="00635943">
            <w:pPr>
              <w:spacing w:before="0" w:after="0"/>
              <w:jc w:val="lef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Total FH</w:t>
            </w:r>
          </w:p>
        </w:tc>
        <w:tc>
          <w:tcPr>
            <w:tcW w:w="205" w:type="pct"/>
            <w:tcBorders>
              <w:top w:val="nil"/>
              <w:left w:val="nil"/>
              <w:bottom w:val="single" w:sz="4" w:space="0" w:color="auto"/>
              <w:right w:val="single" w:sz="4" w:space="0" w:color="auto"/>
            </w:tcBorders>
            <w:shd w:val="clear" w:color="000000" w:fill="FFFFFF"/>
            <w:vAlign w:val="center"/>
            <w:hideMark/>
          </w:tcPr>
          <w:p w14:paraId="0E0D7FCC" w14:textId="6BE45B45" w:rsidR="00635943" w:rsidRPr="00B457F5" w:rsidRDefault="00635943" w:rsidP="00635943">
            <w:pPr>
              <w:spacing w:before="0" w:after="0"/>
              <w:jc w:val="lef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Kor</w:t>
            </w:r>
            <w:r w:rsidR="0028334E" w:rsidRPr="00B457F5">
              <w:rPr>
                <w:rFonts w:ascii="Garamond" w:eastAsia="Times New Roman" w:hAnsi="Garamond" w:cs="Times New Roman"/>
                <w:b/>
                <w:bCs/>
                <w:color w:val="000000"/>
                <w:sz w:val="4"/>
                <w:szCs w:val="4"/>
              </w:rPr>
              <w:t>r</w:t>
            </w:r>
            <w:r w:rsidRPr="00B457F5">
              <w:rPr>
                <w:rFonts w:ascii="Garamond" w:eastAsia="Times New Roman" w:hAnsi="Garamond" w:cs="Times New Roman"/>
                <w:b/>
                <w:bCs/>
                <w:color w:val="000000"/>
                <w:sz w:val="4"/>
                <w:szCs w:val="4"/>
              </w:rPr>
              <w:t>ente</w:t>
            </w:r>
          </w:p>
        </w:tc>
        <w:tc>
          <w:tcPr>
            <w:tcW w:w="211" w:type="pct"/>
            <w:tcBorders>
              <w:top w:val="nil"/>
              <w:left w:val="nil"/>
              <w:bottom w:val="single" w:sz="4" w:space="0" w:color="auto"/>
              <w:right w:val="single" w:sz="4" w:space="0" w:color="auto"/>
            </w:tcBorders>
            <w:shd w:val="clear" w:color="000000" w:fill="FFFFFF"/>
            <w:vAlign w:val="center"/>
            <w:hideMark/>
          </w:tcPr>
          <w:p w14:paraId="36EC7B8B" w14:textId="77777777" w:rsidR="00635943" w:rsidRPr="00B457F5" w:rsidRDefault="00635943" w:rsidP="00635943">
            <w:pPr>
              <w:spacing w:before="0" w:after="0"/>
              <w:jc w:val="lef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Kapitale</w:t>
            </w:r>
          </w:p>
        </w:tc>
        <w:tc>
          <w:tcPr>
            <w:tcW w:w="177" w:type="pct"/>
            <w:tcBorders>
              <w:top w:val="nil"/>
              <w:left w:val="nil"/>
              <w:bottom w:val="single" w:sz="4" w:space="0" w:color="auto"/>
              <w:right w:val="single" w:sz="4" w:space="0" w:color="auto"/>
            </w:tcBorders>
            <w:shd w:val="clear" w:color="000000" w:fill="FFFFFF"/>
            <w:vAlign w:val="center"/>
            <w:hideMark/>
          </w:tcPr>
          <w:p w14:paraId="294C5372" w14:textId="77777777" w:rsidR="00635943" w:rsidRPr="00B457F5" w:rsidRDefault="00635943" w:rsidP="00635943">
            <w:pPr>
              <w:spacing w:before="0" w:after="0"/>
              <w:jc w:val="lef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Total BSH</w:t>
            </w:r>
          </w:p>
        </w:tc>
        <w:tc>
          <w:tcPr>
            <w:tcW w:w="284" w:type="pct"/>
            <w:tcBorders>
              <w:top w:val="nil"/>
              <w:left w:val="nil"/>
              <w:bottom w:val="single" w:sz="4" w:space="0" w:color="auto"/>
              <w:right w:val="single" w:sz="4" w:space="0" w:color="auto"/>
            </w:tcBorders>
            <w:shd w:val="clear" w:color="auto" w:fill="auto"/>
            <w:vAlign w:val="center"/>
            <w:hideMark/>
          </w:tcPr>
          <w:p w14:paraId="702A0EFC" w14:textId="77777777" w:rsidR="00635943" w:rsidRPr="00B457F5" w:rsidRDefault="00635943" w:rsidP="00635943">
            <w:pPr>
              <w:spacing w:before="0" w:after="0"/>
              <w:jc w:val="lef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w:t>
            </w:r>
          </w:p>
        </w:tc>
        <w:tc>
          <w:tcPr>
            <w:tcW w:w="244" w:type="pct"/>
            <w:tcBorders>
              <w:top w:val="nil"/>
              <w:left w:val="nil"/>
              <w:bottom w:val="single" w:sz="4" w:space="0" w:color="auto"/>
              <w:right w:val="single" w:sz="8" w:space="0" w:color="auto"/>
            </w:tcBorders>
            <w:shd w:val="clear" w:color="auto" w:fill="auto"/>
            <w:vAlign w:val="center"/>
            <w:hideMark/>
          </w:tcPr>
          <w:p w14:paraId="188DB9D5" w14:textId="77777777" w:rsidR="00635943" w:rsidRPr="00B457F5" w:rsidRDefault="00635943" w:rsidP="00635943">
            <w:pPr>
              <w:spacing w:before="0" w:after="0"/>
              <w:jc w:val="lef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w:t>
            </w:r>
          </w:p>
        </w:tc>
      </w:tr>
      <w:tr w:rsidR="0028334E" w:rsidRPr="00B457F5" w14:paraId="39CB66DA" w14:textId="77777777" w:rsidTr="00635943">
        <w:trPr>
          <w:trHeight w:val="20"/>
        </w:trPr>
        <w:tc>
          <w:tcPr>
            <w:tcW w:w="343" w:type="pct"/>
            <w:tcBorders>
              <w:top w:val="nil"/>
              <w:left w:val="single" w:sz="8" w:space="0" w:color="auto"/>
              <w:bottom w:val="single" w:sz="4" w:space="0" w:color="auto"/>
              <w:right w:val="single" w:sz="4" w:space="0" w:color="auto"/>
            </w:tcBorders>
            <w:shd w:val="clear" w:color="auto" w:fill="auto"/>
            <w:vAlign w:val="center"/>
            <w:hideMark/>
          </w:tcPr>
          <w:p w14:paraId="0C0DEF13" w14:textId="2C861DF4" w:rsidR="00635943" w:rsidRPr="00B457F5" w:rsidRDefault="00635943" w:rsidP="00635943">
            <w:pPr>
              <w:spacing w:before="0" w:after="0"/>
              <w:jc w:val="lef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 xml:space="preserve">Objektivi </w:t>
            </w:r>
            <w:r w:rsidR="0028334E" w:rsidRPr="00B457F5">
              <w:rPr>
                <w:rFonts w:ascii="Garamond" w:eastAsia="Times New Roman" w:hAnsi="Garamond" w:cs="Times New Roman"/>
                <w:color w:val="000000"/>
                <w:sz w:val="4"/>
                <w:szCs w:val="4"/>
              </w:rPr>
              <w:t>s</w:t>
            </w:r>
            <w:r w:rsidRPr="00B457F5">
              <w:rPr>
                <w:rFonts w:ascii="Garamond" w:eastAsia="Times New Roman" w:hAnsi="Garamond" w:cs="Times New Roman"/>
                <w:color w:val="000000"/>
                <w:sz w:val="4"/>
                <w:szCs w:val="4"/>
              </w:rPr>
              <w:t>pecifik: 3.1: Fuqizimi dhe integrimi</w:t>
            </w:r>
            <w:r w:rsidR="0006016F" w:rsidRPr="00B457F5">
              <w:rPr>
                <w:rFonts w:ascii="Garamond" w:eastAsia="Times New Roman" w:hAnsi="Garamond" w:cs="Times New Roman"/>
                <w:color w:val="000000"/>
                <w:sz w:val="4"/>
                <w:szCs w:val="4"/>
              </w:rPr>
              <w:t xml:space="preserve"> </w:t>
            </w:r>
            <w:r w:rsidRPr="00B457F5">
              <w:rPr>
                <w:rFonts w:ascii="Garamond" w:eastAsia="Times New Roman" w:hAnsi="Garamond" w:cs="Times New Roman"/>
                <w:color w:val="000000"/>
                <w:sz w:val="4"/>
                <w:szCs w:val="4"/>
              </w:rPr>
              <w:t xml:space="preserve">i </w:t>
            </w:r>
            <w:r w:rsidR="00164C66" w:rsidRPr="00B457F5">
              <w:rPr>
                <w:rFonts w:ascii="Garamond" w:eastAsia="Times New Roman" w:hAnsi="Garamond" w:cs="Times New Roman"/>
                <w:color w:val="000000"/>
                <w:sz w:val="4"/>
                <w:szCs w:val="4"/>
              </w:rPr>
              <w:t>të</w:t>
            </w:r>
            <w:r w:rsidRPr="00B457F5">
              <w:rPr>
                <w:rFonts w:ascii="Garamond" w:eastAsia="Times New Roman" w:hAnsi="Garamond" w:cs="Times New Roman"/>
                <w:color w:val="000000"/>
                <w:sz w:val="4"/>
                <w:szCs w:val="4"/>
              </w:rPr>
              <w:t xml:space="preserve"> huajve në shoqërinë shqiptare</w:t>
            </w:r>
          </w:p>
        </w:tc>
        <w:tc>
          <w:tcPr>
            <w:tcW w:w="266" w:type="pct"/>
            <w:tcBorders>
              <w:top w:val="nil"/>
              <w:left w:val="nil"/>
              <w:bottom w:val="single" w:sz="4" w:space="0" w:color="auto"/>
              <w:right w:val="single" w:sz="4" w:space="0" w:color="auto"/>
            </w:tcBorders>
            <w:shd w:val="clear" w:color="auto" w:fill="auto"/>
            <w:vAlign w:val="center"/>
            <w:hideMark/>
          </w:tcPr>
          <w:p w14:paraId="0D996FDE" w14:textId="77777777" w:rsidR="00635943" w:rsidRPr="00B457F5" w:rsidRDefault="00635943" w:rsidP="00635943">
            <w:pPr>
              <w:spacing w:before="0" w:after="0"/>
              <w:jc w:val="center"/>
              <w:rPr>
                <w:rFonts w:ascii="Garamond" w:eastAsia="Times New Roman" w:hAnsi="Garamond" w:cs="Times New Roman"/>
                <w:sz w:val="4"/>
                <w:szCs w:val="4"/>
              </w:rPr>
            </w:pPr>
            <w:r w:rsidRPr="00B457F5">
              <w:rPr>
                <w:rFonts w:ascii="Garamond" w:eastAsia="Times New Roman" w:hAnsi="Garamond" w:cs="Times New Roman"/>
                <w:sz w:val="4"/>
                <w:szCs w:val="4"/>
              </w:rPr>
              <w:t>KMD, MB, DKM</w:t>
            </w:r>
          </w:p>
        </w:tc>
        <w:tc>
          <w:tcPr>
            <w:tcW w:w="474" w:type="pct"/>
            <w:tcBorders>
              <w:top w:val="nil"/>
              <w:left w:val="nil"/>
              <w:bottom w:val="single" w:sz="4" w:space="0" w:color="auto"/>
              <w:right w:val="single" w:sz="4" w:space="0" w:color="auto"/>
            </w:tcBorders>
            <w:shd w:val="clear" w:color="auto" w:fill="auto"/>
            <w:vAlign w:val="center"/>
            <w:hideMark/>
          </w:tcPr>
          <w:p w14:paraId="52654175" w14:textId="77777777" w:rsidR="00635943" w:rsidRPr="00B457F5" w:rsidRDefault="00635943" w:rsidP="00635943">
            <w:pPr>
              <w:spacing w:before="0" w:after="0"/>
              <w:jc w:val="center"/>
              <w:rPr>
                <w:rFonts w:ascii="Garamond" w:eastAsia="Times New Roman" w:hAnsi="Garamond" w:cs="Times New Roman"/>
                <w:sz w:val="4"/>
                <w:szCs w:val="4"/>
              </w:rPr>
            </w:pPr>
            <w:r w:rsidRPr="00B457F5">
              <w:rPr>
                <w:rFonts w:ascii="Garamond" w:eastAsia="Times New Roman" w:hAnsi="Garamond" w:cs="Times New Roman"/>
                <w:sz w:val="4"/>
                <w:szCs w:val="4"/>
              </w:rPr>
              <w:t>MFE, AKPA, DKM, ZVMD; UNHCR; MEPJ, Ministritë e linjës, MB,, IOM, UNHCR, OSHC, Avokati i Popullit</w:t>
            </w:r>
          </w:p>
        </w:tc>
        <w:tc>
          <w:tcPr>
            <w:tcW w:w="196" w:type="pct"/>
            <w:tcBorders>
              <w:top w:val="nil"/>
              <w:left w:val="nil"/>
              <w:bottom w:val="single" w:sz="4" w:space="0" w:color="auto"/>
              <w:right w:val="single" w:sz="4" w:space="0" w:color="auto"/>
            </w:tcBorders>
            <w:shd w:val="clear" w:color="auto" w:fill="auto"/>
            <w:vAlign w:val="center"/>
            <w:hideMark/>
          </w:tcPr>
          <w:p w14:paraId="118D0CFC" w14:textId="77777777" w:rsidR="00635943" w:rsidRPr="00B457F5" w:rsidRDefault="00635943" w:rsidP="00635943">
            <w:pPr>
              <w:spacing w:before="0" w:after="0"/>
              <w:jc w:val="center"/>
              <w:rPr>
                <w:rFonts w:ascii="Garamond" w:eastAsia="Times New Roman" w:hAnsi="Garamond" w:cs="Times New Roman"/>
                <w:sz w:val="4"/>
                <w:szCs w:val="4"/>
              </w:rPr>
            </w:pPr>
            <w:r w:rsidRPr="00B457F5">
              <w:rPr>
                <w:rFonts w:ascii="Garamond" w:eastAsia="Times New Roman" w:hAnsi="Garamond" w:cs="Times New Roman"/>
                <w:sz w:val="4"/>
                <w:szCs w:val="4"/>
              </w:rPr>
              <w:t>2024</w:t>
            </w:r>
          </w:p>
        </w:tc>
        <w:tc>
          <w:tcPr>
            <w:tcW w:w="231" w:type="pct"/>
            <w:tcBorders>
              <w:top w:val="nil"/>
              <w:left w:val="nil"/>
              <w:bottom w:val="single" w:sz="4" w:space="0" w:color="auto"/>
              <w:right w:val="single" w:sz="4" w:space="0" w:color="auto"/>
            </w:tcBorders>
            <w:shd w:val="clear" w:color="auto" w:fill="auto"/>
            <w:vAlign w:val="center"/>
            <w:hideMark/>
          </w:tcPr>
          <w:p w14:paraId="6B37CD1A" w14:textId="77777777" w:rsidR="00635943" w:rsidRPr="00B457F5" w:rsidRDefault="00635943" w:rsidP="00635943">
            <w:pPr>
              <w:spacing w:before="0" w:after="0"/>
              <w:jc w:val="center"/>
              <w:rPr>
                <w:rFonts w:ascii="Garamond" w:eastAsia="Times New Roman" w:hAnsi="Garamond" w:cs="Times New Roman"/>
                <w:sz w:val="4"/>
                <w:szCs w:val="4"/>
              </w:rPr>
            </w:pPr>
            <w:r w:rsidRPr="00B457F5">
              <w:rPr>
                <w:rFonts w:ascii="Garamond" w:eastAsia="Times New Roman" w:hAnsi="Garamond" w:cs="Times New Roman"/>
                <w:sz w:val="4"/>
                <w:szCs w:val="4"/>
              </w:rPr>
              <w:t>2026</w:t>
            </w:r>
          </w:p>
        </w:tc>
        <w:tc>
          <w:tcPr>
            <w:tcW w:w="259" w:type="pct"/>
            <w:tcBorders>
              <w:top w:val="nil"/>
              <w:left w:val="nil"/>
              <w:bottom w:val="single" w:sz="4" w:space="0" w:color="auto"/>
              <w:right w:val="single" w:sz="4" w:space="0" w:color="auto"/>
            </w:tcBorders>
            <w:shd w:val="clear" w:color="auto" w:fill="auto"/>
            <w:vAlign w:val="center"/>
            <w:hideMark/>
          </w:tcPr>
          <w:p w14:paraId="56C44911"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97,733,683</w:t>
            </w:r>
          </w:p>
        </w:tc>
        <w:tc>
          <w:tcPr>
            <w:tcW w:w="278" w:type="pct"/>
            <w:tcBorders>
              <w:top w:val="nil"/>
              <w:left w:val="nil"/>
              <w:bottom w:val="single" w:sz="4" w:space="0" w:color="auto"/>
              <w:right w:val="single" w:sz="4" w:space="0" w:color="auto"/>
            </w:tcBorders>
            <w:shd w:val="clear" w:color="auto" w:fill="auto"/>
            <w:vAlign w:val="center"/>
            <w:hideMark/>
          </w:tcPr>
          <w:p w14:paraId="4333FD4C"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60" w:type="pct"/>
            <w:tcBorders>
              <w:top w:val="nil"/>
              <w:left w:val="nil"/>
              <w:bottom w:val="single" w:sz="4" w:space="0" w:color="auto"/>
              <w:right w:val="single" w:sz="4" w:space="0" w:color="auto"/>
            </w:tcBorders>
            <w:shd w:val="clear" w:color="auto" w:fill="auto"/>
            <w:vAlign w:val="center"/>
            <w:hideMark/>
          </w:tcPr>
          <w:p w14:paraId="3C892A92" w14:textId="7777777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97,733,683</w:t>
            </w:r>
          </w:p>
        </w:tc>
        <w:tc>
          <w:tcPr>
            <w:tcW w:w="313" w:type="pct"/>
            <w:tcBorders>
              <w:top w:val="single" w:sz="8" w:space="0" w:color="auto"/>
              <w:left w:val="nil"/>
              <w:bottom w:val="single" w:sz="4" w:space="0" w:color="auto"/>
              <w:right w:val="single" w:sz="4" w:space="0" w:color="auto"/>
            </w:tcBorders>
            <w:shd w:val="clear" w:color="auto" w:fill="auto"/>
            <w:vAlign w:val="center"/>
            <w:hideMark/>
          </w:tcPr>
          <w:p w14:paraId="7532F455"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54,190,447</w:t>
            </w:r>
          </w:p>
        </w:tc>
        <w:tc>
          <w:tcPr>
            <w:tcW w:w="256" w:type="pct"/>
            <w:tcBorders>
              <w:top w:val="single" w:sz="8" w:space="0" w:color="auto"/>
              <w:left w:val="nil"/>
              <w:bottom w:val="single" w:sz="4" w:space="0" w:color="auto"/>
              <w:right w:val="single" w:sz="4" w:space="0" w:color="auto"/>
            </w:tcBorders>
            <w:shd w:val="clear" w:color="auto" w:fill="auto"/>
            <w:vAlign w:val="center"/>
            <w:hideMark/>
          </w:tcPr>
          <w:p w14:paraId="3ED46427"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56" w:type="pct"/>
            <w:tcBorders>
              <w:top w:val="nil"/>
              <w:left w:val="nil"/>
              <w:bottom w:val="single" w:sz="4" w:space="0" w:color="auto"/>
              <w:right w:val="single" w:sz="4" w:space="0" w:color="auto"/>
            </w:tcBorders>
            <w:shd w:val="clear" w:color="auto" w:fill="auto"/>
            <w:vAlign w:val="center"/>
            <w:hideMark/>
          </w:tcPr>
          <w:p w14:paraId="75130EFF" w14:textId="7777777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54,190,447</w:t>
            </w:r>
          </w:p>
        </w:tc>
        <w:tc>
          <w:tcPr>
            <w:tcW w:w="253" w:type="pct"/>
            <w:tcBorders>
              <w:top w:val="single" w:sz="8" w:space="0" w:color="auto"/>
              <w:left w:val="nil"/>
              <w:bottom w:val="single" w:sz="4" w:space="0" w:color="auto"/>
              <w:right w:val="single" w:sz="4" w:space="0" w:color="auto"/>
            </w:tcBorders>
            <w:shd w:val="clear" w:color="auto" w:fill="auto"/>
            <w:vAlign w:val="center"/>
            <w:hideMark/>
          </w:tcPr>
          <w:p w14:paraId="77333CE0"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41,743,236</w:t>
            </w:r>
          </w:p>
        </w:tc>
        <w:tc>
          <w:tcPr>
            <w:tcW w:w="238" w:type="pct"/>
            <w:tcBorders>
              <w:top w:val="single" w:sz="8" w:space="0" w:color="auto"/>
              <w:left w:val="nil"/>
              <w:bottom w:val="single" w:sz="4" w:space="0" w:color="auto"/>
              <w:right w:val="single" w:sz="4" w:space="0" w:color="auto"/>
            </w:tcBorders>
            <w:shd w:val="clear" w:color="auto" w:fill="auto"/>
            <w:vAlign w:val="center"/>
            <w:hideMark/>
          </w:tcPr>
          <w:p w14:paraId="03B3617A"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56" w:type="pct"/>
            <w:tcBorders>
              <w:top w:val="nil"/>
              <w:left w:val="nil"/>
              <w:bottom w:val="single" w:sz="4" w:space="0" w:color="auto"/>
              <w:right w:val="single" w:sz="4" w:space="0" w:color="auto"/>
            </w:tcBorders>
            <w:shd w:val="clear" w:color="auto" w:fill="auto"/>
            <w:vAlign w:val="center"/>
            <w:hideMark/>
          </w:tcPr>
          <w:p w14:paraId="13AF41CA" w14:textId="7777777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41,743,236</w:t>
            </w:r>
          </w:p>
        </w:tc>
        <w:tc>
          <w:tcPr>
            <w:tcW w:w="205" w:type="pct"/>
            <w:tcBorders>
              <w:top w:val="single" w:sz="8" w:space="0" w:color="auto"/>
              <w:left w:val="nil"/>
              <w:bottom w:val="single" w:sz="4" w:space="0" w:color="auto"/>
              <w:right w:val="single" w:sz="4" w:space="0" w:color="auto"/>
            </w:tcBorders>
            <w:shd w:val="clear" w:color="auto" w:fill="auto"/>
            <w:vAlign w:val="center"/>
            <w:hideMark/>
          </w:tcPr>
          <w:p w14:paraId="457BAC43"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11" w:type="pct"/>
            <w:tcBorders>
              <w:top w:val="single" w:sz="8" w:space="0" w:color="auto"/>
              <w:left w:val="nil"/>
              <w:bottom w:val="single" w:sz="4" w:space="0" w:color="auto"/>
              <w:right w:val="single" w:sz="4" w:space="0" w:color="auto"/>
            </w:tcBorders>
            <w:shd w:val="clear" w:color="auto" w:fill="auto"/>
            <w:vAlign w:val="center"/>
            <w:hideMark/>
          </w:tcPr>
          <w:p w14:paraId="348C63ED"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177" w:type="pct"/>
            <w:tcBorders>
              <w:top w:val="nil"/>
              <w:left w:val="nil"/>
              <w:bottom w:val="single" w:sz="4" w:space="0" w:color="auto"/>
              <w:right w:val="single" w:sz="4" w:space="0" w:color="auto"/>
            </w:tcBorders>
            <w:shd w:val="clear" w:color="auto" w:fill="auto"/>
            <w:vAlign w:val="center"/>
            <w:hideMark/>
          </w:tcPr>
          <w:p w14:paraId="08E24FEC" w14:textId="7777777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0</w:t>
            </w:r>
          </w:p>
        </w:tc>
        <w:tc>
          <w:tcPr>
            <w:tcW w:w="284" w:type="pct"/>
            <w:tcBorders>
              <w:top w:val="nil"/>
              <w:left w:val="nil"/>
              <w:bottom w:val="single" w:sz="4" w:space="0" w:color="auto"/>
              <w:right w:val="single" w:sz="4" w:space="0" w:color="auto"/>
            </w:tcBorders>
            <w:shd w:val="clear" w:color="auto" w:fill="auto"/>
            <w:vAlign w:val="center"/>
            <w:hideMark/>
          </w:tcPr>
          <w:p w14:paraId="6D20B586" w14:textId="6D615390"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(2,400,000)</w:t>
            </w:r>
          </w:p>
        </w:tc>
        <w:tc>
          <w:tcPr>
            <w:tcW w:w="244" w:type="pct"/>
            <w:tcBorders>
              <w:top w:val="nil"/>
              <w:left w:val="nil"/>
              <w:bottom w:val="single" w:sz="4" w:space="0" w:color="auto"/>
              <w:right w:val="single" w:sz="8" w:space="0" w:color="auto"/>
            </w:tcBorders>
            <w:shd w:val="clear" w:color="auto" w:fill="auto"/>
            <w:noWrap/>
            <w:vAlign w:val="center"/>
            <w:hideMark/>
          </w:tcPr>
          <w:p w14:paraId="1AE0B6A4" w14:textId="7777777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888,488</w:t>
            </w:r>
          </w:p>
        </w:tc>
      </w:tr>
      <w:tr w:rsidR="0028334E" w:rsidRPr="00B457F5" w14:paraId="4F518AED" w14:textId="77777777" w:rsidTr="00635943">
        <w:trPr>
          <w:trHeight w:val="20"/>
        </w:trPr>
        <w:tc>
          <w:tcPr>
            <w:tcW w:w="343" w:type="pct"/>
            <w:tcBorders>
              <w:top w:val="nil"/>
              <w:left w:val="single" w:sz="8" w:space="0" w:color="auto"/>
              <w:bottom w:val="single" w:sz="8" w:space="0" w:color="auto"/>
              <w:right w:val="single" w:sz="4" w:space="0" w:color="auto"/>
            </w:tcBorders>
            <w:shd w:val="clear" w:color="auto" w:fill="auto"/>
            <w:vAlign w:val="bottom"/>
            <w:hideMark/>
          </w:tcPr>
          <w:p w14:paraId="4B3598A7" w14:textId="7E0D5C05" w:rsidR="00635943" w:rsidRPr="00B457F5" w:rsidRDefault="00635943" w:rsidP="00635943">
            <w:pPr>
              <w:spacing w:before="0" w:after="0"/>
              <w:jc w:val="left"/>
              <w:rPr>
                <w:rFonts w:ascii="Garamond" w:eastAsia="Times New Roman" w:hAnsi="Garamond" w:cs="Times New Roman"/>
                <w:color w:val="000000"/>
                <w:sz w:val="4"/>
                <w:szCs w:val="4"/>
              </w:rPr>
            </w:pPr>
            <w:r w:rsidRPr="00B457F5">
              <w:rPr>
                <w:rFonts w:ascii="Garamond" w:eastAsia="Times New Roman" w:hAnsi="Garamond" w:cs="Times New Roman"/>
                <w:b/>
                <w:bCs/>
                <w:color w:val="FF0000"/>
                <w:sz w:val="4"/>
                <w:szCs w:val="4"/>
              </w:rPr>
              <w:t>Kosto</w:t>
            </w:r>
            <w:r w:rsidR="0028334E" w:rsidRPr="00B457F5">
              <w:rPr>
                <w:rFonts w:ascii="Garamond" w:eastAsia="Times New Roman" w:hAnsi="Garamond" w:cs="Times New Roman"/>
                <w:b/>
                <w:bCs/>
                <w:color w:val="FF0000"/>
                <w:sz w:val="4"/>
                <w:szCs w:val="4"/>
              </w:rPr>
              <w:t>ja</w:t>
            </w:r>
            <w:r w:rsidRPr="00B457F5">
              <w:rPr>
                <w:rFonts w:ascii="Garamond" w:eastAsia="Times New Roman" w:hAnsi="Garamond" w:cs="Times New Roman"/>
                <w:b/>
                <w:bCs/>
                <w:color w:val="FF0000"/>
                <w:sz w:val="4"/>
                <w:szCs w:val="4"/>
              </w:rPr>
              <w:t xml:space="preserve"> totale</w:t>
            </w:r>
            <w:r w:rsidR="0028334E" w:rsidRPr="00B457F5">
              <w:rPr>
                <w:rFonts w:ascii="Garamond" w:eastAsia="Times New Roman" w:hAnsi="Garamond" w:cs="Times New Roman"/>
                <w:b/>
                <w:bCs/>
                <w:color w:val="FF0000"/>
                <w:sz w:val="4"/>
                <w:szCs w:val="4"/>
              </w:rPr>
              <w:t xml:space="preserve"> e</w:t>
            </w:r>
            <w:r w:rsidRPr="00B457F5">
              <w:rPr>
                <w:rFonts w:ascii="Garamond" w:eastAsia="Times New Roman" w:hAnsi="Garamond" w:cs="Times New Roman"/>
                <w:b/>
                <w:bCs/>
                <w:color w:val="FF0000"/>
                <w:sz w:val="4"/>
                <w:szCs w:val="4"/>
              </w:rPr>
              <w:t xml:space="preserve"> </w:t>
            </w:r>
            <w:r w:rsidR="0028334E" w:rsidRPr="00B457F5">
              <w:rPr>
                <w:rFonts w:ascii="Garamond" w:eastAsia="Times New Roman" w:hAnsi="Garamond" w:cs="Times New Roman"/>
                <w:b/>
                <w:bCs/>
                <w:color w:val="FF0000"/>
                <w:sz w:val="4"/>
                <w:szCs w:val="4"/>
              </w:rPr>
              <w:t>q</w:t>
            </w:r>
            <w:r w:rsidRPr="00B457F5">
              <w:rPr>
                <w:rFonts w:ascii="Garamond" w:eastAsia="Times New Roman" w:hAnsi="Garamond" w:cs="Times New Roman"/>
                <w:b/>
                <w:bCs/>
                <w:color w:val="FF0000"/>
                <w:sz w:val="4"/>
                <w:szCs w:val="4"/>
              </w:rPr>
              <w:t>ëllimi</w:t>
            </w:r>
            <w:r w:rsidR="0028334E" w:rsidRPr="00B457F5">
              <w:rPr>
                <w:rFonts w:ascii="Garamond" w:eastAsia="Times New Roman" w:hAnsi="Garamond" w:cs="Times New Roman"/>
                <w:b/>
                <w:bCs/>
                <w:color w:val="FF0000"/>
                <w:sz w:val="4"/>
                <w:szCs w:val="4"/>
              </w:rPr>
              <w:t>t</w:t>
            </w:r>
            <w:r w:rsidRPr="00B457F5">
              <w:rPr>
                <w:rFonts w:ascii="Garamond" w:eastAsia="Times New Roman" w:hAnsi="Garamond" w:cs="Times New Roman"/>
                <w:b/>
                <w:bCs/>
                <w:color w:val="FF0000"/>
                <w:sz w:val="4"/>
                <w:szCs w:val="4"/>
              </w:rPr>
              <w:t xml:space="preserve"> </w:t>
            </w:r>
            <w:r w:rsidR="0028334E" w:rsidRPr="00B457F5">
              <w:rPr>
                <w:rFonts w:ascii="Garamond" w:eastAsia="Times New Roman" w:hAnsi="Garamond" w:cs="Times New Roman"/>
                <w:b/>
                <w:bCs/>
                <w:color w:val="FF0000"/>
                <w:sz w:val="4"/>
                <w:szCs w:val="4"/>
              </w:rPr>
              <w:t>të</w:t>
            </w:r>
            <w:r w:rsidRPr="00B457F5">
              <w:rPr>
                <w:rFonts w:ascii="Garamond" w:eastAsia="Times New Roman" w:hAnsi="Garamond" w:cs="Times New Roman"/>
                <w:b/>
                <w:bCs/>
                <w:color w:val="FF0000"/>
                <w:sz w:val="4"/>
                <w:szCs w:val="4"/>
              </w:rPr>
              <w:t xml:space="preserve"> </w:t>
            </w:r>
            <w:r w:rsidR="0028334E" w:rsidRPr="00B457F5">
              <w:rPr>
                <w:rFonts w:ascii="Garamond" w:eastAsia="Times New Roman" w:hAnsi="Garamond" w:cs="Times New Roman"/>
                <w:b/>
                <w:bCs/>
                <w:color w:val="FF0000"/>
                <w:sz w:val="4"/>
                <w:szCs w:val="4"/>
              </w:rPr>
              <w:t>p</w:t>
            </w:r>
            <w:r w:rsidRPr="00B457F5">
              <w:rPr>
                <w:rFonts w:ascii="Garamond" w:eastAsia="Times New Roman" w:hAnsi="Garamond" w:cs="Times New Roman"/>
                <w:b/>
                <w:bCs/>
                <w:color w:val="FF0000"/>
                <w:sz w:val="4"/>
                <w:szCs w:val="4"/>
              </w:rPr>
              <w:t xml:space="preserve">olitikës III </w:t>
            </w:r>
            <w:r w:rsidRPr="00B457F5">
              <w:rPr>
                <w:rFonts w:ascii="Garamond" w:eastAsia="Times New Roman" w:hAnsi="Garamond" w:cs="Times New Roman"/>
                <w:color w:val="000000"/>
                <w:sz w:val="4"/>
                <w:szCs w:val="4"/>
              </w:rPr>
              <w:br/>
              <w:t>(objektiva</w:t>
            </w:r>
            <w:r w:rsidR="00AF4731" w:rsidRPr="00B457F5">
              <w:rPr>
                <w:rFonts w:ascii="Garamond" w:eastAsia="Times New Roman" w:hAnsi="Garamond" w:cs="Times New Roman"/>
                <w:color w:val="000000"/>
                <w:sz w:val="4"/>
                <w:szCs w:val="4"/>
              </w:rPr>
              <w:t>t</w:t>
            </w:r>
            <w:r w:rsidRPr="00B457F5">
              <w:rPr>
                <w:rFonts w:ascii="Garamond" w:eastAsia="Times New Roman" w:hAnsi="Garamond" w:cs="Times New Roman"/>
                <w:color w:val="000000"/>
                <w:sz w:val="4"/>
                <w:szCs w:val="4"/>
              </w:rPr>
              <w:t xml:space="preserve"> specifik</w:t>
            </w:r>
            <w:r w:rsidR="0028334E" w:rsidRPr="00B457F5">
              <w:rPr>
                <w:rFonts w:ascii="Garamond" w:eastAsia="Times New Roman" w:hAnsi="Garamond" w:cs="Times New Roman"/>
                <w:color w:val="000000"/>
                <w:sz w:val="4"/>
                <w:szCs w:val="4"/>
              </w:rPr>
              <w:t>ë</w:t>
            </w:r>
            <w:r w:rsidRPr="00B457F5">
              <w:rPr>
                <w:rFonts w:ascii="Garamond" w:eastAsia="Times New Roman" w:hAnsi="Garamond" w:cs="Times New Roman"/>
                <w:color w:val="000000"/>
                <w:sz w:val="4"/>
                <w:szCs w:val="4"/>
              </w:rPr>
              <w:t xml:space="preserve"> 3.1)</w:t>
            </w:r>
          </w:p>
        </w:tc>
        <w:tc>
          <w:tcPr>
            <w:tcW w:w="266" w:type="pct"/>
            <w:tcBorders>
              <w:top w:val="nil"/>
              <w:left w:val="nil"/>
              <w:bottom w:val="single" w:sz="8" w:space="0" w:color="auto"/>
              <w:right w:val="single" w:sz="4" w:space="0" w:color="auto"/>
            </w:tcBorders>
            <w:shd w:val="clear" w:color="auto" w:fill="auto"/>
            <w:noWrap/>
            <w:vAlign w:val="bottom"/>
            <w:hideMark/>
          </w:tcPr>
          <w:p w14:paraId="622E283D" w14:textId="77777777" w:rsidR="00635943" w:rsidRPr="00B457F5" w:rsidRDefault="00635943" w:rsidP="00635943">
            <w:pPr>
              <w:spacing w:before="0" w:after="0"/>
              <w:jc w:val="lef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 </w:t>
            </w:r>
          </w:p>
        </w:tc>
        <w:tc>
          <w:tcPr>
            <w:tcW w:w="474" w:type="pct"/>
            <w:tcBorders>
              <w:top w:val="nil"/>
              <w:left w:val="nil"/>
              <w:bottom w:val="single" w:sz="8" w:space="0" w:color="auto"/>
              <w:right w:val="single" w:sz="4" w:space="0" w:color="auto"/>
            </w:tcBorders>
            <w:shd w:val="clear" w:color="auto" w:fill="auto"/>
            <w:noWrap/>
            <w:vAlign w:val="bottom"/>
            <w:hideMark/>
          </w:tcPr>
          <w:p w14:paraId="1FCAA9BE" w14:textId="77777777" w:rsidR="00635943" w:rsidRPr="00B457F5" w:rsidRDefault="00635943" w:rsidP="00635943">
            <w:pPr>
              <w:spacing w:before="0" w:after="0"/>
              <w:jc w:val="lef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 </w:t>
            </w:r>
          </w:p>
        </w:tc>
        <w:tc>
          <w:tcPr>
            <w:tcW w:w="196" w:type="pct"/>
            <w:tcBorders>
              <w:top w:val="nil"/>
              <w:left w:val="nil"/>
              <w:bottom w:val="single" w:sz="8" w:space="0" w:color="auto"/>
              <w:right w:val="single" w:sz="4" w:space="0" w:color="auto"/>
            </w:tcBorders>
            <w:shd w:val="clear" w:color="auto" w:fill="auto"/>
            <w:noWrap/>
            <w:vAlign w:val="bottom"/>
            <w:hideMark/>
          </w:tcPr>
          <w:p w14:paraId="3CDEA1FC" w14:textId="77777777" w:rsidR="00635943" w:rsidRPr="00B457F5" w:rsidRDefault="00635943" w:rsidP="00635943">
            <w:pPr>
              <w:spacing w:before="0" w:after="0"/>
              <w:jc w:val="lef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 </w:t>
            </w:r>
          </w:p>
        </w:tc>
        <w:tc>
          <w:tcPr>
            <w:tcW w:w="231" w:type="pct"/>
            <w:tcBorders>
              <w:top w:val="nil"/>
              <w:left w:val="nil"/>
              <w:bottom w:val="single" w:sz="8" w:space="0" w:color="auto"/>
              <w:right w:val="single" w:sz="4" w:space="0" w:color="auto"/>
            </w:tcBorders>
            <w:shd w:val="clear" w:color="auto" w:fill="auto"/>
            <w:noWrap/>
            <w:vAlign w:val="bottom"/>
            <w:hideMark/>
          </w:tcPr>
          <w:p w14:paraId="43F910B8" w14:textId="77777777" w:rsidR="00635943" w:rsidRPr="00B457F5" w:rsidRDefault="00635943" w:rsidP="00635943">
            <w:pPr>
              <w:spacing w:before="0" w:after="0"/>
              <w:jc w:val="lef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 </w:t>
            </w:r>
          </w:p>
        </w:tc>
        <w:tc>
          <w:tcPr>
            <w:tcW w:w="259" w:type="pct"/>
            <w:tcBorders>
              <w:top w:val="nil"/>
              <w:left w:val="nil"/>
              <w:bottom w:val="single" w:sz="8" w:space="0" w:color="auto"/>
              <w:right w:val="single" w:sz="4" w:space="0" w:color="auto"/>
            </w:tcBorders>
            <w:shd w:val="clear" w:color="auto" w:fill="auto"/>
            <w:noWrap/>
            <w:vAlign w:val="center"/>
            <w:hideMark/>
          </w:tcPr>
          <w:p w14:paraId="45034A52"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97,733,683</w:t>
            </w:r>
          </w:p>
        </w:tc>
        <w:tc>
          <w:tcPr>
            <w:tcW w:w="278" w:type="pct"/>
            <w:tcBorders>
              <w:top w:val="nil"/>
              <w:left w:val="nil"/>
              <w:bottom w:val="single" w:sz="8" w:space="0" w:color="auto"/>
              <w:right w:val="single" w:sz="4" w:space="0" w:color="auto"/>
            </w:tcBorders>
            <w:shd w:val="clear" w:color="auto" w:fill="auto"/>
            <w:noWrap/>
            <w:vAlign w:val="center"/>
            <w:hideMark/>
          </w:tcPr>
          <w:p w14:paraId="2A46FFB6"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0</w:t>
            </w:r>
          </w:p>
        </w:tc>
        <w:tc>
          <w:tcPr>
            <w:tcW w:w="260" w:type="pct"/>
            <w:tcBorders>
              <w:top w:val="nil"/>
              <w:left w:val="nil"/>
              <w:bottom w:val="single" w:sz="8" w:space="0" w:color="auto"/>
              <w:right w:val="single" w:sz="4" w:space="0" w:color="auto"/>
            </w:tcBorders>
            <w:shd w:val="clear" w:color="auto" w:fill="auto"/>
            <w:noWrap/>
            <w:vAlign w:val="center"/>
            <w:hideMark/>
          </w:tcPr>
          <w:p w14:paraId="00CCAD62"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97,733,683</w:t>
            </w:r>
          </w:p>
        </w:tc>
        <w:tc>
          <w:tcPr>
            <w:tcW w:w="313" w:type="pct"/>
            <w:tcBorders>
              <w:top w:val="nil"/>
              <w:left w:val="nil"/>
              <w:bottom w:val="single" w:sz="8" w:space="0" w:color="auto"/>
              <w:right w:val="single" w:sz="4" w:space="0" w:color="auto"/>
            </w:tcBorders>
            <w:shd w:val="clear" w:color="auto" w:fill="auto"/>
            <w:noWrap/>
            <w:vAlign w:val="center"/>
            <w:hideMark/>
          </w:tcPr>
          <w:p w14:paraId="472427EC"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54,190,447</w:t>
            </w:r>
          </w:p>
        </w:tc>
        <w:tc>
          <w:tcPr>
            <w:tcW w:w="256" w:type="pct"/>
            <w:tcBorders>
              <w:top w:val="nil"/>
              <w:left w:val="nil"/>
              <w:bottom w:val="single" w:sz="8" w:space="0" w:color="auto"/>
              <w:right w:val="single" w:sz="4" w:space="0" w:color="auto"/>
            </w:tcBorders>
            <w:shd w:val="clear" w:color="auto" w:fill="auto"/>
            <w:noWrap/>
            <w:vAlign w:val="center"/>
            <w:hideMark/>
          </w:tcPr>
          <w:p w14:paraId="511C5FBA"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0</w:t>
            </w:r>
          </w:p>
        </w:tc>
        <w:tc>
          <w:tcPr>
            <w:tcW w:w="256" w:type="pct"/>
            <w:tcBorders>
              <w:top w:val="nil"/>
              <w:left w:val="nil"/>
              <w:bottom w:val="single" w:sz="8" w:space="0" w:color="auto"/>
              <w:right w:val="single" w:sz="4" w:space="0" w:color="auto"/>
            </w:tcBorders>
            <w:shd w:val="clear" w:color="auto" w:fill="auto"/>
            <w:noWrap/>
            <w:vAlign w:val="center"/>
            <w:hideMark/>
          </w:tcPr>
          <w:p w14:paraId="48914374"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54,190,447</w:t>
            </w:r>
          </w:p>
        </w:tc>
        <w:tc>
          <w:tcPr>
            <w:tcW w:w="253" w:type="pct"/>
            <w:tcBorders>
              <w:top w:val="nil"/>
              <w:left w:val="nil"/>
              <w:bottom w:val="single" w:sz="8" w:space="0" w:color="auto"/>
              <w:right w:val="single" w:sz="4" w:space="0" w:color="auto"/>
            </w:tcBorders>
            <w:shd w:val="clear" w:color="auto" w:fill="auto"/>
            <w:noWrap/>
            <w:vAlign w:val="center"/>
            <w:hideMark/>
          </w:tcPr>
          <w:p w14:paraId="07D58DAA"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41,743,236</w:t>
            </w:r>
          </w:p>
        </w:tc>
        <w:tc>
          <w:tcPr>
            <w:tcW w:w="238" w:type="pct"/>
            <w:tcBorders>
              <w:top w:val="nil"/>
              <w:left w:val="nil"/>
              <w:bottom w:val="single" w:sz="8" w:space="0" w:color="auto"/>
              <w:right w:val="single" w:sz="4" w:space="0" w:color="auto"/>
            </w:tcBorders>
            <w:shd w:val="clear" w:color="auto" w:fill="auto"/>
            <w:noWrap/>
            <w:vAlign w:val="center"/>
            <w:hideMark/>
          </w:tcPr>
          <w:p w14:paraId="26A8620A"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0</w:t>
            </w:r>
          </w:p>
        </w:tc>
        <w:tc>
          <w:tcPr>
            <w:tcW w:w="256" w:type="pct"/>
            <w:tcBorders>
              <w:top w:val="nil"/>
              <w:left w:val="nil"/>
              <w:bottom w:val="single" w:sz="8" w:space="0" w:color="auto"/>
              <w:right w:val="single" w:sz="4" w:space="0" w:color="auto"/>
            </w:tcBorders>
            <w:shd w:val="clear" w:color="auto" w:fill="auto"/>
            <w:noWrap/>
            <w:vAlign w:val="center"/>
            <w:hideMark/>
          </w:tcPr>
          <w:p w14:paraId="24C5E4B7"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41,743,236</w:t>
            </w:r>
          </w:p>
        </w:tc>
        <w:tc>
          <w:tcPr>
            <w:tcW w:w="205" w:type="pct"/>
            <w:tcBorders>
              <w:top w:val="nil"/>
              <w:left w:val="nil"/>
              <w:bottom w:val="single" w:sz="8" w:space="0" w:color="auto"/>
              <w:right w:val="single" w:sz="4" w:space="0" w:color="auto"/>
            </w:tcBorders>
            <w:shd w:val="clear" w:color="auto" w:fill="auto"/>
            <w:noWrap/>
            <w:vAlign w:val="center"/>
            <w:hideMark/>
          </w:tcPr>
          <w:p w14:paraId="56E3F41B"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0</w:t>
            </w:r>
          </w:p>
        </w:tc>
        <w:tc>
          <w:tcPr>
            <w:tcW w:w="211" w:type="pct"/>
            <w:tcBorders>
              <w:top w:val="nil"/>
              <w:left w:val="nil"/>
              <w:bottom w:val="single" w:sz="8" w:space="0" w:color="auto"/>
              <w:right w:val="single" w:sz="4" w:space="0" w:color="auto"/>
            </w:tcBorders>
            <w:shd w:val="clear" w:color="auto" w:fill="auto"/>
            <w:noWrap/>
            <w:vAlign w:val="center"/>
            <w:hideMark/>
          </w:tcPr>
          <w:p w14:paraId="02188F6C"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0</w:t>
            </w:r>
          </w:p>
        </w:tc>
        <w:tc>
          <w:tcPr>
            <w:tcW w:w="177" w:type="pct"/>
            <w:tcBorders>
              <w:top w:val="nil"/>
              <w:left w:val="nil"/>
              <w:bottom w:val="single" w:sz="8" w:space="0" w:color="auto"/>
              <w:right w:val="single" w:sz="4" w:space="0" w:color="auto"/>
            </w:tcBorders>
            <w:shd w:val="clear" w:color="auto" w:fill="auto"/>
            <w:noWrap/>
            <w:vAlign w:val="center"/>
            <w:hideMark/>
          </w:tcPr>
          <w:p w14:paraId="0342CD06"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0</w:t>
            </w:r>
          </w:p>
        </w:tc>
        <w:tc>
          <w:tcPr>
            <w:tcW w:w="284" w:type="pct"/>
            <w:tcBorders>
              <w:top w:val="nil"/>
              <w:left w:val="nil"/>
              <w:bottom w:val="single" w:sz="8" w:space="0" w:color="auto"/>
              <w:right w:val="single" w:sz="4" w:space="0" w:color="auto"/>
            </w:tcBorders>
            <w:shd w:val="clear" w:color="auto" w:fill="auto"/>
            <w:noWrap/>
            <w:vAlign w:val="center"/>
            <w:hideMark/>
          </w:tcPr>
          <w:p w14:paraId="34C007CB" w14:textId="49CFA423"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(2,400,000)</w:t>
            </w:r>
          </w:p>
        </w:tc>
        <w:tc>
          <w:tcPr>
            <w:tcW w:w="244" w:type="pct"/>
            <w:tcBorders>
              <w:top w:val="nil"/>
              <w:left w:val="nil"/>
              <w:bottom w:val="single" w:sz="8" w:space="0" w:color="auto"/>
              <w:right w:val="single" w:sz="8" w:space="0" w:color="auto"/>
            </w:tcBorders>
            <w:shd w:val="clear" w:color="auto" w:fill="auto"/>
            <w:noWrap/>
            <w:vAlign w:val="center"/>
            <w:hideMark/>
          </w:tcPr>
          <w:p w14:paraId="45F7D274"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888,488</w:t>
            </w:r>
          </w:p>
        </w:tc>
      </w:tr>
      <w:tr w:rsidR="00635943" w:rsidRPr="00B457F5" w14:paraId="182D5ABC" w14:textId="77777777" w:rsidTr="00635943">
        <w:trPr>
          <w:trHeight w:val="20"/>
        </w:trPr>
        <w:tc>
          <w:tcPr>
            <w:tcW w:w="5000" w:type="pct"/>
            <w:gridSpan w:val="19"/>
            <w:tcBorders>
              <w:top w:val="single" w:sz="8" w:space="0" w:color="auto"/>
              <w:left w:val="single" w:sz="8" w:space="0" w:color="auto"/>
              <w:bottom w:val="nil"/>
              <w:right w:val="single" w:sz="8" w:space="0" w:color="000000"/>
            </w:tcBorders>
            <w:shd w:val="clear" w:color="auto" w:fill="auto"/>
            <w:vAlign w:val="center"/>
            <w:hideMark/>
          </w:tcPr>
          <w:p w14:paraId="064B7753" w14:textId="58D578EF" w:rsidR="00635943" w:rsidRPr="00B457F5" w:rsidRDefault="00635943" w:rsidP="00635943">
            <w:pPr>
              <w:spacing w:before="0" w:after="0"/>
              <w:jc w:val="left"/>
              <w:rPr>
                <w:rFonts w:ascii="Garamond" w:eastAsia="Times New Roman" w:hAnsi="Garamond" w:cs="Times New Roman"/>
                <w:b/>
                <w:bCs/>
                <w:color w:val="4472C4"/>
                <w:sz w:val="4"/>
                <w:szCs w:val="4"/>
              </w:rPr>
            </w:pPr>
            <w:r w:rsidRPr="00B457F5">
              <w:rPr>
                <w:rFonts w:ascii="Garamond" w:eastAsia="Times New Roman" w:hAnsi="Garamond" w:cs="Times New Roman"/>
                <w:b/>
                <w:bCs/>
                <w:color w:val="4472C4"/>
                <w:sz w:val="4"/>
                <w:szCs w:val="4"/>
              </w:rPr>
              <w:t xml:space="preserve">Qëllimi i </w:t>
            </w:r>
            <w:r w:rsidR="0028334E" w:rsidRPr="00B457F5">
              <w:rPr>
                <w:rFonts w:ascii="Garamond" w:eastAsia="Times New Roman" w:hAnsi="Garamond" w:cs="Times New Roman"/>
                <w:b/>
                <w:bCs/>
                <w:color w:val="4472C4"/>
                <w:sz w:val="4"/>
                <w:szCs w:val="4"/>
              </w:rPr>
              <w:t>p</w:t>
            </w:r>
            <w:r w:rsidRPr="00B457F5">
              <w:rPr>
                <w:rFonts w:ascii="Garamond" w:eastAsia="Times New Roman" w:hAnsi="Garamond" w:cs="Times New Roman"/>
                <w:b/>
                <w:bCs/>
                <w:color w:val="4472C4"/>
                <w:sz w:val="4"/>
                <w:szCs w:val="4"/>
              </w:rPr>
              <w:t>olitikës</w:t>
            </w:r>
            <w:r w:rsidR="0006016F" w:rsidRPr="00B457F5">
              <w:rPr>
                <w:rFonts w:ascii="Garamond" w:eastAsia="Times New Roman" w:hAnsi="Garamond" w:cs="Times New Roman"/>
                <w:b/>
                <w:bCs/>
                <w:color w:val="4472C4"/>
                <w:sz w:val="4"/>
                <w:szCs w:val="4"/>
              </w:rPr>
              <w:t xml:space="preserve"> </w:t>
            </w:r>
            <w:r w:rsidRPr="00B457F5">
              <w:rPr>
                <w:rFonts w:ascii="Garamond" w:eastAsia="Times New Roman" w:hAnsi="Garamond" w:cs="Times New Roman"/>
                <w:b/>
                <w:bCs/>
                <w:color w:val="4472C4"/>
                <w:sz w:val="4"/>
                <w:szCs w:val="4"/>
              </w:rPr>
              <w:t>4.</w:t>
            </w:r>
            <w:r w:rsidR="0006016F" w:rsidRPr="00B457F5">
              <w:rPr>
                <w:rFonts w:ascii="Garamond" w:eastAsia="Times New Roman" w:hAnsi="Garamond" w:cs="Times New Roman"/>
                <w:b/>
                <w:bCs/>
                <w:color w:val="4472C4"/>
                <w:sz w:val="4"/>
                <w:szCs w:val="4"/>
              </w:rPr>
              <w:t xml:space="preserve"> </w:t>
            </w:r>
            <w:r w:rsidRPr="00B457F5">
              <w:rPr>
                <w:rFonts w:ascii="Garamond" w:eastAsia="Times New Roman" w:hAnsi="Garamond" w:cs="Times New Roman"/>
                <w:b/>
                <w:bCs/>
                <w:color w:val="4472C4"/>
                <w:sz w:val="4"/>
                <w:szCs w:val="4"/>
              </w:rPr>
              <w:t>Forcimi i sistemit të mbrojtjes ndë</w:t>
            </w:r>
            <w:r w:rsidR="00AF12C0" w:rsidRPr="00B457F5">
              <w:rPr>
                <w:rFonts w:ascii="Garamond" w:eastAsia="Times New Roman" w:hAnsi="Garamond" w:cs="Times New Roman"/>
                <w:b/>
                <w:bCs/>
                <w:color w:val="4472C4"/>
                <w:sz w:val="4"/>
                <w:szCs w:val="4"/>
              </w:rPr>
              <w:t>r</w:t>
            </w:r>
            <w:r w:rsidRPr="00B457F5">
              <w:rPr>
                <w:rFonts w:ascii="Garamond" w:eastAsia="Times New Roman" w:hAnsi="Garamond" w:cs="Times New Roman"/>
                <w:b/>
                <w:bCs/>
                <w:color w:val="4472C4"/>
                <w:sz w:val="4"/>
                <w:szCs w:val="4"/>
              </w:rPr>
              <w:t>kombëtare, garantimi i të drejtave të azilkërkuesve dhe refugjatëve</w:t>
            </w:r>
            <w:r w:rsidR="00AF12C0" w:rsidRPr="00B457F5">
              <w:rPr>
                <w:rFonts w:ascii="Garamond" w:eastAsia="Times New Roman" w:hAnsi="Garamond" w:cs="Times New Roman"/>
                <w:b/>
                <w:bCs/>
                <w:color w:val="4472C4"/>
                <w:sz w:val="4"/>
                <w:szCs w:val="4"/>
              </w:rPr>
              <w:t>,</w:t>
            </w:r>
            <w:r w:rsidR="0006016F" w:rsidRPr="00B457F5">
              <w:rPr>
                <w:rFonts w:ascii="Garamond" w:eastAsia="Times New Roman" w:hAnsi="Garamond" w:cs="Times New Roman"/>
                <w:b/>
                <w:bCs/>
                <w:color w:val="4472C4"/>
                <w:sz w:val="4"/>
                <w:szCs w:val="4"/>
              </w:rPr>
              <w:t xml:space="preserve"> </w:t>
            </w:r>
            <w:r w:rsidRPr="00B457F5">
              <w:rPr>
                <w:rFonts w:ascii="Garamond" w:eastAsia="Times New Roman" w:hAnsi="Garamond" w:cs="Times New Roman"/>
                <w:b/>
                <w:bCs/>
                <w:color w:val="4472C4"/>
                <w:sz w:val="4"/>
                <w:szCs w:val="4"/>
              </w:rPr>
              <w:t>dhe ofrimi i zgjidhjeve të qëndrueshme</w:t>
            </w:r>
          </w:p>
        </w:tc>
      </w:tr>
      <w:tr w:rsidR="00635943" w:rsidRPr="00B457F5" w14:paraId="44EB9500" w14:textId="77777777" w:rsidTr="00635943">
        <w:trPr>
          <w:trHeight w:val="20"/>
        </w:trPr>
        <w:tc>
          <w:tcPr>
            <w:tcW w:w="343" w:type="pct"/>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14:paraId="1EFE9EE3" w14:textId="108F75DB" w:rsidR="00635943" w:rsidRPr="00B457F5" w:rsidRDefault="00635943" w:rsidP="00635943">
            <w:pPr>
              <w:spacing w:before="0" w:after="0"/>
              <w:jc w:val="lef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Objektivat </w:t>
            </w:r>
            <w:r w:rsidR="00AF4731" w:rsidRPr="00B457F5">
              <w:rPr>
                <w:rFonts w:ascii="Garamond" w:eastAsia="Times New Roman" w:hAnsi="Garamond" w:cs="Times New Roman"/>
                <w:b/>
                <w:bCs/>
                <w:color w:val="000000"/>
                <w:sz w:val="4"/>
                <w:szCs w:val="4"/>
              </w:rPr>
              <w:t>s</w:t>
            </w:r>
            <w:r w:rsidRPr="00B457F5">
              <w:rPr>
                <w:rFonts w:ascii="Garamond" w:eastAsia="Times New Roman" w:hAnsi="Garamond" w:cs="Times New Roman"/>
                <w:b/>
                <w:bCs/>
                <w:color w:val="000000"/>
                <w:sz w:val="4"/>
                <w:szCs w:val="4"/>
              </w:rPr>
              <w:t>pecifik</w:t>
            </w:r>
            <w:r w:rsidR="00AF4731" w:rsidRPr="00B457F5">
              <w:rPr>
                <w:rFonts w:ascii="Garamond" w:eastAsia="Times New Roman" w:hAnsi="Garamond" w:cs="Times New Roman"/>
                <w:b/>
                <w:bCs/>
                <w:color w:val="000000"/>
                <w:sz w:val="4"/>
                <w:szCs w:val="4"/>
              </w:rPr>
              <w:t>ë</w:t>
            </w:r>
          </w:p>
        </w:tc>
        <w:tc>
          <w:tcPr>
            <w:tcW w:w="739" w:type="pct"/>
            <w:gridSpan w:val="2"/>
            <w:tcBorders>
              <w:top w:val="single" w:sz="8" w:space="0" w:color="auto"/>
              <w:left w:val="nil"/>
              <w:bottom w:val="single" w:sz="4" w:space="0" w:color="auto"/>
              <w:right w:val="single" w:sz="4" w:space="0" w:color="auto"/>
            </w:tcBorders>
            <w:shd w:val="clear" w:color="000000" w:fill="FFFFFF"/>
            <w:vAlign w:val="center"/>
            <w:hideMark/>
          </w:tcPr>
          <w:p w14:paraId="292233F9" w14:textId="1D6F6505"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Institucionet </w:t>
            </w:r>
            <w:r w:rsidR="004E4DD1" w:rsidRPr="00B457F5">
              <w:rPr>
                <w:rFonts w:ascii="Garamond" w:eastAsia="Times New Roman" w:hAnsi="Garamond" w:cs="Times New Roman"/>
                <w:b/>
                <w:bCs/>
                <w:color w:val="000000"/>
                <w:sz w:val="4"/>
                <w:szCs w:val="4"/>
              </w:rPr>
              <w:t xml:space="preserve">përgjegjëse </w:t>
            </w:r>
          </w:p>
        </w:tc>
        <w:tc>
          <w:tcPr>
            <w:tcW w:w="427" w:type="pct"/>
            <w:gridSpan w:val="2"/>
            <w:tcBorders>
              <w:top w:val="single" w:sz="8" w:space="0" w:color="auto"/>
              <w:left w:val="nil"/>
              <w:bottom w:val="single" w:sz="4" w:space="0" w:color="auto"/>
              <w:right w:val="single" w:sz="4" w:space="0" w:color="auto"/>
            </w:tcBorders>
            <w:shd w:val="clear" w:color="000000" w:fill="FFFFFF"/>
            <w:vAlign w:val="center"/>
            <w:hideMark/>
          </w:tcPr>
          <w:p w14:paraId="20309234" w14:textId="49B7F294"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Afati i </w:t>
            </w:r>
            <w:r w:rsidR="0028334E" w:rsidRPr="00B457F5">
              <w:rPr>
                <w:rFonts w:ascii="Garamond" w:eastAsia="Times New Roman" w:hAnsi="Garamond" w:cs="Times New Roman"/>
                <w:b/>
                <w:bCs/>
                <w:color w:val="000000"/>
                <w:sz w:val="4"/>
                <w:szCs w:val="4"/>
              </w:rPr>
              <w:t>z</w:t>
            </w:r>
            <w:r w:rsidRPr="00B457F5">
              <w:rPr>
                <w:rFonts w:ascii="Garamond" w:eastAsia="Times New Roman" w:hAnsi="Garamond" w:cs="Times New Roman"/>
                <w:b/>
                <w:bCs/>
                <w:color w:val="000000"/>
                <w:sz w:val="4"/>
                <w:szCs w:val="4"/>
              </w:rPr>
              <w:t xml:space="preserve">batimit </w:t>
            </w:r>
          </w:p>
        </w:tc>
        <w:tc>
          <w:tcPr>
            <w:tcW w:w="797" w:type="pct"/>
            <w:gridSpan w:val="3"/>
            <w:vMerge w:val="restart"/>
            <w:tcBorders>
              <w:top w:val="single" w:sz="8" w:space="0" w:color="auto"/>
              <w:left w:val="single" w:sz="4" w:space="0" w:color="auto"/>
              <w:bottom w:val="single" w:sz="4" w:space="0" w:color="auto"/>
              <w:right w:val="single" w:sz="4" w:space="0" w:color="auto"/>
            </w:tcBorders>
            <w:shd w:val="clear" w:color="000000" w:fill="FFFFFF"/>
            <w:vAlign w:val="center"/>
            <w:hideMark/>
          </w:tcPr>
          <w:p w14:paraId="026597F5" w14:textId="1EAD4B9F"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Kosto</w:t>
            </w:r>
            <w:r w:rsidR="0028334E" w:rsidRPr="00B457F5">
              <w:rPr>
                <w:rFonts w:ascii="Garamond" w:eastAsia="Times New Roman" w:hAnsi="Garamond" w:cs="Times New Roman"/>
                <w:b/>
                <w:bCs/>
                <w:color w:val="000000"/>
                <w:sz w:val="4"/>
                <w:szCs w:val="4"/>
              </w:rPr>
              <w:t>ja</w:t>
            </w:r>
            <w:r w:rsidRPr="00B457F5">
              <w:rPr>
                <w:rFonts w:ascii="Garamond" w:eastAsia="Times New Roman" w:hAnsi="Garamond" w:cs="Times New Roman"/>
                <w:b/>
                <w:bCs/>
                <w:color w:val="000000"/>
                <w:sz w:val="4"/>
                <w:szCs w:val="4"/>
              </w:rPr>
              <w:t xml:space="preserve"> </w:t>
            </w:r>
            <w:r w:rsidR="0028334E" w:rsidRPr="00B457F5">
              <w:rPr>
                <w:rFonts w:ascii="Garamond" w:eastAsia="Times New Roman" w:hAnsi="Garamond" w:cs="Times New Roman"/>
                <w:b/>
                <w:bCs/>
                <w:color w:val="000000"/>
                <w:sz w:val="4"/>
                <w:szCs w:val="4"/>
              </w:rPr>
              <w:t>indiktive totale</w:t>
            </w:r>
          </w:p>
        </w:tc>
        <w:tc>
          <w:tcPr>
            <w:tcW w:w="1572" w:type="pct"/>
            <w:gridSpan w:val="6"/>
            <w:tcBorders>
              <w:top w:val="single" w:sz="8" w:space="0" w:color="auto"/>
              <w:left w:val="nil"/>
              <w:bottom w:val="single" w:sz="4" w:space="0" w:color="auto"/>
              <w:right w:val="single" w:sz="4" w:space="0" w:color="auto"/>
            </w:tcBorders>
            <w:shd w:val="clear" w:color="auto" w:fill="auto"/>
            <w:vAlign w:val="center"/>
            <w:hideMark/>
          </w:tcPr>
          <w:p w14:paraId="0E8334ED" w14:textId="76504904"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Burimi i mbulimit deri n</w:t>
            </w:r>
            <w:r w:rsidR="0028334E" w:rsidRPr="00B457F5">
              <w:rPr>
                <w:rFonts w:ascii="Garamond" w:eastAsia="Times New Roman" w:hAnsi="Garamond" w:cs="Times New Roman"/>
                <w:b/>
                <w:bCs/>
                <w:color w:val="000000"/>
                <w:sz w:val="4"/>
                <w:szCs w:val="4"/>
              </w:rPr>
              <w:t>ë</w:t>
            </w:r>
            <w:r w:rsidRPr="00B457F5">
              <w:rPr>
                <w:rFonts w:ascii="Garamond" w:eastAsia="Times New Roman" w:hAnsi="Garamond" w:cs="Times New Roman"/>
                <w:b/>
                <w:bCs/>
                <w:color w:val="000000"/>
                <w:sz w:val="4"/>
                <w:szCs w:val="4"/>
              </w:rPr>
              <w:t xml:space="preserve"> 2026</w:t>
            </w:r>
          </w:p>
        </w:tc>
        <w:tc>
          <w:tcPr>
            <w:tcW w:w="594" w:type="pct"/>
            <w:gridSpan w:val="3"/>
            <w:tcBorders>
              <w:top w:val="single" w:sz="8" w:space="0" w:color="auto"/>
              <w:left w:val="nil"/>
              <w:bottom w:val="single" w:sz="4" w:space="0" w:color="auto"/>
              <w:right w:val="single" w:sz="4" w:space="0" w:color="auto"/>
            </w:tcBorders>
            <w:shd w:val="clear" w:color="000000" w:fill="FFFFFF"/>
            <w:vAlign w:val="center"/>
            <w:hideMark/>
          </w:tcPr>
          <w:p w14:paraId="5A920DF0" w14:textId="1C505EF2"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Burimi i </w:t>
            </w:r>
            <w:r w:rsidR="00B457F5" w:rsidRPr="00B457F5">
              <w:rPr>
                <w:rFonts w:ascii="Garamond" w:eastAsia="Times New Roman" w:hAnsi="Garamond" w:cs="Times New Roman"/>
                <w:b/>
                <w:bCs/>
                <w:color w:val="000000"/>
                <w:sz w:val="4"/>
                <w:szCs w:val="4"/>
              </w:rPr>
              <w:t>f</w:t>
            </w:r>
            <w:r w:rsidRPr="00B457F5">
              <w:rPr>
                <w:rFonts w:ascii="Garamond" w:eastAsia="Times New Roman" w:hAnsi="Garamond" w:cs="Times New Roman"/>
                <w:b/>
                <w:bCs/>
                <w:color w:val="000000"/>
                <w:sz w:val="4"/>
                <w:szCs w:val="4"/>
              </w:rPr>
              <w:t>inancimit</w:t>
            </w:r>
          </w:p>
        </w:tc>
        <w:tc>
          <w:tcPr>
            <w:tcW w:w="284"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302D969E" w14:textId="28B8F66D"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Hendeku financiar</w:t>
            </w:r>
            <w:r w:rsidRPr="00B457F5">
              <w:rPr>
                <w:rFonts w:ascii="Garamond" w:eastAsia="Times New Roman" w:hAnsi="Garamond" w:cs="Times New Roman"/>
                <w:b/>
                <w:bCs/>
                <w:color w:val="000000"/>
                <w:sz w:val="4"/>
                <w:szCs w:val="4"/>
              </w:rPr>
              <w:br/>
              <w:t>2024</w:t>
            </w:r>
            <w:r w:rsidR="0028334E" w:rsidRPr="00B457F5">
              <w:rPr>
                <w:rFonts w:ascii="Garamond" w:eastAsia="Times New Roman" w:hAnsi="Garamond" w:cs="Times New Roman"/>
                <w:b/>
                <w:bCs/>
                <w:color w:val="000000"/>
                <w:sz w:val="4"/>
                <w:szCs w:val="4"/>
              </w:rPr>
              <w:t>–</w:t>
            </w:r>
            <w:r w:rsidRPr="00B457F5">
              <w:rPr>
                <w:rFonts w:ascii="Garamond" w:eastAsia="Times New Roman" w:hAnsi="Garamond" w:cs="Times New Roman"/>
                <w:b/>
                <w:bCs/>
                <w:color w:val="000000"/>
                <w:sz w:val="4"/>
                <w:szCs w:val="4"/>
              </w:rPr>
              <w:t>2030</w:t>
            </w:r>
            <w:r w:rsidRPr="00B457F5">
              <w:rPr>
                <w:rFonts w:ascii="Garamond" w:eastAsia="Times New Roman" w:hAnsi="Garamond" w:cs="Times New Roman"/>
                <w:b/>
                <w:bCs/>
                <w:color w:val="000000"/>
                <w:sz w:val="4"/>
                <w:szCs w:val="4"/>
              </w:rPr>
              <w:br/>
              <w:t xml:space="preserve">(në </w:t>
            </w:r>
            <w:r w:rsidR="0028334E" w:rsidRPr="00B457F5">
              <w:rPr>
                <w:rFonts w:ascii="Garamond" w:eastAsia="Times New Roman" w:hAnsi="Garamond" w:cs="Times New Roman"/>
                <w:b/>
                <w:bCs/>
                <w:color w:val="000000"/>
                <w:sz w:val="4"/>
                <w:szCs w:val="4"/>
              </w:rPr>
              <w:t>l</w:t>
            </w:r>
            <w:r w:rsidRPr="00B457F5">
              <w:rPr>
                <w:rFonts w:ascii="Garamond" w:eastAsia="Times New Roman" w:hAnsi="Garamond" w:cs="Times New Roman"/>
                <w:b/>
                <w:bCs/>
                <w:color w:val="000000"/>
                <w:sz w:val="4"/>
                <w:szCs w:val="4"/>
              </w:rPr>
              <w:t>ekë)</w:t>
            </w:r>
          </w:p>
        </w:tc>
        <w:tc>
          <w:tcPr>
            <w:tcW w:w="244" w:type="pct"/>
            <w:vMerge w:val="restart"/>
            <w:tcBorders>
              <w:top w:val="single" w:sz="8" w:space="0" w:color="auto"/>
              <w:left w:val="single" w:sz="4" w:space="0" w:color="auto"/>
              <w:bottom w:val="single" w:sz="4" w:space="0" w:color="auto"/>
              <w:right w:val="single" w:sz="8" w:space="0" w:color="auto"/>
            </w:tcBorders>
            <w:shd w:val="clear" w:color="auto" w:fill="auto"/>
            <w:vAlign w:val="center"/>
            <w:hideMark/>
          </w:tcPr>
          <w:p w14:paraId="5FF7EA7D" w14:textId="75146127"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Kosto</w:t>
            </w:r>
            <w:r w:rsidR="002803F2" w:rsidRPr="00B457F5">
              <w:rPr>
                <w:rFonts w:ascii="Garamond" w:eastAsia="Times New Roman" w:hAnsi="Garamond" w:cs="Times New Roman"/>
                <w:b/>
                <w:bCs/>
                <w:color w:val="000000"/>
                <w:sz w:val="4"/>
                <w:szCs w:val="4"/>
              </w:rPr>
              <w:t>ja</w:t>
            </w:r>
            <w:r w:rsidRPr="00B457F5">
              <w:rPr>
                <w:rFonts w:ascii="Garamond" w:eastAsia="Times New Roman" w:hAnsi="Garamond" w:cs="Times New Roman"/>
                <w:b/>
                <w:bCs/>
                <w:color w:val="000000"/>
                <w:sz w:val="4"/>
                <w:szCs w:val="4"/>
              </w:rPr>
              <w:t xml:space="preserve"> totale n</w:t>
            </w:r>
            <w:r w:rsidR="002803F2" w:rsidRPr="00B457F5">
              <w:rPr>
                <w:rFonts w:ascii="Garamond" w:eastAsia="Times New Roman" w:hAnsi="Garamond" w:cs="Times New Roman"/>
                <w:b/>
                <w:bCs/>
                <w:color w:val="000000"/>
                <w:sz w:val="4"/>
                <w:szCs w:val="4"/>
              </w:rPr>
              <w:t>ë</w:t>
            </w:r>
            <w:r w:rsidRPr="00B457F5">
              <w:rPr>
                <w:rFonts w:ascii="Garamond" w:eastAsia="Times New Roman" w:hAnsi="Garamond" w:cs="Times New Roman"/>
                <w:b/>
                <w:bCs/>
                <w:color w:val="000000"/>
                <w:sz w:val="4"/>
                <w:szCs w:val="4"/>
              </w:rPr>
              <w:t xml:space="preserve"> EUR</w:t>
            </w:r>
            <w:r w:rsidRPr="00B457F5">
              <w:rPr>
                <w:rFonts w:ascii="Garamond" w:eastAsia="Times New Roman" w:hAnsi="Garamond" w:cs="Times New Roman"/>
                <w:b/>
                <w:bCs/>
                <w:color w:val="000000"/>
                <w:sz w:val="4"/>
                <w:szCs w:val="4"/>
              </w:rPr>
              <w:br/>
              <w:t xml:space="preserve">(kursi </w:t>
            </w:r>
            <w:r w:rsidR="002803F2" w:rsidRPr="00B457F5">
              <w:rPr>
                <w:rFonts w:ascii="Garamond" w:eastAsia="Times New Roman" w:hAnsi="Garamond" w:cs="Times New Roman"/>
                <w:b/>
                <w:bCs/>
                <w:color w:val="000000"/>
                <w:sz w:val="4"/>
                <w:szCs w:val="4"/>
              </w:rPr>
              <w:t>i këmbimit</w:t>
            </w:r>
            <w:r w:rsidRPr="00B457F5">
              <w:rPr>
                <w:rFonts w:ascii="Garamond" w:eastAsia="Times New Roman" w:hAnsi="Garamond" w:cs="Times New Roman"/>
                <w:b/>
                <w:bCs/>
                <w:color w:val="000000"/>
                <w:sz w:val="4"/>
                <w:szCs w:val="4"/>
              </w:rPr>
              <w:t>: 1 EUR = 110</w:t>
            </w:r>
            <w:r w:rsidR="002803F2" w:rsidRPr="00B457F5">
              <w:rPr>
                <w:rFonts w:ascii="Garamond" w:eastAsia="Times New Roman" w:hAnsi="Garamond" w:cs="Times New Roman"/>
                <w:b/>
                <w:bCs/>
                <w:color w:val="000000"/>
                <w:sz w:val="4"/>
                <w:szCs w:val="4"/>
              </w:rPr>
              <w:t xml:space="preserve"> </w:t>
            </w:r>
            <w:r w:rsidRPr="00B457F5">
              <w:rPr>
                <w:rFonts w:ascii="Garamond" w:eastAsia="Times New Roman" w:hAnsi="Garamond" w:cs="Times New Roman"/>
                <w:b/>
                <w:bCs/>
                <w:color w:val="000000"/>
                <w:sz w:val="4"/>
                <w:szCs w:val="4"/>
              </w:rPr>
              <w:t>ALL)</w:t>
            </w:r>
          </w:p>
        </w:tc>
      </w:tr>
      <w:tr w:rsidR="00635943" w:rsidRPr="00B457F5" w14:paraId="49A57C0D" w14:textId="77777777" w:rsidTr="00635943">
        <w:trPr>
          <w:trHeight w:val="20"/>
        </w:trPr>
        <w:tc>
          <w:tcPr>
            <w:tcW w:w="343" w:type="pct"/>
            <w:vMerge/>
            <w:tcBorders>
              <w:top w:val="single" w:sz="8" w:space="0" w:color="auto"/>
              <w:left w:val="single" w:sz="8" w:space="0" w:color="auto"/>
              <w:bottom w:val="single" w:sz="4" w:space="0" w:color="auto"/>
              <w:right w:val="single" w:sz="4" w:space="0" w:color="auto"/>
            </w:tcBorders>
            <w:vAlign w:val="center"/>
            <w:hideMark/>
          </w:tcPr>
          <w:p w14:paraId="1CC007CE"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c>
          <w:tcPr>
            <w:tcW w:w="266" w:type="pct"/>
            <w:vMerge w:val="restart"/>
            <w:tcBorders>
              <w:top w:val="nil"/>
              <w:left w:val="single" w:sz="4" w:space="0" w:color="auto"/>
              <w:bottom w:val="single" w:sz="4" w:space="0" w:color="auto"/>
              <w:right w:val="single" w:sz="4" w:space="0" w:color="auto"/>
            </w:tcBorders>
            <w:shd w:val="clear" w:color="000000" w:fill="FFFFFF"/>
            <w:vAlign w:val="center"/>
            <w:hideMark/>
          </w:tcPr>
          <w:p w14:paraId="0DF82568" w14:textId="77777777"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Institucioni përgjegjës</w:t>
            </w:r>
          </w:p>
        </w:tc>
        <w:tc>
          <w:tcPr>
            <w:tcW w:w="474" w:type="pct"/>
            <w:vMerge w:val="restart"/>
            <w:tcBorders>
              <w:top w:val="nil"/>
              <w:left w:val="single" w:sz="4" w:space="0" w:color="auto"/>
              <w:bottom w:val="single" w:sz="4" w:space="0" w:color="auto"/>
              <w:right w:val="single" w:sz="4" w:space="0" w:color="auto"/>
            </w:tcBorders>
            <w:shd w:val="clear" w:color="000000" w:fill="FFFFFF"/>
            <w:vAlign w:val="center"/>
            <w:hideMark/>
          </w:tcPr>
          <w:p w14:paraId="03BFC9C5" w14:textId="5257276E"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Institucioni kontrib</w:t>
            </w:r>
            <w:r w:rsidR="00B457F5" w:rsidRPr="00B457F5">
              <w:rPr>
                <w:rFonts w:ascii="Garamond" w:eastAsia="Times New Roman" w:hAnsi="Garamond" w:cs="Times New Roman"/>
                <w:b/>
                <w:bCs/>
                <w:color w:val="000000"/>
                <w:sz w:val="4"/>
                <w:szCs w:val="4"/>
              </w:rPr>
              <w:t>u</w:t>
            </w:r>
            <w:r w:rsidRPr="00B457F5">
              <w:rPr>
                <w:rFonts w:ascii="Garamond" w:eastAsia="Times New Roman" w:hAnsi="Garamond" w:cs="Times New Roman"/>
                <w:b/>
                <w:bCs/>
                <w:color w:val="000000"/>
                <w:sz w:val="4"/>
                <w:szCs w:val="4"/>
              </w:rPr>
              <w:t>ues</w:t>
            </w:r>
          </w:p>
        </w:tc>
        <w:tc>
          <w:tcPr>
            <w:tcW w:w="196" w:type="pct"/>
            <w:vMerge w:val="restart"/>
            <w:tcBorders>
              <w:top w:val="nil"/>
              <w:left w:val="single" w:sz="4" w:space="0" w:color="auto"/>
              <w:bottom w:val="single" w:sz="4" w:space="0" w:color="auto"/>
              <w:right w:val="single" w:sz="4" w:space="0" w:color="auto"/>
            </w:tcBorders>
            <w:shd w:val="clear" w:color="000000" w:fill="FFFFFF"/>
            <w:vAlign w:val="center"/>
            <w:hideMark/>
          </w:tcPr>
          <w:p w14:paraId="6FAC4CE0" w14:textId="5B75B502"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Afati </w:t>
            </w:r>
            <w:r w:rsidR="0028334E" w:rsidRPr="00B457F5">
              <w:rPr>
                <w:rFonts w:ascii="Garamond" w:eastAsia="Times New Roman" w:hAnsi="Garamond" w:cs="Times New Roman"/>
                <w:b/>
                <w:bCs/>
                <w:color w:val="000000"/>
                <w:sz w:val="4"/>
                <w:szCs w:val="4"/>
              </w:rPr>
              <w:t>i f</w:t>
            </w:r>
            <w:r w:rsidRPr="00B457F5">
              <w:rPr>
                <w:rFonts w:ascii="Garamond" w:eastAsia="Times New Roman" w:hAnsi="Garamond" w:cs="Times New Roman"/>
                <w:b/>
                <w:bCs/>
                <w:color w:val="000000"/>
                <w:sz w:val="4"/>
                <w:szCs w:val="4"/>
              </w:rPr>
              <w:t>illimit</w:t>
            </w:r>
          </w:p>
        </w:tc>
        <w:tc>
          <w:tcPr>
            <w:tcW w:w="231" w:type="pct"/>
            <w:vMerge w:val="restart"/>
            <w:tcBorders>
              <w:top w:val="nil"/>
              <w:left w:val="single" w:sz="4" w:space="0" w:color="auto"/>
              <w:bottom w:val="single" w:sz="4" w:space="0" w:color="auto"/>
              <w:right w:val="single" w:sz="4" w:space="0" w:color="auto"/>
            </w:tcBorders>
            <w:shd w:val="clear" w:color="000000" w:fill="FFFFFF"/>
            <w:vAlign w:val="center"/>
            <w:hideMark/>
          </w:tcPr>
          <w:p w14:paraId="400E2410" w14:textId="30DBFD5C"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Afati </w:t>
            </w:r>
            <w:r w:rsidR="0028334E" w:rsidRPr="00B457F5">
              <w:rPr>
                <w:rFonts w:ascii="Garamond" w:eastAsia="Times New Roman" w:hAnsi="Garamond" w:cs="Times New Roman"/>
                <w:b/>
                <w:bCs/>
                <w:color w:val="000000"/>
                <w:sz w:val="4"/>
                <w:szCs w:val="4"/>
              </w:rPr>
              <w:t>i m</w:t>
            </w:r>
            <w:r w:rsidRPr="00B457F5">
              <w:rPr>
                <w:rFonts w:ascii="Garamond" w:eastAsia="Times New Roman" w:hAnsi="Garamond" w:cs="Times New Roman"/>
                <w:b/>
                <w:bCs/>
                <w:color w:val="000000"/>
                <w:sz w:val="4"/>
                <w:szCs w:val="4"/>
              </w:rPr>
              <w:t>barimit</w:t>
            </w:r>
          </w:p>
        </w:tc>
        <w:tc>
          <w:tcPr>
            <w:tcW w:w="797" w:type="pct"/>
            <w:gridSpan w:val="3"/>
            <w:vMerge/>
            <w:tcBorders>
              <w:top w:val="nil"/>
              <w:left w:val="single" w:sz="4" w:space="0" w:color="auto"/>
              <w:bottom w:val="single" w:sz="4" w:space="0" w:color="auto"/>
              <w:right w:val="single" w:sz="4" w:space="0" w:color="auto"/>
            </w:tcBorders>
            <w:vAlign w:val="center"/>
            <w:hideMark/>
          </w:tcPr>
          <w:p w14:paraId="798A48DC"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c>
          <w:tcPr>
            <w:tcW w:w="825" w:type="pct"/>
            <w:gridSpan w:val="3"/>
            <w:tcBorders>
              <w:top w:val="single" w:sz="4" w:space="0" w:color="auto"/>
              <w:left w:val="nil"/>
              <w:bottom w:val="single" w:sz="4" w:space="0" w:color="auto"/>
              <w:right w:val="single" w:sz="4" w:space="0" w:color="auto"/>
            </w:tcBorders>
            <w:shd w:val="clear" w:color="auto" w:fill="auto"/>
            <w:vAlign w:val="center"/>
            <w:hideMark/>
          </w:tcPr>
          <w:p w14:paraId="491A11F6" w14:textId="4905FE7F"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PBA 2024</w:t>
            </w:r>
            <w:r w:rsidR="0028334E" w:rsidRPr="00B457F5">
              <w:rPr>
                <w:rFonts w:ascii="Garamond" w:eastAsia="Times New Roman" w:hAnsi="Garamond" w:cs="Times New Roman"/>
                <w:b/>
                <w:bCs/>
                <w:color w:val="000000"/>
                <w:sz w:val="4"/>
                <w:szCs w:val="4"/>
              </w:rPr>
              <w:t>–</w:t>
            </w:r>
            <w:r w:rsidRPr="00B457F5">
              <w:rPr>
                <w:rFonts w:ascii="Garamond" w:eastAsia="Times New Roman" w:hAnsi="Garamond" w:cs="Times New Roman"/>
                <w:b/>
                <w:bCs/>
                <w:color w:val="000000"/>
                <w:sz w:val="4"/>
                <w:szCs w:val="4"/>
              </w:rPr>
              <w:t xml:space="preserve">2026 (në </w:t>
            </w:r>
            <w:r w:rsidR="0028334E" w:rsidRPr="00B457F5">
              <w:rPr>
                <w:rFonts w:ascii="Garamond" w:eastAsia="Times New Roman" w:hAnsi="Garamond" w:cs="Times New Roman"/>
                <w:b/>
                <w:bCs/>
                <w:color w:val="000000"/>
                <w:sz w:val="4"/>
                <w:szCs w:val="4"/>
              </w:rPr>
              <w:t>l</w:t>
            </w:r>
            <w:r w:rsidRPr="00B457F5">
              <w:rPr>
                <w:rFonts w:ascii="Garamond" w:eastAsia="Times New Roman" w:hAnsi="Garamond" w:cs="Times New Roman"/>
                <w:b/>
                <w:bCs/>
                <w:color w:val="000000"/>
                <w:sz w:val="4"/>
                <w:szCs w:val="4"/>
              </w:rPr>
              <w:t>ekë)</w:t>
            </w:r>
          </w:p>
        </w:tc>
        <w:tc>
          <w:tcPr>
            <w:tcW w:w="747" w:type="pct"/>
            <w:gridSpan w:val="3"/>
            <w:tcBorders>
              <w:top w:val="single" w:sz="4" w:space="0" w:color="auto"/>
              <w:left w:val="nil"/>
              <w:bottom w:val="single" w:sz="4" w:space="0" w:color="auto"/>
              <w:right w:val="single" w:sz="4" w:space="0" w:color="auto"/>
            </w:tcBorders>
            <w:shd w:val="clear" w:color="auto" w:fill="auto"/>
            <w:vAlign w:val="center"/>
            <w:hideMark/>
          </w:tcPr>
          <w:p w14:paraId="082FF5E5" w14:textId="11A1B40F"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Financim i </w:t>
            </w:r>
            <w:r w:rsidR="0028334E" w:rsidRPr="00B457F5">
              <w:rPr>
                <w:rFonts w:ascii="Garamond" w:eastAsia="Times New Roman" w:hAnsi="Garamond" w:cs="Times New Roman"/>
                <w:b/>
                <w:bCs/>
                <w:color w:val="000000"/>
                <w:sz w:val="4"/>
                <w:szCs w:val="4"/>
              </w:rPr>
              <w:t xml:space="preserve">huaj/burime </w:t>
            </w:r>
            <w:r w:rsidRPr="00B457F5">
              <w:rPr>
                <w:rFonts w:ascii="Garamond" w:eastAsia="Times New Roman" w:hAnsi="Garamond" w:cs="Times New Roman"/>
                <w:b/>
                <w:bCs/>
                <w:color w:val="000000"/>
                <w:sz w:val="4"/>
                <w:szCs w:val="4"/>
              </w:rPr>
              <w:t>t</w:t>
            </w:r>
            <w:r w:rsidRPr="00B457F5">
              <w:rPr>
                <w:rFonts w:ascii="Garamond" w:eastAsia="Times New Roman" w:hAnsi="Garamond" w:cs="Calibri"/>
                <w:b/>
                <w:bCs/>
                <w:color w:val="000000"/>
                <w:sz w:val="4"/>
                <w:szCs w:val="4"/>
              </w:rPr>
              <w:t>ë</w:t>
            </w:r>
            <w:r w:rsidRPr="00B457F5">
              <w:rPr>
                <w:rFonts w:ascii="Garamond" w:eastAsia="Times New Roman" w:hAnsi="Garamond" w:cs="Times New Roman"/>
                <w:b/>
                <w:bCs/>
                <w:color w:val="000000"/>
                <w:sz w:val="4"/>
                <w:szCs w:val="4"/>
              </w:rPr>
              <w:t xml:space="preserve"> tjera (në lekë)</w:t>
            </w:r>
          </w:p>
        </w:tc>
        <w:tc>
          <w:tcPr>
            <w:tcW w:w="594" w:type="pct"/>
            <w:gridSpan w:val="3"/>
            <w:tcBorders>
              <w:top w:val="single" w:sz="4" w:space="0" w:color="auto"/>
              <w:left w:val="nil"/>
              <w:bottom w:val="single" w:sz="4" w:space="0" w:color="auto"/>
              <w:right w:val="single" w:sz="4" w:space="0" w:color="auto"/>
            </w:tcBorders>
            <w:shd w:val="clear" w:color="000000" w:fill="FFFFFF"/>
            <w:vAlign w:val="center"/>
            <w:hideMark/>
          </w:tcPr>
          <w:p w14:paraId="32F8F868" w14:textId="26CE7EA4"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Buxheti 2027</w:t>
            </w:r>
            <w:r w:rsidR="0028334E" w:rsidRPr="00B457F5">
              <w:rPr>
                <w:rFonts w:ascii="Garamond" w:eastAsia="Times New Roman" w:hAnsi="Garamond" w:cs="Times New Roman"/>
                <w:b/>
                <w:bCs/>
                <w:color w:val="000000"/>
                <w:sz w:val="4"/>
                <w:szCs w:val="4"/>
              </w:rPr>
              <w:t>–</w:t>
            </w:r>
            <w:r w:rsidRPr="00B457F5">
              <w:rPr>
                <w:rFonts w:ascii="Garamond" w:eastAsia="Times New Roman" w:hAnsi="Garamond" w:cs="Times New Roman"/>
                <w:b/>
                <w:bCs/>
                <w:color w:val="000000"/>
                <w:sz w:val="4"/>
                <w:szCs w:val="4"/>
              </w:rPr>
              <w:t>2030 (në lekë)</w:t>
            </w:r>
          </w:p>
        </w:tc>
        <w:tc>
          <w:tcPr>
            <w:tcW w:w="284" w:type="pct"/>
            <w:vMerge/>
            <w:tcBorders>
              <w:top w:val="single" w:sz="8" w:space="0" w:color="auto"/>
              <w:left w:val="single" w:sz="4" w:space="0" w:color="auto"/>
              <w:bottom w:val="single" w:sz="4" w:space="0" w:color="auto"/>
              <w:right w:val="single" w:sz="4" w:space="0" w:color="auto"/>
            </w:tcBorders>
            <w:vAlign w:val="center"/>
            <w:hideMark/>
          </w:tcPr>
          <w:p w14:paraId="145E79B0"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c>
          <w:tcPr>
            <w:tcW w:w="244" w:type="pct"/>
            <w:vMerge/>
            <w:tcBorders>
              <w:top w:val="single" w:sz="8" w:space="0" w:color="auto"/>
              <w:left w:val="single" w:sz="4" w:space="0" w:color="auto"/>
              <w:bottom w:val="single" w:sz="4" w:space="0" w:color="auto"/>
              <w:right w:val="single" w:sz="8" w:space="0" w:color="auto"/>
            </w:tcBorders>
            <w:vAlign w:val="center"/>
            <w:hideMark/>
          </w:tcPr>
          <w:p w14:paraId="076F087E"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r>
      <w:tr w:rsidR="0028334E" w:rsidRPr="00B457F5" w14:paraId="4BAF9B54" w14:textId="77777777" w:rsidTr="00635943">
        <w:trPr>
          <w:trHeight w:val="20"/>
        </w:trPr>
        <w:tc>
          <w:tcPr>
            <w:tcW w:w="343" w:type="pct"/>
            <w:vMerge/>
            <w:tcBorders>
              <w:top w:val="single" w:sz="8" w:space="0" w:color="auto"/>
              <w:left w:val="single" w:sz="8" w:space="0" w:color="auto"/>
              <w:bottom w:val="single" w:sz="4" w:space="0" w:color="auto"/>
              <w:right w:val="single" w:sz="4" w:space="0" w:color="auto"/>
            </w:tcBorders>
            <w:vAlign w:val="center"/>
            <w:hideMark/>
          </w:tcPr>
          <w:p w14:paraId="6C94D3FD"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c>
          <w:tcPr>
            <w:tcW w:w="266" w:type="pct"/>
            <w:vMerge/>
            <w:tcBorders>
              <w:top w:val="nil"/>
              <w:left w:val="single" w:sz="4" w:space="0" w:color="auto"/>
              <w:bottom w:val="single" w:sz="4" w:space="0" w:color="auto"/>
              <w:right w:val="single" w:sz="4" w:space="0" w:color="auto"/>
            </w:tcBorders>
            <w:vAlign w:val="center"/>
            <w:hideMark/>
          </w:tcPr>
          <w:p w14:paraId="249585E0"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c>
          <w:tcPr>
            <w:tcW w:w="474" w:type="pct"/>
            <w:vMerge/>
            <w:tcBorders>
              <w:top w:val="nil"/>
              <w:left w:val="single" w:sz="4" w:space="0" w:color="auto"/>
              <w:bottom w:val="single" w:sz="4" w:space="0" w:color="auto"/>
              <w:right w:val="single" w:sz="4" w:space="0" w:color="auto"/>
            </w:tcBorders>
            <w:vAlign w:val="center"/>
            <w:hideMark/>
          </w:tcPr>
          <w:p w14:paraId="173DAAAF"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c>
          <w:tcPr>
            <w:tcW w:w="196" w:type="pct"/>
            <w:vMerge/>
            <w:tcBorders>
              <w:top w:val="nil"/>
              <w:left w:val="single" w:sz="4" w:space="0" w:color="auto"/>
              <w:bottom w:val="single" w:sz="4" w:space="0" w:color="auto"/>
              <w:right w:val="single" w:sz="4" w:space="0" w:color="auto"/>
            </w:tcBorders>
            <w:vAlign w:val="center"/>
            <w:hideMark/>
          </w:tcPr>
          <w:p w14:paraId="33C9B9EA"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c>
          <w:tcPr>
            <w:tcW w:w="231" w:type="pct"/>
            <w:vMerge/>
            <w:tcBorders>
              <w:top w:val="nil"/>
              <w:left w:val="single" w:sz="4" w:space="0" w:color="auto"/>
              <w:bottom w:val="single" w:sz="4" w:space="0" w:color="auto"/>
              <w:right w:val="single" w:sz="4" w:space="0" w:color="auto"/>
            </w:tcBorders>
            <w:vAlign w:val="center"/>
            <w:hideMark/>
          </w:tcPr>
          <w:p w14:paraId="5CEE24A4" w14:textId="77777777" w:rsidR="00635943" w:rsidRPr="00B457F5" w:rsidRDefault="00635943" w:rsidP="00635943">
            <w:pPr>
              <w:spacing w:before="0" w:after="0"/>
              <w:jc w:val="left"/>
              <w:rPr>
                <w:rFonts w:ascii="Garamond" w:eastAsia="Times New Roman" w:hAnsi="Garamond" w:cs="Times New Roman"/>
                <w:b/>
                <w:bCs/>
                <w:color w:val="000000"/>
                <w:sz w:val="4"/>
                <w:szCs w:val="4"/>
              </w:rPr>
            </w:pPr>
          </w:p>
        </w:tc>
        <w:tc>
          <w:tcPr>
            <w:tcW w:w="259" w:type="pct"/>
            <w:tcBorders>
              <w:top w:val="nil"/>
              <w:left w:val="nil"/>
              <w:bottom w:val="nil"/>
              <w:right w:val="single" w:sz="4" w:space="0" w:color="auto"/>
            </w:tcBorders>
            <w:shd w:val="clear" w:color="000000" w:fill="FFFFFF"/>
            <w:vAlign w:val="center"/>
            <w:hideMark/>
          </w:tcPr>
          <w:p w14:paraId="3700913A" w14:textId="793ACD21"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Kor</w:t>
            </w:r>
            <w:r w:rsidR="0028334E" w:rsidRPr="00B457F5">
              <w:rPr>
                <w:rFonts w:ascii="Garamond" w:eastAsia="Times New Roman" w:hAnsi="Garamond" w:cs="Times New Roman"/>
                <w:b/>
                <w:bCs/>
                <w:color w:val="000000"/>
                <w:sz w:val="4"/>
                <w:szCs w:val="4"/>
              </w:rPr>
              <w:t>r</w:t>
            </w:r>
            <w:r w:rsidRPr="00B457F5">
              <w:rPr>
                <w:rFonts w:ascii="Garamond" w:eastAsia="Times New Roman" w:hAnsi="Garamond" w:cs="Times New Roman"/>
                <w:b/>
                <w:bCs/>
                <w:color w:val="000000"/>
                <w:sz w:val="4"/>
                <w:szCs w:val="4"/>
              </w:rPr>
              <w:t>ente</w:t>
            </w:r>
          </w:p>
        </w:tc>
        <w:tc>
          <w:tcPr>
            <w:tcW w:w="278" w:type="pct"/>
            <w:tcBorders>
              <w:top w:val="nil"/>
              <w:left w:val="nil"/>
              <w:bottom w:val="nil"/>
              <w:right w:val="single" w:sz="4" w:space="0" w:color="auto"/>
            </w:tcBorders>
            <w:shd w:val="clear" w:color="000000" w:fill="FFFFFF"/>
            <w:vAlign w:val="center"/>
            <w:hideMark/>
          </w:tcPr>
          <w:p w14:paraId="2BD03C42" w14:textId="77777777"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Kapitale</w:t>
            </w:r>
          </w:p>
        </w:tc>
        <w:tc>
          <w:tcPr>
            <w:tcW w:w="260" w:type="pct"/>
            <w:tcBorders>
              <w:top w:val="nil"/>
              <w:left w:val="nil"/>
              <w:bottom w:val="nil"/>
              <w:right w:val="single" w:sz="4" w:space="0" w:color="auto"/>
            </w:tcBorders>
            <w:shd w:val="clear" w:color="000000" w:fill="FFFFFF"/>
            <w:vAlign w:val="center"/>
            <w:hideMark/>
          </w:tcPr>
          <w:p w14:paraId="6EA46FD0" w14:textId="0EEC5531"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Total </w:t>
            </w:r>
            <w:r w:rsidR="0028334E" w:rsidRPr="00B457F5">
              <w:rPr>
                <w:rFonts w:ascii="Garamond" w:eastAsia="Times New Roman" w:hAnsi="Garamond" w:cs="Times New Roman"/>
                <w:b/>
                <w:bCs/>
                <w:color w:val="000000"/>
                <w:sz w:val="4"/>
                <w:szCs w:val="4"/>
              </w:rPr>
              <w:t>k</w:t>
            </w:r>
            <w:r w:rsidRPr="00B457F5">
              <w:rPr>
                <w:rFonts w:ascii="Garamond" w:eastAsia="Times New Roman" w:hAnsi="Garamond" w:cs="Times New Roman"/>
                <w:b/>
                <w:bCs/>
                <w:color w:val="000000"/>
                <w:sz w:val="4"/>
                <w:szCs w:val="4"/>
              </w:rPr>
              <w:t>osto</w:t>
            </w:r>
          </w:p>
        </w:tc>
        <w:tc>
          <w:tcPr>
            <w:tcW w:w="313" w:type="pct"/>
            <w:tcBorders>
              <w:top w:val="nil"/>
              <w:left w:val="nil"/>
              <w:bottom w:val="nil"/>
              <w:right w:val="single" w:sz="4" w:space="0" w:color="auto"/>
            </w:tcBorders>
            <w:shd w:val="clear" w:color="auto" w:fill="auto"/>
            <w:vAlign w:val="center"/>
            <w:hideMark/>
          </w:tcPr>
          <w:p w14:paraId="3562757A" w14:textId="5FDC57EF"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Kor</w:t>
            </w:r>
            <w:r w:rsidR="0028334E" w:rsidRPr="00B457F5">
              <w:rPr>
                <w:rFonts w:ascii="Garamond" w:eastAsia="Times New Roman" w:hAnsi="Garamond" w:cs="Times New Roman"/>
                <w:b/>
                <w:bCs/>
                <w:color w:val="000000"/>
                <w:sz w:val="4"/>
                <w:szCs w:val="4"/>
              </w:rPr>
              <w:t>r</w:t>
            </w:r>
            <w:r w:rsidRPr="00B457F5">
              <w:rPr>
                <w:rFonts w:ascii="Garamond" w:eastAsia="Times New Roman" w:hAnsi="Garamond" w:cs="Times New Roman"/>
                <w:b/>
                <w:bCs/>
                <w:color w:val="000000"/>
                <w:sz w:val="4"/>
                <w:szCs w:val="4"/>
              </w:rPr>
              <w:t>ente</w:t>
            </w:r>
          </w:p>
        </w:tc>
        <w:tc>
          <w:tcPr>
            <w:tcW w:w="256" w:type="pct"/>
            <w:tcBorders>
              <w:top w:val="nil"/>
              <w:left w:val="nil"/>
              <w:bottom w:val="nil"/>
              <w:right w:val="single" w:sz="4" w:space="0" w:color="auto"/>
            </w:tcBorders>
            <w:shd w:val="clear" w:color="auto" w:fill="auto"/>
            <w:vAlign w:val="center"/>
            <w:hideMark/>
          </w:tcPr>
          <w:p w14:paraId="1D4186FD" w14:textId="77777777"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Kapitale</w:t>
            </w:r>
          </w:p>
        </w:tc>
        <w:tc>
          <w:tcPr>
            <w:tcW w:w="256" w:type="pct"/>
            <w:tcBorders>
              <w:top w:val="nil"/>
              <w:left w:val="nil"/>
              <w:bottom w:val="nil"/>
              <w:right w:val="single" w:sz="4" w:space="0" w:color="auto"/>
            </w:tcBorders>
            <w:shd w:val="clear" w:color="auto" w:fill="auto"/>
            <w:vAlign w:val="center"/>
            <w:hideMark/>
          </w:tcPr>
          <w:p w14:paraId="75E45E31" w14:textId="77777777"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Total BSH</w:t>
            </w:r>
          </w:p>
        </w:tc>
        <w:tc>
          <w:tcPr>
            <w:tcW w:w="253" w:type="pct"/>
            <w:tcBorders>
              <w:top w:val="nil"/>
              <w:left w:val="nil"/>
              <w:bottom w:val="nil"/>
              <w:right w:val="single" w:sz="4" w:space="0" w:color="auto"/>
            </w:tcBorders>
            <w:shd w:val="clear" w:color="auto" w:fill="auto"/>
            <w:vAlign w:val="center"/>
            <w:hideMark/>
          </w:tcPr>
          <w:p w14:paraId="54FE662D" w14:textId="03856C6F" w:rsidR="00635943" w:rsidRPr="00B457F5" w:rsidRDefault="00635943" w:rsidP="00635943">
            <w:pPr>
              <w:spacing w:before="0" w:after="0"/>
              <w:jc w:val="center"/>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Ko</w:t>
            </w:r>
            <w:r w:rsidR="0028334E" w:rsidRPr="00B457F5">
              <w:rPr>
                <w:rFonts w:ascii="Garamond" w:eastAsia="Times New Roman" w:hAnsi="Garamond" w:cs="Times New Roman"/>
                <w:b/>
                <w:bCs/>
                <w:color w:val="000000"/>
                <w:sz w:val="4"/>
                <w:szCs w:val="4"/>
              </w:rPr>
              <w:t>r</w:t>
            </w:r>
            <w:r w:rsidRPr="00B457F5">
              <w:rPr>
                <w:rFonts w:ascii="Garamond" w:eastAsia="Times New Roman" w:hAnsi="Garamond" w:cs="Times New Roman"/>
                <w:b/>
                <w:bCs/>
                <w:color w:val="000000"/>
                <w:sz w:val="4"/>
                <w:szCs w:val="4"/>
              </w:rPr>
              <w:t>rente</w:t>
            </w:r>
          </w:p>
        </w:tc>
        <w:tc>
          <w:tcPr>
            <w:tcW w:w="238" w:type="pct"/>
            <w:tcBorders>
              <w:top w:val="nil"/>
              <w:left w:val="nil"/>
              <w:bottom w:val="nil"/>
              <w:right w:val="single" w:sz="4" w:space="0" w:color="auto"/>
            </w:tcBorders>
            <w:shd w:val="clear" w:color="auto" w:fill="auto"/>
            <w:vAlign w:val="center"/>
            <w:hideMark/>
          </w:tcPr>
          <w:p w14:paraId="3EA2A73C" w14:textId="77777777" w:rsidR="00635943" w:rsidRPr="00B457F5" w:rsidRDefault="00635943" w:rsidP="00635943">
            <w:pPr>
              <w:spacing w:before="0" w:after="0"/>
              <w:jc w:val="lef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Kapitale</w:t>
            </w:r>
          </w:p>
        </w:tc>
        <w:tc>
          <w:tcPr>
            <w:tcW w:w="256" w:type="pct"/>
            <w:tcBorders>
              <w:top w:val="nil"/>
              <w:left w:val="nil"/>
              <w:bottom w:val="nil"/>
              <w:right w:val="single" w:sz="4" w:space="0" w:color="auto"/>
            </w:tcBorders>
            <w:shd w:val="clear" w:color="auto" w:fill="auto"/>
            <w:vAlign w:val="center"/>
            <w:hideMark/>
          </w:tcPr>
          <w:p w14:paraId="00F68F4E" w14:textId="77777777" w:rsidR="00635943" w:rsidRPr="00B457F5" w:rsidRDefault="00635943" w:rsidP="00635943">
            <w:pPr>
              <w:spacing w:before="0" w:after="0"/>
              <w:jc w:val="lef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Total FH</w:t>
            </w:r>
          </w:p>
        </w:tc>
        <w:tc>
          <w:tcPr>
            <w:tcW w:w="205" w:type="pct"/>
            <w:tcBorders>
              <w:top w:val="nil"/>
              <w:left w:val="nil"/>
              <w:bottom w:val="nil"/>
              <w:right w:val="single" w:sz="4" w:space="0" w:color="auto"/>
            </w:tcBorders>
            <w:shd w:val="clear" w:color="000000" w:fill="FFFFFF"/>
            <w:vAlign w:val="center"/>
            <w:hideMark/>
          </w:tcPr>
          <w:p w14:paraId="0DE44309" w14:textId="309D9A28" w:rsidR="00635943" w:rsidRPr="00B457F5" w:rsidRDefault="00635943" w:rsidP="00635943">
            <w:pPr>
              <w:spacing w:before="0" w:after="0"/>
              <w:jc w:val="lef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Ko</w:t>
            </w:r>
            <w:r w:rsidR="0028334E" w:rsidRPr="00B457F5">
              <w:rPr>
                <w:rFonts w:ascii="Garamond" w:eastAsia="Times New Roman" w:hAnsi="Garamond" w:cs="Times New Roman"/>
                <w:b/>
                <w:bCs/>
                <w:color w:val="000000"/>
                <w:sz w:val="4"/>
                <w:szCs w:val="4"/>
              </w:rPr>
              <w:t>r</w:t>
            </w:r>
            <w:r w:rsidRPr="00B457F5">
              <w:rPr>
                <w:rFonts w:ascii="Garamond" w:eastAsia="Times New Roman" w:hAnsi="Garamond" w:cs="Times New Roman"/>
                <w:b/>
                <w:bCs/>
                <w:color w:val="000000"/>
                <w:sz w:val="4"/>
                <w:szCs w:val="4"/>
              </w:rPr>
              <w:t>rente</w:t>
            </w:r>
          </w:p>
        </w:tc>
        <w:tc>
          <w:tcPr>
            <w:tcW w:w="211" w:type="pct"/>
            <w:tcBorders>
              <w:top w:val="nil"/>
              <w:left w:val="nil"/>
              <w:bottom w:val="nil"/>
              <w:right w:val="single" w:sz="4" w:space="0" w:color="auto"/>
            </w:tcBorders>
            <w:shd w:val="clear" w:color="000000" w:fill="FFFFFF"/>
            <w:vAlign w:val="center"/>
            <w:hideMark/>
          </w:tcPr>
          <w:p w14:paraId="08EC5D62" w14:textId="77777777" w:rsidR="00635943" w:rsidRPr="00B457F5" w:rsidRDefault="00635943" w:rsidP="00635943">
            <w:pPr>
              <w:spacing w:before="0" w:after="0"/>
              <w:jc w:val="lef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Kapitale</w:t>
            </w:r>
          </w:p>
        </w:tc>
        <w:tc>
          <w:tcPr>
            <w:tcW w:w="177" w:type="pct"/>
            <w:tcBorders>
              <w:top w:val="nil"/>
              <w:left w:val="nil"/>
              <w:bottom w:val="nil"/>
              <w:right w:val="single" w:sz="4" w:space="0" w:color="auto"/>
            </w:tcBorders>
            <w:shd w:val="clear" w:color="000000" w:fill="FFFFFF"/>
            <w:vAlign w:val="center"/>
            <w:hideMark/>
          </w:tcPr>
          <w:p w14:paraId="6EC71E8D" w14:textId="77777777" w:rsidR="00635943" w:rsidRPr="00B457F5" w:rsidRDefault="00635943" w:rsidP="00635943">
            <w:pPr>
              <w:spacing w:before="0" w:after="0"/>
              <w:jc w:val="lef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Total BSH</w:t>
            </w:r>
          </w:p>
        </w:tc>
        <w:tc>
          <w:tcPr>
            <w:tcW w:w="284" w:type="pct"/>
            <w:tcBorders>
              <w:top w:val="nil"/>
              <w:left w:val="nil"/>
              <w:bottom w:val="nil"/>
              <w:right w:val="single" w:sz="4" w:space="0" w:color="auto"/>
            </w:tcBorders>
            <w:shd w:val="clear" w:color="auto" w:fill="auto"/>
            <w:vAlign w:val="center"/>
            <w:hideMark/>
          </w:tcPr>
          <w:p w14:paraId="67EBF447" w14:textId="77777777" w:rsidR="00635943" w:rsidRPr="00B457F5" w:rsidRDefault="00635943" w:rsidP="00635943">
            <w:pPr>
              <w:spacing w:before="0" w:after="0"/>
              <w:jc w:val="lef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w:t>
            </w:r>
          </w:p>
        </w:tc>
        <w:tc>
          <w:tcPr>
            <w:tcW w:w="244" w:type="pct"/>
            <w:tcBorders>
              <w:top w:val="nil"/>
              <w:left w:val="nil"/>
              <w:bottom w:val="nil"/>
              <w:right w:val="single" w:sz="8" w:space="0" w:color="auto"/>
            </w:tcBorders>
            <w:shd w:val="clear" w:color="auto" w:fill="auto"/>
            <w:vAlign w:val="center"/>
            <w:hideMark/>
          </w:tcPr>
          <w:p w14:paraId="62074359" w14:textId="77777777" w:rsidR="00635943" w:rsidRPr="00B457F5" w:rsidRDefault="00635943" w:rsidP="00635943">
            <w:pPr>
              <w:spacing w:before="0" w:after="0"/>
              <w:jc w:val="lef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w:t>
            </w:r>
          </w:p>
        </w:tc>
      </w:tr>
      <w:tr w:rsidR="0028334E" w:rsidRPr="00B457F5" w14:paraId="57720746" w14:textId="77777777" w:rsidTr="00635943">
        <w:trPr>
          <w:trHeight w:val="20"/>
        </w:trPr>
        <w:tc>
          <w:tcPr>
            <w:tcW w:w="343" w:type="pct"/>
            <w:tcBorders>
              <w:top w:val="single" w:sz="8" w:space="0" w:color="auto"/>
              <w:left w:val="single" w:sz="8" w:space="0" w:color="auto"/>
              <w:bottom w:val="single" w:sz="4" w:space="0" w:color="auto"/>
              <w:right w:val="single" w:sz="4" w:space="0" w:color="auto"/>
            </w:tcBorders>
            <w:shd w:val="clear" w:color="auto" w:fill="auto"/>
            <w:vAlign w:val="bottom"/>
            <w:hideMark/>
          </w:tcPr>
          <w:p w14:paraId="2AE6B1DF" w14:textId="20A7E10A" w:rsidR="00635943" w:rsidRPr="00B457F5" w:rsidRDefault="00635943" w:rsidP="00635943">
            <w:pPr>
              <w:spacing w:before="0" w:after="0"/>
              <w:jc w:val="lef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 xml:space="preserve">Objektivi </w:t>
            </w:r>
            <w:r w:rsidR="0028334E" w:rsidRPr="00B457F5">
              <w:rPr>
                <w:rFonts w:ascii="Garamond" w:eastAsia="Times New Roman" w:hAnsi="Garamond" w:cs="Times New Roman"/>
                <w:color w:val="000000"/>
                <w:sz w:val="4"/>
                <w:szCs w:val="4"/>
              </w:rPr>
              <w:t>s</w:t>
            </w:r>
            <w:r w:rsidRPr="00B457F5">
              <w:rPr>
                <w:rFonts w:ascii="Garamond" w:eastAsia="Times New Roman" w:hAnsi="Garamond" w:cs="Times New Roman"/>
                <w:color w:val="000000"/>
                <w:sz w:val="4"/>
                <w:szCs w:val="4"/>
              </w:rPr>
              <w:t xml:space="preserve">pecifik 4.1: Përmirësimi </w:t>
            </w:r>
            <w:r w:rsidR="00D34EE7">
              <w:rPr>
                <w:rFonts w:ascii="Garamond" w:eastAsia="Times New Roman" w:hAnsi="Garamond" w:cs="Times New Roman"/>
                <w:color w:val="000000"/>
                <w:sz w:val="4"/>
                <w:szCs w:val="4"/>
              </w:rPr>
              <w:t xml:space="preserve">i </w:t>
            </w:r>
            <w:r w:rsidRPr="00B457F5">
              <w:rPr>
                <w:rFonts w:ascii="Garamond" w:eastAsia="Times New Roman" w:hAnsi="Garamond" w:cs="Times New Roman"/>
                <w:color w:val="000000"/>
                <w:sz w:val="4"/>
                <w:szCs w:val="4"/>
              </w:rPr>
              <w:t>efikasitetit, aksesit dhe apelimit</w:t>
            </w:r>
            <w:r w:rsidR="0006016F" w:rsidRPr="00B457F5">
              <w:rPr>
                <w:rFonts w:ascii="Garamond" w:eastAsia="Times New Roman" w:hAnsi="Garamond" w:cs="Times New Roman"/>
                <w:color w:val="000000"/>
                <w:sz w:val="4"/>
                <w:szCs w:val="4"/>
              </w:rPr>
              <w:t xml:space="preserve"> </w:t>
            </w:r>
            <w:r w:rsidRPr="00B457F5">
              <w:rPr>
                <w:rFonts w:ascii="Garamond" w:eastAsia="Times New Roman" w:hAnsi="Garamond" w:cs="Times New Roman"/>
                <w:color w:val="000000"/>
                <w:sz w:val="4"/>
                <w:szCs w:val="4"/>
              </w:rPr>
              <w:t>në procedurën e</w:t>
            </w:r>
            <w:r w:rsidR="0006016F" w:rsidRPr="00B457F5">
              <w:rPr>
                <w:rFonts w:ascii="Garamond" w:eastAsia="Times New Roman" w:hAnsi="Garamond" w:cs="Times New Roman"/>
                <w:color w:val="000000"/>
                <w:sz w:val="4"/>
                <w:szCs w:val="4"/>
              </w:rPr>
              <w:t xml:space="preserve"> </w:t>
            </w:r>
            <w:r w:rsidRPr="00B457F5">
              <w:rPr>
                <w:rFonts w:ascii="Garamond" w:eastAsia="Times New Roman" w:hAnsi="Garamond" w:cs="Times New Roman"/>
                <w:color w:val="000000"/>
                <w:sz w:val="4"/>
                <w:szCs w:val="4"/>
              </w:rPr>
              <w:t xml:space="preserve">azilit </w:t>
            </w:r>
          </w:p>
        </w:tc>
        <w:tc>
          <w:tcPr>
            <w:tcW w:w="266" w:type="pct"/>
            <w:tcBorders>
              <w:top w:val="single" w:sz="8" w:space="0" w:color="auto"/>
              <w:left w:val="nil"/>
              <w:bottom w:val="single" w:sz="4" w:space="0" w:color="auto"/>
              <w:right w:val="single" w:sz="4" w:space="0" w:color="auto"/>
            </w:tcBorders>
            <w:shd w:val="clear" w:color="auto" w:fill="auto"/>
            <w:vAlign w:val="bottom"/>
            <w:hideMark/>
          </w:tcPr>
          <w:p w14:paraId="6F426F02" w14:textId="77777777" w:rsidR="00635943" w:rsidRPr="00B457F5" w:rsidRDefault="00635943" w:rsidP="00635943">
            <w:pPr>
              <w:spacing w:before="0" w:after="0"/>
              <w:jc w:val="center"/>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MB, MD</w:t>
            </w:r>
          </w:p>
        </w:tc>
        <w:tc>
          <w:tcPr>
            <w:tcW w:w="474" w:type="pct"/>
            <w:tcBorders>
              <w:top w:val="single" w:sz="8" w:space="0" w:color="auto"/>
              <w:left w:val="nil"/>
              <w:bottom w:val="single" w:sz="4" w:space="0" w:color="auto"/>
              <w:right w:val="single" w:sz="4" w:space="0" w:color="auto"/>
            </w:tcBorders>
            <w:shd w:val="clear" w:color="auto" w:fill="auto"/>
            <w:vAlign w:val="bottom"/>
            <w:hideMark/>
          </w:tcPr>
          <w:p w14:paraId="62A98600" w14:textId="77777777" w:rsidR="00635943" w:rsidRPr="00B457F5" w:rsidRDefault="00635943" w:rsidP="00635943">
            <w:pPr>
              <w:spacing w:before="0" w:after="0"/>
              <w:jc w:val="center"/>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MSHMS, MFE, MEPJ,EUAA,UNHCR, IOM, EUAA</w:t>
            </w:r>
          </w:p>
        </w:tc>
        <w:tc>
          <w:tcPr>
            <w:tcW w:w="196" w:type="pct"/>
            <w:tcBorders>
              <w:top w:val="single" w:sz="8" w:space="0" w:color="auto"/>
              <w:left w:val="nil"/>
              <w:bottom w:val="single" w:sz="4" w:space="0" w:color="auto"/>
              <w:right w:val="single" w:sz="4" w:space="0" w:color="auto"/>
            </w:tcBorders>
            <w:shd w:val="clear" w:color="auto" w:fill="auto"/>
            <w:vAlign w:val="center"/>
            <w:hideMark/>
          </w:tcPr>
          <w:p w14:paraId="1C86ABF5" w14:textId="77777777" w:rsidR="00635943" w:rsidRPr="00B457F5" w:rsidRDefault="00635943" w:rsidP="00635943">
            <w:pPr>
              <w:spacing w:before="0" w:after="0"/>
              <w:jc w:val="center"/>
              <w:rPr>
                <w:rFonts w:ascii="Garamond" w:eastAsia="Times New Roman" w:hAnsi="Garamond" w:cs="Times New Roman"/>
                <w:sz w:val="4"/>
                <w:szCs w:val="4"/>
              </w:rPr>
            </w:pPr>
            <w:r w:rsidRPr="00B457F5">
              <w:rPr>
                <w:rFonts w:ascii="Garamond" w:eastAsia="Times New Roman" w:hAnsi="Garamond" w:cs="Times New Roman"/>
                <w:sz w:val="4"/>
                <w:szCs w:val="4"/>
              </w:rPr>
              <w:t>2024</w:t>
            </w:r>
          </w:p>
        </w:tc>
        <w:tc>
          <w:tcPr>
            <w:tcW w:w="231" w:type="pct"/>
            <w:tcBorders>
              <w:top w:val="single" w:sz="8" w:space="0" w:color="auto"/>
              <w:left w:val="nil"/>
              <w:bottom w:val="single" w:sz="4" w:space="0" w:color="auto"/>
              <w:right w:val="single" w:sz="4" w:space="0" w:color="auto"/>
            </w:tcBorders>
            <w:shd w:val="clear" w:color="auto" w:fill="auto"/>
            <w:vAlign w:val="center"/>
            <w:hideMark/>
          </w:tcPr>
          <w:p w14:paraId="757F9670" w14:textId="77777777" w:rsidR="00635943" w:rsidRPr="00B457F5" w:rsidRDefault="00635943" w:rsidP="00635943">
            <w:pPr>
              <w:spacing w:before="0" w:after="0"/>
              <w:jc w:val="center"/>
              <w:rPr>
                <w:rFonts w:ascii="Garamond" w:eastAsia="Times New Roman" w:hAnsi="Garamond" w:cs="Times New Roman"/>
                <w:sz w:val="4"/>
                <w:szCs w:val="4"/>
              </w:rPr>
            </w:pPr>
            <w:r w:rsidRPr="00B457F5">
              <w:rPr>
                <w:rFonts w:ascii="Garamond" w:eastAsia="Times New Roman" w:hAnsi="Garamond" w:cs="Times New Roman"/>
                <w:sz w:val="4"/>
                <w:szCs w:val="4"/>
              </w:rPr>
              <w:t>2026</w:t>
            </w:r>
          </w:p>
        </w:tc>
        <w:tc>
          <w:tcPr>
            <w:tcW w:w="259" w:type="pct"/>
            <w:tcBorders>
              <w:top w:val="single" w:sz="8" w:space="0" w:color="auto"/>
              <w:left w:val="nil"/>
              <w:bottom w:val="single" w:sz="4" w:space="0" w:color="auto"/>
              <w:right w:val="single" w:sz="4" w:space="0" w:color="auto"/>
            </w:tcBorders>
            <w:shd w:val="clear" w:color="auto" w:fill="auto"/>
            <w:noWrap/>
            <w:vAlign w:val="center"/>
            <w:hideMark/>
          </w:tcPr>
          <w:p w14:paraId="3ABB4EFC" w14:textId="77777777" w:rsidR="00635943" w:rsidRPr="00B457F5" w:rsidRDefault="00635943" w:rsidP="00635943">
            <w:pPr>
              <w:spacing w:before="0" w:after="0"/>
              <w:jc w:val="right"/>
              <w:rPr>
                <w:rFonts w:ascii="Garamond" w:eastAsia="Times New Roman" w:hAnsi="Garamond" w:cs="Times New Roman"/>
                <w:sz w:val="4"/>
                <w:szCs w:val="4"/>
              </w:rPr>
            </w:pPr>
            <w:r w:rsidRPr="00B457F5">
              <w:rPr>
                <w:rFonts w:ascii="Garamond" w:eastAsia="Times New Roman" w:hAnsi="Garamond" w:cs="Times New Roman"/>
                <w:sz w:val="4"/>
                <w:szCs w:val="4"/>
              </w:rPr>
              <w:t>36,191,054</w:t>
            </w:r>
          </w:p>
        </w:tc>
        <w:tc>
          <w:tcPr>
            <w:tcW w:w="278" w:type="pct"/>
            <w:tcBorders>
              <w:top w:val="single" w:sz="8" w:space="0" w:color="auto"/>
              <w:left w:val="nil"/>
              <w:bottom w:val="single" w:sz="4" w:space="0" w:color="auto"/>
              <w:right w:val="single" w:sz="4" w:space="0" w:color="auto"/>
            </w:tcBorders>
            <w:shd w:val="clear" w:color="auto" w:fill="auto"/>
            <w:vAlign w:val="center"/>
            <w:hideMark/>
          </w:tcPr>
          <w:p w14:paraId="3ED1DC9C"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60" w:type="pct"/>
            <w:tcBorders>
              <w:top w:val="single" w:sz="8" w:space="0" w:color="auto"/>
              <w:left w:val="nil"/>
              <w:bottom w:val="single" w:sz="4" w:space="0" w:color="auto"/>
              <w:right w:val="single" w:sz="4" w:space="0" w:color="auto"/>
            </w:tcBorders>
            <w:shd w:val="clear" w:color="auto" w:fill="auto"/>
            <w:noWrap/>
            <w:vAlign w:val="center"/>
            <w:hideMark/>
          </w:tcPr>
          <w:p w14:paraId="140915F4" w14:textId="77777777" w:rsidR="00635943" w:rsidRPr="00B457F5" w:rsidRDefault="00635943" w:rsidP="00635943">
            <w:pPr>
              <w:spacing w:before="0" w:after="0"/>
              <w:jc w:val="right"/>
              <w:rPr>
                <w:rFonts w:ascii="Garamond" w:eastAsia="Times New Roman" w:hAnsi="Garamond" w:cs="Times New Roman"/>
                <w:sz w:val="4"/>
                <w:szCs w:val="4"/>
              </w:rPr>
            </w:pPr>
            <w:r w:rsidRPr="00B457F5">
              <w:rPr>
                <w:rFonts w:ascii="Garamond" w:eastAsia="Times New Roman" w:hAnsi="Garamond" w:cs="Times New Roman"/>
                <w:sz w:val="4"/>
                <w:szCs w:val="4"/>
              </w:rPr>
              <w:t>36,191,054</w:t>
            </w:r>
          </w:p>
        </w:tc>
        <w:tc>
          <w:tcPr>
            <w:tcW w:w="313" w:type="pct"/>
            <w:tcBorders>
              <w:top w:val="single" w:sz="8" w:space="0" w:color="auto"/>
              <w:left w:val="nil"/>
              <w:bottom w:val="single" w:sz="4" w:space="0" w:color="auto"/>
              <w:right w:val="single" w:sz="4" w:space="0" w:color="auto"/>
            </w:tcBorders>
            <w:shd w:val="clear" w:color="auto" w:fill="auto"/>
            <w:vAlign w:val="center"/>
            <w:hideMark/>
          </w:tcPr>
          <w:p w14:paraId="3B9BFDD8"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17,069,034</w:t>
            </w:r>
          </w:p>
        </w:tc>
        <w:tc>
          <w:tcPr>
            <w:tcW w:w="256" w:type="pct"/>
            <w:tcBorders>
              <w:top w:val="single" w:sz="8" w:space="0" w:color="auto"/>
              <w:left w:val="nil"/>
              <w:bottom w:val="single" w:sz="4" w:space="0" w:color="auto"/>
              <w:right w:val="single" w:sz="4" w:space="0" w:color="auto"/>
            </w:tcBorders>
            <w:shd w:val="clear" w:color="auto" w:fill="auto"/>
            <w:vAlign w:val="center"/>
            <w:hideMark/>
          </w:tcPr>
          <w:p w14:paraId="6A6616E4"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56" w:type="pct"/>
            <w:tcBorders>
              <w:top w:val="single" w:sz="8" w:space="0" w:color="auto"/>
              <w:left w:val="nil"/>
              <w:bottom w:val="nil"/>
              <w:right w:val="single" w:sz="4" w:space="0" w:color="auto"/>
            </w:tcBorders>
            <w:shd w:val="clear" w:color="auto" w:fill="auto"/>
            <w:noWrap/>
            <w:vAlign w:val="center"/>
            <w:hideMark/>
          </w:tcPr>
          <w:p w14:paraId="69891758" w14:textId="77777777" w:rsidR="00635943" w:rsidRPr="00B457F5" w:rsidRDefault="00635943" w:rsidP="00635943">
            <w:pPr>
              <w:spacing w:before="0" w:after="0"/>
              <w:jc w:val="right"/>
              <w:rPr>
                <w:rFonts w:ascii="Garamond" w:eastAsia="Times New Roman" w:hAnsi="Garamond" w:cs="Times New Roman"/>
                <w:b/>
                <w:bCs/>
                <w:sz w:val="4"/>
                <w:szCs w:val="4"/>
              </w:rPr>
            </w:pPr>
            <w:r w:rsidRPr="00B457F5">
              <w:rPr>
                <w:rFonts w:ascii="Garamond" w:eastAsia="Times New Roman" w:hAnsi="Garamond" w:cs="Times New Roman"/>
                <w:b/>
                <w:bCs/>
                <w:sz w:val="4"/>
                <w:szCs w:val="4"/>
              </w:rPr>
              <w:t>17,069,034</w:t>
            </w:r>
          </w:p>
        </w:tc>
        <w:tc>
          <w:tcPr>
            <w:tcW w:w="253" w:type="pct"/>
            <w:tcBorders>
              <w:top w:val="single" w:sz="8" w:space="0" w:color="auto"/>
              <w:left w:val="nil"/>
              <w:bottom w:val="single" w:sz="4" w:space="0" w:color="auto"/>
              <w:right w:val="single" w:sz="4" w:space="0" w:color="auto"/>
            </w:tcBorders>
            <w:shd w:val="clear" w:color="auto" w:fill="auto"/>
            <w:vAlign w:val="center"/>
            <w:hideMark/>
          </w:tcPr>
          <w:p w14:paraId="4B518819"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19,122,020</w:t>
            </w:r>
          </w:p>
        </w:tc>
        <w:tc>
          <w:tcPr>
            <w:tcW w:w="238" w:type="pct"/>
            <w:tcBorders>
              <w:top w:val="single" w:sz="8" w:space="0" w:color="auto"/>
              <w:left w:val="nil"/>
              <w:bottom w:val="single" w:sz="4" w:space="0" w:color="auto"/>
              <w:right w:val="single" w:sz="4" w:space="0" w:color="auto"/>
            </w:tcBorders>
            <w:shd w:val="clear" w:color="auto" w:fill="auto"/>
            <w:vAlign w:val="center"/>
            <w:hideMark/>
          </w:tcPr>
          <w:p w14:paraId="11DF0DF6"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56" w:type="pct"/>
            <w:tcBorders>
              <w:top w:val="single" w:sz="8" w:space="0" w:color="auto"/>
              <w:left w:val="nil"/>
              <w:bottom w:val="nil"/>
              <w:right w:val="single" w:sz="4" w:space="0" w:color="auto"/>
            </w:tcBorders>
            <w:shd w:val="clear" w:color="auto" w:fill="auto"/>
            <w:noWrap/>
            <w:vAlign w:val="center"/>
            <w:hideMark/>
          </w:tcPr>
          <w:p w14:paraId="352758E8" w14:textId="77777777" w:rsidR="00635943" w:rsidRPr="00B457F5" w:rsidRDefault="00635943" w:rsidP="00635943">
            <w:pPr>
              <w:spacing w:before="0" w:after="0"/>
              <w:jc w:val="right"/>
              <w:rPr>
                <w:rFonts w:ascii="Garamond" w:eastAsia="Times New Roman" w:hAnsi="Garamond" w:cs="Times New Roman"/>
                <w:b/>
                <w:bCs/>
                <w:sz w:val="4"/>
                <w:szCs w:val="4"/>
              </w:rPr>
            </w:pPr>
            <w:r w:rsidRPr="00B457F5">
              <w:rPr>
                <w:rFonts w:ascii="Garamond" w:eastAsia="Times New Roman" w:hAnsi="Garamond" w:cs="Times New Roman"/>
                <w:b/>
                <w:bCs/>
                <w:sz w:val="4"/>
                <w:szCs w:val="4"/>
              </w:rPr>
              <w:t>19,122,020</w:t>
            </w:r>
          </w:p>
        </w:tc>
        <w:tc>
          <w:tcPr>
            <w:tcW w:w="205" w:type="pct"/>
            <w:tcBorders>
              <w:top w:val="single" w:sz="8" w:space="0" w:color="auto"/>
              <w:left w:val="nil"/>
              <w:bottom w:val="single" w:sz="4" w:space="0" w:color="auto"/>
              <w:right w:val="single" w:sz="4" w:space="0" w:color="auto"/>
            </w:tcBorders>
            <w:shd w:val="clear" w:color="auto" w:fill="auto"/>
            <w:vAlign w:val="center"/>
            <w:hideMark/>
          </w:tcPr>
          <w:p w14:paraId="418A7B25"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11" w:type="pct"/>
            <w:tcBorders>
              <w:top w:val="single" w:sz="8" w:space="0" w:color="auto"/>
              <w:left w:val="nil"/>
              <w:bottom w:val="single" w:sz="4" w:space="0" w:color="auto"/>
              <w:right w:val="single" w:sz="4" w:space="0" w:color="auto"/>
            </w:tcBorders>
            <w:shd w:val="clear" w:color="auto" w:fill="auto"/>
            <w:vAlign w:val="center"/>
            <w:hideMark/>
          </w:tcPr>
          <w:p w14:paraId="78A3237D"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177" w:type="pct"/>
            <w:tcBorders>
              <w:top w:val="single" w:sz="8" w:space="0" w:color="auto"/>
              <w:left w:val="nil"/>
              <w:bottom w:val="nil"/>
              <w:right w:val="single" w:sz="4" w:space="0" w:color="auto"/>
            </w:tcBorders>
            <w:shd w:val="clear" w:color="auto" w:fill="auto"/>
            <w:noWrap/>
            <w:vAlign w:val="center"/>
            <w:hideMark/>
          </w:tcPr>
          <w:p w14:paraId="25956594" w14:textId="77777777" w:rsidR="00635943" w:rsidRPr="00B457F5" w:rsidRDefault="00635943" w:rsidP="00635943">
            <w:pPr>
              <w:spacing w:before="0" w:after="0"/>
              <w:jc w:val="right"/>
              <w:rPr>
                <w:rFonts w:ascii="Garamond" w:eastAsia="Times New Roman" w:hAnsi="Garamond" w:cs="Times New Roman"/>
                <w:b/>
                <w:bCs/>
                <w:sz w:val="4"/>
                <w:szCs w:val="4"/>
              </w:rPr>
            </w:pPr>
            <w:r w:rsidRPr="00B457F5">
              <w:rPr>
                <w:rFonts w:ascii="Garamond" w:eastAsia="Times New Roman" w:hAnsi="Garamond" w:cs="Times New Roman"/>
                <w:b/>
                <w:bCs/>
                <w:sz w:val="4"/>
                <w:szCs w:val="4"/>
              </w:rPr>
              <w:t>0</w:t>
            </w:r>
          </w:p>
        </w:tc>
        <w:tc>
          <w:tcPr>
            <w:tcW w:w="284" w:type="pct"/>
            <w:tcBorders>
              <w:top w:val="single" w:sz="4" w:space="0" w:color="auto"/>
              <w:left w:val="nil"/>
              <w:bottom w:val="single" w:sz="4" w:space="0" w:color="auto"/>
              <w:right w:val="single" w:sz="4" w:space="0" w:color="auto"/>
            </w:tcBorders>
            <w:shd w:val="clear" w:color="auto" w:fill="auto"/>
            <w:vAlign w:val="center"/>
            <w:hideMark/>
          </w:tcPr>
          <w:p w14:paraId="6F669948" w14:textId="45FFCC53"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 </w:t>
            </w:r>
          </w:p>
        </w:tc>
        <w:tc>
          <w:tcPr>
            <w:tcW w:w="244" w:type="pct"/>
            <w:tcBorders>
              <w:top w:val="single" w:sz="4" w:space="0" w:color="auto"/>
              <w:left w:val="nil"/>
              <w:bottom w:val="single" w:sz="4" w:space="0" w:color="auto"/>
              <w:right w:val="single" w:sz="8" w:space="0" w:color="auto"/>
            </w:tcBorders>
            <w:shd w:val="clear" w:color="auto" w:fill="auto"/>
            <w:noWrap/>
            <w:vAlign w:val="center"/>
            <w:hideMark/>
          </w:tcPr>
          <w:p w14:paraId="4E135A0A" w14:textId="7777777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329,010</w:t>
            </w:r>
          </w:p>
        </w:tc>
      </w:tr>
      <w:tr w:rsidR="0028334E" w:rsidRPr="00B457F5" w14:paraId="4BCE1405" w14:textId="77777777" w:rsidTr="00635943">
        <w:trPr>
          <w:trHeight w:val="20"/>
        </w:trPr>
        <w:tc>
          <w:tcPr>
            <w:tcW w:w="343" w:type="pct"/>
            <w:tcBorders>
              <w:top w:val="nil"/>
              <w:left w:val="single" w:sz="8" w:space="0" w:color="auto"/>
              <w:bottom w:val="single" w:sz="4" w:space="0" w:color="auto"/>
              <w:right w:val="single" w:sz="4" w:space="0" w:color="auto"/>
            </w:tcBorders>
            <w:shd w:val="clear" w:color="auto" w:fill="auto"/>
            <w:vAlign w:val="bottom"/>
            <w:hideMark/>
          </w:tcPr>
          <w:p w14:paraId="4C8DF9DF" w14:textId="2434E9CD" w:rsidR="00635943" w:rsidRPr="00B457F5" w:rsidRDefault="00635943" w:rsidP="00635943">
            <w:pPr>
              <w:spacing w:before="0" w:after="0"/>
              <w:jc w:val="lef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 xml:space="preserve">Objektivi </w:t>
            </w:r>
            <w:r w:rsidR="0028334E" w:rsidRPr="00B457F5">
              <w:rPr>
                <w:rFonts w:ascii="Garamond" w:eastAsia="Times New Roman" w:hAnsi="Garamond" w:cs="Times New Roman"/>
                <w:color w:val="000000"/>
                <w:sz w:val="4"/>
                <w:szCs w:val="4"/>
              </w:rPr>
              <w:t>s</w:t>
            </w:r>
            <w:r w:rsidRPr="00B457F5">
              <w:rPr>
                <w:rFonts w:ascii="Garamond" w:eastAsia="Times New Roman" w:hAnsi="Garamond" w:cs="Times New Roman"/>
                <w:color w:val="000000"/>
                <w:sz w:val="4"/>
                <w:szCs w:val="4"/>
              </w:rPr>
              <w:t>pecifik: 4.2 Sigurimi i identifikimit, mbrojtjes dhe pritjes</w:t>
            </w:r>
            <w:r w:rsidR="00B457F5" w:rsidRPr="00B457F5">
              <w:rPr>
                <w:rFonts w:ascii="Garamond" w:eastAsia="Times New Roman" w:hAnsi="Garamond" w:cs="Times New Roman"/>
                <w:color w:val="000000"/>
                <w:sz w:val="4"/>
                <w:szCs w:val="4"/>
              </w:rPr>
              <w:t>,</w:t>
            </w:r>
            <w:r w:rsidRPr="00B457F5">
              <w:rPr>
                <w:rFonts w:ascii="Garamond" w:eastAsia="Times New Roman" w:hAnsi="Garamond" w:cs="Times New Roman"/>
                <w:color w:val="000000"/>
                <w:sz w:val="4"/>
                <w:szCs w:val="4"/>
              </w:rPr>
              <w:t xml:space="preserve"> në përputhje me standardet ndërkombëtare për persona</w:t>
            </w:r>
            <w:r w:rsidR="00B457F5" w:rsidRPr="00B457F5">
              <w:rPr>
                <w:rFonts w:ascii="Garamond" w:eastAsia="Times New Roman" w:hAnsi="Garamond" w:cs="Times New Roman"/>
                <w:color w:val="000000"/>
                <w:sz w:val="4"/>
                <w:szCs w:val="4"/>
              </w:rPr>
              <w:t>t</w:t>
            </w:r>
            <w:r w:rsidRPr="00B457F5">
              <w:rPr>
                <w:rFonts w:ascii="Garamond" w:eastAsia="Times New Roman" w:hAnsi="Garamond" w:cs="Times New Roman"/>
                <w:color w:val="000000"/>
                <w:sz w:val="4"/>
                <w:szCs w:val="4"/>
              </w:rPr>
              <w:t xml:space="preserve"> me nevoja të vecanta</w:t>
            </w:r>
          </w:p>
        </w:tc>
        <w:tc>
          <w:tcPr>
            <w:tcW w:w="266" w:type="pct"/>
            <w:tcBorders>
              <w:top w:val="nil"/>
              <w:left w:val="nil"/>
              <w:bottom w:val="single" w:sz="4" w:space="0" w:color="auto"/>
              <w:right w:val="single" w:sz="4" w:space="0" w:color="auto"/>
            </w:tcBorders>
            <w:shd w:val="clear" w:color="auto" w:fill="auto"/>
            <w:vAlign w:val="bottom"/>
            <w:hideMark/>
          </w:tcPr>
          <w:p w14:paraId="7DB7B9FF" w14:textId="77777777" w:rsidR="00635943" w:rsidRPr="00B457F5" w:rsidRDefault="00635943" w:rsidP="00635943">
            <w:pPr>
              <w:spacing w:before="0" w:after="0"/>
              <w:jc w:val="center"/>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MB, MSHMS, ASHMDF, MEPJ</w:t>
            </w:r>
          </w:p>
        </w:tc>
        <w:tc>
          <w:tcPr>
            <w:tcW w:w="474" w:type="pct"/>
            <w:tcBorders>
              <w:top w:val="nil"/>
              <w:left w:val="nil"/>
              <w:bottom w:val="single" w:sz="4" w:space="0" w:color="auto"/>
              <w:right w:val="single" w:sz="4" w:space="0" w:color="auto"/>
            </w:tcBorders>
            <w:shd w:val="clear" w:color="auto" w:fill="auto"/>
            <w:vAlign w:val="bottom"/>
            <w:hideMark/>
          </w:tcPr>
          <w:p w14:paraId="0C67719D" w14:textId="77777777" w:rsidR="00635943" w:rsidRPr="00B457F5" w:rsidRDefault="00635943" w:rsidP="00635943">
            <w:pPr>
              <w:spacing w:before="0" w:after="0"/>
              <w:jc w:val="center"/>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MSHMS,EUAA,UNHCR, IOM, MB, UNICEF, MAS, IOM</w:t>
            </w:r>
          </w:p>
        </w:tc>
        <w:tc>
          <w:tcPr>
            <w:tcW w:w="196" w:type="pct"/>
            <w:tcBorders>
              <w:top w:val="nil"/>
              <w:left w:val="nil"/>
              <w:bottom w:val="single" w:sz="4" w:space="0" w:color="auto"/>
              <w:right w:val="single" w:sz="4" w:space="0" w:color="auto"/>
            </w:tcBorders>
            <w:shd w:val="clear" w:color="auto" w:fill="auto"/>
            <w:vAlign w:val="center"/>
            <w:hideMark/>
          </w:tcPr>
          <w:p w14:paraId="777E3ED1" w14:textId="77777777" w:rsidR="00635943" w:rsidRPr="00B457F5" w:rsidRDefault="00635943" w:rsidP="00635943">
            <w:pPr>
              <w:spacing w:before="0" w:after="0"/>
              <w:jc w:val="center"/>
              <w:rPr>
                <w:rFonts w:ascii="Garamond" w:eastAsia="Times New Roman" w:hAnsi="Garamond" w:cs="Times New Roman"/>
                <w:sz w:val="4"/>
                <w:szCs w:val="4"/>
              </w:rPr>
            </w:pPr>
            <w:r w:rsidRPr="00B457F5">
              <w:rPr>
                <w:rFonts w:ascii="Garamond" w:eastAsia="Times New Roman" w:hAnsi="Garamond" w:cs="Times New Roman"/>
                <w:sz w:val="4"/>
                <w:szCs w:val="4"/>
              </w:rPr>
              <w:t>2024</w:t>
            </w:r>
          </w:p>
        </w:tc>
        <w:tc>
          <w:tcPr>
            <w:tcW w:w="231" w:type="pct"/>
            <w:tcBorders>
              <w:top w:val="nil"/>
              <w:left w:val="nil"/>
              <w:bottom w:val="single" w:sz="4" w:space="0" w:color="auto"/>
              <w:right w:val="single" w:sz="4" w:space="0" w:color="auto"/>
            </w:tcBorders>
            <w:shd w:val="clear" w:color="auto" w:fill="auto"/>
            <w:vAlign w:val="center"/>
            <w:hideMark/>
          </w:tcPr>
          <w:p w14:paraId="413CCD44" w14:textId="77777777" w:rsidR="00635943" w:rsidRPr="00B457F5" w:rsidRDefault="00635943" w:rsidP="00635943">
            <w:pPr>
              <w:spacing w:before="0" w:after="0"/>
              <w:jc w:val="center"/>
              <w:rPr>
                <w:rFonts w:ascii="Garamond" w:eastAsia="Times New Roman" w:hAnsi="Garamond" w:cs="Times New Roman"/>
                <w:sz w:val="4"/>
                <w:szCs w:val="4"/>
              </w:rPr>
            </w:pPr>
            <w:r w:rsidRPr="00B457F5">
              <w:rPr>
                <w:rFonts w:ascii="Garamond" w:eastAsia="Times New Roman" w:hAnsi="Garamond" w:cs="Times New Roman"/>
                <w:sz w:val="4"/>
                <w:szCs w:val="4"/>
              </w:rPr>
              <w:t>2026</w:t>
            </w:r>
          </w:p>
        </w:tc>
        <w:tc>
          <w:tcPr>
            <w:tcW w:w="259" w:type="pct"/>
            <w:tcBorders>
              <w:top w:val="nil"/>
              <w:left w:val="nil"/>
              <w:bottom w:val="single" w:sz="4" w:space="0" w:color="auto"/>
              <w:right w:val="single" w:sz="4" w:space="0" w:color="auto"/>
            </w:tcBorders>
            <w:shd w:val="clear" w:color="auto" w:fill="auto"/>
            <w:noWrap/>
            <w:vAlign w:val="center"/>
            <w:hideMark/>
          </w:tcPr>
          <w:p w14:paraId="549B6E90" w14:textId="77777777" w:rsidR="00635943" w:rsidRPr="00B457F5" w:rsidRDefault="00635943" w:rsidP="00635943">
            <w:pPr>
              <w:spacing w:before="0" w:after="0"/>
              <w:jc w:val="right"/>
              <w:rPr>
                <w:rFonts w:ascii="Garamond" w:eastAsia="Times New Roman" w:hAnsi="Garamond" w:cs="Times New Roman"/>
                <w:sz w:val="4"/>
                <w:szCs w:val="4"/>
              </w:rPr>
            </w:pPr>
            <w:r w:rsidRPr="00B457F5">
              <w:rPr>
                <w:rFonts w:ascii="Garamond" w:eastAsia="Times New Roman" w:hAnsi="Garamond" w:cs="Times New Roman"/>
                <w:sz w:val="4"/>
                <w:szCs w:val="4"/>
              </w:rPr>
              <w:t>47,777,382</w:t>
            </w:r>
          </w:p>
        </w:tc>
        <w:tc>
          <w:tcPr>
            <w:tcW w:w="278" w:type="pct"/>
            <w:tcBorders>
              <w:top w:val="nil"/>
              <w:left w:val="nil"/>
              <w:bottom w:val="single" w:sz="4" w:space="0" w:color="auto"/>
              <w:right w:val="single" w:sz="4" w:space="0" w:color="auto"/>
            </w:tcBorders>
            <w:shd w:val="clear" w:color="auto" w:fill="auto"/>
            <w:vAlign w:val="center"/>
            <w:hideMark/>
          </w:tcPr>
          <w:p w14:paraId="69ED6160"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19,550,000</w:t>
            </w:r>
          </w:p>
        </w:tc>
        <w:tc>
          <w:tcPr>
            <w:tcW w:w="260" w:type="pct"/>
            <w:tcBorders>
              <w:top w:val="nil"/>
              <w:left w:val="nil"/>
              <w:bottom w:val="single" w:sz="4" w:space="0" w:color="auto"/>
              <w:right w:val="single" w:sz="4" w:space="0" w:color="auto"/>
            </w:tcBorders>
            <w:shd w:val="clear" w:color="auto" w:fill="auto"/>
            <w:noWrap/>
            <w:vAlign w:val="center"/>
            <w:hideMark/>
          </w:tcPr>
          <w:p w14:paraId="52BDA2A0" w14:textId="77777777" w:rsidR="00635943" w:rsidRPr="00B457F5" w:rsidRDefault="00635943" w:rsidP="00635943">
            <w:pPr>
              <w:spacing w:before="0" w:after="0"/>
              <w:jc w:val="right"/>
              <w:rPr>
                <w:rFonts w:ascii="Garamond" w:eastAsia="Times New Roman" w:hAnsi="Garamond" w:cs="Times New Roman"/>
                <w:sz w:val="4"/>
                <w:szCs w:val="4"/>
              </w:rPr>
            </w:pPr>
            <w:r w:rsidRPr="00B457F5">
              <w:rPr>
                <w:rFonts w:ascii="Garamond" w:eastAsia="Times New Roman" w:hAnsi="Garamond" w:cs="Times New Roman"/>
                <w:sz w:val="4"/>
                <w:szCs w:val="4"/>
              </w:rPr>
              <w:t>67,327,382</w:t>
            </w:r>
          </w:p>
        </w:tc>
        <w:tc>
          <w:tcPr>
            <w:tcW w:w="313" w:type="pct"/>
            <w:tcBorders>
              <w:top w:val="single" w:sz="8" w:space="0" w:color="auto"/>
              <w:left w:val="nil"/>
              <w:bottom w:val="single" w:sz="4" w:space="0" w:color="auto"/>
              <w:right w:val="single" w:sz="4" w:space="0" w:color="auto"/>
            </w:tcBorders>
            <w:shd w:val="clear" w:color="auto" w:fill="auto"/>
            <w:vAlign w:val="center"/>
            <w:hideMark/>
          </w:tcPr>
          <w:p w14:paraId="5014AC8A"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23,330,499</w:t>
            </w:r>
          </w:p>
        </w:tc>
        <w:tc>
          <w:tcPr>
            <w:tcW w:w="256" w:type="pct"/>
            <w:tcBorders>
              <w:top w:val="single" w:sz="8" w:space="0" w:color="auto"/>
              <w:left w:val="nil"/>
              <w:bottom w:val="single" w:sz="4" w:space="0" w:color="auto"/>
              <w:right w:val="single" w:sz="4" w:space="0" w:color="auto"/>
            </w:tcBorders>
            <w:shd w:val="clear" w:color="auto" w:fill="auto"/>
            <w:vAlign w:val="center"/>
            <w:hideMark/>
          </w:tcPr>
          <w:p w14:paraId="442C10DC"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3,450,000</w:t>
            </w:r>
          </w:p>
        </w:tc>
        <w:tc>
          <w:tcPr>
            <w:tcW w:w="256" w:type="pct"/>
            <w:tcBorders>
              <w:top w:val="single" w:sz="8" w:space="0" w:color="auto"/>
              <w:left w:val="nil"/>
              <w:bottom w:val="nil"/>
              <w:right w:val="single" w:sz="4" w:space="0" w:color="auto"/>
            </w:tcBorders>
            <w:shd w:val="clear" w:color="auto" w:fill="auto"/>
            <w:noWrap/>
            <w:vAlign w:val="center"/>
            <w:hideMark/>
          </w:tcPr>
          <w:p w14:paraId="698FA2E2" w14:textId="77777777" w:rsidR="00635943" w:rsidRPr="00B457F5" w:rsidRDefault="00635943" w:rsidP="00635943">
            <w:pPr>
              <w:spacing w:before="0" w:after="0"/>
              <w:jc w:val="right"/>
              <w:rPr>
                <w:rFonts w:ascii="Garamond" w:eastAsia="Times New Roman" w:hAnsi="Garamond" w:cs="Times New Roman"/>
                <w:b/>
                <w:bCs/>
                <w:sz w:val="4"/>
                <w:szCs w:val="4"/>
              </w:rPr>
            </w:pPr>
            <w:r w:rsidRPr="00B457F5">
              <w:rPr>
                <w:rFonts w:ascii="Garamond" w:eastAsia="Times New Roman" w:hAnsi="Garamond" w:cs="Times New Roman"/>
                <w:b/>
                <w:bCs/>
                <w:sz w:val="4"/>
                <w:szCs w:val="4"/>
              </w:rPr>
              <w:t>26,780,499</w:t>
            </w:r>
          </w:p>
        </w:tc>
        <w:tc>
          <w:tcPr>
            <w:tcW w:w="253" w:type="pct"/>
            <w:tcBorders>
              <w:top w:val="single" w:sz="8" w:space="0" w:color="auto"/>
              <w:left w:val="nil"/>
              <w:bottom w:val="single" w:sz="4" w:space="0" w:color="auto"/>
              <w:right w:val="single" w:sz="4" w:space="0" w:color="auto"/>
            </w:tcBorders>
            <w:shd w:val="clear" w:color="auto" w:fill="auto"/>
            <w:vAlign w:val="center"/>
            <w:hideMark/>
          </w:tcPr>
          <w:p w14:paraId="4668A592"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24,446,883</w:t>
            </w:r>
          </w:p>
        </w:tc>
        <w:tc>
          <w:tcPr>
            <w:tcW w:w="238" w:type="pct"/>
            <w:tcBorders>
              <w:top w:val="single" w:sz="8" w:space="0" w:color="auto"/>
              <w:left w:val="nil"/>
              <w:bottom w:val="single" w:sz="4" w:space="0" w:color="auto"/>
              <w:right w:val="single" w:sz="4" w:space="0" w:color="auto"/>
            </w:tcBorders>
            <w:shd w:val="clear" w:color="auto" w:fill="auto"/>
            <w:vAlign w:val="center"/>
            <w:hideMark/>
          </w:tcPr>
          <w:p w14:paraId="37A4BA57"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16,100,000</w:t>
            </w:r>
          </w:p>
        </w:tc>
        <w:tc>
          <w:tcPr>
            <w:tcW w:w="256" w:type="pct"/>
            <w:tcBorders>
              <w:top w:val="single" w:sz="8" w:space="0" w:color="auto"/>
              <w:left w:val="nil"/>
              <w:bottom w:val="nil"/>
              <w:right w:val="single" w:sz="4" w:space="0" w:color="auto"/>
            </w:tcBorders>
            <w:shd w:val="clear" w:color="auto" w:fill="auto"/>
            <w:noWrap/>
            <w:vAlign w:val="center"/>
            <w:hideMark/>
          </w:tcPr>
          <w:p w14:paraId="458D6F73" w14:textId="77777777" w:rsidR="00635943" w:rsidRPr="00B457F5" w:rsidRDefault="00635943" w:rsidP="00635943">
            <w:pPr>
              <w:spacing w:before="0" w:after="0"/>
              <w:jc w:val="right"/>
              <w:rPr>
                <w:rFonts w:ascii="Garamond" w:eastAsia="Times New Roman" w:hAnsi="Garamond" w:cs="Times New Roman"/>
                <w:b/>
                <w:bCs/>
                <w:sz w:val="4"/>
                <w:szCs w:val="4"/>
              </w:rPr>
            </w:pPr>
            <w:r w:rsidRPr="00B457F5">
              <w:rPr>
                <w:rFonts w:ascii="Garamond" w:eastAsia="Times New Roman" w:hAnsi="Garamond" w:cs="Times New Roman"/>
                <w:b/>
                <w:bCs/>
                <w:sz w:val="4"/>
                <w:szCs w:val="4"/>
              </w:rPr>
              <w:t>40,546,883</w:t>
            </w:r>
          </w:p>
        </w:tc>
        <w:tc>
          <w:tcPr>
            <w:tcW w:w="205" w:type="pct"/>
            <w:tcBorders>
              <w:top w:val="single" w:sz="8" w:space="0" w:color="auto"/>
              <w:left w:val="nil"/>
              <w:bottom w:val="single" w:sz="4" w:space="0" w:color="auto"/>
              <w:right w:val="single" w:sz="4" w:space="0" w:color="auto"/>
            </w:tcBorders>
            <w:shd w:val="clear" w:color="auto" w:fill="auto"/>
            <w:vAlign w:val="center"/>
            <w:hideMark/>
          </w:tcPr>
          <w:p w14:paraId="5DF9726E"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11" w:type="pct"/>
            <w:tcBorders>
              <w:top w:val="single" w:sz="8" w:space="0" w:color="auto"/>
              <w:left w:val="nil"/>
              <w:bottom w:val="single" w:sz="4" w:space="0" w:color="auto"/>
              <w:right w:val="single" w:sz="4" w:space="0" w:color="auto"/>
            </w:tcBorders>
            <w:shd w:val="clear" w:color="auto" w:fill="auto"/>
            <w:vAlign w:val="center"/>
            <w:hideMark/>
          </w:tcPr>
          <w:p w14:paraId="45A7D621"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177" w:type="pct"/>
            <w:tcBorders>
              <w:top w:val="single" w:sz="8" w:space="0" w:color="auto"/>
              <w:left w:val="nil"/>
              <w:bottom w:val="nil"/>
              <w:right w:val="single" w:sz="4" w:space="0" w:color="auto"/>
            </w:tcBorders>
            <w:shd w:val="clear" w:color="auto" w:fill="auto"/>
            <w:noWrap/>
            <w:vAlign w:val="center"/>
            <w:hideMark/>
          </w:tcPr>
          <w:p w14:paraId="52CE869B" w14:textId="77777777" w:rsidR="00635943" w:rsidRPr="00B457F5" w:rsidRDefault="00635943" w:rsidP="00635943">
            <w:pPr>
              <w:spacing w:before="0" w:after="0"/>
              <w:jc w:val="right"/>
              <w:rPr>
                <w:rFonts w:ascii="Garamond" w:eastAsia="Times New Roman" w:hAnsi="Garamond" w:cs="Times New Roman"/>
                <w:b/>
                <w:bCs/>
                <w:sz w:val="4"/>
                <w:szCs w:val="4"/>
              </w:rPr>
            </w:pPr>
            <w:r w:rsidRPr="00B457F5">
              <w:rPr>
                <w:rFonts w:ascii="Garamond" w:eastAsia="Times New Roman" w:hAnsi="Garamond" w:cs="Times New Roman"/>
                <w:b/>
                <w:bCs/>
                <w:sz w:val="4"/>
                <w:szCs w:val="4"/>
              </w:rPr>
              <w:t>0</w:t>
            </w:r>
          </w:p>
        </w:tc>
        <w:tc>
          <w:tcPr>
            <w:tcW w:w="284" w:type="pct"/>
            <w:tcBorders>
              <w:top w:val="nil"/>
              <w:left w:val="nil"/>
              <w:bottom w:val="single" w:sz="4" w:space="0" w:color="auto"/>
              <w:right w:val="single" w:sz="4" w:space="0" w:color="auto"/>
            </w:tcBorders>
            <w:shd w:val="clear" w:color="auto" w:fill="auto"/>
            <w:vAlign w:val="center"/>
            <w:hideMark/>
          </w:tcPr>
          <w:p w14:paraId="580EC13F" w14:textId="447171BB"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 xml:space="preserve">- </w:t>
            </w:r>
          </w:p>
        </w:tc>
        <w:tc>
          <w:tcPr>
            <w:tcW w:w="244" w:type="pct"/>
            <w:tcBorders>
              <w:top w:val="nil"/>
              <w:left w:val="nil"/>
              <w:bottom w:val="single" w:sz="4" w:space="0" w:color="auto"/>
              <w:right w:val="single" w:sz="8" w:space="0" w:color="auto"/>
            </w:tcBorders>
            <w:shd w:val="clear" w:color="auto" w:fill="auto"/>
            <w:noWrap/>
            <w:vAlign w:val="center"/>
            <w:hideMark/>
          </w:tcPr>
          <w:p w14:paraId="49187F07" w14:textId="77777777" w:rsidR="00635943" w:rsidRPr="00B457F5" w:rsidRDefault="00635943" w:rsidP="00635943">
            <w:pPr>
              <w:spacing w:before="0" w:after="0"/>
              <w:jc w:val="right"/>
              <w:rPr>
                <w:rFonts w:ascii="Garamond" w:eastAsia="Times New Roman" w:hAnsi="Garamond" w:cs="Times New Roman"/>
                <w:b/>
                <w:bCs/>
                <w:color w:val="000000"/>
                <w:sz w:val="4"/>
                <w:szCs w:val="4"/>
              </w:rPr>
            </w:pPr>
            <w:r w:rsidRPr="00B457F5">
              <w:rPr>
                <w:rFonts w:ascii="Garamond" w:eastAsia="Times New Roman" w:hAnsi="Garamond" w:cs="Times New Roman"/>
                <w:b/>
                <w:bCs/>
                <w:color w:val="000000"/>
                <w:sz w:val="4"/>
                <w:szCs w:val="4"/>
              </w:rPr>
              <w:t>612,067</w:t>
            </w:r>
          </w:p>
        </w:tc>
      </w:tr>
      <w:tr w:rsidR="0028334E" w:rsidRPr="00B457F5" w14:paraId="67F84999" w14:textId="77777777" w:rsidTr="00635943">
        <w:trPr>
          <w:trHeight w:val="20"/>
        </w:trPr>
        <w:tc>
          <w:tcPr>
            <w:tcW w:w="343" w:type="pct"/>
            <w:tcBorders>
              <w:top w:val="nil"/>
              <w:left w:val="single" w:sz="8" w:space="0" w:color="auto"/>
              <w:bottom w:val="single" w:sz="4" w:space="0" w:color="auto"/>
              <w:right w:val="single" w:sz="4" w:space="0" w:color="auto"/>
            </w:tcBorders>
            <w:shd w:val="clear" w:color="auto" w:fill="auto"/>
            <w:vAlign w:val="bottom"/>
            <w:hideMark/>
          </w:tcPr>
          <w:p w14:paraId="3BE2F3E9" w14:textId="25EC7249" w:rsidR="00635943" w:rsidRPr="00B457F5" w:rsidRDefault="00635943" w:rsidP="00635943">
            <w:pPr>
              <w:spacing w:before="0" w:after="0"/>
              <w:jc w:val="lef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 xml:space="preserve">Objektivi </w:t>
            </w:r>
            <w:r w:rsidR="0028334E" w:rsidRPr="00B457F5">
              <w:rPr>
                <w:rFonts w:ascii="Garamond" w:eastAsia="Times New Roman" w:hAnsi="Garamond" w:cs="Times New Roman"/>
                <w:color w:val="000000"/>
                <w:sz w:val="4"/>
                <w:szCs w:val="4"/>
              </w:rPr>
              <w:t>s</w:t>
            </w:r>
            <w:r w:rsidRPr="00B457F5">
              <w:rPr>
                <w:rFonts w:ascii="Garamond" w:eastAsia="Times New Roman" w:hAnsi="Garamond" w:cs="Times New Roman"/>
                <w:color w:val="000000"/>
                <w:sz w:val="4"/>
                <w:szCs w:val="4"/>
              </w:rPr>
              <w:t>pecifik: 4.3 Integrimi social</w:t>
            </w:r>
            <w:r w:rsidR="00EF5D32">
              <w:rPr>
                <w:rFonts w:ascii="Garamond" w:eastAsia="Times New Roman" w:hAnsi="Garamond" w:cs="Times New Roman"/>
                <w:color w:val="000000"/>
                <w:sz w:val="4"/>
                <w:szCs w:val="4"/>
              </w:rPr>
              <w:t>-</w:t>
            </w:r>
            <w:r w:rsidRPr="00B457F5">
              <w:rPr>
                <w:rFonts w:ascii="Garamond" w:eastAsia="Times New Roman" w:hAnsi="Garamond" w:cs="Times New Roman"/>
                <w:color w:val="000000"/>
                <w:sz w:val="4"/>
                <w:szCs w:val="4"/>
              </w:rPr>
              <w:t xml:space="preserve">ekonomik </w:t>
            </w:r>
            <w:r w:rsidR="0028334E" w:rsidRPr="00B457F5">
              <w:rPr>
                <w:rFonts w:ascii="Garamond" w:eastAsia="Times New Roman" w:hAnsi="Garamond" w:cs="Times New Roman"/>
                <w:color w:val="000000"/>
                <w:sz w:val="4"/>
                <w:szCs w:val="4"/>
              </w:rPr>
              <w:t>i</w:t>
            </w:r>
            <w:r w:rsidRPr="00B457F5">
              <w:rPr>
                <w:rFonts w:ascii="Garamond" w:eastAsia="Times New Roman" w:hAnsi="Garamond" w:cs="Times New Roman"/>
                <w:color w:val="000000"/>
                <w:sz w:val="4"/>
                <w:szCs w:val="4"/>
              </w:rPr>
              <w:t xml:space="preserve"> refugjat</w:t>
            </w:r>
            <w:r w:rsidR="0028334E" w:rsidRPr="00B457F5">
              <w:rPr>
                <w:rFonts w:ascii="Garamond" w:eastAsia="Times New Roman" w:hAnsi="Garamond" w:cs="Times New Roman"/>
                <w:color w:val="000000"/>
                <w:sz w:val="4"/>
                <w:szCs w:val="4"/>
              </w:rPr>
              <w:t>ë</w:t>
            </w:r>
            <w:r w:rsidRPr="00B457F5">
              <w:rPr>
                <w:rFonts w:ascii="Garamond" w:eastAsia="Times New Roman" w:hAnsi="Garamond" w:cs="Times New Roman"/>
                <w:color w:val="000000"/>
                <w:sz w:val="4"/>
                <w:szCs w:val="4"/>
              </w:rPr>
              <w:t xml:space="preserve">ve dhe azilkërkuesve </w:t>
            </w:r>
          </w:p>
        </w:tc>
        <w:tc>
          <w:tcPr>
            <w:tcW w:w="266" w:type="pct"/>
            <w:tcBorders>
              <w:top w:val="nil"/>
              <w:left w:val="nil"/>
              <w:bottom w:val="single" w:sz="4" w:space="0" w:color="auto"/>
              <w:right w:val="single" w:sz="4" w:space="0" w:color="auto"/>
            </w:tcBorders>
            <w:shd w:val="clear" w:color="auto" w:fill="auto"/>
            <w:vAlign w:val="bottom"/>
            <w:hideMark/>
          </w:tcPr>
          <w:p w14:paraId="0CB4014C" w14:textId="77777777" w:rsidR="00635943" w:rsidRPr="00B457F5" w:rsidRDefault="00635943" w:rsidP="00635943">
            <w:pPr>
              <w:spacing w:before="0" w:after="0"/>
              <w:jc w:val="center"/>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MAS, MFE, MSHMS, Avokati I Popullit, ASHMDF, ADISA, MB</w:t>
            </w:r>
          </w:p>
        </w:tc>
        <w:tc>
          <w:tcPr>
            <w:tcW w:w="474" w:type="pct"/>
            <w:tcBorders>
              <w:top w:val="nil"/>
              <w:left w:val="nil"/>
              <w:bottom w:val="single" w:sz="4" w:space="0" w:color="auto"/>
              <w:right w:val="single" w:sz="4" w:space="0" w:color="auto"/>
            </w:tcBorders>
            <w:shd w:val="clear" w:color="auto" w:fill="auto"/>
            <w:vAlign w:val="bottom"/>
            <w:hideMark/>
          </w:tcPr>
          <w:p w14:paraId="70A2774E" w14:textId="2A8B78EE" w:rsidR="00635943" w:rsidRPr="00B457F5" w:rsidRDefault="00635943" w:rsidP="00635943">
            <w:pPr>
              <w:spacing w:before="0" w:after="0"/>
              <w:jc w:val="center"/>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 xml:space="preserve">MB, MSHMS, UNHCR, IOM, UNICEF, NJVV, </w:t>
            </w:r>
            <w:r w:rsidR="0028334E" w:rsidRPr="00B457F5">
              <w:rPr>
                <w:rFonts w:ascii="Garamond" w:eastAsia="Times New Roman" w:hAnsi="Garamond" w:cs="Times New Roman"/>
                <w:color w:val="000000"/>
                <w:sz w:val="4"/>
                <w:szCs w:val="4"/>
              </w:rPr>
              <w:t>të</w:t>
            </w:r>
            <w:r w:rsidRPr="00B457F5">
              <w:rPr>
                <w:rFonts w:ascii="Garamond" w:eastAsia="Times New Roman" w:hAnsi="Garamond" w:cs="Times New Roman"/>
                <w:color w:val="000000"/>
                <w:sz w:val="4"/>
                <w:szCs w:val="4"/>
              </w:rPr>
              <w:t xml:space="preserve"> gjitha ministrit</w:t>
            </w:r>
            <w:r w:rsidR="0028334E" w:rsidRPr="00B457F5">
              <w:rPr>
                <w:rFonts w:ascii="Garamond" w:eastAsia="Times New Roman" w:hAnsi="Garamond" w:cs="Times New Roman"/>
                <w:color w:val="000000"/>
                <w:sz w:val="4"/>
                <w:szCs w:val="4"/>
              </w:rPr>
              <w:t>ë</w:t>
            </w:r>
            <w:r w:rsidRPr="00B457F5">
              <w:rPr>
                <w:rFonts w:ascii="Garamond" w:eastAsia="Times New Roman" w:hAnsi="Garamond" w:cs="Times New Roman"/>
                <w:color w:val="000000"/>
                <w:sz w:val="4"/>
                <w:szCs w:val="4"/>
              </w:rPr>
              <w:t xml:space="preserve"> e linjes</w:t>
            </w:r>
          </w:p>
        </w:tc>
        <w:tc>
          <w:tcPr>
            <w:tcW w:w="196" w:type="pct"/>
            <w:tcBorders>
              <w:top w:val="nil"/>
              <w:left w:val="nil"/>
              <w:bottom w:val="single" w:sz="4" w:space="0" w:color="auto"/>
              <w:right w:val="single" w:sz="4" w:space="0" w:color="auto"/>
            </w:tcBorders>
            <w:shd w:val="clear" w:color="auto" w:fill="auto"/>
            <w:vAlign w:val="center"/>
            <w:hideMark/>
          </w:tcPr>
          <w:p w14:paraId="23C7DC1B" w14:textId="77777777" w:rsidR="00635943" w:rsidRPr="00B457F5" w:rsidRDefault="00635943" w:rsidP="00635943">
            <w:pPr>
              <w:spacing w:before="0" w:after="0"/>
              <w:jc w:val="center"/>
              <w:rPr>
                <w:rFonts w:ascii="Garamond" w:eastAsia="Times New Roman" w:hAnsi="Garamond" w:cs="Times New Roman"/>
                <w:sz w:val="4"/>
                <w:szCs w:val="4"/>
              </w:rPr>
            </w:pPr>
            <w:r w:rsidRPr="00B457F5">
              <w:rPr>
                <w:rFonts w:ascii="Garamond" w:eastAsia="Times New Roman" w:hAnsi="Garamond" w:cs="Times New Roman"/>
                <w:sz w:val="4"/>
                <w:szCs w:val="4"/>
              </w:rPr>
              <w:t>2024</w:t>
            </w:r>
          </w:p>
        </w:tc>
        <w:tc>
          <w:tcPr>
            <w:tcW w:w="231" w:type="pct"/>
            <w:tcBorders>
              <w:top w:val="nil"/>
              <w:left w:val="nil"/>
              <w:bottom w:val="single" w:sz="4" w:space="0" w:color="auto"/>
              <w:right w:val="single" w:sz="4" w:space="0" w:color="auto"/>
            </w:tcBorders>
            <w:shd w:val="clear" w:color="auto" w:fill="auto"/>
            <w:vAlign w:val="center"/>
            <w:hideMark/>
          </w:tcPr>
          <w:p w14:paraId="4553B985" w14:textId="77777777" w:rsidR="00635943" w:rsidRPr="00B457F5" w:rsidRDefault="00635943" w:rsidP="00635943">
            <w:pPr>
              <w:spacing w:before="0" w:after="0"/>
              <w:jc w:val="center"/>
              <w:rPr>
                <w:rFonts w:ascii="Garamond" w:eastAsia="Times New Roman" w:hAnsi="Garamond" w:cs="Times New Roman"/>
                <w:sz w:val="4"/>
                <w:szCs w:val="4"/>
              </w:rPr>
            </w:pPr>
            <w:r w:rsidRPr="00B457F5">
              <w:rPr>
                <w:rFonts w:ascii="Garamond" w:eastAsia="Times New Roman" w:hAnsi="Garamond" w:cs="Times New Roman"/>
                <w:sz w:val="4"/>
                <w:szCs w:val="4"/>
              </w:rPr>
              <w:t>2026</w:t>
            </w:r>
          </w:p>
        </w:tc>
        <w:tc>
          <w:tcPr>
            <w:tcW w:w="259" w:type="pct"/>
            <w:tcBorders>
              <w:top w:val="nil"/>
              <w:left w:val="nil"/>
              <w:bottom w:val="single" w:sz="4" w:space="0" w:color="auto"/>
              <w:right w:val="single" w:sz="4" w:space="0" w:color="auto"/>
            </w:tcBorders>
            <w:shd w:val="clear" w:color="auto" w:fill="auto"/>
            <w:noWrap/>
            <w:vAlign w:val="center"/>
            <w:hideMark/>
          </w:tcPr>
          <w:p w14:paraId="3801089F" w14:textId="77777777" w:rsidR="00635943" w:rsidRPr="00B457F5" w:rsidRDefault="00635943" w:rsidP="00635943">
            <w:pPr>
              <w:spacing w:before="0" w:after="0"/>
              <w:jc w:val="right"/>
              <w:rPr>
                <w:rFonts w:ascii="Garamond" w:eastAsia="Times New Roman" w:hAnsi="Garamond" w:cs="Times New Roman"/>
                <w:sz w:val="4"/>
                <w:szCs w:val="4"/>
              </w:rPr>
            </w:pPr>
            <w:r w:rsidRPr="00B457F5">
              <w:rPr>
                <w:rFonts w:ascii="Garamond" w:eastAsia="Times New Roman" w:hAnsi="Garamond" w:cs="Times New Roman"/>
                <w:sz w:val="4"/>
                <w:szCs w:val="4"/>
              </w:rPr>
              <w:t>25,189,463</w:t>
            </w:r>
          </w:p>
        </w:tc>
        <w:tc>
          <w:tcPr>
            <w:tcW w:w="278" w:type="pct"/>
            <w:tcBorders>
              <w:top w:val="nil"/>
              <w:left w:val="nil"/>
              <w:bottom w:val="single" w:sz="4" w:space="0" w:color="auto"/>
              <w:right w:val="single" w:sz="4" w:space="0" w:color="auto"/>
            </w:tcBorders>
            <w:shd w:val="clear" w:color="auto" w:fill="auto"/>
            <w:vAlign w:val="center"/>
            <w:hideMark/>
          </w:tcPr>
          <w:p w14:paraId="1AB4856B"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60" w:type="pct"/>
            <w:tcBorders>
              <w:top w:val="nil"/>
              <w:left w:val="nil"/>
              <w:bottom w:val="single" w:sz="4" w:space="0" w:color="auto"/>
              <w:right w:val="single" w:sz="4" w:space="0" w:color="auto"/>
            </w:tcBorders>
            <w:shd w:val="clear" w:color="auto" w:fill="auto"/>
            <w:noWrap/>
            <w:vAlign w:val="center"/>
            <w:hideMark/>
          </w:tcPr>
          <w:p w14:paraId="1A6F228E" w14:textId="77777777" w:rsidR="00635943" w:rsidRPr="00B457F5" w:rsidRDefault="00635943" w:rsidP="00635943">
            <w:pPr>
              <w:spacing w:before="0" w:after="0"/>
              <w:jc w:val="right"/>
              <w:rPr>
                <w:rFonts w:ascii="Garamond" w:eastAsia="Times New Roman" w:hAnsi="Garamond" w:cs="Times New Roman"/>
                <w:sz w:val="4"/>
                <w:szCs w:val="4"/>
              </w:rPr>
            </w:pPr>
            <w:r w:rsidRPr="00B457F5">
              <w:rPr>
                <w:rFonts w:ascii="Garamond" w:eastAsia="Times New Roman" w:hAnsi="Garamond" w:cs="Times New Roman"/>
                <w:sz w:val="4"/>
                <w:szCs w:val="4"/>
              </w:rPr>
              <w:t>25,189,463</w:t>
            </w:r>
          </w:p>
        </w:tc>
        <w:tc>
          <w:tcPr>
            <w:tcW w:w="313" w:type="pct"/>
            <w:tcBorders>
              <w:top w:val="single" w:sz="8" w:space="0" w:color="auto"/>
              <w:left w:val="nil"/>
              <w:bottom w:val="single" w:sz="4" w:space="0" w:color="auto"/>
              <w:right w:val="single" w:sz="4" w:space="0" w:color="auto"/>
            </w:tcBorders>
            <w:shd w:val="clear" w:color="auto" w:fill="auto"/>
            <w:vAlign w:val="center"/>
            <w:hideMark/>
          </w:tcPr>
          <w:p w14:paraId="348D5C68"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5,568,597</w:t>
            </w:r>
          </w:p>
        </w:tc>
        <w:tc>
          <w:tcPr>
            <w:tcW w:w="256" w:type="pct"/>
            <w:tcBorders>
              <w:top w:val="single" w:sz="8" w:space="0" w:color="auto"/>
              <w:left w:val="nil"/>
              <w:bottom w:val="single" w:sz="4" w:space="0" w:color="auto"/>
              <w:right w:val="single" w:sz="4" w:space="0" w:color="auto"/>
            </w:tcBorders>
            <w:shd w:val="clear" w:color="auto" w:fill="auto"/>
            <w:vAlign w:val="center"/>
            <w:hideMark/>
          </w:tcPr>
          <w:p w14:paraId="2E1ECBD0"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56" w:type="pct"/>
            <w:tcBorders>
              <w:top w:val="single" w:sz="8" w:space="0" w:color="auto"/>
              <w:left w:val="nil"/>
              <w:bottom w:val="nil"/>
              <w:right w:val="single" w:sz="4" w:space="0" w:color="auto"/>
            </w:tcBorders>
            <w:shd w:val="clear" w:color="auto" w:fill="auto"/>
            <w:noWrap/>
            <w:vAlign w:val="center"/>
            <w:hideMark/>
          </w:tcPr>
          <w:p w14:paraId="6E7DAFB8" w14:textId="77777777" w:rsidR="00635943" w:rsidRPr="00B457F5" w:rsidRDefault="00635943" w:rsidP="00635943">
            <w:pPr>
              <w:spacing w:before="0" w:after="0"/>
              <w:jc w:val="right"/>
              <w:rPr>
                <w:rFonts w:ascii="Garamond" w:eastAsia="Times New Roman" w:hAnsi="Garamond" w:cs="Times New Roman"/>
                <w:b/>
                <w:bCs/>
                <w:sz w:val="4"/>
                <w:szCs w:val="4"/>
              </w:rPr>
            </w:pPr>
            <w:r w:rsidRPr="00B457F5">
              <w:rPr>
                <w:rFonts w:ascii="Garamond" w:eastAsia="Times New Roman" w:hAnsi="Garamond" w:cs="Times New Roman"/>
                <w:b/>
                <w:bCs/>
                <w:sz w:val="4"/>
                <w:szCs w:val="4"/>
              </w:rPr>
              <w:t>5,568,597</w:t>
            </w:r>
          </w:p>
        </w:tc>
        <w:tc>
          <w:tcPr>
            <w:tcW w:w="253" w:type="pct"/>
            <w:tcBorders>
              <w:top w:val="single" w:sz="8" w:space="0" w:color="auto"/>
              <w:left w:val="nil"/>
              <w:bottom w:val="single" w:sz="4" w:space="0" w:color="auto"/>
              <w:right w:val="single" w:sz="4" w:space="0" w:color="auto"/>
            </w:tcBorders>
            <w:shd w:val="clear" w:color="auto" w:fill="auto"/>
            <w:vAlign w:val="center"/>
            <w:hideMark/>
          </w:tcPr>
          <w:p w14:paraId="66CB18C8"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19,620,866</w:t>
            </w:r>
          </w:p>
        </w:tc>
        <w:tc>
          <w:tcPr>
            <w:tcW w:w="238" w:type="pct"/>
            <w:tcBorders>
              <w:top w:val="single" w:sz="8" w:space="0" w:color="auto"/>
              <w:left w:val="nil"/>
              <w:bottom w:val="single" w:sz="4" w:space="0" w:color="auto"/>
              <w:right w:val="single" w:sz="4" w:space="0" w:color="auto"/>
            </w:tcBorders>
            <w:shd w:val="clear" w:color="auto" w:fill="auto"/>
            <w:vAlign w:val="center"/>
            <w:hideMark/>
          </w:tcPr>
          <w:p w14:paraId="1882A313"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56" w:type="pct"/>
            <w:tcBorders>
              <w:top w:val="single" w:sz="8" w:space="0" w:color="auto"/>
              <w:left w:val="nil"/>
              <w:bottom w:val="nil"/>
              <w:right w:val="single" w:sz="4" w:space="0" w:color="auto"/>
            </w:tcBorders>
            <w:shd w:val="clear" w:color="auto" w:fill="auto"/>
            <w:noWrap/>
            <w:vAlign w:val="center"/>
            <w:hideMark/>
          </w:tcPr>
          <w:p w14:paraId="66B6D163" w14:textId="77777777" w:rsidR="00635943" w:rsidRPr="00B457F5" w:rsidRDefault="00635943" w:rsidP="00635943">
            <w:pPr>
              <w:spacing w:before="0" w:after="0"/>
              <w:jc w:val="right"/>
              <w:rPr>
                <w:rFonts w:ascii="Garamond" w:eastAsia="Times New Roman" w:hAnsi="Garamond" w:cs="Times New Roman"/>
                <w:b/>
                <w:bCs/>
                <w:sz w:val="4"/>
                <w:szCs w:val="4"/>
              </w:rPr>
            </w:pPr>
            <w:r w:rsidRPr="00B457F5">
              <w:rPr>
                <w:rFonts w:ascii="Garamond" w:eastAsia="Times New Roman" w:hAnsi="Garamond" w:cs="Times New Roman"/>
                <w:b/>
                <w:bCs/>
                <w:sz w:val="4"/>
                <w:szCs w:val="4"/>
              </w:rPr>
              <w:t>19,620,866</w:t>
            </w:r>
          </w:p>
        </w:tc>
        <w:tc>
          <w:tcPr>
            <w:tcW w:w="205" w:type="pct"/>
            <w:tcBorders>
              <w:top w:val="single" w:sz="8" w:space="0" w:color="auto"/>
              <w:left w:val="nil"/>
              <w:bottom w:val="single" w:sz="4" w:space="0" w:color="auto"/>
              <w:right w:val="single" w:sz="4" w:space="0" w:color="auto"/>
            </w:tcBorders>
            <w:shd w:val="clear" w:color="auto" w:fill="auto"/>
            <w:vAlign w:val="center"/>
            <w:hideMark/>
          </w:tcPr>
          <w:p w14:paraId="0E8BB9BB"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211" w:type="pct"/>
            <w:tcBorders>
              <w:top w:val="single" w:sz="8" w:space="0" w:color="auto"/>
              <w:left w:val="nil"/>
              <w:bottom w:val="single" w:sz="4" w:space="0" w:color="auto"/>
              <w:right w:val="single" w:sz="4" w:space="0" w:color="auto"/>
            </w:tcBorders>
            <w:shd w:val="clear" w:color="auto" w:fill="auto"/>
            <w:vAlign w:val="center"/>
            <w:hideMark/>
          </w:tcPr>
          <w:p w14:paraId="2160EA97" w14:textId="77777777" w:rsidR="00635943" w:rsidRPr="00B457F5" w:rsidRDefault="00635943" w:rsidP="00635943">
            <w:pPr>
              <w:spacing w:before="0" w:after="0"/>
              <w:jc w:val="righ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0</w:t>
            </w:r>
          </w:p>
        </w:tc>
        <w:tc>
          <w:tcPr>
            <w:tcW w:w="177" w:type="pct"/>
            <w:tcBorders>
              <w:top w:val="single" w:sz="8" w:space="0" w:color="auto"/>
              <w:left w:val="nil"/>
              <w:bottom w:val="nil"/>
              <w:right w:val="single" w:sz="4" w:space="0" w:color="auto"/>
            </w:tcBorders>
            <w:shd w:val="clear" w:color="auto" w:fill="auto"/>
            <w:noWrap/>
            <w:vAlign w:val="center"/>
            <w:hideMark/>
          </w:tcPr>
          <w:p w14:paraId="1E146A6A" w14:textId="77777777" w:rsidR="00635943" w:rsidRPr="00B457F5" w:rsidRDefault="00635943" w:rsidP="00635943">
            <w:pPr>
              <w:spacing w:before="0" w:after="0"/>
              <w:jc w:val="right"/>
              <w:rPr>
                <w:rFonts w:ascii="Garamond" w:eastAsia="Times New Roman" w:hAnsi="Garamond" w:cs="Times New Roman"/>
                <w:b/>
                <w:bCs/>
                <w:sz w:val="4"/>
                <w:szCs w:val="4"/>
              </w:rPr>
            </w:pPr>
            <w:r w:rsidRPr="00B457F5">
              <w:rPr>
                <w:rFonts w:ascii="Garamond" w:eastAsia="Times New Roman" w:hAnsi="Garamond" w:cs="Times New Roman"/>
                <w:b/>
                <w:bCs/>
                <w:sz w:val="4"/>
                <w:szCs w:val="4"/>
              </w:rPr>
              <w:t>0</w:t>
            </w:r>
          </w:p>
        </w:tc>
        <w:tc>
          <w:tcPr>
            <w:tcW w:w="284" w:type="pct"/>
            <w:tcBorders>
              <w:top w:val="nil"/>
              <w:left w:val="nil"/>
              <w:bottom w:val="nil"/>
              <w:right w:val="single" w:sz="4" w:space="0" w:color="auto"/>
            </w:tcBorders>
            <w:shd w:val="clear" w:color="auto" w:fill="auto"/>
            <w:noWrap/>
            <w:vAlign w:val="center"/>
            <w:hideMark/>
          </w:tcPr>
          <w:p w14:paraId="104329E5" w14:textId="779DAD94"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 xml:space="preserve">- </w:t>
            </w:r>
          </w:p>
        </w:tc>
        <w:tc>
          <w:tcPr>
            <w:tcW w:w="244" w:type="pct"/>
            <w:tcBorders>
              <w:top w:val="nil"/>
              <w:left w:val="nil"/>
              <w:bottom w:val="single" w:sz="4" w:space="0" w:color="auto"/>
              <w:right w:val="single" w:sz="8" w:space="0" w:color="auto"/>
            </w:tcBorders>
            <w:shd w:val="clear" w:color="auto" w:fill="auto"/>
            <w:noWrap/>
            <w:vAlign w:val="center"/>
            <w:hideMark/>
          </w:tcPr>
          <w:p w14:paraId="7BAAF14E"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228,995</w:t>
            </w:r>
          </w:p>
        </w:tc>
      </w:tr>
      <w:tr w:rsidR="0028334E" w:rsidRPr="00B457F5" w14:paraId="452C0B0A" w14:textId="77777777" w:rsidTr="00635943">
        <w:trPr>
          <w:trHeight w:val="20"/>
        </w:trPr>
        <w:tc>
          <w:tcPr>
            <w:tcW w:w="343" w:type="pct"/>
            <w:tcBorders>
              <w:top w:val="nil"/>
              <w:left w:val="single" w:sz="8" w:space="0" w:color="auto"/>
              <w:bottom w:val="single" w:sz="8" w:space="0" w:color="auto"/>
              <w:right w:val="single" w:sz="4" w:space="0" w:color="auto"/>
            </w:tcBorders>
            <w:shd w:val="clear" w:color="auto" w:fill="auto"/>
            <w:vAlign w:val="bottom"/>
            <w:hideMark/>
          </w:tcPr>
          <w:p w14:paraId="3B2C73FC" w14:textId="6AA90BBA" w:rsidR="00635943" w:rsidRPr="00B457F5" w:rsidRDefault="00635943" w:rsidP="00635943">
            <w:pPr>
              <w:spacing w:before="0" w:after="0"/>
              <w:jc w:val="left"/>
              <w:rPr>
                <w:rFonts w:ascii="Garamond" w:eastAsia="Times New Roman" w:hAnsi="Garamond" w:cs="Times New Roman"/>
                <w:color w:val="000000"/>
                <w:sz w:val="4"/>
                <w:szCs w:val="4"/>
              </w:rPr>
            </w:pPr>
            <w:r w:rsidRPr="00B457F5">
              <w:rPr>
                <w:rFonts w:ascii="Garamond" w:eastAsia="Times New Roman" w:hAnsi="Garamond" w:cs="Times New Roman"/>
                <w:color w:val="FF0000"/>
                <w:sz w:val="4"/>
                <w:szCs w:val="4"/>
              </w:rPr>
              <w:t>Kosto</w:t>
            </w:r>
            <w:r w:rsidR="0028334E" w:rsidRPr="00B457F5">
              <w:rPr>
                <w:rFonts w:ascii="Garamond" w:eastAsia="Times New Roman" w:hAnsi="Garamond" w:cs="Times New Roman"/>
                <w:color w:val="FF0000"/>
                <w:sz w:val="4"/>
                <w:szCs w:val="4"/>
              </w:rPr>
              <w:t>ja</w:t>
            </w:r>
            <w:r w:rsidRPr="00B457F5">
              <w:rPr>
                <w:rFonts w:ascii="Garamond" w:eastAsia="Times New Roman" w:hAnsi="Garamond" w:cs="Times New Roman"/>
                <w:color w:val="FF0000"/>
                <w:sz w:val="4"/>
                <w:szCs w:val="4"/>
              </w:rPr>
              <w:t xml:space="preserve"> totale </w:t>
            </w:r>
            <w:r w:rsidR="0028334E" w:rsidRPr="00B457F5">
              <w:rPr>
                <w:rFonts w:ascii="Garamond" w:eastAsia="Times New Roman" w:hAnsi="Garamond" w:cs="Times New Roman"/>
                <w:color w:val="FF0000"/>
                <w:sz w:val="4"/>
                <w:szCs w:val="4"/>
              </w:rPr>
              <w:t>e q</w:t>
            </w:r>
            <w:r w:rsidRPr="00B457F5">
              <w:rPr>
                <w:rFonts w:ascii="Garamond" w:eastAsia="Times New Roman" w:hAnsi="Garamond" w:cs="Times New Roman"/>
                <w:color w:val="FF0000"/>
                <w:sz w:val="4"/>
                <w:szCs w:val="4"/>
              </w:rPr>
              <w:t>ëllimi</w:t>
            </w:r>
            <w:r w:rsidR="0028334E" w:rsidRPr="00B457F5">
              <w:rPr>
                <w:rFonts w:ascii="Garamond" w:eastAsia="Times New Roman" w:hAnsi="Garamond" w:cs="Times New Roman"/>
                <w:color w:val="FF0000"/>
                <w:sz w:val="4"/>
                <w:szCs w:val="4"/>
              </w:rPr>
              <w:t>t</w:t>
            </w:r>
            <w:r w:rsidRPr="00B457F5">
              <w:rPr>
                <w:rFonts w:ascii="Garamond" w:eastAsia="Times New Roman" w:hAnsi="Garamond" w:cs="Times New Roman"/>
                <w:color w:val="FF0000"/>
                <w:sz w:val="4"/>
                <w:szCs w:val="4"/>
              </w:rPr>
              <w:t xml:space="preserve"> </w:t>
            </w:r>
            <w:r w:rsidR="0028334E" w:rsidRPr="00B457F5">
              <w:rPr>
                <w:rFonts w:ascii="Garamond" w:eastAsia="Times New Roman" w:hAnsi="Garamond" w:cs="Times New Roman"/>
                <w:color w:val="FF0000"/>
                <w:sz w:val="4"/>
                <w:szCs w:val="4"/>
              </w:rPr>
              <w:t>të</w:t>
            </w:r>
            <w:r w:rsidRPr="00B457F5">
              <w:rPr>
                <w:rFonts w:ascii="Garamond" w:eastAsia="Times New Roman" w:hAnsi="Garamond" w:cs="Times New Roman"/>
                <w:color w:val="FF0000"/>
                <w:sz w:val="4"/>
                <w:szCs w:val="4"/>
              </w:rPr>
              <w:t xml:space="preserve"> </w:t>
            </w:r>
            <w:r w:rsidR="0028334E" w:rsidRPr="00B457F5">
              <w:rPr>
                <w:rFonts w:ascii="Garamond" w:eastAsia="Times New Roman" w:hAnsi="Garamond" w:cs="Times New Roman"/>
                <w:color w:val="FF0000"/>
                <w:sz w:val="4"/>
                <w:szCs w:val="4"/>
              </w:rPr>
              <w:t>p</w:t>
            </w:r>
            <w:r w:rsidRPr="00B457F5">
              <w:rPr>
                <w:rFonts w:ascii="Garamond" w:eastAsia="Times New Roman" w:hAnsi="Garamond" w:cs="Times New Roman"/>
                <w:color w:val="FF0000"/>
                <w:sz w:val="4"/>
                <w:szCs w:val="4"/>
              </w:rPr>
              <w:t>olitikës IV</w:t>
            </w:r>
            <w:r w:rsidRPr="00B457F5">
              <w:rPr>
                <w:rFonts w:ascii="Garamond" w:eastAsia="Times New Roman" w:hAnsi="Garamond" w:cs="Times New Roman"/>
                <w:color w:val="000000"/>
                <w:sz w:val="4"/>
                <w:szCs w:val="4"/>
              </w:rPr>
              <w:br/>
              <w:t>(objektiva</w:t>
            </w:r>
            <w:r w:rsidR="00AF4731" w:rsidRPr="00B457F5">
              <w:rPr>
                <w:rFonts w:ascii="Garamond" w:eastAsia="Times New Roman" w:hAnsi="Garamond" w:cs="Times New Roman"/>
                <w:color w:val="000000"/>
                <w:sz w:val="4"/>
                <w:szCs w:val="4"/>
              </w:rPr>
              <w:t>t</w:t>
            </w:r>
            <w:r w:rsidRPr="00B457F5">
              <w:rPr>
                <w:rFonts w:ascii="Garamond" w:eastAsia="Times New Roman" w:hAnsi="Garamond" w:cs="Times New Roman"/>
                <w:color w:val="000000"/>
                <w:sz w:val="4"/>
                <w:szCs w:val="4"/>
              </w:rPr>
              <w:t xml:space="preserve"> specifik</w:t>
            </w:r>
            <w:r w:rsidR="0028334E" w:rsidRPr="00B457F5">
              <w:rPr>
                <w:rFonts w:ascii="Garamond" w:eastAsia="Times New Roman" w:hAnsi="Garamond" w:cs="Times New Roman"/>
                <w:color w:val="000000"/>
                <w:sz w:val="4"/>
                <w:szCs w:val="4"/>
              </w:rPr>
              <w:t>ë</w:t>
            </w:r>
            <w:r w:rsidRPr="00B457F5">
              <w:rPr>
                <w:rFonts w:ascii="Garamond" w:eastAsia="Times New Roman" w:hAnsi="Garamond" w:cs="Times New Roman"/>
                <w:color w:val="000000"/>
                <w:sz w:val="4"/>
                <w:szCs w:val="4"/>
              </w:rPr>
              <w:t xml:space="preserve"> 4.1+4.2+4.3)</w:t>
            </w:r>
          </w:p>
        </w:tc>
        <w:tc>
          <w:tcPr>
            <w:tcW w:w="266" w:type="pct"/>
            <w:tcBorders>
              <w:top w:val="nil"/>
              <w:left w:val="nil"/>
              <w:bottom w:val="single" w:sz="8" w:space="0" w:color="auto"/>
              <w:right w:val="single" w:sz="4" w:space="0" w:color="auto"/>
            </w:tcBorders>
            <w:shd w:val="clear" w:color="auto" w:fill="auto"/>
            <w:noWrap/>
            <w:vAlign w:val="bottom"/>
            <w:hideMark/>
          </w:tcPr>
          <w:p w14:paraId="336A58A0" w14:textId="77777777" w:rsidR="00635943" w:rsidRPr="00B457F5" w:rsidRDefault="00635943" w:rsidP="00635943">
            <w:pPr>
              <w:spacing w:before="0" w:after="0"/>
              <w:jc w:val="lef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 </w:t>
            </w:r>
          </w:p>
        </w:tc>
        <w:tc>
          <w:tcPr>
            <w:tcW w:w="474" w:type="pct"/>
            <w:tcBorders>
              <w:top w:val="nil"/>
              <w:left w:val="nil"/>
              <w:bottom w:val="single" w:sz="8" w:space="0" w:color="auto"/>
              <w:right w:val="single" w:sz="4" w:space="0" w:color="auto"/>
            </w:tcBorders>
            <w:shd w:val="clear" w:color="auto" w:fill="auto"/>
            <w:noWrap/>
            <w:vAlign w:val="bottom"/>
            <w:hideMark/>
          </w:tcPr>
          <w:p w14:paraId="11D6AFF2" w14:textId="77777777" w:rsidR="00635943" w:rsidRPr="00B457F5" w:rsidRDefault="00635943" w:rsidP="00635943">
            <w:pPr>
              <w:spacing w:before="0" w:after="0"/>
              <w:jc w:val="lef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 </w:t>
            </w:r>
          </w:p>
        </w:tc>
        <w:tc>
          <w:tcPr>
            <w:tcW w:w="196" w:type="pct"/>
            <w:tcBorders>
              <w:top w:val="nil"/>
              <w:left w:val="nil"/>
              <w:bottom w:val="single" w:sz="8" w:space="0" w:color="auto"/>
              <w:right w:val="single" w:sz="4" w:space="0" w:color="auto"/>
            </w:tcBorders>
            <w:shd w:val="clear" w:color="auto" w:fill="auto"/>
            <w:noWrap/>
            <w:vAlign w:val="bottom"/>
            <w:hideMark/>
          </w:tcPr>
          <w:p w14:paraId="742884C4" w14:textId="77777777" w:rsidR="00635943" w:rsidRPr="00B457F5" w:rsidRDefault="00635943" w:rsidP="00635943">
            <w:pPr>
              <w:spacing w:before="0" w:after="0"/>
              <w:jc w:val="lef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 </w:t>
            </w:r>
          </w:p>
        </w:tc>
        <w:tc>
          <w:tcPr>
            <w:tcW w:w="231" w:type="pct"/>
            <w:tcBorders>
              <w:top w:val="nil"/>
              <w:left w:val="nil"/>
              <w:bottom w:val="single" w:sz="8" w:space="0" w:color="auto"/>
              <w:right w:val="single" w:sz="4" w:space="0" w:color="auto"/>
            </w:tcBorders>
            <w:shd w:val="clear" w:color="auto" w:fill="auto"/>
            <w:noWrap/>
            <w:vAlign w:val="bottom"/>
            <w:hideMark/>
          </w:tcPr>
          <w:p w14:paraId="517A59B3" w14:textId="77777777" w:rsidR="00635943" w:rsidRPr="00B457F5" w:rsidRDefault="00635943" w:rsidP="00635943">
            <w:pPr>
              <w:spacing w:before="0" w:after="0"/>
              <w:jc w:val="left"/>
              <w:rPr>
                <w:rFonts w:ascii="Garamond" w:eastAsia="Times New Roman" w:hAnsi="Garamond" w:cs="Times New Roman"/>
                <w:color w:val="000000"/>
                <w:sz w:val="4"/>
                <w:szCs w:val="4"/>
              </w:rPr>
            </w:pPr>
            <w:r w:rsidRPr="00B457F5">
              <w:rPr>
                <w:rFonts w:ascii="Garamond" w:eastAsia="Times New Roman" w:hAnsi="Garamond" w:cs="Times New Roman"/>
                <w:color w:val="000000"/>
                <w:sz w:val="4"/>
                <w:szCs w:val="4"/>
              </w:rPr>
              <w:t> </w:t>
            </w:r>
          </w:p>
        </w:tc>
        <w:tc>
          <w:tcPr>
            <w:tcW w:w="259" w:type="pct"/>
            <w:tcBorders>
              <w:top w:val="nil"/>
              <w:left w:val="nil"/>
              <w:bottom w:val="single" w:sz="8" w:space="0" w:color="auto"/>
              <w:right w:val="single" w:sz="4" w:space="0" w:color="auto"/>
            </w:tcBorders>
            <w:shd w:val="clear" w:color="auto" w:fill="auto"/>
            <w:noWrap/>
            <w:vAlign w:val="center"/>
            <w:hideMark/>
          </w:tcPr>
          <w:p w14:paraId="5DD003AA"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109,157,899</w:t>
            </w:r>
          </w:p>
        </w:tc>
        <w:tc>
          <w:tcPr>
            <w:tcW w:w="278" w:type="pct"/>
            <w:tcBorders>
              <w:top w:val="nil"/>
              <w:left w:val="nil"/>
              <w:bottom w:val="single" w:sz="8" w:space="0" w:color="auto"/>
              <w:right w:val="single" w:sz="4" w:space="0" w:color="auto"/>
            </w:tcBorders>
            <w:shd w:val="clear" w:color="auto" w:fill="auto"/>
            <w:noWrap/>
            <w:vAlign w:val="center"/>
            <w:hideMark/>
          </w:tcPr>
          <w:p w14:paraId="10297038"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19,550,000</w:t>
            </w:r>
          </w:p>
        </w:tc>
        <w:tc>
          <w:tcPr>
            <w:tcW w:w="260" w:type="pct"/>
            <w:tcBorders>
              <w:top w:val="nil"/>
              <w:left w:val="nil"/>
              <w:bottom w:val="single" w:sz="8" w:space="0" w:color="auto"/>
              <w:right w:val="single" w:sz="4" w:space="0" w:color="auto"/>
            </w:tcBorders>
            <w:shd w:val="clear" w:color="auto" w:fill="auto"/>
            <w:noWrap/>
            <w:vAlign w:val="center"/>
            <w:hideMark/>
          </w:tcPr>
          <w:p w14:paraId="20C2D78F"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128,707,899</w:t>
            </w:r>
          </w:p>
        </w:tc>
        <w:tc>
          <w:tcPr>
            <w:tcW w:w="313" w:type="pct"/>
            <w:tcBorders>
              <w:top w:val="nil"/>
              <w:left w:val="nil"/>
              <w:bottom w:val="single" w:sz="8" w:space="0" w:color="auto"/>
              <w:right w:val="single" w:sz="4" w:space="0" w:color="auto"/>
            </w:tcBorders>
            <w:shd w:val="clear" w:color="auto" w:fill="auto"/>
            <w:noWrap/>
            <w:vAlign w:val="center"/>
            <w:hideMark/>
          </w:tcPr>
          <w:p w14:paraId="6DD439CD"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45,968,130</w:t>
            </w:r>
          </w:p>
        </w:tc>
        <w:tc>
          <w:tcPr>
            <w:tcW w:w="256" w:type="pct"/>
            <w:tcBorders>
              <w:top w:val="nil"/>
              <w:left w:val="nil"/>
              <w:bottom w:val="single" w:sz="8" w:space="0" w:color="auto"/>
              <w:right w:val="single" w:sz="4" w:space="0" w:color="auto"/>
            </w:tcBorders>
            <w:shd w:val="clear" w:color="auto" w:fill="auto"/>
            <w:noWrap/>
            <w:vAlign w:val="center"/>
            <w:hideMark/>
          </w:tcPr>
          <w:p w14:paraId="01BA57CD"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3,450,000</w:t>
            </w:r>
          </w:p>
        </w:tc>
        <w:tc>
          <w:tcPr>
            <w:tcW w:w="256" w:type="pct"/>
            <w:tcBorders>
              <w:top w:val="single" w:sz="4" w:space="0" w:color="auto"/>
              <w:left w:val="nil"/>
              <w:bottom w:val="single" w:sz="8" w:space="0" w:color="auto"/>
              <w:right w:val="single" w:sz="4" w:space="0" w:color="auto"/>
            </w:tcBorders>
            <w:shd w:val="clear" w:color="auto" w:fill="auto"/>
            <w:noWrap/>
            <w:vAlign w:val="center"/>
            <w:hideMark/>
          </w:tcPr>
          <w:p w14:paraId="64C6FD5B"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49,418,130</w:t>
            </w:r>
          </w:p>
        </w:tc>
        <w:tc>
          <w:tcPr>
            <w:tcW w:w="253" w:type="pct"/>
            <w:tcBorders>
              <w:top w:val="nil"/>
              <w:left w:val="nil"/>
              <w:bottom w:val="single" w:sz="8" w:space="0" w:color="auto"/>
              <w:right w:val="single" w:sz="4" w:space="0" w:color="auto"/>
            </w:tcBorders>
            <w:shd w:val="clear" w:color="auto" w:fill="auto"/>
            <w:noWrap/>
            <w:vAlign w:val="center"/>
            <w:hideMark/>
          </w:tcPr>
          <w:p w14:paraId="40F27A81"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63,189,769</w:t>
            </w:r>
          </w:p>
        </w:tc>
        <w:tc>
          <w:tcPr>
            <w:tcW w:w="238" w:type="pct"/>
            <w:tcBorders>
              <w:top w:val="nil"/>
              <w:left w:val="nil"/>
              <w:bottom w:val="single" w:sz="8" w:space="0" w:color="auto"/>
              <w:right w:val="single" w:sz="4" w:space="0" w:color="auto"/>
            </w:tcBorders>
            <w:shd w:val="clear" w:color="auto" w:fill="auto"/>
            <w:noWrap/>
            <w:vAlign w:val="center"/>
            <w:hideMark/>
          </w:tcPr>
          <w:p w14:paraId="31528DAB"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16,100,000</w:t>
            </w:r>
          </w:p>
        </w:tc>
        <w:tc>
          <w:tcPr>
            <w:tcW w:w="256" w:type="pct"/>
            <w:tcBorders>
              <w:top w:val="single" w:sz="4" w:space="0" w:color="auto"/>
              <w:left w:val="nil"/>
              <w:bottom w:val="single" w:sz="8" w:space="0" w:color="auto"/>
              <w:right w:val="single" w:sz="4" w:space="0" w:color="auto"/>
            </w:tcBorders>
            <w:shd w:val="clear" w:color="auto" w:fill="auto"/>
            <w:noWrap/>
            <w:vAlign w:val="center"/>
            <w:hideMark/>
          </w:tcPr>
          <w:p w14:paraId="471194B0"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79,289,769</w:t>
            </w:r>
          </w:p>
        </w:tc>
        <w:tc>
          <w:tcPr>
            <w:tcW w:w="205" w:type="pct"/>
            <w:tcBorders>
              <w:top w:val="nil"/>
              <w:left w:val="nil"/>
              <w:bottom w:val="single" w:sz="8" w:space="0" w:color="auto"/>
              <w:right w:val="single" w:sz="4" w:space="0" w:color="auto"/>
            </w:tcBorders>
            <w:shd w:val="clear" w:color="auto" w:fill="auto"/>
            <w:noWrap/>
            <w:vAlign w:val="center"/>
            <w:hideMark/>
          </w:tcPr>
          <w:p w14:paraId="08820D4A"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0</w:t>
            </w:r>
          </w:p>
        </w:tc>
        <w:tc>
          <w:tcPr>
            <w:tcW w:w="211" w:type="pct"/>
            <w:tcBorders>
              <w:top w:val="nil"/>
              <w:left w:val="nil"/>
              <w:bottom w:val="single" w:sz="8" w:space="0" w:color="auto"/>
              <w:right w:val="single" w:sz="4" w:space="0" w:color="auto"/>
            </w:tcBorders>
            <w:shd w:val="clear" w:color="auto" w:fill="auto"/>
            <w:noWrap/>
            <w:vAlign w:val="center"/>
            <w:hideMark/>
          </w:tcPr>
          <w:p w14:paraId="00449233"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0</w:t>
            </w:r>
          </w:p>
        </w:tc>
        <w:tc>
          <w:tcPr>
            <w:tcW w:w="177" w:type="pct"/>
            <w:tcBorders>
              <w:top w:val="single" w:sz="4" w:space="0" w:color="auto"/>
              <w:left w:val="nil"/>
              <w:bottom w:val="single" w:sz="8" w:space="0" w:color="auto"/>
              <w:right w:val="single" w:sz="4" w:space="0" w:color="auto"/>
            </w:tcBorders>
            <w:shd w:val="clear" w:color="auto" w:fill="auto"/>
            <w:noWrap/>
            <w:vAlign w:val="center"/>
            <w:hideMark/>
          </w:tcPr>
          <w:p w14:paraId="61A9587C"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0</w:t>
            </w:r>
          </w:p>
        </w:tc>
        <w:tc>
          <w:tcPr>
            <w:tcW w:w="284" w:type="pct"/>
            <w:tcBorders>
              <w:top w:val="single" w:sz="4" w:space="0" w:color="auto"/>
              <w:left w:val="nil"/>
              <w:bottom w:val="single" w:sz="8" w:space="0" w:color="auto"/>
              <w:right w:val="single" w:sz="4" w:space="0" w:color="auto"/>
            </w:tcBorders>
            <w:shd w:val="clear" w:color="auto" w:fill="auto"/>
            <w:noWrap/>
            <w:vAlign w:val="center"/>
            <w:hideMark/>
          </w:tcPr>
          <w:p w14:paraId="38B48276" w14:textId="519FBC1B"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 xml:space="preserve">- </w:t>
            </w:r>
          </w:p>
        </w:tc>
        <w:tc>
          <w:tcPr>
            <w:tcW w:w="244" w:type="pct"/>
            <w:tcBorders>
              <w:top w:val="nil"/>
              <w:left w:val="nil"/>
              <w:bottom w:val="single" w:sz="8" w:space="0" w:color="auto"/>
              <w:right w:val="single" w:sz="8" w:space="0" w:color="auto"/>
            </w:tcBorders>
            <w:shd w:val="clear" w:color="auto" w:fill="auto"/>
            <w:noWrap/>
            <w:vAlign w:val="center"/>
            <w:hideMark/>
          </w:tcPr>
          <w:p w14:paraId="7FFDC2ED"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1,170,072</w:t>
            </w:r>
          </w:p>
        </w:tc>
      </w:tr>
      <w:tr w:rsidR="0028334E" w:rsidRPr="00B457F5" w14:paraId="561013BF" w14:textId="77777777" w:rsidTr="00635943">
        <w:trPr>
          <w:trHeight w:val="20"/>
        </w:trPr>
        <w:tc>
          <w:tcPr>
            <w:tcW w:w="1509" w:type="pct"/>
            <w:gridSpan w:val="5"/>
            <w:tcBorders>
              <w:top w:val="single" w:sz="8" w:space="0" w:color="auto"/>
              <w:left w:val="single" w:sz="8" w:space="0" w:color="auto"/>
              <w:bottom w:val="single" w:sz="8" w:space="0" w:color="auto"/>
              <w:right w:val="single" w:sz="4" w:space="0" w:color="000000"/>
            </w:tcBorders>
            <w:shd w:val="clear" w:color="000000" w:fill="92D050"/>
            <w:vAlign w:val="bottom"/>
            <w:hideMark/>
          </w:tcPr>
          <w:p w14:paraId="45B04BBC" w14:textId="2469BD5E" w:rsidR="00635943" w:rsidRPr="00B457F5" w:rsidRDefault="00635943" w:rsidP="00635943">
            <w:pPr>
              <w:spacing w:before="0" w:after="0"/>
              <w:jc w:val="lef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Kosto</w:t>
            </w:r>
            <w:r w:rsidR="0028334E" w:rsidRPr="00B457F5">
              <w:rPr>
                <w:rFonts w:ascii="Garamond" w:eastAsia="Times New Roman" w:hAnsi="Garamond" w:cs="Times New Roman"/>
                <w:b/>
                <w:bCs/>
                <w:color w:val="FF0000"/>
                <w:sz w:val="4"/>
                <w:szCs w:val="4"/>
              </w:rPr>
              <w:t>ja</w:t>
            </w:r>
            <w:r w:rsidRPr="00B457F5">
              <w:rPr>
                <w:rFonts w:ascii="Garamond" w:eastAsia="Times New Roman" w:hAnsi="Garamond" w:cs="Times New Roman"/>
                <w:b/>
                <w:bCs/>
                <w:color w:val="FF0000"/>
                <w:sz w:val="4"/>
                <w:szCs w:val="4"/>
              </w:rPr>
              <w:t xml:space="preserve"> totale (QS1+QS2+QS3+QS4)</w:t>
            </w:r>
          </w:p>
        </w:tc>
        <w:tc>
          <w:tcPr>
            <w:tcW w:w="259" w:type="pct"/>
            <w:tcBorders>
              <w:top w:val="nil"/>
              <w:left w:val="nil"/>
              <w:bottom w:val="single" w:sz="8" w:space="0" w:color="auto"/>
              <w:right w:val="single" w:sz="4" w:space="0" w:color="auto"/>
            </w:tcBorders>
            <w:shd w:val="clear" w:color="auto" w:fill="auto"/>
            <w:noWrap/>
            <w:vAlign w:val="center"/>
            <w:hideMark/>
          </w:tcPr>
          <w:p w14:paraId="1756419E"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809,701,845</w:t>
            </w:r>
          </w:p>
        </w:tc>
        <w:tc>
          <w:tcPr>
            <w:tcW w:w="278" w:type="pct"/>
            <w:tcBorders>
              <w:top w:val="nil"/>
              <w:left w:val="nil"/>
              <w:bottom w:val="single" w:sz="8" w:space="0" w:color="auto"/>
              <w:right w:val="single" w:sz="4" w:space="0" w:color="auto"/>
            </w:tcBorders>
            <w:shd w:val="clear" w:color="auto" w:fill="auto"/>
            <w:noWrap/>
            <w:vAlign w:val="center"/>
            <w:hideMark/>
          </w:tcPr>
          <w:p w14:paraId="63200777"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160,425,000</w:t>
            </w:r>
          </w:p>
        </w:tc>
        <w:tc>
          <w:tcPr>
            <w:tcW w:w="260" w:type="pct"/>
            <w:tcBorders>
              <w:top w:val="nil"/>
              <w:left w:val="nil"/>
              <w:bottom w:val="single" w:sz="8" w:space="0" w:color="auto"/>
              <w:right w:val="single" w:sz="4" w:space="0" w:color="auto"/>
            </w:tcBorders>
            <w:shd w:val="clear" w:color="auto" w:fill="auto"/>
            <w:noWrap/>
            <w:vAlign w:val="center"/>
            <w:hideMark/>
          </w:tcPr>
          <w:p w14:paraId="5ECB3B7E"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970,126,845</w:t>
            </w:r>
          </w:p>
        </w:tc>
        <w:tc>
          <w:tcPr>
            <w:tcW w:w="313" w:type="pct"/>
            <w:tcBorders>
              <w:top w:val="nil"/>
              <w:left w:val="nil"/>
              <w:bottom w:val="single" w:sz="8" w:space="0" w:color="auto"/>
              <w:right w:val="single" w:sz="4" w:space="0" w:color="auto"/>
            </w:tcBorders>
            <w:shd w:val="clear" w:color="auto" w:fill="auto"/>
            <w:noWrap/>
            <w:vAlign w:val="center"/>
            <w:hideMark/>
          </w:tcPr>
          <w:p w14:paraId="35B633C1"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467,208,351</w:t>
            </w:r>
          </w:p>
        </w:tc>
        <w:tc>
          <w:tcPr>
            <w:tcW w:w="256" w:type="pct"/>
            <w:tcBorders>
              <w:top w:val="nil"/>
              <w:left w:val="nil"/>
              <w:bottom w:val="single" w:sz="8" w:space="0" w:color="auto"/>
              <w:right w:val="single" w:sz="4" w:space="0" w:color="auto"/>
            </w:tcBorders>
            <w:shd w:val="clear" w:color="auto" w:fill="auto"/>
            <w:noWrap/>
            <w:vAlign w:val="center"/>
            <w:hideMark/>
          </w:tcPr>
          <w:p w14:paraId="29EC4AEE"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14,950,000</w:t>
            </w:r>
          </w:p>
        </w:tc>
        <w:tc>
          <w:tcPr>
            <w:tcW w:w="256" w:type="pct"/>
            <w:tcBorders>
              <w:top w:val="nil"/>
              <w:left w:val="nil"/>
              <w:bottom w:val="single" w:sz="8" w:space="0" w:color="auto"/>
              <w:right w:val="single" w:sz="4" w:space="0" w:color="auto"/>
            </w:tcBorders>
            <w:shd w:val="clear" w:color="auto" w:fill="auto"/>
            <w:noWrap/>
            <w:vAlign w:val="center"/>
            <w:hideMark/>
          </w:tcPr>
          <w:p w14:paraId="690361CD"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482,158,351</w:t>
            </w:r>
          </w:p>
        </w:tc>
        <w:tc>
          <w:tcPr>
            <w:tcW w:w="253" w:type="pct"/>
            <w:tcBorders>
              <w:top w:val="nil"/>
              <w:left w:val="nil"/>
              <w:bottom w:val="single" w:sz="8" w:space="0" w:color="auto"/>
              <w:right w:val="single" w:sz="4" w:space="0" w:color="auto"/>
            </w:tcBorders>
            <w:shd w:val="clear" w:color="auto" w:fill="auto"/>
            <w:noWrap/>
            <w:vAlign w:val="center"/>
            <w:hideMark/>
          </w:tcPr>
          <w:p w14:paraId="41CBF167"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284,195,841</w:t>
            </w:r>
          </w:p>
        </w:tc>
        <w:tc>
          <w:tcPr>
            <w:tcW w:w="238" w:type="pct"/>
            <w:tcBorders>
              <w:top w:val="nil"/>
              <w:left w:val="nil"/>
              <w:bottom w:val="single" w:sz="8" w:space="0" w:color="auto"/>
              <w:right w:val="single" w:sz="4" w:space="0" w:color="auto"/>
            </w:tcBorders>
            <w:shd w:val="clear" w:color="auto" w:fill="auto"/>
            <w:noWrap/>
            <w:vAlign w:val="center"/>
            <w:hideMark/>
          </w:tcPr>
          <w:p w14:paraId="47F8E6E4"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16,100,000</w:t>
            </w:r>
          </w:p>
        </w:tc>
        <w:tc>
          <w:tcPr>
            <w:tcW w:w="256" w:type="pct"/>
            <w:tcBorders>
              <w:top w:val="nil"/>
              <w:left w:val="nil"/>
              <w:bottom w:val="single" w:sz="8" w:space="0" w:color="auto"/>
              <w:right w:val="single" w:sz="4" w:space="0" w:color="auto"/>
            </w:tcBorders>
            <w:shd w:val="clear" w:color="auto" w:fill="auto"/>
            <w:noWrap/>
            <w:vAlign w:val="center"/>
            <w:hideMark/>
          </w:tcPr>
          <w:p w14:paraId="32BE96F0"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300,295,841</w:t>
            </w:r>
          </w:p>
        </w:tc>
        <w:tc>
          <w:tcPr>
            <w:tcW w:w="205" w:type="pct"/>
            <w:tcBorders>
              <w:top w:val="nil"/>
              <w:left w:val="nil"/>
              <w:bottom w:val="single" w:sz="8" w:space="0" w:color="auto"/>
              <w:right w:val="single" w:sz="4" w:space="0" w:color="auto"/>
            </w:tcBorders>
            <w:shd w:val="clear" w:color="auto" w:fill="auto"/>
            <w:noWrap/>
            <w:vAlign w:val="center"/>
            <w:hideMark/>
          </w:tcPr>
          <w:p w14:paraId="54B1546C"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0</w:t>
            </w:r>
          </w:p>
        </w:tc>
        <w:tc>
          <w:tcPr>
            <w:tcW w:w="211" w:type="pct"/>
            <w:tcBorders>
              <w:top w:val="nil"/>
              <w:left w:val="nil"/>
              <w:bottom w:val="single" w:sz="8" w:space="0" w:color="auto"/>
              <w:right w:val="single" w:sz="4" w:space="0" w:color="auto"/>
            </w:tcBorders>
            <w:shd w:val="clear" w:color="auto" w:fill="auto"/>
            <w:noWrap/>
            <w:vAlign w:val="center"/>
            <w:hideMark/>
          </w:tcPr>
          <w:p w14:paraId="320087E8"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0</w:t>
            </w:r>
          </w:p>
        </w:tc>
        <w:tc>
          <w:tcPr>
            <w:tcW w:w="177" w:type="pct"/>
            <w:tcBorders>
              <w:top w:val="nil"/>
              <w:left w:val="nil"/>
              <w:bottom w:val="single" w:sz="8" w:space="0" w:color="auto"/>
              <w:right w:val="single" w:sz="4" w:space="0" w:color="auto"/>
            </w:tcBorders>
            <w:shd w:val="clear" w:color="auto" w:fill="auto"/>
            <w:noWrap/>
            <w:vAlign w:val="center"/>
            <w:hideMark/>
          </w:tcPr>
          <w:p w14:paraId="596A8C7F"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0</w:t>
            </w:r>
          </w:p>
        </w:tc>
        <w:tc>
          <w:tcPr>
            <w:tcW w:w="284" w:type="pct"/>
            <w:tcBorders>
              <w:top w:val="nil"/>
              <w:left w:val="nil"/>
              <w:bottom w:val="single" w:sz="8" w:space="0" w:color="auto"/>
              <w:right w:val="single" w:sz="4" w:space="0" w:color="auto"/>
            </w:tcBorders>
            <w:shd w:val="clear" w:color="auto" w:fill="auto"/>
            <w:noWrap/>
            <w:vAlign w:val="center"/>
            <w:hideMark/>
          </w:tcPr>
          <w:p w14:paraId="679CCD55" w14:textId="3E76897D"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(187,272,653)</w:t>
            </w:r>
          </w:p>
        </w:tc>
        <w:tc>
          <w:tcPr>
            <w:tcW w:w="244" w:type="pct"/>
            <w:tcBorders>
              <w:top w:val="nil"/>
              <w:left w:val="nil"/>
              <w:bottom w:val="single" w:sz="8" w:space="0" w:color="auto"/>
              <w:right w:val="single" w:sz="8" w:space="0" w:color="auto"/>
            </w:tcBorders>
            <w:shd w:val="clear" w:color="auto" w:fill="auto"/>
            <w:noWrap/>
            <w:vAlign w:val="center"/>
            <w:hideMark/>
          </w:tcPr>
          <w:p w14:paraId="057E36FC" w14:textId="77777777" w:rsidR="00635943" w:rsidRPr="00B457F5" w:rsidRDefault="00635943" w:rsidP="00635943">
            <w:pPr>
              <w:spacing w:before="0" w:after="0"/>
              <w:jc w:val="right"/>
              <w:rPr>
                <w:rFonts w:ascii="Garamond" w:eastAsia="Times New Roman" w:hAnsi="Garamond" w:cs="Times New Roman"/>
                <w:b/>
                <w:bCs/>
                <w:color w:val="FF0000"/>
                <w:sz w:val="4"/>
                <w:szCs w:val="4"/>
              </w:rPr>
            </w:pPr>
            <w:r w:rsidRPr="00B457F5">
              <w:rPr>
                <w:rFonts w:ascii="Garamond" w:eastAsia="Times New Roman" w:hAnsi="Garamond" w:cs="Times New Roman"/>
                <w:b/>
                <w:bCs/>
                <w:color w:val="FF0000"/>
                <w:sz w:val="4"/>
                <w:szCs w:val="4"/>
              </w:rPr>
              <w:t>8,819,335</w:t>
            </w:r>
          </w:p>
        </w:tc>
      </w:tr>
      <w:tr w:rsidR="0028334E" w:rsidRPr="00B457F5" w14:paraId="0E16D8A1" w14:textId="77777777" w:rsidTr="00635943">
        <w:trPr>
          <w:trHeight w:val="20"/>
        </w:trPr>
        <w:tc>
          <w:tcPr>
            <w:tcW w:w="343" w:type="pct"/>
            <w:tcBorders>
              <w:top w:val="nil"/>
              <w:left w:val="nil"/>
              <w:bottom w:val="nil"/>
              <w:right w:val="nil"/>
            </w:tcBorders>
            <w:shd w:val="clear" w:color="auto" w:fill="auto"/>
            <w:noWrap/>
            <w:vAlign w:val="bottom"/>
            <w:hideMark/>
          </w:tcPr>
          <w:p w14:paraId="41D27B0D" w14:textId="77777777" w:rsidR="00635943" w:rsidRPr="00B457F5" w:rsidRDefault="00635943" w:rsidP="00635943">
            <w:pPr>
              <w:spacing w:before="0" w:after="0"/>
              <w:jc w:val="right"/>
              <w:rPr>
                <w:rFonts w:ascii="Garamond" w:eastAsia="Times New Roman" w:hAnsi="Garamond" w:cs="Times New Roman"/>
                <w:b/>
                <w:bCs/>
                <w:color w:val="FF0000"/>
                <w:sz w:val="4"/>
                <w:szCs w:val="4"/>
              </w:rPr>
            </w:pPr>
          </w:p>
        </w:tc>
        <w:tc>
          <w:tcPr>
            <w:tcW w:w="266" w:type="pct"/>
            <w:tcBorders>
              <w:top w:val="nil"/>
              <w:left w:val="nil"/>
              <w:bottom w:val="nil"/>
              <w:right w:val="nil"/>
            </w:tcBorders>
            <w:shd w:val="clear" w:color="auto" w:fill="auto"/>
            <w:noWrap/>
            <w:vAlign w:val="bottom"/>
            <w:hideMark/>
          </w:tcPr>
          <w:p w14:paraId="42C77472" w14:textId="77777777" w:rsidR="00635943" w:rsidRPr="00B457F5" w:rsidRDefault="00635943" w:rsidP="00635943">
            <w:pPr>
              <w:spacing w:before="0" w:after="0"/>
              <w:jc w:val="left"/>
              <w:rPr>
                <w:rFonts w:ascii="Garamond" w:eastAsia="Times New Roman" w:hAnsi="Garamond" w:cs="Times New Roman"/>
                <w:sz w:val="4"/>
                <w:szCs w:val="4"/>
              </w:rPr>
            </w:pPr>
          </w:p>
        </w:tc>
        <w:tc>
          <w:tcPr>
            <w:tcW w:w="474" w:type="pct"/>
            <w:tcBorders>
              <w:top w:val="nil"/>
              <w:left w:val="nil"/>
              <w:bottom w:val="nil"/>
              <w:right w:val="nil"/>
            </w:tcBorders>
            <w:shd w:val="clear" w:color="auto" w:fill="auto"/>
            <w:noWrap/>
            <w:vAlign w:val="bottom"/>
            <w:hideMark/>
          </w:tcPr>
          <w:p w14:paraId="78CB0144" w14:textId="77777777" w:rsidR="00635943" w:rsidRPr="00B457F5" w:rsidRDefault="00635943" w:rsidP="00635943">
            <w:pPr>
              <w:spacing w:before="0" w:after="0"/>
              <w:jc w:val="left"/>
              <w:rPr>
                <w:rFonts w:ascii="Garamond" w:eastAsia="Times New Roman" w:hAnsi="Garamond" w:cs="Times New Roman"/>
                <w:sz w:val="4"/>
                <w:szCs w:val="4"/>
              </w:rPr>
            </w:pPr>
          </w:p>
        </w:tc>
        <w:tc>
          <w:tcPr>
            <w:tcW w:w="196" w:type="pct"/>
            <w:tcBorders>
              <w:top w:val="nil"/>
              <w:left w:val="nil"/>
              <w:bottom w:val="nil"/>
              <w:right w:val="nil"/>
            </w:tcBorders>
            <w:shd w:val="clear" w:color="auto" w:fill="auto"/>
            <w:noWrap/>
            <w:vAlign w:val="bottom"/>
            <w:hideMark/>
          </w:tcPr>
          <w:p w14:paraId="1EFC9553" w14:textId="77777777" w:rsidR="00635943" w:rsidRPr="00B457F5" w:rsidRDefault="00635943" w:rsidP="00635943">
            <w:pPr>
              <w:spacing w:before="0" w:after="0"/>
              <w:jc w:val="left"/>
              <w:rPr>
                <w:rFonts w:ascii="Garamond" w:eastAsia="Times New Roman" w:hAnsi="Garamond" w:cs="Times New Roman"/>
                <w:sz w:val="4"/>
                <w:szCs w:val="4"/>
              </w:rPr>
            </w:pPr>
          </w:p>
        </w:tc>
        <w:tc>
          <w:tcPr>
            <w:tcW w:w="231" w:type="pct"/>
            <w:tcBorders>
              <w:top w:val="nil"/>
              <w:left w:val="nil"/>
              <w:bottom w:val="nil"/>
              <w:right w:val="nil"/>
            </w:tcBorders>
            <w:shd w:val="clear" w:color="auto" w:fill="auto"/>
            <w:noWrap/>
            <w:vAlign w:val="bottom"/>
            <w:hideMark/>
          </w:tcPr>
          <w:p w14:paraId="5AF9624C" w14:textId="77777777" w:rsidR="00635943" w:rsidRPr="00B457F5" w:rsidRDefault="00635943" w:rsidP="00635943">
            <w:pPr>
              <w:spacing w:before="0" w:after="0"/>
              <w:jc w:val="left"/>
              <w:rPr>
                <w:rFonts w:ascii="Garamond" w:eastAsia="Times New Roman" w:hAnsi="Garamond" w:cs="Times New Roman"/>
                <w:sz w:val="4"/>
                <w:szCs w:val="4"/>
              </w:rPr>
            </w:pPr>
          </w:p>
        </w:tc>
        <w:tc>
          <w:tcPr>
            <w:tcW w:w="259" w:type="pct"/>
            <w:tcBorders>
              <w:top w:val="nil"/>
              <w:left w:val="nil"/>
              <w:bottom w:val="nil"/>
              <w:right w:val="nil"/>
            </w:tcBorders>
            <w:shd w:val="clear" w:color="auto" w:fill="auto"/>
            <w:noWrap/>
            <w:vAlign w:val="center"/>
            <w:hideMark/>
          </w:tcPr>
          <w:p w14:paraId="2C3CF2F3" w14:textId="77777777" w:rsidR="00635943" w:rsidRPr="00B457F5" w:rsidRDefault="00635943" w:rsidP="00635943">
            <w:pPr>
              <w:spacing w:before="0" w:after="0"/>
              <w:jc w:val="left"/>
              <w:rPr>
                <w:rFonts w:ascii="Garamond" w:eastAsia="Times New Roman" w:hAnsi="Garamond" w:cs="Times New Roman"/>
                <w:sz w:val="4"/>
                <w:szCs w:val="4"/>
              </w:rPr>
            </w:pPr>
          </w:p>
        </w:tc>
        <w:tc>
          <w:tcPr>
            <w:tcW w:w="278" w:type="pct"/>
            <w:tcBorders>
              <w:top w:val="nil"/>
              <w:left w:val="nil"/>
              <w:bottom w:val="nil"/>
              <w:right w:val="nil"/>
            </w:tcBorders>
            <w:shd w:val="clear" w:color="auto" w:fill="auto"/>
            <w:noWrap/>
            <w:vAlign w:val="center"/>
            <w:hideMark/>
          </w:tcPr>
          <w:p w14:paraId="394118FD" w14:textId="77777777" w:rsidR="00635943" w:rsidRPr="00B457F5" w:rsidRDefault="00635943" w:rsidP="00635943">
            <w:pPr>
              <w:spacing w:before="0" w:after="0"/>
              <w:jc w:val="center"/>
              <w:rPr>
                <w:rFonts w:ascii="Garamond" w:eastAsia="Times New Roman" w:hAnsi="Garamond" w:cs="Times New Roman"/>
                <w:sz w:val="4"/>
                <w:szCs w:val="4"/>
              </w:rPr>
            </w:pPr>
          </w:p>
        </w:tc>
        <w:tc>
          <w:tcPr>
            <w:tcW w:w="260" w:type="pct"/>
            <w:tcBorders>
              <w:top w:val="nil"/>
              <w:left w:val="nil"/>
              <w:bottom w:val="nil"/>
              <w:right w:val="nil"/>
            </w:tcBorders>
            <w:shd w:val="clear" w:color="auto" w:fill="auto"/>
            <w:noWrap/>
            <w:vAlign w:val="center"/>
            <w:hideMark/>
          </w:tcPr>
          <w:p w14:paraId="11686B0B" w14:textId="77777777" w:rsidR="00635943" w:rsidRPr="00B457F5" w:rsidRDefault="00635943" w:rsidP="00635943">
            <w:pPr>
              <w:spacing w:before="0" w:after="0"/>
              <w:jc w:val="center"/>
              <w:rPr>
                <w:rFonts w:ascii="Garamond" w:eastAsia="Times New Roman" w:hAnsi="Garamond" w:cs="Times New Roman"/>
                <w:sz w:val="4"/>
                <w:szCs w:val="4"/>
              </w:rPr>
            </w:pPr>
          </w:p>
        </w:tc>
        <w:tc>
          <w:tcPr>
            <w:tcW w:w="313" w:type="pct"/>
            <w:tcBorders>
              <w:top w:val="nil"/>
              <w:left w:val="nil"/>
              <w:bottom w:val="nil"/>
              <w:right w:val="nil"/>
            </w:tcBorders>
            <w:shd w:val="clear" w:color="auto" w:fill="auto"/>
            <w:noWrap/>
            <w:vAlign w:val="center"/>
            <w:hideMark/>
          </w:tcPr>
          <w:p w14:paraId="6DDF4342"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29243902"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6DABC948" w14:textId="77777777" w:rsidR="00635943" w:rsidRPr="00B457F5" w:rsidRDefault="00635943" w:rsidP="00635943">
            <w:pPr>
              <w:spacing w:before="0" w:after="0"/>
              <w:jc w:val="center"/>
              <w:rPr>
                <w:rFonts w:ascii="Garamond" w:eastAsia="Times New Roman" w:hAnsi="Garamond" w:cs="Times New Roman"/>
                <w:sz w:val="4"/>
                <w:szCs w:val="4"/>
              </w:rPr>
            </w:pPr>
          </w:p>
        </w:tc>
        <w:tc>
          <w:tcPr>
            <w:tcW w:w="253" w:type="pct"/>
            <w:tcBorders>
              <w:top w:val="nil"/>
              <w:left w:val="nil"/>
              <w:bottom w:val="nil"/>
              <w:right w:val="nil"/>
            </w:tcBorders>
            <w:shd w:val="clear" w:color="auto" w:fill="auto"/>
            <w:noWrap/>
            <w:vAlign w:val="center"/>
            <w:hideMark/>
          </w:tcPr>
          <w:p w14:paraId="7255BAE7" w14:textId="77777777" w:rsidR="00635943" w:rsidRPr="00B457F5" w:rsidRDefault="00635943" w:rsidP="00635943">
            <w:pPr>
              <w:spacing w:before="0" w:after="0"/>
              <w:jc w:val="center"/>
              <w:rPr>
                <w:rFonts w:ascii="Garamond" w:eastAsia="Times New Roman" w:hAnsi="Garamond" w:cs="Times New Roman"/>
                <w:sz w:val="4"/>
                <w:szCs w:val="4"/>
              </w:rPr>
            </w:pPr>
          </w:p>
        </w:tc>
        <w:tc>
          <w:tcPr>
            <w:tcW w:w="238" w:type="pct"/>
            <w:tcBorders>
              <w:top w:val="nil"/>
              <w:left w:val="nil"/>
              <w:bottom w:val="nil"/>
              <w:right w:val="nil"/>
            </w:tcBorders>
            <w:shd w:val="clear" w:color="auto" w:fill="auto"/>
            <w:noWrap/>
            <w:vAlign w:val="center"/>
            <w:hideMark/>
          </w:tcPr>
          <w:p w14:paraId="5DF0118C"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5DDE1BC6" w14:textId="77777777" w:rsidR="00635943" w:rsidRPr="00B457F5" w:rsidRDefault="00635943" w:rsidP="00635943">
            <w:pPr>
              <w:spacing w:before="0" w:after="0"/>
              <w:jc w:val="center"/>
              <w:rPr>
                <w:rFonts w:ascii="Garamond" w:eastAsia="Times New Roman" w:hAnsi="Garamond" w:cs="Times New Roman"/>
                <w:sz w:val="4"/>
                <w:szCs w:val="4"/>
              </w:rPr>
            </w:pPr>
          </w:p>
        </w:tc>
        <w:tc>
          <w:tcPr>
            <w:tcW w:w="205" w:type="pct"/>
            <w:tcBorders>
              <w:top w:val="nil"/>
              <w:left w:val="nil"/>
              <w:bottom w:val="nil"/>
              <w:right w:val="nil"/>
            </w:tcBorders>
            <w:shd w:val="clear" w:color="auto" w:fill="auto"/>
            <w:noWrap/>
            <w:vAlign w:val="center"/>
            <w:hideMark/>
          </w:tcPr>
          <w:p w14:paraId="2CDC54B2" w14:textId="77777777" w:rsidR="00635943" w:rsidRPr="00B457F5" w:rsidRDefault="00635943" w:rsidP="00635943">
            <w:pPr>
              <w:spacing w:before="0" w:after="0"/>
              <w:jc w:val="center"/>
              <w:rPr>
                <w:rFonts w:ascii="Garamond" w:eastAsia="Times New Roman" w:hAnsi="Garamond" w:cs="Times New Roman"/>
                <w:sz w:val="4"/>
                <w:szCs w:val="4"/>
              </w:rPr>
            </w:pPr>
          </w:p>
        </w:tc>
        <w:tc>
          <w:tcPr>
            <w:tcW w:w="211" w:type="pct"/>
            <w:tcBorders>
              <w:top w:val="nil"/>
              <w:left w:val="nil"/>
              <w:bottom w:val="nil"/>
              <w:right w:val="nil"/>
            </w:tcBorders>
            <w:shd w:val="clear" w:color="auto" w:fill="auto"/>
            <w:noWrap/>
            <w:vAlign w:val="center"/>
            <w:hideMark/>
          </w:tcPr>
          <w:p w14:paraId="1BA9FB5F" w14:textId="77777777" w:rsidR="00635943" w:rsidRPr="00B457F5" w:rsidRDefault="00635943" w:rsidP="00635943">
            <w:pPr>
              <w:spacing w:before="0" w:after="0"/>
              <w:jc w:val="center"/>
              <w:rPr>
                <w:rFonts w:ascii="Garamond" w:eastAsia="Times New Roman" w:hAnsi="Garamond" w:cs="Times New Roman"/>
                <w:sz w:val="4"/>
                <w:szCs w:val="4"/>
              </w:rPr>
            </w:pPr>
          </w:p>
        </w:tc>
        <w:tc>
          <w:tcPr>
            <w:tcW w:w="177" w:type="pct"/>
            <w:tcBorders>
              <w:top w:val="nil"/>
              <w:left w:val="nil"/>
              <w:bottom w:val="nil"/>
              <w:right w:val="nil"/>
            </w:tcBorders>
            <w:shd w:val="clear" w:color="auto" w:fill="auto"/>
            <w:noWrap/>
            <w:vAlign w:val="center"/>
            <w:hideMark/>
          </w:tcPr>
          <w:p w14:paraId="631D22A8" w14:textId="77777777" w:rsidR="00635943" w:rsidRPr="00B457F5" w:rsidRDefault="00635943" w:rsidP="00635943">
            <w:pPr>
              <w:spacing w:before="0" w:after="0"/>
              <w:jc w:val="center"/>
              <w:rPr>
                <w:rFonts w:ascii="Garamond" w:eastAsia="Times New Roman" w:hAnsi="Garamond" w:cs="Times New Roman"/>
                <w:sz w:val="4"/>
                <w:szCs w:val="4"/>
              </w:rPr>
            </w:pPr>
          </w:p>
        </w:tc>
        <w:tc>
          <w:tcPr>
            <w:tcW w:w="284" w:type="pct"/>
            <w:tcBorders>
              <w:top w:val="nil"/>
              <w:left w:val="nil"/>
              <w:bottom w:val="nil"/>
              <w:right w:val="nil"/>
            </w:tcBorders>
            <w:shd w:val="clear" w:color="auto" w:fill="auto"/>
            <w:noWrap/>
            <w:vAlign w:val="center"/>
            <w:hideMark/>
          </w:tcPr>
          <w:p w14:paraId="6FC77B3E" w14:textId="77777777" w:rsidR="00635943" w:rsidRPr="00B457F5" w:rsidRDefault="00635943" w:rsidP="00635943">
            <w:pPr>
              <w:spacing w:before="0" w:after="0"/>
              <w:jc w:val="center"/>
              <w:rPr>
                <w:rFonts w:ascii="Garamond" w:eastAsia="Times New Roman" w:hAnsi="Garamond" w:cs="Times New Roman"/>
                <w:sz w:val="4"/>
                <w:szCs w:val="4"/>
              </w:rPr>
            </w:pPr>
          </w:p>
        </w:tc>
        <w:tc>
          <w:tcPr>
            <w:tcW w:w="244" w:type="pct"/>
            <w:tcBorders>
              <w:top w:val="nil"/>
              <w:left w:val="nil"/>
              <w:bottom w:val="nil"/>
              <w:right w:val="nil"/>
            </w:tcBorders>
            <w:shd w:val="clear" w:color="auto" w:fill="auto"/>
            <w:noWrap/>
            <w:vAlign w:val="center"/>
            <w:hideMark/>
          </w:tcPr>
          <w:p w14:paraId="52CFEF29" w14:textId="77777777" w:rsidR="00635943" w:rsidRPr="00B457F5" w:rsidRDefault="00635943" w:rsidP="00635943">
            <w:pPr>
              <w:spacing w:before="0" w:after="0"/>
              <w:jc w:val="center"/>
              <w:rPr>
                <w:rFonts w:ascii="Garamond" w:eastAsia="Times New Roman" w:hAnsi="Garamond" w:cs="Times New Roman"/>
                <w:sz w:val="4"/>
                <w:szCs w:val="4"/>
              </w:rPr>
            </w:pPr>
          </w:p>
        </w:tc>
      </w:tr>
      <w:tr w:rsidR="0028334E" w:rsidRPr="00B457F5" w14:paraId="39C70BAB" w14:textId="77777777" w:rsidTr="00635943">
        <w:trPr>
          <w:trHeight w:val="20"/>
        </w:trPr>
        <w:tc>
          <w:tcPr>
            <w:tcW w:w="343" w:type="pct"/>
            <w:tcBorders>
              <w:top w:val="nil"/>
              <w:left w:val="nil"/>
              <w:bottom w:val="nil"/>
              <w:right w:val="nil"/>
            </w:tcBorders>
            <w:shd w:val="clear" w:color="auto" w:fill="auto"/>
            <w:noWrap/>
            <w:vAlign w:val="bottom"/>
            <w:hideMark/>
          </w:tcPr>
          <w:p w14:paraId="1D815F13" w14:textId="77777777" w:rsidR="00635943" w:rsidRPr="00B457F5" w:rsidRDefault="00635943" w:rsidP="00635943">
            <w:pPr>
              <w:spacing w:before="0" w:after="0"/>
              <w:jc w:val="center"/>
              <w:rPr>
                <w:rFonts w:ascii="Garamond" w:eastAsia="Times New Roman" w:hAnsi="Garamond" w:cs="Times New Roman"/>
                <w:sz w:val="4"/>
                <w:szCs w:val="4"/>
              </w:rPr>
            </w:pPr>
          </w:p>
        </w:tc>
        <w:tc>
          <w:tcPr>
            <w:tcW w:w="266" w:type="pct"/>
            <w:tcBorders>
              <w:top w:val="nil"/>
              <w:left w:val="nil"/>
              <w:bottom w:val="nil"/>
              <w:right w:val="nil"/>
            </w:tcBorders>
            <w:shd w:val="clear" w:color="auto" w:fill="auto"/>
            <w:noWrap/>
            <w:vAlign w:val="bottom"/>
            <w:hideMark/>
          </w:tcPr>
          <w:p w14:paraId="0729136E" w14:textId="77777777" w:rsidR="00635943" w:rsidRPr="00B457F5" w:rsidRDefault="00635943" w:rsidP="00635943">
            <w:pPr>
              <w:spacing w:before="0" w:after="0"/>
              <w:jc w:val="left"/>
              <w:rPr>
                <w:rFonts w:ascii="Garamond" w:eastAsia="Times New Roman" w:hAnsi="Garamond" w:cs="Times New Roman"/>
                <w:sz w:val="4"/>
                <w:szCs w:val="4"/>
              </w:rPr>
            </w:pPr>
          </w:p>
        </w:tc>
        <w:tc>
          <w:tcPr>
            <w:tcW w:w="474" w:type="pct"/>
            <w:tcBorders>
              <w:top w:val="nil"/>
              <w:left w:val="nil"/>
              <w:bottom w:val="nil"/>
              <w:right w:val="nil"/>
            </w:tcBorders>
            <w:shd w:val="clear" w:color="auto" w:fill="auto"/>
            <w:noWrap/>
            <w:vAlign w:val="bottom"/>
            <w:hideMark/>
          </w:tcPr>
          <w:p w14:paraId="4DDB06ED" w14:textId="77777777" w:rsidR="00635943" w:rsidRPr="00B457F5" w:rsidRDefault="00635943" w:rsidP="00635943">
            <w:pPr>
              <w:spacing w:before="0" w:after="0"/>
              <w:jc w:val="left"/>
              <w:rPr>
                <w:rFonts w:ascii="Garamond" w:eastAsia="Times New Roman" w:hAnsi="Garamond" w:cs="Times New Roman"/>
                <w:sz w:val="4"/>
                <w:szCs w:val="4"/>
              </w:rPr>
            </w:pPr>
          </w:p>
        </w:tc>
        <w:tc>
          <w:tcPr>
            <w:tcW w:w="196" w:type="pct"/>
            <w:tcBorders>
              <w:top w:val="nil"/>
              <w:left w:val="nil"/>
              <w:bottom w:val="nil"/>
              <w:right w:val="nil"/>
            </w:tcBorders>
            <w:shd w:val="clear" w:color="auto" w:fill="auto"/>
            <w:noWrap/>
            <w:vAlign w:val="bottom"/>
            <w:hideMark/>
          </w:tcPr>
          <w:p w14:paraId="66A59321" w14:textId="77777777" w:rsidR="00635943" w:rsidRPr="00B457F5" w:rsidRDefault="00635943" w:rsidP="00635943">
            <w:pPr>
              <w:spacing w:before="0" w:after="0"/>
              <w:jc w:val="left"/>
              <w:rPr>
                <w:rFonts w:ascii="Garamond" w:eastAsia="Times New Roman" w:hAnsi="Garamond" w:cs="Times New Roman"/>
                <w:sz w:val="4"/>
                <w:szCs w:val="4"/>
              </w:rPr>
            </w:pPr>
          </w:p>
        </w:tc>
        <w:tc>
          <w:tcPr>
            <w:tcW w:w="231" w:type="pct"/>
            <w:tcBorders>
              <w:top w:val="nil"/>
              <w:left w:val="nil"/>
              <w:bottom w:val="nil"/>
              <w:right w:val="nil"/>
            </w:tcBorders>
            <w:shd w:val="clear" w:color="auto" w:fill="auto"/>
            <w:noWrap/>
            <w:vAlign w:val="bottom"/>
            <w:hideMark/>
          </w:tcPr>
          <w:p w14:paraId="790A3B71" w14:textId="77777777" w:rsidR="00635943" w:rsidRPr="00B457F5" w:rsidRDefault="00635943" w:rsidP="00635943">
            <w:pPr>
              <w:spacing w:before="0" w:after="0"/>
              <w:jc w:val="left"/>
              <w:rPr>
                <w:rFonts w:ascii="Garamond" w:eastAsia="Times New Roman" w:hAnsi="Garamond" w:cs="Times New Roman"/>
                <w:sz w:val="4"/>
                <w:szCs w:val="4"/>
              </w:rPr>
            </w:pPr>
          </w:p>
        </w:tc>
        <w:tc>
          <w:tcPr>
            <w:tcW w:w="259" w:type="pct"/>
            <w:tcBorders>
              <w:top w:val="nil"/>
              <w:left w:val="nil"/>
              <w:bottom w:val="nil"/>
              <w:right w:val="nil"/>
            </w:tcBorders>
            <w:shd w:val="clear" w:color="auto" w:fill="auto"/>
            <w:noWrap/>
            <w:vAlign w:val="center"/>
            <w:hideMark/>
          </w:tcPr>
          <w:p w14:paraId="189751D1" w14:textId="77777777" w:rsidR="00635943" w:rsidRPr="00B457F5" w:rsidRDefault="00635943" w:rsidP="00635943">
            <w:pPr>
              <w:spacing w:before="0" w:after="0"/>
              <w:jc w:val="left"/>
              <w:rPr>
                <w:rFonts w:ascii="Garamond" w:eastAsia="Times New Roman" w:hAnsi="Garamond" w:cs="Times New Roman"/>
                <w:sz w:val="4"/>
                <w:szCs w:val="4"/>
              </w:rPr>
            </w:pPr>
          </w:p>
        </w:tc>
        <w:tc>
          <w:tcPr>
            <w:tcW w:w="278" w:type="pct"/>
            <w:tcBorders>
              <w:top w:val="nil"/>
              <w:left w:val="nil"/>
              <w:bottom w:val="nil"/>
              <w:right w:val="nil"/>
            </w:tcBorders>
            <w:shd w:val="clear" w:color="auto" w:fill="auto"/>
            <w:noWrap/>
            <w:vAlign w:val="center"/>
            <w:hideMark/>
          </w:tcPr>
          <w:p w14:paraId="002A8AD5" w14:textId="77777777" w:rsidR="00635943" w:rsidRPr="00B457F5" w:rsidRDefault="00635943" w:rsidP="00635943">
            <w:pPr>
              <w:spacing w:before="0" w:after="0"/>
              <w:jc w:val="center"/>
              <w:rPr>
                <w:rFonts w:ascii="Garamond" w:eastAsia="Times New Roman" w:hAnsi="Garamond" w:cs="Times New Roman"/>
                <w:sz w:val="4"/>
                <w:szCs w:val="4"/>
              </w:rPr>
            </w:pPr>
          </w:p>
        </w:tc>
        <w:tc>
          <w:tcPr>
            <w:tcW w:w="260" w:type="pct"/>
            <w:tcBorders>
              <w:top w:val="nil"/>
              <w:left w:val="nil"/>
              <w:bottom w:val="nil"/>
              <w:right w:val="nil"/>
            </w:tcBorders>
            <w:shd w:val="clear" w:color="auto" w:fill="auto"/>
            <w:noWrap/>
            <w:vAlign w:val="center"/>
            <w:hideMark/>
          </w:tcPr>
          <w:p w14:paraId="7B1CC0ED" w14:textId="77777777" w:rsidR="00635943" w:rsidRPr="00B457F5" w:rsidRDefault="00635943" w:rsidP="00635943">
            <w:pPr>
              <w:spacing w:before="0" w:after="0"/>
              <w:jc w:val="center"/>
              <w:rPr>
                <w:rFonts w:ascii="Garamond" w:eastAsia="Times New Roman" w:hAnsi="Garamond" w:cs="Calibri"/>
                <w:color w:val="000000"/>
                <w:sz w:val="4"/>
                <w:szCs w:val="4"/>
              </w:rPr>
            </w:pPr>
            <w:r w:rsidRPr="00B457F5">
              <w:rPr>
                <w:rFonts w:ascii="Garamond" w:eastAsia="Times New Roman" w:hAnsi="Garamond" w:cs="Calibri"/>
                <w:color w:val="000000"/>
                <w:sz w:val="4"/>
                <w:szCs w:val="4"/>
              </w:rPr>
              <w:t>-19.3%</w:t>
            </w:r>
          </w:p>
        </w:tc>
        <w:tc>
          <w:tcPr>
            <w:tcW w:w="313" w:type="pct"/>
            <w:tcBorders>
              <w:top w:val="nil"/>
              <w:left w:val="nil"/>
              <w:bottom w:val="nil"/>
              <w:right w:val="nil"/>
            </w:tcBorders>
            <w:shd w:val="clear" w:color="auto" w:fill="auto"/>
            <w:noWrap/>
            <w:vAlign w:val="center"/>
            <w:hideMark/>
          </w:tcPr>
          <w:p w14:paraId="1922431B" w14:textId="77777777" w:rsidR="00635943" w:rsidRPr="00B457F5" w:rsidRDefault="00635943" w:rsidP="00635943">
            <w:pPr>
              <w:spacing w:before="0" w:after="0"/>
              <w:jc w:val="center"/>
              <w:rPr>
                <w:rFonts w:ascii="Garamond" w:eastAsia="Times New Roman" w:hAnsi="Garamond" w:cs="Calibri"/>
                <w:color w:val="000000"/>
                <w:sz w:val="4"/>
                <w:szCs w:val="4"/>
              </w:rPr>
            </w:pPr>
          </w:p>
        </w:tc>
        <w:tc>
          <w:tcPr>
            <w:tcW w:w="256" w:type="pct"/>
            <w:tcBorders>
              <w:top w:val="nil"/>
              <w:left w:val="nil"/>
              <w:bottom w:val="nil"/>
              <w:right w:val="nil"/>
            </w:tcBorders>
            <w:shd w:val="clear" w:color="auto" w:fill="auto"/>
            <w:noWrap/>
            <w:vAlign w:val="center"/>
            <w:hideMark/>
          </w:tcPr>
          <w:p w14:paraId="5275202D"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72602F1E" w14:textId="77777777" w:rsidR="00635943" w:rsidRPr="00B457F5" w:rsidRDefault="00635943" w:rsidP="00635943">
            <w:pPr>
              <w:spacing w:before="0" w:after="0"/>
              <w:jc w:val="center"/>
              <w:rPr>
                <w:rFonts w:ascii="Garamond" w:eastAsia="Times New Roman" w:hAnsi="Garamond" w:cs="Times New Roman"/>
                <w:sz w:val="4"/>
                <w:szCs w:val="4"/>
              </w:rPr>
            </w:pPr>
          </w:p>
        </w:tc>
        <w:tc>
          <w:tcPr>
            <w:tcW w:w="253" w:type="pct"/>
            <w:tcBorders>
              <w:top w:val="nil"/>
              <w:left w:val="nil"/>
              <w:bottom w:val="nil"/>
              <w:right w:val="nil"/>
            </w:tcBorders>
            <w:shd w:val="clear" w:color="auto" w:fill="auto"/>
            <w:noWrap/>
            <w:vAlign w:val="center"/>
            <w:hideMark/>
          </w:tcPr>
          <w:p w14:paraId="6EFC8AC1" w14:textId="77777777" w:rsidR="00635943" w:rsidRPr="00B457F5" w:rsidRDefault="00635943" w:rsidP="00635943">
            <w:pPr>
              <w:spacing w:before="0" w:after="0"/>
              <w:jc w:val="center"/>
              <w:rPr>
                <w:rFonts w:ascii="Garamond" w:eastAsia="Times New Roman" w:hAnsi="Garamond" w:cs="Times New Roman"/>
                <w:sz w:val="4"/>
                <w:szCs w:val="4"/>
              </w:rPr>
            </w:pPr>
          </w:p>
        </w:tc>
        <w:tc>
          <w:tcPr>
            <w:tcW w:w="238" w:type="pct"/>
            <w:tcBorders>
              <w:top w:val="nil"/>
              <w:left w:val="nil"/>
              <w:bottom w:val="nil"/>
              <w:right w:val="nil"/>
            </w:tcBorders>
            <w:shd w:val="clear" w:color="auto" w:fill="auto"/>
            <w:noWrap/>
            <w:vAlign w:val="center"/>
            <w:hideMark/>
          </w:tcPr>
          <w:p w14:paraId="69640DDD"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3E74CBF3" w14:textId="77777777" w:rsidR="00635943" w:rsidRPr="00B457F5" w:rsidRDefault="00635943" w:rsidP="00635943">
            <w:pPr>
              <w:spacing w:before="0" w:after="0"/>
              <w:jc w:val="center"/>
              <w:rPr>
                <w:rFonts w:ascii="Garamond" w:eastAsia="Times New Roman" w:hAnsi="Garamond" w:cs="Times New Roman"/>
                <w:sz w:val="4"/>
                <w:szCs w:val="4"/>
              </w:rPr>
            </w:pPr>
          </w:p>
        </w:tc>
        <w:tc>
          <w:tcPr>
            <w:tcW w:w="205" w:type="pct"/>
            <w:tcBorders>
              <w:top w:val="nil"/>
              <w:left w:val="nil"/>
              <w:bottom w:val="nil"/>
              <w:right w:val="nil"/>
            </w:tcBorders>
            <w:shd w:val="clear" w:color="auto" w:fill="auto"/>
            <w:noWrap/>
            <w:vAlign w:val="center"/>
            <w:hideMark/>
          </w:tcPr>
          <w:p w14:paraId="21C0FC00" w14:textId="77777777" w:rsidR="00635943" w:rsidRPr="00B457F5" w:rsidRDefault="00635943" w:rsidP="00635943">
            <w:pPr>
              <w:spacing w:before="0" w:after="0"/>
              <w:jc w:val="center"/>
              <w:rPr>
                <w:rFonts w:ascii="Garamond" w:eastAsia="Times New Roman" w:hAnsi="Garamond" w:cs="Times New Roman"/>
                <w:sz w:val="4"/>
                <w:szCs w:val="4"/>
              </w:rPr>
            </w:pPr>
          </w:p>
        </w:tc>
        <w:tc>
          <w:tcPr>
            <w:tcW w:w="211" w:type="pct"/>
            <w:tcBorders>
              <w:top w:val="nil"/>
              <w:left w:val="nil"/>
              <w:bottom w:val="nil"/>
              <w:right w:val="nil"/>
            </w:tcBorders>
            <w:shd w:val="clear" w:color="auto" w:fill="auto"/>
            <w:noWrap/>
            <w:vAlign w:val="center"/>
            <w:hideMark/>
          </w:tcPr>
          <w:p w14:paraId="039053DC" w14:textId="77777777" w:rsidR="00635943" w:rsidRPr="00B457F5" w:rsidRDefault="00635943" w:rsidP="00635943">
            <w:pPr>
              <w:spacing w:before="0" w:after="0"/>
              <w:jc w:val="center"/>
              <w:rPr>
                <w:rFonts w:ascii="Garamond" w:eastAsia="Times New Roman" w:hAnsi="Garamond" w:cs="Times New Roman"/>
                <w:sz w:val="4"/>
                <w:szCs w:val="4"/>
              </w:rPr>
            </w:pPr>
          </w:p>
        </w:tc>
        <w:tc>
          <w:tcPr>
            <w:tcW w:w="177" w:type="pct"/>
            <w:tcBorders>
              <w:top w:val="nil"/>
              <w:left w:val="nil"/>
              <w:bottom w:val="nil"/>
              <w:right w:val="nil"/>
            </w:tcBorders>
            <w:shd w:val="clear" w:color="auto" w:fill="auto"/>
            <w:noWrap/>
            <w:vAlign w:val="center"/>
            <w:hideMark/>
          </w:tcPr>
          <w:p w14:paraId="52EDD9D1" w14:textId="77777777" w:rsidR="00635943" w:rsidRPr="00B457F5" w:rsidRDefault="00635943" w:rsidP="00635943">
            <w:pPr>
              <w:spacing w:before="0" w:after="0"/>
              <w:jc w:val="center"/>
              <w:rPr>
                <w:rFonts w:ascii="Garamond" w:eastAsia="Times New Roman" w:hAnsi="Garamond" w:cs="Times New Roman"/>
                <w:sz w:val="4"/>
                <w:szCs w:val="4"/>
              </w:rPr>
            </w:pPr>
          </w:p>
        </w:tc>
        <w:tc>
          <w:tcPr>
            <w:tcW w:w="284" w:type="pct"/>
            <w:tcBorders>
              <w:top w:val="nil"/>
              <w:left w:val="nil"/>
              <w:bottom w:val="nil"/>
              <w:right w:val="nil"/>
            </w:tcBorders>
            <w:shd w:val="clear" w:color="auto" w:fill="auto"/>
            <w:noWrap/>
            <w:vAlign w:val="center"/>
            <w:hideMark/>
          </w:tcPr>
          <w:p w14:paraId="09C9F7ED" w14:textId="4173DD1A" w:rsidR="00635943" w:rsidRPr="00B457F5" w:rsidRDefault="00635943" w:rsidP="00635943">
            <w:pPr>
              <w:spacing w:before="0" w:after="0"/>
              <w:jc w:val="center"/>
              <w:rPr>
                <w:rFonts w:ascii="Garamond" w:eastAsia="Times New Roman" w:hAnsi="Garamond" w:cs="Calibri"/>
                <w:color w:val="000000"/>
                <w:sz w:val="4"/>
                <w:szCs w:val="4"/>
              </w:rPr>
            </w:pPr>
            <w:r w:rsidRPr="00B457F5">
              <w:rPr>
                <w:rFonts w:ascii="Garamond" w:eastAsia="Times New Roman" w:hAnsi="Garamond" w:cs="Calibri"/>
                <w:color w:val="000000"/>
                <w:sz w:val="4"/>
                <w:szCs w:val="4"/>
              </w:rPr>
              <w:t>-</w:t>
            </w:r>
          </w:p>
        </w:tc>
        <w:tc>
          <w:tcPr>
            <w:tcW w:w="244" w:type="pct"/>
            <w:tcBorders>
              <w:top w:val="nil"/>
              <w:left w:val="nil"/>
              <w:bottom w:val="nil"/>
              <w:right w:val="nil"/>
            </w:tcBorders>
            <w:shd w:val="clear" w:color="auto" w:fill="auto"/>
            <w:noWrap/>
            <w:vAlign w:val="center"/>
            <w:hideMark/>
          </w:tcPr>
          <w:p w14:paraId="24390023" w14:textId="77777777" w:rsidR="00635943" w:rsidRPr="00B457F5" w:rsidRDefault="00635943" w:rsidP="00635943">
            <w:pPr>
              <w:spacing w:before="0" w:after="0"/>
              <w:jc w:val="center"/>
              <w:rPr>
                <w:rFonts w:ascii="Garamond" w:eastAsia="Times New Roman" w:hAnsi="Garamond" w:cs="Calibri"/>
                <w:color w:val="000000"/>
                <w:sz w:val="4"/>
                <w:szCs w:val="4"/>
              </w:rPr>
            </w:pPr>
          </w:p>
        </w:tc>
      </w:tr>
      <w:tr w:rsidR="0028334E" w:rsidRPr="00B457F5" w14:paraId="6A6FB456" w14:textId="77777777" w:rsidTr="00635943">
        <w:trPr>
          <w:trHeight w:val="20"/>
        </w:trPr>
        <w:tc>
          <w:tcPr>
            <w:tcW w:w="343" w:type="pct"/>
            <w:tcBorders>
              <w:top w:val="nil"/>
              <w:left w:val="nil"/>
              <w:bottom w:val="nil"/>
              <w:right w:val="nil"/>
            </w:tcBorders>
            <w:shd w:val="clear" w:color="auto" w:fill="auto"/>
            <w:noWrap/>
            <w:vAlign w:val="bottom"/>
            <w:hideMark/>
          </w:tcPr>
          <w:p w14:paraId="24176781" w14:textId="77777777" w:rsidR="00635943" w:rsidRPr="00B457F5" w:rsidRDefault="00635943" w:rsidP="00635943">
            <w:pPr>
              <w:spacing w:before="0" w:after="0"/>
              <w:jc w:val="center"/>
              <w:rPr>
                <w:rFonts w:ascii="Garamond" w:eastAsia="Times New Roman" w:hAnsi="Garamond" w:cs="Times New Roman"/>
                <w:sz w:val="4"/>
                <w:szCs w:val="4"/>
              </w:rPr>
            </w:pPr>
          </w:p>
        </w:tc>
        <w:tc>
          <w:tcPr>
            <w:tcW w:w="266" w:type="pct"/>
            <w:tcBorders>
              <w:top w:val="nil"/>
              <w:left w:val="nil"/>
              <w:bottom w:val="nil"/>
              <w:right w:val="nil"/>
            </w:tcBorders>
            <w:shd w:val="clear" w:color="auto" w:fill="auto"/>
            <w:noWrap/>
            <w:vAlign w:val="bottom"/>
            <w:hideMark/>
          </w:tcPr>
          <w:p w14:paraId="30EA852C" w14:textId="77777777" w:rsidR="00635943" w:rsidRPr="00B457F5" w:rsidRDefault="00635943" w:rsidP="00635943">
            <w:pPr>
              <w:spacing w:before="0" w:after="0"/>
              <w:jc w:val="left"/>
              <w:rPr>
                <w:rFonts w:ascii="Garamond" w:eastAsia="Times New Roman" w:hAnsi="Garamond" w:cs="Times New Roman"/>
                <w:sz w:val="4"/>
                <w:szCs w:val="4"/>
              </w:rPr>
            </w:pPr>
          </w:p>
        </w:tc>
        <w:tc>
          <w:tcPr>
            <w:tcW w:w="474" w:type="pct"/>
            <w:tcBorders>
              <w:top w:val="nil"/>
              <w:left w:val="nil"/>
              <w:bottom w:val="nil"/>
              <w:right w:val="nil"/>
            </w:tcBorders>
            <w:shd w:val="clear" w:color="auto" w:fill="auto"/>
            <w:noWrap/>
            <w:vAlign w:val="bottom"/>
            <w:hideMark/>
          </w:tcPr>
          <w:p w14:paraId="3003C380" w14:textId="77777777" w:rsidR="00635943" w:rsidRPr="00B457F5" w:rsidRDefault="00635943" w:rsidP="00635943">
            <w:pPr>
              <w:spacing w:before="0" w:after="0"/>
              <w:jc w:val="left"/>
              <w:rPr>
                <w:rFonts w:ascii="Garamond" w:eastAsia="Times New Roman" w:hAnsi="Garamond" w:cs="Times New Roman"/>
                <w:sz w:val="4"/>
                <w:szCs w:val="4"/>
              </w:rPr>
            </w:pPr>
          </w:p>
        </w:tc>
        <w:tc>
          <w:tcPr>
            <w:tcW w:w="196" w:type="pct"/>
            <w:tcBorders>
              <w:top w:val="nil"/>
              <w:left w:val="nil"/>
              <w:bottom w:val="nil"/>
              <w:right w:val="nil"/>
            </w:tcBorders>
            <w:shd w:val="clear" w:color="auto" w:fill="auto"/>
            <w:noWrap/>
            <w:vAlign w:val="bottom"/>
            <w:hideMark/>
          </w:tcPr>
          <w:p w14:paraId="1B6FC92A" w14:textId="77777777" w:rsidR="00635943" w:rsidRPr="00B457F5" w:rsidRDefault="00635943" w:rsidP="00635943">
            <w:pPr>
              <w:spacing w:before="0" w:after="0"/>
              <w:jc w:val="left"/>
              <w:rPr>
                <w:rFonts w:ascii="Garamond" w:eastAsia="Times New Roman" w:hAnsi="Garamond" w:cs="Times New Roman"/>
                <w:sz w:val="4"/>
                <w:szCs w:val="4"/>
              </w:rPr>
            </w:pPr>
          </w:p>
        </w:tc>
        <w:tc>
          <w:tcPr>
            <w:tcW w:w="231" w:type="pct"/>
            <w:tcBorders>
              <w:top w:val="nil"/>
              <w:left w:val="nil"/>
              <w:bottom w:val="nil"/>
              <w:right w:val="nil"/>
            </w:tcBorders>
            <w:shd w:val="clear" w:color="auto" w:fill="auto"/>
            <w:noWrap/>
            <w:vAlign w:val="bottom"/>
            <w:hideMark/>
          </w:tcPr>
          <w:p w14:paraId="2A85048F" w14:textId="77777777" w:rsidR="00635943" w:rsidRPr="00B457F5" w:rsidRDefault="00635943" w:rsidP="00635943">
            <w:pPr>
              <w:spacing w:before="0" w:after="0"/>
              <w:jc w:val="left"/>
              <w:rPr>
                <w:rFonts w:ascii="Garamond" w:eastAsia="Times New Roman" w:hAnsi="Garamond" w:cs="Times New Roman"/>
                <w:sz w:val="4"/>
                <w:szCs w:val="4"/>
              </w:rPr>
            </w:pPr>
          </w:p>
        </w:tc>
        <w:tc>
          <w:tcPr>
            <w:tcW w:w="259" w:type="pct"/>
            <w:tcBorders>
              <w:top w:val="nil"/>
              <w:left w:val="nil"/>
              <w:bottom w:val="nil"/>
              <w:right w:val="nil"/>
            </w:tcBorders>
            <w:shd w:val="clear" w:color="auto" w:fill="auto"/>
            <w:noWrap/>
            <w:vAlign w:val="center"/>
            <w:hideMark/>
          </w:tcPr>
          <w:p w14:paraId="4C0CB38C" w14:textId="77777777" w:rsidR="00635943" w:rsidRPr="00B457F5" w:rsidRDefault="00635943" w:rsidP="00635943">
            <w:pPr>
              <w:spacing w:before="0" w:after="0"/>
              <w:jc w:val="left"/>
              <w:rPr>
                <w:rFonts w:ascii="Garamond" w:eastAsia="Times New Roman" w:hAnsi="Garamond" w:cs="Times New Roman"/>
                <w:sz w:val="4"/>
                <w:szCs w:val="4"/>
              </w:rPr>
            </w:pPr>
          </w:p>
        </w:tc>
        <w:tc>
          <w:tcPr>
            <w:tcW w:w="278" w:type="pct"/>
            <w:tcBorders>
              <w:top w:val="nil"/>
              <w:left w:val="nil"/>
              <w:bottom w:val="nil"/>
              <w:right w:val="nil"/>
            </w:tcBorders>
            <w:shd w:val="clear" w:color="auto" w:fill="auto"/>
            <w:noWrap/>
            <w:vAlign w:val="center"/>
            <w:hideMark/>
          </w:tcPr>
          <w:p w14:paraId="1E50D448" w14:textId="77777777" w:rsidR="00635943" w:rsidRPr="00B457F5" w:rsidRDefault="00635943" w:rsidP="00635943">
            <w:pPr>
              <w:spacing w:before="0" w:after="0"/>
              <w:jc w:val="center"/>
              <w:rPr>
                <w:rFonts w:ascii="Garamond" w:eastAsia="Times New Roman" w:hAnsi="Garamond" w:cs="Times New Roman"/>
                <w:sz w:val="4"/>
                <w:szCs w:val="4"/>
              </w:rPr>
            </w:pPr>
          </w:p>
        </w:tc>
        <w:tc>
          <w:tcPr>
            <w:tcW w:w="260" w:type="pct"/>
            <w:tcBorders>
              <w:top w:val="nil"/>
              <w:left w:val="nil"/>
              <w:bottom w:val="nil"/>
              <w:right w:val="nil"/>
            </w:tcBorders>
            <w:shd w:val="clear" w:color="auto" w:fill="auto"/>
            <w:noWrap/>
            <w:vAlign w:val="center"/>
            <w:hideMark/>
          </w:tcPr>
          <w:p w14:paraId="1DECA081" w14:textId="77777777" w:rsidR="00635943" w:rsidRPr="00B457F5" w:rsidRDefault="00635943" w:rsidP="00635943">
            <w:pPr>
              <w:spacing w:before="0" w:after="0"/>
              <w:jc w:val="center"/>
              <w:rPr>
                <w:rFonts w:ascii="Garamond" w:eastAsia="Times New Roman" w:hAnsi="Garamond" w:cs="Times New Roman"/>
                <w:sz w:val="4"/>
                <w:szCs w:val="4"/>
              </w:rPr>
            </w:pPr>
          </w:p>
        </w:tc>
        <w:tc>
          <w:tcPr>
            <w:tcW w:w="313" w:type="pct"/>
            <w:tcBorders>
              <w:top w:val="nil"/>
              <w:left w:val="nil"/>
              <w:bottom w:val="nil"/>
              <w:right w:val="nil"/>
            </w:tcBorders>
            <w:shd w:val="clear" w:color="auto" w:fill="auto"/>
            <w:noWrap/>
            <w:vAlign w:val="center"/>
            <w:hideMark/>
          </w:tcPr>
          <w:p w14:paraId="19D6403E"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4B6B5A06"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7069674D" w14:textId="77777777" w:rsidR="00635943" w:rsidRPr="00B457F5" w:rsidRDefault="00635943" w:rsidP="00635943">
            <w:pPr>
              <w:spacing w:before="0" w:after="0"/>
              <w:jc w:val="center"/>
              <w:rPr>
                <w:rFonts w:ascii="Garamond" w:eastAsia="Times New Roman" w:hAnsi="Garamond" w:cs="Times New Roman"/>
                <w:sz w:val="4"/>
                <w:szCs w:val="4"/>
              </w:rPr>
            </w:pPr>
          </w:p>
        </w:tc>
        <w:tc>
          <w:tcPr>
            <w:tcW w:w="253" w:type="pct"/>
            <w:tcBorders>
              <w:top w:val="nil"/>
              <w:left w:val="nil"/>
              <w:bottom w:val="nil"/>
              <w:right w:val="nil"/>
            </w:tcBorders>
            <w:shd w:val="clear" w:color="auto" w:fill="auto"/>
            <w:noWrap/>
            <w:vAlign w:val="center"/>
            <w:hideMark/>
          </w:tcPr>
          <w:p w14:paraId="16ACEDFC" w14:textId="77777777" w:rsidR="00635943" w:rsidRPr="00B457F5" w:rsidRDefault="00635943" w:rsidP="00635943">
            <w:pPr>
              <w:spacing w:before="0" w:after="0"/>
              <w:jc w:val="center"/>
              <w:rPr>
                <w:rFonts w:ascii="Garamond" w:eastAsia="Times New Roman" w:hAnsi="Garamond" w:cs="Times New Roman"/>
                <w:sz w:val="4"/>
                <w:szCs w:val="4"/>
              </w:rPr>
            </w:pPr>
          </w:p>
        </w:tc>
        <w:tc>
          <w:tcPr>
            <w:tcW w:w="238" w:type="pct"/>
            <w:tcBorders>
              <w:top w:val="nil"/>
              <w:left w:val="nil"/>
              <w:bottom w:val="nil"/>
              <w:right w:val="nil"/>
            </w:tcBorders>
            <w:shd w:val="clear" w:color="auto" w:fill="auto"/>
            <w:noWrap/>
            <w:vAlign w:val="center"/>
            <w:hideMark/>
          </w:tcPr>
          <w:p w14:paraId="03329D84"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47D17093" w14:textId="77777777" w:rsidR="00635943" w:rsidRPr="00B457F5" w:rsidRDefault="00635943" w:rsidP="00635943">
            <w:pPr>
              <w:spacing w:before="0" w:after="0"/>
              <w:jc w:val="center"/>
              <w:rPr>
                <w:rFonts w:ascii="Garamond" w:eastAsia="Times New Roman" w:hAnsi="Garamond" w:cs="Times New Roman"/>
                <w:sz w:val="4"/>
                <w:szCs w:val="4"/>
              </w:rPr>
            </w:pPr>
          </w:p>
        </w:tc>
        <w:tc>
          <w:tcPr>
            <w:tcW w:w="205" w:type="pct"/>
            <w:tcBorders>
              <w:top w:val="nil"/>
              <w:left w:val="nil"/>
              <w:bottom w:val="nil"/>
              <w:right w:val="nil"/>
            </w:tcBorders>
            <w:shd w:val="clear" w:color="auto" w:fill="auto"/>
            <w:noWrap/>
            <w:vAlign w:val="center"/>
            <w:hideMark/>
          </w:tcPr>
          <w:p w14:paraId="48D883E8" w14:textId="77777777" w:rsidR="00635943" w:rsidRPr="00B457F5" w:rsidRDefault="00635943" w:rsidP="00635943">
            <w:pPr>
              <w:spacing w:before="0" w:after="0"/>
              <w:jc w:val="center"/>
              <w:rPr>
                <w:rFonts w:ascii="Garamond" w:eastAsia="Times New Roman" w:hAnsi="Garamond" w:cs="Times New Roman"/>
                <w:sz w:val="4"/>
                <w:szCs w:val="4"/>
              </w:rPr>
            </w:pPr>
          </w:p>
        </w:tc>
        <w:tc>
          <w:tcPr>
            <w:tcW w:w="211" w:type="pct"/>
            <w:tcBorders>
              <w:top w:val="nil"/>
              <w:left w:val="nil"/>
              <w:bottom w:val="nil"/>
              <w:right w:val="nil"/>
            </w:tcBorders>
            <w:shd w:val="clear" w:color="auto" w:fill="auto"/>
            <w:noWrap/>
            <w:vAlign w:val="center"/>
            <w:hideMark/>
          </w:tcPr>
          <w:p w14:paraId="35493738" w14:textId="77777777" w:rsidR="00635943" w:rsidRPr="00B457F5" w:rsidRDefault="00635943" w:rsidP="00635943">
            <w:pPr>
              <w:spacing w:before="0" w:after="0"/>
              <w:jc w:val="center"/>
              <w:rPr>
                <w:rFonts w:ascii="Garamond" w:eastAsia="Times New Roman" w:hAnsi="Garamond" w:cs="Times New Roman"/>
                <w:sz w:val="4"/>
                <w:szCs w:val="4"/>
              </w:rPr>
            </w:pPr>
          </w:p>
        </w:tc>
        <w:tc>
          <w:tcPr>
            <w:tcW w:w="177" w:type="pct"/>
            <w:tcBorders>
              <w:top w:val="nil"/>
              <w:left w:val="nil"/>
              <w:bottom w:val="nil"/>
              <w:right w:val="nil"/>
            </w:tcBorders>
            <w:shd w:val="clear" w:color="auto" w:fill="auto"/>
            <w:noWrap/>
            <w:vAlign w:val="center"/>
            <w:hideMark/>
          </w:tcPr>
          <w:p w14:paraId="54D83450" w14:textId="77777777" w:rsidR="00635943" w:rsidRPr="00B457F5" w:rsidRDefault="00635943" w:rsidP="00635943">
            <w:pPr>
              <w:spacing w:before="0" w:after="0"/>
              <w:jc w:val="center"/>
              <w:rPr>
                <w:rFonts w:ascii="Garamond" w:eastAsia="Times New Roman" w:hAnsi="Garamond" w:cs="Times New Roman"/>
                <w:sz w:val="4"/>
                <w:szCs w:val="4"/>
              </w:rPr>
            </w:pPr>
          </w:p>
        </w:tc>
        <w:tc>
          <w:tcPr>
            <w:tcW w:w="284" w:type="pct"/>
            <w:tcBorders>
              <w:top w:val="nil"/>
              <w:left w:val="nil"/>
              <w:bottom w:val="nil"/>
              <w:right w:val="nil"/>
            </w:tcBorders>
            <w:shd w:val="clear" w:color="auto" w:fill="auto"/>
            <w:noWrap/>
            <w:vAlign w:val="center"/>
            <w:hideMark/>
          </w:tcPr>
          <w:p w14:paraId="055BBA28" w14:textId="77777777" w:rsidR="00635943" w:rsidRPr="00B457F5" w:rsidRDefault="00635943" w:rsidP="00635943">
            <w:pPr>
              <w:spacing w:before="0" w:after="0"/>
              <w:jc w:val="center"/>
              <w:rPr>
                <w:rFonts w:ascii="Garamond" w:eastAsia="Times New Roman" w:hAnsi="Garamond" w:cs="Times New Roman"/>
                <w:sz w:val="4"/>
                <w:szCs w:val="4"/>
              </w:rPr>
            </w:pPr>
          </w:p>
        </w:tc>
        <w:tc>
          <w:tcPr>
            <w:tcW w:w="244" w:type="pct"/>
            <w:tcBorders>
              <w:top w:val="nil"/>
              <w:left w:val="nil"/>
              <w:bottom w:val="nil"/>
              <w:right w:val="nil"/>
            </w:tcBorders>
            <w:shd w:val="clear" w:color="auto" w:fill="auto"/>
            <w:noWrap/>
            <w:vAlign w:val="center"/>
            <w:hideMark/>
          </w:tcPr>
          <w:p w14:paraId="2B0142E2" w14:textId="77777777" w:rsidR="00635943" w:rsidRPr="00B457F5" w:rsidRDefault="00635943" w:rsidP="00635943">
            <w:pPr>
              <w:spacing w:before="0" w:after="0"/>
              <w:jc w:val="center"/>
              <w:rPr>
                <w:rFonts w:ascii="Garamond" w:eastAsia="Times New Roman" w:hAnsi="Garamond" w:cs="Times New Roman"/>
                <w:sz w:val="4"/>
                <w:szCs w:val="4"/>
              </w:rPr>
            </w:pPr>
          </w:p>
        </w:tc>
      </w:tr>
      <w:tr w:rsidR="0028334E" w:rsidRPr="00B457F5" w14:paraId="26652C4C" w14:textId="77777777" w:rsidTr="00635943">
        <w:trPr>
          <w:trHeight w:val="20"/>
        </w:trPr>
        <w:tc>
          <w:tcPr>
            <w:tcW w:w="343" w:type="pct"/>
            <w:tcBorders>
              <w:top w:val="nil"/>
              <w:left w:val="nil"/>
              <w:bottom w:val="nil"/>
              <w:right w:val="nil"/>
            </w:tcBorders>
            <w:shd w:val="clear" w:color="auto" w:fill="auto"/>
            <w:noWrap/>
            <w:vAlign w:val="bottom"/>
            <w:hideMark/>
          </w:tcPr>
          <w:p w14:paraId="5A663815" w14:textId="77777777" w:rsidR="00635943" w:rsidRPr="00B457F5" w:rsidRDefault="00635943" w:rsidP="00635943">
            <w:pPr>
              <w:spacing w:before="0" w:after="0"/>
              <w:jc w:val="center"/>
              <w:rPr>
                <w:rFonts w:ascii="Garamond" w:eastAsia="Times New Roman" w:hAnsi="Garamond" w:cs="Times New Roman"/>
                <w:sz w:val="4"/>
                <w:szCs w:val="4"/>
              </w:rPr>
            </w:pPr>
          </w:p>
        </w:tc>
        <w:tc>
          <w:tcPr>
            <w:tcW w:w="266" w:type="pct"/>
            <w:tcBorders>
              <w:top w:val="nil"/>
              <w:left w:val="nil"/>
              <w:bottom w:val="nil"/>
              <w:right w:val="nil"/>
            </w:tcBorders>
            <w:shd w:val="clear" w:color="auto" w:fill="auto"/>
            <w:noWrap/>
            <w:vAlign w:val="bottom"/>
            <w:hideMark/>
          </w:tcPr>
          <w:p w14:paraId="1E826C9A" w14:textId="77777777" w:rsidR="00635943" w:rsidRPr="00B457F5" w:rsidRDefault="00635943" w:rsidP="00635943">
            <w:pPr>
              <w:spacing w:before="0" w:after="0"/>
              <w:jc w:val="left"/>
              <w:rPr>
                <w:rFonts w:ascii="Garamond" w:eastAsia="Times New Roman" w:hAnsi="Garamond" w:cs="Times New Roman"/>
                <w:sz w:val="4"/>
                <w:szCs w:val="4"/>
              </w:rPr>
            </w:pPr>
          </w:p>
        </w:tc>
        <w:tc>
          <w:tcPr>
            <w:tcW w:w="474" w:type="pct"/>
            <w:tcBorders>
              <w:top w:val="nil"/>
              <w:left w:val="nil"/>
              <w:bottom w:val="nil"/>
              <w:right w:val="nil"/>
            </w:tcBorders>
            <w:shd w:val="clear" w:color="auto" w:fill="auto"/>
            <w:noWrap/>
            <w:vAlign w:val="bottom"/>
            <w:hideMark/>
          </w:tcPr>
          <w:p w14:paraId="0C8D03CD" w14:textId="77777777" w:rsidR="00635943" w:rsidRPr="00B457F5" w:rsidRDefault="00635943" w:rsidP="00635943">
            <w:pPr>
              <w:spacing w:before="0" w:after="0"/>
              <w:jc w:val="left"/>
              <w:rPr>
                <w:rFonts w:ascii="Garamond" w:eastAsia="Times New Roman" w:hAnsi="Garamond" w:cs="Times New Roman"/>
                <w:sz w:val="4"/>
                <w:szCs w:val="4"/>
              </w:rPr>
            </w:pPr>
          </w:p>
        </w:tc>
        <w:tc>
          <w:tcPr>
            <w:tcW w:w="196" w:type="pct"/>
            <w:tcBorders>
              <w:top w:val="nil"/>
              <w:left w:val="nil"/>
              <w:bottom w:val="nil"/>
              <w:right w:val="nil"/>
            </w:tcBorders>
            <w:shd w:val="clear" w:color="auto" w:fill="auto"/>
            <w:noWrap/>
            <w:vAlign w:val="bottom"/>
            <w:hideMark/>
          </w:tcPr>
          <w:p w14:paraId="18D77743" w14:textId="77777777" w:rsidR="00635943" w:rsidRPr="00B457F5" w:rsidRDefault="00635943" w:rsidP="00635943">
            <w:pPr>
              <w:spacing w:before="0" w:after="0"/>
              <w:jc w:val="left"/>
              <w:rPr>
                <w:rFonts w:ascii="Garamond" w:eastAsia="Times New Roman" w:hAnsi="Garamond" w:cs="Times New Roman"/>
                <w:sz w:val="4"/>
                <w:szCs w:val="4"/>
              </w:rPr>
            </w:pPr>
          </w:p>
        </w:tc>
        <w:tc>
          <w:tcPr>
            <w:tcW w:w="231" w:type="pct"/>
            <w:tcBorders>
              <w:top w:val="nil"/>
              <w:left w:val="nil"/>
              <w:bottom w:val="nil"/>
              <w:right w:val="nil"/>
            </w:tcBorders>
            <w:shd w:val="clear" w:color="auto" w:fill="auto"/>
            <w:noWrap/>
            <w:vAlign w:val="bottom"/>
            <w:hideMark/>
          </w:tcPr>
          <w:p w14:paraId="1D070A20" w14:textId="77777777" w:rsidR="00635943" w:rsidRPr="00B457F5" w:rsidRDefault="00635943" w:rsidP="00635943">
            <w:pPr>
              <w:spacing w:before="0" w:after="0"/>
              <w:jc w:val="left"/>
              <w:rPr>
                <w:rFonts w:ascii="Garamond" w:eastAsia="Times New Roman" w:hAnsi="Garamond" w:cs="Times New Roman"/>
                <w:sz w:val="4"/>
                <w:szCs w:val="4"/>
              </w:rPr>
            </w:pPr>
          </w:p>
        </w:tc>
        <w:tc>
          <w:tcPr>
            <w:tcW w:w="259" w:type="pct"/>
            <w:tcBorders>
              <w:top w:val="nil"/>
              <w:left w:val="nil"/>
              <w:bottom w:val="nil"/>
              <w:right w:val="nil"/>
            </w:tcBorders>
            <w:shd w:val="clear" w:color="auto" w:fill="auto"/>
            <w:noWrap/>
            <w:vAlign w:val="center"/>
            <w:hideMark/>
          </w:tcPr>
          <w:p w14:paraId="321C3DB9" w14:textId="77777777" w:rsidR="00635943" w:rsidRPr="00B457F5" w:rsidRDefault="00635943" w:rsidP="00635943">
            <w:pPr>
              <w:spacing w:before="0" w:after="0"/>
              <w:jc w:val="left"/>
              <w:rPr>
                <w:rFonts w:ascii="Garamond" w:eastAsia="Times New Roman" w:hAnsi="Garamond" w:cs="Times New Roman"/>
                <w:sz w:val="4"/>
                <w:szCs w:val="4"/>
              </w:rPr>
            </w:pPr>
          </w:p>
        </w:tc>
        <w:tc>
          <w:tcPr>
            <w:tcW w:w="278" w:type="pct"/>
            <w:tcBorders>
              <w:top w:val="nil"/>
              <w:left w:val="nil"/>
              <w:bottom w:val="nil"/>
              <w:right w:val="nil"/>
            </w:tcBorders>
            <w:shd w:val="clear" w:color="auto" w:fill="auto"/>
            <w:noWrap/>
            <w:vAlign w:val="center"/>
            <w:hideMark/>
          </w:tcPr>
          <w:p w14:paraId="0078C2B8" w14:textId="77777777" w:rsidR="00635943" w:rsidRPr="00B457F5" w:rsidRDefault="00635943" w:rsidP="00635943">
            <w:pPr>
              <w:spacing w:before="0" w:after="0"/>
              <w:jc w:val="center"/>
              <w:rPr>
                <w:rFonts w:ascii="Garamond" w:eastAsia="Times New Roman" w:hAnsi="Garamond" w:cs="Times New Roman"/>
                <w:sz w:val="4"/>
                <w:szCs w:val="4"/>
              </w:rPr>
            </w:pPr>
          </w:p>
        </w:tc>
        <w:tc>
          <w:tcPr>
            <w:tcW w:w="260" w:type="pct"/>
            <w:tcBorders>
              <w:top w:val="nil"/>
              <w:left w:val="nil"/>
              <w:bottom w:val="nil"/>
              <w:right w:val="nil"/>
            </w:tcBorders>
            <w:shd w:val="clear" w:color="auto" w:fill="auto"/>
            <w:noWrap/>
            <w:vAlign w:val="center"/>
            <w:hideMark/>
          </w:tcPr>
          <w:p w14:paraId="33D2BE86" w14:textId="77777777" w:rsidR="00635943" w:rsidRPr="00B457F5" w:rsidRDefault="00635943" w:rsidP="00635943">
            <w:pPr>
              <w:spacing w:before="0" w:after="0"/>
              <w:jc w:val="center"/>
              <w:rPr>
                <w:rFonts w:ascii="Garamond" w:eastAsia="Times New Roman" w:hAnsi="Garamond" w:cs="Times New Roman"/>
                <w:sz w:val="4"/>
                <w:szCs w:val="4"/>
              </w:rPr>
            </w:pPr>
          </w:p>
        </w:tc>
        <w:tc>
          <w:tcPr>
            <w:tcW w:w="313" w:type="pct"/>
            <w:tcBorders>
              <w:top w:val="nil"/>
              <w:left w:val="nil"/>
              <w:bottom w:val="nil"/>
              <w:right w:val="nil"/>
            </w:tcBorders>
            <w:shd w:val="clear" w:color="auto" w:fill="auto"/>
            <w:noWrap/>
            <w:vAlign w:val="center"/>
            <w:hideMark/>
          </w:tcPr>
          <w:p w14:paraId="36E3DE91"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5EDE3561"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0DB2C486" w14:textId="77777777" w:rsidR="00635943" w:rsidRPr="00B457F5" w:rsidRDefault="00635943" w:rsidP="00635943">
            <w:pPr>
              <w:spacing w:before="0" w:after="0"/>
              <w:jc w:val="center"/>
              <w:rPr>
                <w:rFonts w:ascii="Garamond" w:eastAsia="Times New Roman" w:hAnsi="Garamond" w:cs="Times New Roman"/>
                <w:sz w:val="4"/>
                <w:szCs w:val="4"/>
              </w:rPr>
            </w:pPr>
          </w:p>
        </w:tc>
        <w:tc>
          <w:tcPr>
            <w:tcW w:w="253" w:type="pct"/>
            <w:tcBorders>
              <w:top w:val="nil"/>
              <w:left w:val="nil"/>
              <w:bottom w:val="nil"/>
              <w:right w:val="nil"/>
            </w:tcBorders>
            <w:shd w:val="clear" w:color="auto" w:fill="auto"/>
            <w:noWrap/>
            <w:vAlign w:val="center"/>
            <w:hideMark/>
          </w:tcPr>
          <w:p w14:paraId="1E2A0CF1" w14:textId="77777777" w:rsidR="00635943" w:rsidRPr="00B457F5" w:rsidRDefault="00635943" w:rsidP="00635943">
            <w:pPr>
              <w:spacing w:before="0" w:after="0"/>
              <w:jc w:val="center"/>
              <w:rPr>
                <w:rFonts w:ascii="Garamond" w:eastAsia="Times New Roman" w:hAnsi="Garamond" w:cs="Times New Roman"/>
                <w:sz w:val="4"/>
                <w:szCs w:val="4"/>
              </w:rPr>
            </w:pPr>
          </w:p>
        </w:tc>
        <w:tc>
          <w:tcPr>
            <w:tcW w:w="238" w:type="pct"/>
            <w:tcBorders>
              <w:top w:val="nil"/>
              <w:left w:val="nil"/>
              <w:bottom w:val="nil"/>
              <w:right w:val="nil"/>
            </w:tcBorders>
            <w:shd w:val="clear" w:color="auto" w:fill="auto"/>
            <w:noWrap/>
            <w:vAlign w:val="center"/>
            <w:hideMark/>
          </w:tcPr>
          <w:p w14:paraId="4E3F3F3C"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6B69B7C9" w14:textId="77777777" w:rsidR="00635943" w:rsidRPr="00B457F5" w:rsidRDefault="00635943" w:rsidP="00635943">
            <w:pPr>
              <w:spacing w:before="0" w:after="0"/>
              <w:jc w:val="center"/>
              <w:rPr>
                <w:rFonts w:ascii="Garamond" w:eastAsia="Times New Roman" w:hAnsi="Garamond" w:cs="Times New Roman"/>
                <w:sz w:val="4"/>
                <w:szCs w:val="4"/>
              </w:rPr>
            </w:pPr>
          </w:p>
        </w:tc>
        <w:tc>
          <w:tcPr>
            <w:tcW w:w="205" w:type="pct"/>
            <w:tcBorders>
              <w:top w:val="nil"/>
              <w:left w:val="nil"/>
              <w:bottom w:val="nil"/>
              <w:right w:val="nil"/>
            </w:tcBorders>
            <w:shd w:val="clear" w:color="auto" w:fill="auto"/>
            <w:noWrap/>
            <w:vAlign w:val="center"/>
            <w:hideMark/>
          </w:tcPr>
          <w:p w14:paraId="51BC95CD" w14:textId="77777777" w:rsidR="00635943" w:rsidRPr="00B457F5" w:rsidRDefault="00635943" w:rsidP="00635943">
            <w:pPr>
              <w:spacing w:before="0" w:after="0"/>
              <w:jc w:val="center"/>
              <w:rPr>
                <w:rFonts w:ascii="Garamond" w:eastAsia="Times New Roman" w:hAnsi="Garamond" w:cs="Times New Roman"/>
                <w:sz w:val="4"/>
                <w:szCs w:val="4"/>
              </w:rPr>
            </w:pPr>
          </w:p>
        </w:tc>
        <w:tc>
          <w:tcPr>
            <w:tcW w:w="211" w:type="pct"/>
            <w:tcBorders>
              <w:top w:val="nil"/>
              <w:left w:val="nil"/>
              <w:bottom w:val="nil"/>
              <w:right w:val="nil"/>
            </w:tcBorders>
            <w:shd w:val="clear" w:color="auto" w:fill="auto"/>
            <w:noWrap/>
            <w:vAlign w:val="center"/>
            <w:hideMark/>
          </w:tcPr>
          <w:p w14:paraId="4ACBB602" w14:textId="77777777" w:rsidR="00635943" w:rsidRPr="00B457F5" w:rsidRDefault="00635943" w:rsidP="00635943">
            <w:pPr>
              <w:spacing w:before="0" w:after="0"/>
              <w:jc w:val="center"/>
              <w:rPr>
                <w:rFonts w:ascii="Garamond" w:eastAsia="Times New Roman" w:hAnsi="Garamond" w:cs="Times New Roman"/>
                <w:sz w:val="4"/>
                <w:szCs w:val="4"/>
              </w:rPr>
            </w:pPr>
          </w:p>
        </w:tc>
        <w:tc>
          <w:tcPr>
            <w:tcW w:w="177" w:type="pct"/>
            <w:tcBorders>
              <w:top w:val="nil"/>
              <w:left w:val="nil"/>
              <w:bottom w:val="nil"/>
              <w:right w:val="nil"/>
            </w:tcBorders>
            <w:shd w:val="clear" w:color="auto" w:fill="auto"/>
            <w:noWrap/>
            <w:vAlign w:val="center"/>
            <w:hideMark/>
          </w:tcPr>
          <w:p w14:paraId="04125115" w14:textId="77777777" w:rsidR="00635943" w:rsidRPr="00B457F5" w:rsidRDefault="00635943" w:rsidP="00635943">
            <w:pPr>
              <w:spacing w:before="0" w:after="0"/>
              <w:jc w:val="center"/>
              <w:rPr>
                <w:rFonts w:ascii="Garamond" w:eastAsia="Times New Roman" w:hAnsi="Garamond" w:cs="Times New Roman"/>
                <w:sz w:val="4"/>
                <w:szCs w:val="4"/>
              </w:rPr>
            </w:pPr>
          </w:p>
        </w:tc>
        <w:tc>
          <w:tcPr>
            <w:tcW w:w="284" w:type="pct"/>
            <w:tcBorders>
              <w:top w:val="nil"/>
              <w:left w:val="nil"/>
              <w:bottom w:val="nil"/>
              <w:right w:val="nil"/>
            </w:tcBorders>
            <w:shd w:val="clear" w:color="auto" w:fill="auto"/>
            <w:noWrap/>
            <w:vAlign w:val="center"/>
            <w:hideMark/>
          </w:tcPr>
          <w:p w14:paraId="4DBD4AC0" w14:textId="77777777" w:rsidR="00635943" w:rsidRPr="00B457F5" w:rsidRDefault="00635943" w:rsidP="00635943">
            <w:pPr>
              <w:spacing w:before="0" w:after="0"/>
              <w:jc w:val="center"/>
              <w:rPr>
                <w:rFonts w:ascii="Garamond" w:eastAsia="Times New Roman" w:hAnsi="Garamond" w:cs="Times New Roman"/>
                <w:sz w:val="4"/>
                <w:szCs w:val="4"/>
              </w:rPr>
            </w:pPr>
          </w:p>
        </w:tc>
        <w:tc>
          <w:tcPr>
            <w:tcW w:w="244" w:type="pct"/>
            <w:tcBorders>
              <w:top w:val="nil"/>
              <w:left w:val="nil"/>
              <w:bottom w:val="nil"/>
              <w:right w:val="nil"/>
            </w:tcBorders>
            <w:shd w:val="clear" w:color="auto" w:fill="auto"/>
            <w:noWrap/>
            <w:vAlign w:val="center"/>
            <w:hideMark/>
          </w:tcPr>
          <w:p w14:paraId="71E98376" w14:textId="77777777" w:rsidR="00635943" w:rsidRPr="00B457F5" w:rsidRDefault="00635943" w:rsidP="00635943">
            <w:pPr>
              <w:spacing w:before="0" w:after="0"/>
              <w:jc w:val="center"/>
              <w:rPr>
                <w:rFonts w:ascii="Garamond" w:eastAsia="Times New Roman" w:hAnsi="Garamond" w:cs="Times New Roman"/>
                <w:sz w:val="4"/>
                <w:szCs w:val="4"/>
              </w:rPr>
            </w:pPr>
          </w:p>
        </w:tc>
      </w:tr>
      <w:tr w:rsidR="0028334E" w:rsidRPr="00B457F5" w14:paraId="7E48FDF8" w14:textId="77777777" w:rsidTr="00635943">
        <w:trPr>
          <w:trHeight w:val="20"/>
        </w:trPr>
        <w:tc>
          <w:tcPr>
            <w:tcW w:w="343" w:type="pct"/>
            <w:tcBorders>
              <w:top w:val="nil"/>
              <w:left w:val="nil"/>
              <w:bottom w:val="nil"/>
              <w:right w:val="nil"/>
            </w:tcBorders>
            <w:shd w:val="clear" w:color="auto" w:fill="auto"/>
            <w:noWrap/>
            <w:vAlign w:val="bottom"/>
            <w:hideMark/>
          </w:tcPr>
          <w:p w14:paraId="12611EC7" w14:textId="77777777" w:rsidR="00635943" w:rsidRPr="00B457F5" w:rsidRDefault="00635943" w:rsidP="00635943">
            <w:pPr>
              <w:spacing w:before="0" w:after="0"/>
              <w:jc w:val="center"/>
              <w:rPr>
                <w:rFonts w:ascii="Garamond" w:eastAsia="Times New Roman" w:hAnsi="Garamond" w:cs="Times New Roman"/>
                <w:sz w:val="4"/>
                <w:szCs w:val="4"/>
              </w:rPr>
            </w:pPr>
          </w:p>
        </w:tc>
        <w:tc>
          <w:tcPr>
            <w:tcW w:w="266" w:type="pct"/>
            <w:tcBorders>
              <w:top w:val="nil"/>
              <w:left w:val="nil"/>
              <w:bottom w:val="nil"/>
              <w:right w:val="nil"/>
            </w:tcBorders>
            <w:shd w:val="clear" w:color="auto" w:fill="auto"/>
            <w:noWrap/>
            <w:vAlign w:val="bottom"/>
            <w:hideMark/>
          </w:tcPr>
          <w:p w14:paraId="32E6707E" w14:textId="77777777" w:rsidR="00635943" w:rsidRPr="00B457F5" w:rsidRDefault="00635943" w:rsidP="00635943">
            <w:pPr>
              <w:spacing w:before="0" w:after="0"/>
              <w:jc w:val="left"/>
              <w:rPr>
                <w:rFonts w:ascii="Garamond" w:eastAsia="Times New Roman" w:hAnsi="Garamond" w:cs="Times New Roman"/>
                <w:sz w:val="4"/>
                <w:szCs w:val="4"/>
              </w:rPr>
            </w:pPr>
          </w:p>
        </w:tc>
        <w:tc>
          <w:tcPr>
            <w:tcW w:w="474" w:type="pct"/>
            <w:tcBorders>
              <w:top w:val="nil"/>
              <w:left w:val="nil"/>
              <w:bottom w:val="nil"/>
              <w:right w:val="nil"/>
            </w:tcBorders>
            <w:shd w:val="clear" w:color="auto" w:fill="auto"/>
            <w:noWrap/>
            <w:vAlign w:val="bottom"/>
            <w:hideMark/>
          </w:tcPr>
          <w:p w14:paraId="4D764E17" w14:textId="77777777" w:rsidR="00635943" w:rsidRPr="00B457F5" w:rsidRDefault="00635943" w:rsidP="00635943">
            <w:pPr>
              <w:spacing w:before="0" w:after="0"/>
              <w:jc w:val="left"/>
              <w:rPr>
                <w:rFonts w:ascii="Garamond" w:eastAsia="Times New Roman" w:hAnsi="Garamond" w:cs="Times New Roman"/>
                <w:sz w:val="4"/>
                <w:szCs w:val="4"/>
              </w:rPr>
            </w:pPr>
          </w:p>
        </w:tc>
        <w:tc>
          <w:tcPr>
            <w:tcW w:w="196" w:type="pct"/>
            <w:tcBorders>
              <w:top w:val="nil"/>
              <w:left w:val="nil"/>
              <w:bottom w:val="nil"/>
              <w:right w:val="nil"/>
            </w:tcBorders>
            <w:shd w:val="clear" w:color="auto" w:fill="auto"/>
            <w:noWrap/>
            <w:vAlign w:val="bottom"/>
            <w:hideMark/>
          </w:tcPr>
          <w:p w14:paraId="4E9EAAA9" w14:textId="77777777" w:rsidR="00635943" w:rsidRPr="00B457F5" w:rsidRDefault="00635943" w:rsidP="00635943">
            <w:pPr>
              <w:spacing w:before="0" w:after="0"/>
              <w:jc w:val="left"/>
              <w:rPr>
                <w:rFonts w:ascii="Garamond" w:eastAsia="Times New Roman" w:hAnsi="Garamond" w:cs="Times New Roman"/>
                <w:sz w:val="4"/>
                <w:szCs w:val="4"/>
              </w:rPr>
            </w:pPr>
          </w:p>
        </w:tc>
        <w:tc>
          <w:tcPr>
            <w:tcW w:w="231" w:type="pct"/>
            <w:tcBorders>
              <w:top w:val="nil"/>
              <w:left w:val="nil"/>
              <w:bottom w:val="nil"/>
              <w:right w:val="nil"/>
            </w:tcBorders>
            <w:shd w:val="clear" w:color="auto" w:fill="auto"/>
            <w:noWrap/>
            <w:vAlign w:val="bottom"/>
            <w:hideMark/>
          </w:tcPr>
          <w:p w14:paraId="3805FB39" w14:textId="77777777" w:rsidR="00635943" w:rsidRPr="00B457F5" w:rsidRDefault="00635943" w:rsidP="00635943">
            <w:pPr>
              <w:spacing w:before="0" w:after="0"/>
              <w:jc w:val="left"/>
              <w:rPr>
                <w:rFonts w:ascii="Garamond" w:eastAsia="Times New Roman" w:hAnsi="Garamond" w:cs="Times New Roman"/>
                <w:sz w:val="4"/>
                <w:szCs w:val="4"/>
              </w:rPr>
            </w:pPr>
          </w:p>
        </w:tc>
        <w:tc>
          <w:tcPr>
            <w:tcW w:w="259" w:type="pct"/>
            <w:tcBorders>
              <w:top w:val="nil"/>
              <w:left w:val="nil"/>
              <w:bottom w:val="nil"/>
              <w:right w:val="nil"/>
            </w:tcBorders>
            <w:shd w:val="clear" w:color="auto" w:fill="auto"/>
            <w:noWrap/>
            <w:vAlign w:val="center"/>
            <w:hideMark/>
          </w:tcPr>
          <w:p w14:paraId="58838DC7" w14:textId="77777777" w:rsidR="00635943" w:rsidRPr="00B457F5" w:rsidRDefault="00635943" w:rsidP="00635943">
            <w:pPr>
              <w:spacing w:before="0" w:after="0"/>
              <w:jc w:val="left"/>
              <w:rPr>
                <w:rFonts w:ascii="Garamond" w:eastAsia="Times New Roman" w:hAnsi="Garamond" w:cs="Times New Roman"/>
                <w:sz w:val="4"/>
                <w:szCs w:val="4"/>
              </w:rPr>
            </w:pPr>
          </w:p>
        </w:tc>
        <w:tc>
          <w:tcPr>
            <w:tcW w:w="278" w:type="pct"/>
            <w:tcBorders>
              <w:top w:val="nil"/>
              <w:left w:val="nil"/>
              <w:bottom w:val="nil"/>
              <w:right w:val="nil"/>
            </w:tcBorders>
            <w:shd w:val="clear" w:color="auto" w:fill="auto"/>
            <w:noWrap/>
            <w:vAlign w:val="center"/>
            <w:hideMark/>
          </w:tcPr>
          <w:p w14:paraId="49E2DD7D" w14:textId="77777777" w:rsidR="00635943" w:rsidRPr="00B457F5" w:rsidRDefault="00635943" w:rsidP="00635943">
            <w:pPr>
              <w:spacing w:before="0" w:after="0"/>
              <w:jc w:val="center"/>
              <w:rPr>
                <w:rFonts w:ascii="Garamond" w:eastAsia="Times New Roman" w:hAnsi="Garamond" w:cs="Times New Roman"/>
                <w:sz w:val="4"/>
                <w:szCs w:val="4"/>
              </w:rPr>
            </w:pPr>
          </w:p>
        </w:tc>
        <w:tc>
          <w:tcPr>
            <w:tcW w:w="260" w:type="pct"/>
            <w:tcBorders>
              <w:top w:val="nil"/>
              <w:left w:val="nil"/>
              <w:bottom w:val="nil"/>
              <w:right w:val="nil"/>
            </w:tcBorders>
            <w:shd w:val="clear" w:color="auto" w:fill="auto"/>
            <w:noWrap/>
            <w:vAlign w:val="center"/>
            <w:hideMark/>
          </w:tcPr>
          <w:p w14:paraId="1F57E838" w14:textId="77777777" w:rsidR="00635943" w:rsidRPr="00B457F5" w:rsidRDefault="00635943" w:rsidP="00635943">
            <w:pPr>
              <w:spacing w:before="0" w:after="0"/>
              <w:jc w:val="center"/>
              <w:rPr>
                <w:rFonts w:ascii="Garamond" w:eastAsia="Times New Roman" w:hAnsi="Garamond" w:cs="Times New Roman"/>
                <w:sz w:val="4"/>
                <w:szCs w:val="4"/>
              </w:rPr>
            </w:pPr>
          </w:p>
        </w:tc>
        <w:tc>
          <w:tcPr>
            <w:tcW w:w="313" w:type="pct"/>
            <w:tcBorders>
              <w:top w:val="nil"/>
              <w:left w:val="nil"/>
              <w:bottom w:val="nil"/>
              <w:right w:val="nil"/>
            </w:tcBorders>
            <w:shd w:val="clear" w:color="auto" w:fill="auto"/>
            <w:noWrap/>
            <w:vAlign w:val="center"/>
            <w:hideMark/>
          </w:tcPr>
          <w:p w14:paraId="0A745DBA"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2D3C5095"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7DEC3DD1" w14:textId="77777777" w:rsidR="00635943" w:rsidRPr="00B457F5" w:rsidRDefault="00635943" w:rsidP="00635943">
            <w:pPr>
              <w:spacing w:before="0" w:after="0"/>
              <w:jc w:val="center"/>
              <w:rPr>
                <w:rFonts w:ascii="Garamond" w:eastAsia="Times New Roman" w:hAnsi="Garamond" w:cs="Times New Roman"/>
                <w:sz w:val="4"/>
                <w:szCs w:val="4"/>
              </w:rPr>
            </w:pPr>
          </w:p>
        </w:tc>
        <w:tc>
          <w:tcPr>
            <w:tcW w:w="253" w:type="pct"/>
            <w:tcBorders>
              <w:top w:val="nil"/>
              <w:left w:val="nil"/>
              <w:bottom w:val="nil"/>
              <w:right w:val="nil"/>
            </w:tcBorders>
            <w:shd w:val="clear" w:color="auto" w:fill="auto"/>
            <w:noWrap/>
            <w:vAlign w:val="center"/>
            <w:hideMark/>
          </w:tcPr>
          <w:p w14:paraId="6B0C6506" w14:textId="77777777" w:rsidR="00635943" w:rsidRPr="00B457F5" w:rsidRDefault="00635943" w:rsidP="00635943">
            <w:pPr>
              <w:spacing w:before="0" w:after="0"/>
              <w:jc w:val="center"/>
              <w:rPr>
                <w:rFonts w:ascii="Garamond" w:eastAsia="Times New Roman" w:hAnsi="Garamond" w:cs="Times New Roman"/>
                <w:sz w:val="4"/>
                <w:szCs w:val="4"/>
              </w:rPr>
            </w:pPr>
          </w:p>
        </w:tc>
        <w:tc>
          <w:tcPr>
            <w:tcW w:w="238" w:type="pct"/>
            <w:tcBorders>
              <w:top w:val="nil"/>
              <w:left w:val="nil"/>
              <w:bottom w:val="nil"/>
              <w:right w:val="nil"/>
            </w:tcBorders>
            <w:shd w:val="clear" w:color="auto" w:fill="auto"/>
            <w:noWrap/>
            <w:vAlign w:val="center"/>
            <w:hideMark/>
          </w:tcPr>
          <w:p w14:paraId="558C78CF"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0903911E" w14:textId="77777777" w:rsidR="00635943" w:rsidRPr="00B457F5" w:rsidRDefault="00635943" w:rsidP="00635943">
            <w:pPr>
              <w:spacing w:before="0" w:after="0"/>
              <w:jc w:val="center"/>
              <w:rPr>
                <w:rFonts w:ascii="Garamond" w:eastAsia="Times New Roman" w:hAnsi="Garamond" w:cs="Times New Roman"/>
                <w:sz w:val="4"/>
                <w:szCs w:val="4"/>
              </w:rPr>
            </w:pPr>
          </w:p>
        </w:tc>
        <w:tc>
          <w:tcPr>
            <w:tcW w:w="205" w:type="pct"/>
            <w:tcBorders>
              <w:top w:val="nil"/>
              <w:left w:val="nil"/>
              <w:bottom w:val="nil"/>
              <w:right w:val="nil"/>
            </w:tcBorders>
            <w:shd w:val="clear" w:color="auto" w:fill="auto"/>
            <w:noWrap/>
            <w:vAlign w:val="center"/>
            <w:hideMark/>
          </w:tcPr>
          <w:p w14:paraId="68E2DF4C" w14:textId="77777777" w:rsidR="00635943" w:rsidRPr="00B457F5" w:rsidRDefault="00635943" w:rsidP="00635943">
            <w:pPr>
              <w:spacing w:before="0" w:after="0"/>
              <w:jc w:val="center"/>
              <w:rPr>
                <w:rFonts w:ascii="Garamond" w:eastAsia="Times New Roman" w:hAnsi="Garamond" w:cs="Times New Roman"/>
                <w:sz w:val="4"/>
                <w:szCs w:val="4"/>
              </w:rPr>
            </w:pPr>
          </w:p>
        </w:tc>
        <w:tc>
          <w:tcPr>
            <w:tcW w:w="211" w:type="pct"/>
            <w:tcBorders>
              <w:top w:val="nil"/>
              <w:left w:val="nil"/>
              <w:bottom w:val="nil"/>
              <w:right w:val="nil"/>
            </w:tcBorders>
            <w:shd w:val="clear" w:color="auto" w:fill="auto"/>
            <w:noWrap/>
            <w:vAlign w:val="center"/>
            <w:hideMark/>
          </w:tcPr>
          <w:p w14:paraId="629D57AD" w14:textId="77777777" w:rsidR="00635943" w:rsidRPr="00B457F5" w:rsidRDefault="00635943" w:rsidP="00635943">
            <w:pPr>
              <w:spacing w:before="0" w:after="0"/>
              <w:jc w:val="center"/>
              <w:rPr>
                <w:rFonts w:ascii="Garamond" w:eastAsia="Times New Roman" w:hAnsi="Garamond" w:cs="Times New Roman"/>
                <w:sz w:val="4"/>
                <w:szCs w:val="4"/>
              </w:rPr>
            </w:pPr>
          </w:p>
        </w:tc>
        <w:tc>
          <w:tcPr>
            <w:tcW w:w="177" w:type="pct"/>
            <w:tcBorders>
              <w:top w:val="nil"/>
              <w:left w:val="nil"/>
              <w:bottom w:val="nil"/>
              <w:right w:val="nil"/>
            </w:tcBorders>
            <w:shd w:val="clear" w:color="auto" w:fill="auto"/>
            <w:noWrap/>
            <w:vAlign w:val="center"/>
            <w:hideMark/>
          </w:tcPr>
          <w:p w14:paraId="4939655C" w14:textId="77777777" w:rsidR="00635943" w:rsidRPr="00B457F5" w:rsidRDefault="00635943" w:rsidP="00635943">
            <w:pPr>
              <w:spacing w:before="0" w:after="0"/>
              <w:jc w:val="center"/>
              <w:rPr>
                <w:rFonts w:ascii="Garamond" w:eastAsia="Times New Roman" w:hAnsi="Garamond" w:cs="Times New Roman"/>
                <w:sz w:val="4"/>
                <w:szCs w:val="4"/>
              </w:rPr>
            </w:pPr>
          </w:p>
        </w:tc>
        <w:tc>
          <w:tcPr>
            <w:tcW w:w="284" w:type="pct"/>
            <w:tcBorders>
              <w:top w:val="nil"/>
              <w:left w:val="nil"/>
              <w:bottom w:val="nil"/>
              <w:right w:val="nil"/>
            </w:tcBorders>
            <w:shd w:val="clear" w:color="auto" w:fill="auto"/>
            <w:noWrap/>
            <w:vAlign w:val="center"/>
            <w:hideMark/>
          </w:tcPr>
          <w:p w14:paraId="39F24846" w14:textId="77777777" w:rsidR="00635943" w:rsidRPr="00B457F5" w:rsidRDefault="00635943" w:rsidP="00635943">
            <w:pPr>
              <w:spacing w:before="0" w:after="0"/>
              <w:jc w:val="center"/>
              <w:rPr>
                <w:rFonts w:ascii="Garamond" w:eastAsia="Times New Roman" w:hAnsi="Garamond" w:cs="Times New Roman"/>
                <w:sz w:val="4"/>
                <w:szCs w:val="4"/>
              </w:rPr>
            </w:pPr>
          </w:p>
        </w:tc>
        <w:tc>
          <w:tcPr>
            <w:tcW w:w="244" w:type="pct"/>
            <w:tcBorders>
              <w:top w:val="nil"/>
              <w:left w:val="nil"/>
              <w:bottom w:val="nil"/>
              <w:right w:val="nil"/>
            </w:tcBorders>
            <w:shd w:val="clear" w:color="auto" w:fill="auto"/>
            <w:noWrap/>
            <w:vAlign w:val="center"/>
            <w:hideMark/>
          </w:tcPr>
          <w:p w14:paraId="1ECB74B5" w14:textId="77777777" w:rsidR="00635943" w:rsidRPr="00B457F5" w:rsidRDefault="00635943" w:rsidP="00635943">
            <w:pPr>
              <w:spacing w:before="0" w:after="0"/>
              <w:jc w:val="center"/>
              <w:rPr>
                <w:rFonts w:ascii="Garamond" w:eastAsia="Times New Roman" w:hAnsi="Garamond" w:cs="Times New Roman"/>
                <w:sz w:val="4"/>
                <w:szCs w:val="4"/>
              </w:rPr>
            </w:pPr>
          </w:p>
        </w:tc>
      </w:tr>
      <w:tr w:rsidR="0028334E" w:rsidRPr="00B457F5" w14:paraId="041D99E0" w14:textId="77777777" w:rsidTr="00635943">
        <w:trPr>
          <w:trHeight w:val="20"/>
        </w:trPr>
        <w:tc>
          <w:tcPr>
            <w:tcW w:w="343" w:type="pct"/>
            <w:tcBorders>
              <w:top w:val="nil"/>
              <w:left w:val="nil"/>
              <w:bottom w:val="nil"/>
              <w:right w:val="nil"/>
            </w:tcBorders>
            <w:shd w:val="clear" w:color="auto" w:fill="auto"/>
            <w:noWrap/>
            <w:vAlign w:val="bottom"/>
            <w:hideMark/>
          </w:tcPr>
          <w:p w14:paraId="51441877" w14:textId="77777777" w:rsidR="00635943" w:rsidRPr="00B457F5" w:rsidRDefault="00635943" w:rsidP="00635943">
            <w:pPr>
              <w:spacing w:before="0" w:after="0"/>
              <w:jc w:val="center"/>
              <w:rPr>
                <w:rFonts w:ascii="Garamond" w:eastAsia="Times New Roman" w:hAnsi="Garamond" w:cs="Times New Roman"/>
                <w:sz w:val="4"/>
                <w:szCs w:val="4"/>
              </w:rPr>
            </w:pPr>
          </w:p>
        </w:tc>
        <w:tc>
          <w:tcPr>
            <w:tcW w:w="266" w:type="pct"/>
            <w:tcBorders>
              <w:top w:val="nil"/>
              <w:left w:val="nil"/>
              <w:bottom w:val="nil"/>
              <w:right w:val="nil"/>
            </w:tcBorders>
            <w:shd w:val="clear" w:color="auto" w:fill="auto"/>
            <w:noWrap/>
            <w:vAlign w:val="bottom"/>
            <w:hideMark/>
          </w:tcPr>
          <w:p w14:paraId="3C6B735C" w14:textId="77777777" w:rsidR="00635943" w:rsidRPr="00B457F5" w:rsidRDefault="00635943" w:rsidP="00635943">
            <w:pPr>
              <w:spacing w:before="0" w:after="0"/>
              <w:jc w:val="left"/>
              <w:rPr>
                <w:rFonts w:ascii="Garamond" w:eastAsia="Times New Roman" w:hAnsi="Garamond" w:cs="Times New Roman"/>
                <w:sz w:val="4"/>
                <w:szCs w:val="4"/>
              </w:rPr>
            </w:pPr>
          </w:p>
        </w:tc>
        <w:tc>
          <w:tcPr>
            <w:tcW w:w="474" w:type="pct"/>
            <w:tcBorders>
              <w:top w:val="nil"/>
              <w:left w:val="nil"/>
              <w:bottom w:val="nil"/>
              <w:right w:val="nil"/>
            </w:tcBorders>
            <w:shd w:val="clear" w:color="auto" w:fill="auto"/>
            <w:noWrap/>
            <w:vAlign w:val="bottom"/>
            <w:hideMark/>
          </w:tcPr>
          <w:p w14:paraId="01355A01" w14:textId="77777777" w:rsidR="00635943" w:rsidRPr="00B457F5" w:rsidRDefault="00635943" w:rsidP="00635943">
            <w:pPr>
              <w:spacing w:before="0" w:after="0"/>
              <w:jc w:val="left"/>
              <w:rPr>
                <w:rFonts w:ascii="Garamond" w:eastAsia="Times New Roman" w:hAnsi="Garamond" w:cs="Times New Roman"/>
                <w:sz w:val="4"/>
                <w:szCs w:val="4"/>
              </w:rPr>
            </w:pPr>
          </w:p>
        </w:tc>
        <w:tc>
          <w:tcPr>
            <w:tcW w:w="196" w:type="pct"/>
            <w:tcBorders>
              <w:top w:val="nil"/>
              <w:left w:val="nil"/>
              <w:bottom w:val="nil"/>
              <w:right w:val="nil"/>
            </w:tcBorders>
            <w:shd w:val="clear" w:color="auto" w:fill="auto"/>
            <w:noWrap/>
            <w:vAlign w:val="bottom"/>
            <w:hideMark/>
          </w:tcPr>
          <w:p w14:paraId="76CA9A13" w14:textId="77777777" w:rsidR="00635943" w:rsidRPr="00B457F5" w:rsidRDefault="00635943" w:rsidP="00635943">
            <w:pPr>
              <w:spacing w:before="0" w:after="0"/>
              <w:jc w:val="left"/>
              <w:rPr>
                <w:rFonts w:ascii="Garamond" w:eastAsia="Times New Roman" w:hAnsi="Garamond" w:cs="Times New Roman"/>
                <w:sz w:val="4"/>
                <w:szCs w:val="4"/>
              </w:rPr>
            </w:pPr>
          </w:p>
        </w:tc>
        <w:tc>
          <w:tcPr>
            <w:tcW w:w="231" w:type="pct"/>
            <w:tcBorders>
              <w:top w:val="nil"/>
              <w:left w:val="nil"/>
              <w:bottom w:val="nil"/>
              <w:right w:val="nil"/>
            </w:tcBorders>
            <w:shd w:val="clear" w:color="auto" w:fill="auto"/>
            <w:noWrap/>
            <w:vAlign w:val="bottom"/>
            <w:hideMark/>
          </w:tcPr>
          <w:p w14:paraId="5585B035" w14:textId="77777777" w:rsidR="00635943" w:rsidRPr="00B457F5" w:rsidRDefault="00635943" w:rsidP="00635943">
            <w:pPr>
              <w:spacing w:before="0" w:after="0"/>
              <w:jc w:val="left"/>
              <w:rPr>
                <w:rFonts w:ascii="Garamond" w:eastAsia="Times New Roman" w:hAnsi="Garamond" w:cs="Times New Roman"/>
                <w:sz w:val="4"/>
                <w:szCs w:val="4"/>
              </w:rPr>
            </w:pPr>
          </w:p>
        </w:tc>
        <w:tc>
          <w:tcPr>
            <w:tcW w:w="259" w:type="pct"/>
            <w:tcBorders>
              <w:top w:val="nil"/>
              <w:left w:val="nil"/>
              <w:bottom w:val="nil"/>
              <w:right w:val="nil"/>
            </w:tcBorders>
            <w:shd w:val="clear" w:color="auto" w:fill="auto"/>
            <w:noWrap/>
            <w:vAlign w:val="center"/>
            <w:hideMark/>
          </w:tcPr>
          <w:p w14:paraId="04C5B674" w14:textId="77777777" w:rsidR="00635943" w:rsidRPr="00B457F5" w:rsidRDefault="00635943" w:rsidP="00635943">
            <w:pPr>
              <w:spacing w:before="0" w:after="0"/>
              <w:jc w:val="left"/>
              <w:rPr>
                <w:rFonts w:ascii="Garamond" w:eastAsia="Times New Roman" w:hAnsi="Garamond" w:cs="Times New Roman"/>
                <w:sz w:val="4"/>
                <w:szCs w:val="4"/>
              </w:rPr>
            </w:pPr>
          </w:p>
        </w:tc>
        <w:tc>
          <w:tcPr>
            <w:tcW w:w="278" w:type="pct"/>
            <w:tcBorders>
              <w:top w:val="nil"/>
              <w:left w:val="nil"/>
              <w:bottom w:val="nil"/>
              <w:right w:val="nil"/>
            </w:tcBorders>
            <w:shd w:val="clear" w:color="auto" w:fill="auto"/>
            <w:noWrap/>
            <w:vAlign w:val="center"/>
            <w:hideMark/>
          </w:tcPr>
          <w:p w14:paraId="2FF52169" w14:textId="77777777" w:rsidR="00635943" w:rsidRPr="00B457F5" w:rsidRDefault="00635943" w:rsidP="00635943">
            <w:pPr>
              <w:spacing w:before="0" w:after="0"/>
              <w:jc w:val="center"/>
              <w:rPr>
                <w:rFonts w:ascii="Garamond" w:eastAsia="Times New Roman" w:hAnsi="Garamond" w:cs="Times New Roman"/>
                <w:sz w:val="4"/>
                <w:szCs w:val="4"/>
              </w:rPr>
            </w:pPr>
          </w:p>
        </w:tc>
        <w:tc>
          <w:tcPr>
            <w:tcW w:w="260" w:type="pct"/>
            <w:tcBorders>
              <w:top w:val="nil"/>
              <w:left w:val="nil"/>
              <w:bottom w:val="nil"/>
              <w:right w:val="nil"/>
            </w:tcBorders>
            <w:shd w:val="clear" w:color="auto" w:fill="auto"/>
            <w:noWrap/>
            <w:vAlign w:val="center"/>
            <w:hideMark/>
          </w:tcPr>
          <w:p w14:paraId="6A0F857F" w14:textId="77777777" w:rsidR="00635943" w:rsidRPr="00B457F5" w:rsidRDefault="00635943" w:rsidP="00635943">
            <w:pPr>
              <w:spacing w:before="0" w:after="0"/>
              <w:jc w:val="center"/>
              <w:rPr>
                <w:rFonts w:ascii="Garamond" w:eastAsia="Times New Roman" w:hAnsi="Garamond" w:cs="Times New Roman"/>
                <w:sz w:val="4"/>
                <w:szCs w:val="4"/>
              </w:rPr>
            </w:pPr>
          </w:p>
        </w:tc>
        <w:tc>
          <w:tcPr>
            <w:tcW w:w="313" w:type="pct"/>
            <w:tcBorders>
              <w:top w:val="nil"/>
              <w:left w:val="nil"/>
              <w:bottom w:val="nil"/>
              <w:right w:val="nil"/>
            </w:tcBorders>
            <w:shd w:val="clear" w:color="auto" w:fill="auto"/>
            <w:noWrap/>
            <w:vAlign w:val="center"/>
            <w:hideMark/>
          </w:tcPr>
          <w:p w14:paraId="7081367F"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28148C6A"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375B961A" w14:textId="77777777" w:rsidR="00635943" w:rsidRPr="00B457F5" w:rsidRDefault="00635943" w:rsidP="00635943">
            <w:pPr>
              <w:spacing w:before="0" w:after="0"/>
              <w:jc w:val="center"/>
              <w:rPr>
                <w:rFonts w:ascii="Garamond" w:eastAsia="Times New Roman" w:hAnsi="Garamond" w:cs="Times New Roman"/>
                <w:sz w:val="4"/>
                <w:szCs w:val="4"/>
              </w:rPr>
            </w:pPr>
          </w:p>
        </w:tc>
        <w:tc>
          <w:tcPr>
            <w:tcW w:w="253" w:type="pct"/>
            <w:tcBorders>
              <w:top w:val="nil"/>
              <w:left w:val="nil"/>
              <w:bottom w:val="nil"/>
              <w:right w:val="nil"/>
            </w:tcBorders>
            <w:shd w:val="clear" w:color="auto" w:fill="auto"/>
            <w:noWrap/>
            <w:vAlign w:val="center"/>
            <w:hideMark/>
          </w:tcPr>
          <w:p w14:paraId="4F9A23E2" w14:textId="77777777" w:rsidR="00635943" w:rsidRPr="00B457F5" w:rsidRDefault="00635943" w:rsidP="00635943">
            <w:pPr>
              <w:spacing w:before="0" w:after="0"/>
              <w:jc w:val="center"/>
              <w:rPr>
                <w:rFonts w:ascii="Garamond" w:eastAsia="Times New Roman" w:hAnsi="Garamond" w:cs="Times New Roman"/>
                <w:sz w:val="4"/>
                <w:szCs w:val="4"/>
              </w:rPr>
            </w:pPr>
          </w:p>
        </w:tc>
        <w:tc>
          <w:tcPr>
            <w:tcW w:w="238" w:type="pct"/>
            <w:tcBorders>
              <w:top w:val="nil"/>
              <w:left w:val="nil"/>
              <w:bottom w:val="nil"/>
              <w:right w:val="nil"/>
            </w:tcBorders>
            <w:shd w:val="clear" w:color="auto" w:fill="auto"/>
            <w:noWrap/>
            <w:vAlign w:val="center"/>
            <w:hideMark/>
          </w:tcPr>
          <w:p w14:paraId="675F7708"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54665741" w14:textId="77777777" w:rsidR="00635943" w:rsidRPr="00B457F5" w:rsidRDefault="00635943" w:rsidP="00635943">
            <w:pPr>
              <w:spacing w:before="0" w:after="0"/>
              <w:jc w:val="center"/>
              <w:rPr>
                <w:rFonts w:ascii="Garamond" w:eastAsia="Times New Roman" w:hAnsi="Garamond" w:cs="Times New Roman"/>
                <w:sz w:val="4"/>
                <w:szCs w:val="4"/>
              </w:rPr>
            </w:pPr>
          </w:p>
        </w:tc>
        <w:tc>
          <w:tcPr>
            <w:tcW w:w="205" w:type="pct"/>
            <w:tcBorders>
              <w:top w:val="nil"/>
              <w:left w:val="nil"/>
              <w:bottom w:val="nil"/>
              <w:right w:val="nil"/>
            </w:tcBorders>
            <w:shd w:val="clear" w:color="auto" w:fill="auto"/>
            <w:noWrap/>
            <w:vAlign w:val="center"/>
            <w:hideMark/>
          </w:tcPr>
          <w:p w14:paraId="752E4149" w14:textId="77777777" w:rsidR="00635943" w:rsidRPr="00B457F5" w:rsidRDefault="00635943" w:rsidP="00635943">
            <w:pPr>
              <w:spacing w:before="0" w:after="0"/>
              <w:jc w:val="center"/>
              <w:rPr>
                <w:rFonts w:ascii="Garamond" w:eastAsia="Times New Roman" w:hAnsi="Garamond" w:cs="Times New Roman"/>
                <w:sz w:val="4"/>
                <w:szCs w:val="4"/>
              </w:rPr>
            </w:pPr>
          </w:p>
        </w:tc>
        <w:tc>
          <w:tcPr>
            <w:tcW w:w="211" w:type="pct"/>
            <w:tcBorders>
              <w:top w:val="nil"/>
              <w:left w:val="nil"/>
              <w:bottom w:val="nil"/>
              <w:right w:val="nil"/>
            </w:tcBorders>
            <w:shd w:val="clear" w:color="auto" w:fill="auto"/>
            <w:noWrap/>
            <w:vAlign w:val="center"/>
            <w:hideMark/>
          </w:tcPr>
          <w:p w14:paraId="0A8B8436" w14:textId="77777777" w:rsidR="00635943" w:rsidRPr="00B457F5" w:rsidRDefault="00635943" w:rsidP="00635943">
            <w:pPr>
              <w:spacing w:before="0" w:after="0"/>
              <w:jc w:val="center"/>
              <w:rPr>
                <w:rFonts w:ascii="Garamond" w:eastAsia="Times New Roman" w:hAnsi="Garamond" w:cs="Times New Roman"/>
                <w:sz w:val="4"/>
                <w:szCs w:val="4"/>
              </w:rPr>
            </w:pPr>
          </w:p>
        </w:tc>
        <w:tc>
          <w:tcPr>
            <w:tcW w:w="177" w:type="pct"/>
            <w:tcBorders>
              <w:top w:val="nil"/>
              <w:left w:val="nil"/>
              <w:bottom w:val="nil"/>
              <w:right w:val="nil"/>
            </w:tcBorders>
            <w:shd w:val="clear" w:color="auto" w:fill="auto"/>
            <w:noWrap/>
            <w:vAlign w:val="center"/>
            <w:hideMark/>
          </w:tcPr>
          <w:p w14:paraId="255BB44E" w14:textId="77777777" w:rsidR="00635943" w:rsidRPr="00B457F5" w:rsidRDefault="00635943" w:rsidP="00635943">
            <w:pPr>
              <w:spacing w:before="0" w:after="0"/>
              <w:jc w:val="center"/>
              <w:rPr>
                <w:rFonts w:ascii="Garamond" w:eastAsia="Times New Roman" w:hAnsi="Garamond" w:cs="Times New Roman"/>
                <w:sz w:val="4"/>
                <w:szCs w:val="4"/>
              </w:rPr>
            </w:pPr>
          </w:p>
        </w:tc>
        <w:tc>
          <w:tcPr>
            <w:tcW w:w="284" w:type="pct"/>
            <w:tcBorders>
              <w:top w:val="nil"/>
              <w:left w:val="nil"/>
              <w:bottom w:val="nil"/>
              <w:right w:val="nil"/>
            </w:tcBorders>
            <w:shd w:val="clear" w:color="auto" w:fill="auto"/>
            <w:noWrap/>
            <w:vAlign w:val="center"/>
            <w:hideMark/>
          </w:tcPr>
          <w:p w14:paraId="4A20E003" w14:textId="77777777" w:rsidR="00635943" w:rsidRPr="00B457F5" w:rsidRDefault="00635943" w:rsidP="00635943">
            <w:pPr>
              <w:spacing w:before="0" w:after="0"/>
              <w:jc w:val="center"/>
              <w:rPr>
                <w:rFonts w:ascii="Garamond" w:eastAsia="Times New Roman" w:hAnsi="Garamond" w:cs="Times New Roman"/>
                <w:sz w:val="4"/>
                <w:szCs w:val="4"/>
              </w:rPr>
            </w:pPr>
          </w:p>
        </w:tc>
        <w:tc>
          <w:tcPr>
            <w:tcW w:w="244" w:type="pct"/>
            <w:tcBorders>
              <w:top w:val="nil"/>
              <w:left w:val="nil"/>
              <w:bottom w:val="nil"/>
              <w:right w:val="nil"/>
            </w:tcBorders>
            <w:shd w:val="clear" w:color="auto" w:fill="auto"/>
            <w:noWrap/>
            <w:vAlign w:val="center"/>
            <w:hideMark/>
          </w:tcPr>
          <w:p w14:paraId="6A3EBE76" w14:textId="77777777" w:rsidR="00635943" w:rsidRPr="00B457F5" w:rsidRDefault="00635943" w:rsidP="00635943">
            <w:pPr>
              <w:spacing w:before="0" w:after="0"/>
              <w:jc w:val="center"/>
              <w:rPr>
                <w:rFonts w:ascii="Garamond" w:eastAsia="Times New Roman" w:hAnsi="Garamond" w:cs="Times New Roman"/>
                <w:sz w:val="4"/>
                <w:szCs w:val="4"/>
              </w:rPr>
            </w:pPr>
          </w:p>
        </w:tc>
      </w:tr>
      <w:tr w:rsidR="0028334E" w:rsidRPr="00B457F5" w14:paraId="6DCF70E9" w14:textId="77777777" w:rsidTr="00635943">
        <w:trPr>
          <w:trHeight w:val="20"/>
        </w:trPr>
        <w:tc>
          <w:tcPr>
            <w:tcW w:w="343" w:type="pct"/>
            <w:tcBorders>
              <w:top w:val="nil"/>
              <w:left w:val="nil"/>
              <w:bottom w:val="nil"/>
              <w:right w:val="nil"/>
            </w:tcBorders>
            <w:shd w:val="clear" w:color="auto" w:fill="auto"/>
            <w:noWrap/>
            <w:vAlign w:val="bottom"/>
            <w:hideMark/>
          </w:tcPr>
          <w:p w14:paraId="7EA4D427" w14:textId="77777777" w:rsidR="00635943" w:rsidRPr="00B457F5" w:rsidRDefault="00635943" w:rsidP="00635943">
            <w:pPr>
              <w:spacing w:before="0" w:after="0"/>
              <w:jc w:val="center"/>
              <w:rPr>
                <w:rFonts w:ascii="Garamond" w:eastAsia="Times New Roman" w:hAnsi="Garamond" w:cs="Times New Roman"/>
                <w:sz w:val="4"/>
                <w:szCs w:val="4"/>
              </w:rPr>
            </w:pPr>
          </w:p>
        </w:tc>
        <w:tc>
          <w:tcPr>
            <w:tcW w:w="266" w:type="pct"/>
            <w:tcBorders>
              <w:top w:val="nil"/>
              <w:left w:val="nil"/>
              <w:bottom w:val="nil"/>
              <w:right w:val="nil"/>
            </w:tcBorders>
            <w:shd w:val="clear" w:color="auto" w:fill="auto"/>
            <w:noWrap/>
            <w:vAlign w:val="bottom"/>
            <w:hideMark/>
          </w:tcPr>
          <w:p w14:paraId="146BDBB3" w14:textId="77777777" w:rsidR="00635943" w:rsidRPr="00B457F5" w:rsidRDefault="00635943" w:rsidP="00635943">
            <w:pPr>
              <w:spacing w:before="0" w:after="0"/>
              <w:jc w:val="left"/>
              <w:rPr>
                <w:rFonts w:ascii="Garamond" w:eastAsia="Times New Roman" w:hAnsi="Garamond" w:cs="Times New Roman"/>
                <w:sz w:val="4"/>
                <w:szCs w:val="4"/>
              </w:rPr>
            </w:pPr>
          </w:p>
        </w:tc>
        <w:tc>
          <w:tcPr>
            <w:tcW w:w="474" w:type="pct"/>
            <w:tcBorders>
              <w:top w:val="nil"/>
              <w:left w:val="nil"/>
              <w:bottom w:val="nil"/>
              <w:right w:val="nil"/>
            </w:tcBorders>
            <w:shd w:val="clear" w:color="auto" w:fill="auto"/>
            <w:noWrap/>
            <w:vAlign w:val="bottom"/>
            <w:hideMark/>
          </w:tcPr>
          <w:p w14:paraId="08D81B80" w14:textId="77777777" w:rsidR="00635943" w:rsidRPr="00B457F5" w:rsidRDefault="00635943" w:rsidP="00635943">
            <w:pPr>
              <w:spacing w:before="0" w:after="0"/>
              <w:jc w:val="left"/>
              <w:rPr>
                <w:rFonts w:ascii="Garamond" w:eastAsia="Times New Roman" w:hAnsi="Garamond" w:cs="Times New Roman"/>
                <w:sz w:val="4"/>
                <w:szCs w:val="4"/>
              </w:rPr>
            </w:pPr>
          </w:p>
        </w:tc>
        <w:tc>
          <w:tcPr>
            <w:tcW w:w="196" w:type="pct"/>
            <w:tcBorders>
              <w:top w:val="nil"/>
              <w:left w:val="nil"/>
              <w:bottom w:val="nil"/>
              <w:right w:val="nil"/>
            </w:tcBorders>
            <w:shd w:val="clear" w:color="auto" w:fill="auto"/>
            <w:noWrap/>
            <w:vAlign w:val="bottom"/>
            <w:hideMark/>
          </w:tcPr>
          <w:p w14:paraId="65A3BD30" w14:textId="77777777" w:rsidR="00635943" w:rsidRPr="00B457F5" w:rsidRDefault="00635943" w:rsidP="00635943">
            <w:pPr>
              <w:spacing w:before="0" w:after="0"/>
              <w:jc w:val="left"/>
              <w:rPr>
                <w:rFonts w:ascii="Garamond" w:eastAsia="Times New Roman" w:hAnsi="Garamond" w:cs="Times New Roman"/>
                <w:sz w:val="4"/>
                <w:szCs w:val="4"/>
              </w:rPr>
            </w:pPr>
          </w:p>
        </w:tc>
        <w:tc>
          <w:tcPr>
            <w:tcW w:w="231" w:type="pct"/>
            <w:tcBorders>
              <w:top w:val="nil"/>
              <w:left w:val="nil"/>
              <w:bottom w:val="nil"/>
              <w:right w:val="nil"/>
            </w:tcBorders>
            <w:shd w:val="clear" w:color="auto" w:fill="auto"/>
            <w:noWrap/>
            <w:vAlign w:val="bottom"/>
            <w:hideMark/>
          </w:tcPr>
          <w:p w14:paraId="559DC369" w14:textId="77777777" w:rsidR="00635943" w:rsidRPr="00B457F5" w:rsidRDefault="00635943" w:rsidP="00635943">
            <w:pPr>
              <w:spacing w:before="0" w:after="0"/>
              <w:jc w:val="left"/>
              <w:rPr>
                <w:rFonts w:ascii="Garamond" w:eastAsia="Times New Roman" w:hAnsi="Garamond" w:cs="Times New Roman"/>
                <w:sz w:val="4"/>
                <w:szCs w:val="4"/>
              </w:rPr>
            </w:pPr>
          </w:p>
        </w:tc>
        <w:tc>
          <w:tcPr>
            <w:tcW w:w="259" w:type="pct"/>
            <w:tcBorders>
              <w:top w:val="nil"/>
              <w:left w:val="nil"/>
              <w:bottom w:val="nil"/>
              <w:right w:val="nil"/>
            </w:tcBorders>
            <w:shd w:val="clear" w:color="auto" w:fill="auto"/>
            <w:noWrap/>
            <w:vAlign w:val="center"/>
            <w:hideMark/>
          </w:tcPr>
          <w:p w14:paraId="205E7F58" w14:textId="77777777" w:rsidR="00635943" w:rsidRPr="00B457F5" w:rsidRDefault="00635943" w:rsidP="00635943">
            <w:pPr>
              <w:spacing w:before="0" w:after="0"/>
              <w:jc w:val="left"/>
              <w:rPr>
                <w:rFonts w:ascii="Garamond" w:eastAsia="Times New Roman" w:hAnsi="Garamond" w:cs="Times New Roman"/>
                <w:sz w:val="4"/>
                <w:szCs w:val="4"/>
              </w:rPr>
            </w:pPr>
          </w:p>
        </w:tc>
        <w:tc>
          <w:tcPr>
            <w:tcW w:w="278" w:type="pct"/>
            <w:tcBorders>
              <w:top w:val="nil"/>
              <w:left w:val="nil"/>
              <w:bottom w:val="nil"/>
              <w:right w:val="nil"/>
            </w:tcBorders>
            <w:shd w:val="clear" w:color="auto" w:fill="auto"/>
            <w:noWrap/>
            <w:vAlign w:val="center"/>
            <w:hideMark/>
          </w:tcPr>
          <w:p w14:paraId="64481188" w14:textId="77777777" w:rsidR="00635943" w:rsidRPr="00B457F5" w:rsidRDefault="00635943" w:rsidP="00635943">
            <w:pPr>
              <w:spacing w:before="0" w:after="0"/>
              <w:jc w:val="center"/>
              <w:rPr>
                <w:rFonts w:ascii="Garamond" w:eastAsia="Times New Roman" w:hAnsi="Garamond" w:cs="Times New Roman"/>
                <w:sz w:val="4"/>
                <w:szCs w:val="4"/>
              </w:rPr>
            </w:pPr>
          </w:p>
        </w:tc>
        <w:tc>
          <w:tcPr>
            <w:tcW w:w="260" w:type="pct"/>
            <w:tcBorders>
              <w:top w:val="nil"/>
              <w:left w:val="nil"/>
              <w:bottom w:val="nil"/>
              <w:right w:val="nil"/>
            </w:tcBorders>
            <w:shd w:val="clear" w:color="auto" w:fill="auto"/>
            <w:noWrap/>
            <w:vAlign w:val="center"/>
            <w:hideMark/>
          </w:tcPr>
          <w:p w14:paraId="3BD581F2" w14:textId="77777777" w:rsidR="00635943" w:rsidRPr="00B457F5" w:rsidRDefault="00635943" w:rsidP="00635943">
            <w:pPr>
              <w:spacing w:before="0" w:after="0"/>
              <w:jc w:val="center"/>
              <w:rPr>
                <w:rFonts w:ascii="Garamond" w:eastAsia="Times New Roman" w:hAnsi="Garamond" w:cs="Times New Roman"/>
                <w:sz w:val="4"/>
                <w:szCs w:val="4"/>
              </w:rPr>
            </w:pPr>
          </w:p>
        </w:tc>
        <w:tc>
          <w:tcPr>
            <w:tcW w:w="313" w:type="pct"/>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08E6FE34" w14:textId="77777777"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 </w:t>
            </w:r>
          </w:p>
        </w:tc>
        <w:tc>
          <w:tcPr>
            <w:tcW w:w="256" w:type="pct"/>
            <w:tcBorders>
              <w:top w:val="single" w:sz="4" w:space="0" w:color="auto"/>
              <w:left w:val="nil"/>
              <w:bottom w:val="single" w:sz="4" w:space="0" w:color="auto"/>
              <w:right w:val="single" w:sz="4" w:space="0" w:color="auto"/>
            </w:tcBorders>
            <w:shd w:val="clear" w:color="000000" w:fill="70AD47"/>
            <w:noWrap/>
            <w:vAlign w:val="center"/>
            <w:hideMark/>
          </w:tcPr>
          <w:p w14:paraId="20B2C9D7" w14:textId="1E661666"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Kosto</w:t>
            </w:r>
            <w:r w:rsidR="0028334E" w:rsidRPr="00B457F5">
              <w:rPr>
                <w:rFonts w:ascii="Garamond" w:eastAsia="Times New Roman" w:hAnsi="Garamond" w:cs="Calibri"/>
                <w:color w:val="FFFFFF"/>
                <w:sz w:val="4"/>
                <w:szCs w:val="4"/>
              </w:rPr>
              <w:t>ja</w:t>
            </w:r>
            <w:r w:rsidRPr="00B457F5">
              <w:rPr>
                <w:rFonts w:ascii="Garamond" w:eastAsia="Times New Roman" w:hAnsi="Garamond" w:cs="Calibri"/>
                <w:color w:val="FFFFFF"/>
                <w:sz w:val="4"/>
                <w:szCs w:val="4"/>
              </w:rPr>
              <w:t xml:space="preserve"> </w:t>
            </w:r>
            <w:r w:rsidR="0028334E" w:rsidRPr="00B457F5">
              <w:rPr>
                <w:rFonts w:ascii="Garamond" w:eastAsia="Times New Roman" w:hAnsi="Garamond" w:cs="Calibri"/>
                <w:color w:val="FFFFFF"/>
                <w:sz w:val="4"/>
                <w:szCs w:val="4"/>
              </w:rPr>
              <w:t>k</w:t>
            </w:r>
            <w:r w:rsidRPr="00B457F5">
              <w:rPr>
                <w:rFonts w:ascii="Garamond" w:eastAsia="Times New Roman" w:hAnsi="Garamond" w:cs="Calibri"/>
                <w:color w:val="FFFFFF"/>
                <w:sz w:val="4"/>
                <w:szCs w:val="4"/>
              </w:rPr>
              <w:t>o</w:t>
            </w:r>
            <w:r w:rsidR="0028334E" w:rsidRPr="00B457F5">
              <w:rPr>
                <w:rFonts w:ascii="Garamond" w:eastAsia="Times New Roman" w:hAnsi="Garamond" w:cs="Calibri"/>
                <w:color w:val="FFFFFF"/>
                <w:sz w:val="4"/>
                <w:szCs w:val="4"/>
              </w:rPr>
              <w:t>r</w:t>
            </w:r>
            <w:r w:rsidRPr="00B457F5">
              <w:rPr>
                <w:rFonts w:ascii="Garamond" w:eastAsia="Times New Roman" w:hAnsi="Garamond" w:cs="Calibri"/>
                <w:color w:val="FFFFFF"/>
                <w:sz w:val="4"/>
                <w:szCs w:val="4"/>
              </w:rPr>
              <w:t>rente</w:t>
            </w:r>
          </w:p>
        </w:tc>
        <w:tc>
          <w:tcPr>
            <w:tcW w:w="256" w:type="pct"/>
            <w:tcBorders>
              <w:top w:val="single" w:sz="4" w:space="0" w:color="auto"/>
              <w:left w:val="nil"/>
              <w:bottom w:val="single" w:sz="4" w:space="0" w:color="auto"/>
              <w:right w:val="single" w:sz="4" w:space="0" w:color="auto"/>
            </w:tcBorders>
            <w:shd w:val="clear" w:color="000000" w:fill="70AD47"/>
            <w:noWrap/>
            <w:vAlign w:val="center"/>
            <w:hideMark/>
          </w:tcPr>
          <w:p w14:paraId="05F5F262" w14:textId="11C389AE"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Kosto</w:t>
            </w:r>
            <w:r w:rsidR="0028334E" w:rsidRPr="00B457F5">
              <w:rPr>
                <w:rFonts w:ascii="Garamond" w:eastAsia="Times New Roman" w:hAnsi="Garamond" w:cs="Calibri"/>
                <w:color w:val="FFFFFF"/>
                <w:sz w:val="4"/>
                <w:szCs w:val="4"/>
              </w:rPr>
              <w:t>ja</w:t>
            </w:r>
            <w:r w:rsidRPr="00B457F5">
              <w:rPr>
                <w:rFonts w:ascii="Garamond" w:eastAsia="Times New Roman" w:hAnsi="Garamond" w:cs="Calibri"/>
                <w:color w:val="FFFFFF"/>
                <w:sz w:val="4"/>
                <w:szCs w:val="4"/>
              </w:rPr>
              <w:t xml:space="preserve"> </w:t>
            </w:r>
            <w:r w:rsidR="0028334E" w:rsidRPr="00B457F5">
              <w:rPr>
                <w:rFonts w:ascii="Garamond" w:eastAsia="Times New Roman" w:hAnsi="Garamond" w:cs="Calibri"/>
                <w:color w:val="FFFFFF"/>
                <w:sz w:val="4"/>
                <w:szCs w:val="4"/>
              </w:rPr>
              <w:t>k</w:t>
            </w:r>
            <w:r w:rsidRPr="00B457F5">
              <w:rPr>
                <w:rFonts w:ascii="Garamond" w:eastAsia="Times New Roman" w:hAnsi="Garamond" w:cs="Calibri"/>
                <w:color w:val="FFFFFF"/>
                <w:sz w:val="4"/>
                <w:szCs w:val="4"/>
              </w:rPr>
              <w:t>apitale</w:t>
            </w:r>
          </w:p>
        </w:tc>
        <w:tc>
          <w:tcPr>
            <w:tcW w:w="253" w:type="pct"/>
            <w:tcBorders>
              <w:top w:val="single" w:sz="4" w:space="0" w:color="auto"/>
              <w:left w:val="nil"/>
              <w:bottom w:val="single" w:sz="4" w:space="0" w:color="auto"/>
              <w:right w:val="single" w:sz="4" w:space="0" w:color="auto"/>
            </w:tcBorders>
            <w:shd w:val="clear" w:color="000000" w:fill="70AD47"/>
            <w:noWrap/>
            <w:vAlign w:val="center"/>
            <w:hideMark/>
          </w:tcPr>
          <w:p w14:paraId="476052B2" w14:textId="77777777"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Në %</w:t>
            </w:r>
          </w:p>
        </w:tc>
        <w:tc>
          <w:tcPr>
            <w:tcW w:w="238" w:type="pct"/>
            <w:tcBorders>
              <w:top w:val="nil"/>
              <w:left w:val="nil"/>
              <w:bottom w:val="nil"/>
              <w:right w:val="nil"/>
            </w:tcBorders>
            <w:shd w:val="clear" w:color="auto" w:fill="auto"/>
            <w:noWrap/>
            <w:vAlign w:val="center"/>
            <w:hideMark/>
          </w:tcPr>
          <w:p w14:paraId="5551603D" w14:textId="77777777" w:rsidR="00635943" w:rsidRPr="00B457F5" w:rsidRDefault="00635943" w:rsidP="00635943">
            <w:pPr>
              <w:spacing w:before="0" w:after="0"/>
              <w:jc w:val="center"/>
              <w:rPr>
                <w:rFonts w:ascii="Garamond" w:eastAsia="Times New Roman" w:hAnsi="Garamond" w:cs="Calibri"/>
                <w:color w:val="FFFFFF"/>
                <w:sz w:val="4"/>
                <w:szCs w:val="4"/>
              </w:rPr>
            </w:pPr>
          </w:p>
        </w:tc>
        <w:tc>
          <w:tcPr>
            <w:tcW w:w="256" w:type="pct"/>
            <w:tcBorders>
              <w:top w:val="nil"/>
              <w:left w:val="nil"/>
              <w:bottom w:val="nil"/>
              <w:right w:val="nil"/>
            </w:tcBorders>
            <w:shd w:val="clear" w:color="auto" w:fill="auto"/>
            <w:noWrap/>
            <w:vAlign w:val="center"/>
            <w:hideMark/>
          </w:tcPr>
          <w:p w14:paraId="2DE5DB61" w14:textId="77777777" w:rsidR="00635943" w:rsidRPr="00B457F5" w:rsidRDefault="00635943" w:rsidP="00635943">
            <w:pPr>
              <w:spacing w:before="0" w:after="0"/>
              <w:jc w:val="center"/>
              <w:rPr>
                <w:rFonts w:ascii="Garamond" w:eastAsia="Times New Roman" w:hAnsi="Garamond" w:cs="Times New Roman"/>
                <w:sz w:val="4"/>
                <w:szCs w:val="4"/>
              </w:rPr>
            </w:pPr>
          </w:p>
        </w:tc>
        <w:tc>
          <w:tcPr>
            <w:tcW w:w="205" w:type="pct"/>
            <w:tcBorders>
              <w:top w:val="nil"/>
              <w:left w:val="nil"/>
              <w:bottom w:val="nil"/>
              <w:right w:val="nil"/>
            </w:tcBorders>
            <w:shd w:val="clear" w:color="auto" w:fill="auto"/>
            <w:noWrap/>
            <w:vAlign w:val="center"/>
            <w:hideMark/>
          </w:tcPr>
          <w:p w14:paraId="661DDC32" w14:textId="77777777" w:rsidR="00635943" w:rsidRPr="00B457F5" w:rsidRDefault="00635943" w:rsidP="00635943">
            <w:pPr>
              <w:spacing w:before="0" w:after="0"/>
              <w:jc w:val="center"/>
              <w:rPr>
                <w:rFonts w:ascii="Garamond" w:eastAsia="Times New Roman" w:hAnsi="Garamond" w:cs="Times New Roman"/>
                <w:sz w:val="4"/>
                <w:szCs w:val="4"/>
              </w:rPr>
            </w:pPr>
          </w:p>
        </w:tc>
        <w:tc>
          <w:tcPr>
            <w:tcW w:w="211" w:type="pct"/>
            <w:tcBorders>
              <w:top w:val="nil"/>
              <w:left w:val="nil"/>
              <w:bottom w:val="nil"/>
              <w:right w:val="nil"/>
            </w:tcBorders>
            <w:shd w:val="clear" w:color="auto" w:fill="auto"/>
            <w:noWrap/>
            <w:vAlign w:val="center"/>
            <w:hideMark/>
          </w:tcPr>
          <w:p w14:paraId="229560B4" w14:textId="77777777" w:rsidR="00635943" w:rsidRPr="00B457F5" w:rsidRDefault="00635943" w:rsidP="00635943">
            <w:pPr>
              <w:spacing w:before="0" w:after="0"/>
              <w:jc w:val="center"/>
              <w:rPr>
                <w:rFonts w:ascii="Garamond" w:eastAsia="Times New Roman" w:hAnsi="Garamond" w:cs="Times New Roman"/>
                <w:sz w:val="4"/>
                <w:szCs w:val="4"/>
              </w:rPr>
            </w:pPr>
          </w:p>
        </w:tc>
        <w:tc>
          <w:tcPr>
            <w:tcW w:w="177" w:type="pct"/>
            <w:tcBorders>
              <w:top w:val="nil"/>
              <w:left w:val="nil"/>
              <w:bottom w:val="nil"/>
              <w:right w:val="nil"/>
            </w:tcBorders>
            <w:shd w:val="clear" w:color="auto" w:fill="auto"/>
            <w:noWrap/>
            <w:vAlign w:val="center"/>
            <w:hideMark/>
          </w:tcPr>
          <w:p w14:paraId="57AB9A81" w14:textId="77777777" w:rsidR="00635943" w:rsidRPr="00B457F5" w:rsidRDefault="00635943" w:rsidP="00635943">
            <w:pPr>
              <w:spacing w:before="0" w:after="0"/>
              <w:jc w:val="center"/>
              <w:rPr>
                <w:rFonts w:ascii="Garamond" w:eastAsia="Times New Roman" w:hAnsi="Garamond" w:cs="Times New Roman"/>
                <w:sz w:val="4"/>
                <w:szCs w:val="4"/>
              </w:rPr>
            </w:pPr>
          </w:p>
        </w:tc>
        <w:tc>
          <w:tcPr>
            <w:tcW w:w="284" w:type="pct"/>
            <w:tcBorders>
              <w:top w:val="nil"/>
              <w:left w:val="nil"/>
              <w:bottom w:val="nil"/>
              <w:right w:val="nil"/>
            </w:tcBorders>
            <w:shd w:val="clear" w:color="auto" w:fill="auto"/>
            <w:noWrap/>
            <w:vAlign w:val="center"/>
            <w:hideMark/>
          </w:tcPr>
          <w:p w14:paraId="6D531AC8" w14:textId="77777777" w:rsidR="00635943" w:rsidRPr="00B457F5" w:rsidRDefault="00635943" w:rsidP="00635943">
            <w:pPr>
              <w:spacing w:before="0" w:after="0"/>
              <w:jc w:val="center"/>
              <w:rPr>
                <w:rFonts w:ascii="Garamond" w:eastAsia="Times New Roman" w:hAnsi="Garamond" w:cs="Times New Roman"/>
                <w:sz w:val="4"/>
                <w:szCs w:val="4"/>
              </w:rPr>
            </w:pPr>
          </w:p>
        </w:tc>
        <w:tc>
          <w:tcPr>
            <w:tcW w:w="244" w:type="pct"/>
            <w:tcBorders>
              <w:top w:val="nil"/>
              <w:left w:val="nil"/>
              <w:bottom w:val="nil"/>
              <w:right w:val="nil"/>
            </w:tcBorders>
            <w:shd w:val="clear" w:color="auto" w:fill="auto"/>
            <w:noWrap/>
            <w:vAlign w:val="center"/>
            <w:hideMark/>
          </w:tcPr>
          <w:p w14:paraId="28375548" w14:textId="77777777" w:rsidR="00635943" w:rsidRPr="00B457F5" w:rsidRDefault="00635943" w:rsidP="00635943">
            <w:pPr>
              <w:spacing w:before="0" w:after="0"/>
              <w:jc w:val="center"/>
              <w:rPr>
                <w:rFonts w:ascii="Garamond" w:eastAsia="Times New Roman" w:hAnsi="Garamond" w:cs="Times New Roman"/>
                <w:sz w:val="4"/>
                <w:szCs w:val="4"/>
              </w:rPr>
            </w:pPr>
          </w:p>
        </w:tc>
      </w:tr>
      <w:tr w:rsidR="0028334E" w:rsidRPr="00B457F5" w14:paraId="63EAD3A7" w14:textId="77777777" w:rsidTr="00635943">
        <w:trPr>
          <w:trHeight w:val="20"/>
        </w:trPr>
        <w:tc>
          <w:tcPr>
            <w:tcW w:w="343" w:type="pct"/>
            <w:tcBorders>
              <w:top w:val="nil"/>
              <w:left w:val="nil"/>
              <w:bottom w:val="nil"/>
              <w:right w:val="nil"/>
            </w:tcBorders>
            <w:shd w:val="clear" w:color="auto" w:fill="auto"/>
            <w:noWrap/>
            <w:vAlign w:val="bottom"/>
            <w:hideMark/>
          </w:tcPr>
          <w:p w14:paraId="4A2B9EF8" w14:textId="77777777" w:rsidR="00635943" w:rsidRPr="00B457F5" w:rsidRDefault="00635943" w:rsidP="00635943">
            <w:pPr>
              <w:spacing w:before="0" w:after="0"/>
              <w:jc w:val="center"/>
              <w:rPr>
                <w:rFonts w:ascii="Garamond" w:eastAsia="Times New Roman" w:hAnsi="Garamond" w:cs="Times New Roman"/>
                <w:sz w:val="4"/>
                <w:szCs w:val="4"/>
              </w:rPr>
            </w:pPr>
          </w:p>
        </w:tc>
        <w:tc>
          <w:tcPr>
            <w:tcW w:w="266" w:type="pct"/>
            <w:tcBorders>
              <w:top w:val="nil"/>
              <w:left w:val="nil"/>
              <w:bottom w:val="nil"/>
              <w:right w:val="nil"/>
            </w:tcBorders>
            <w:shd w:val="clear" w:color="auto" w:fill="auto"/>
            <w:noWrap/>
            <w:vAlign w:val="bottom"/>
            <w:hideMark/>
          </w:tcPr>
          <w:p w14:paraId="067E618B" w14:textId="77777777" w:rsidR="00635943" w:rsidRPr="00B457F5" w:rsidRDefault="00635943" w:rsidP="00635943">
            <w:pPr>
              <w:spacing w:before="0" w:after="0"/>
              <w:jc w:val="left"/>
              <w:rPr>
                <w:rFonts w:ascii="Garamond" w:eastAsia="Times New Roman" w:hAnsi="Garamond" w:cs="Times New Roman"/>
                <w:sz w:val="4"/>
                <w:szCs w:val="4"/>
              </w:rPr>
            </w:pPr>
          </w:p>
        </w:tc>
        <w:tc>
          <w:tcPr>
            <w:tcW w:w="474" w:type="pct"/>
            <w:tcBorders>
              <w:top w:val="nil"/>
              <w:left w:val="nil"/>
              <w:bottom w:val="nil"/>
              <w:right w:val="nil"/>
            </w:tcBorders>
            <w:shd w:val="clear" w:color="auto" w:fill="auto"/>
            <w:noWrap/>
            <w:vAlign w:val="bottom"/>
            <w:hideMark/>
          </w:tcPr>
          <w:p w14:paraId="3970D5FB" w14:textId="77777777" w:rsidR="00635943" w:rsidRPr="00B457F5" w:rsidRDefault="00635943" w:rsidP="00635943">
            <w:pPr>
              <w:spacing w:before="0" w:after="0"/>
              <w:jc w:val="left"/>
              <w:rPr>
                <w:rFonts w:ascii="Garamond" w:eastAsia="Times New Roman" w:hAnsi="Garamond" w:cs="Times New Roman"/>
                <w:sz w:val="4"/>
                <w:szCs w:val="4"/>
              </w:rPr>
            </w:pPr>
          </w:p>
        </w:tc>
        <w:tc>
          <w:tcPr>
            <w:tcW w:w="196" w:type="pct"/>
            <w:tcBorders>
              <w:top w:val="nil"/>
              <w:left w:val="nil"/>
              <w:bottom w:val="nil"/>
              <w:right w:val="nil"/>
            </w:tcBorders>
            <w:shd w:val="clear" w:color="auto" w:fill="auto"/>
            <w:noWrap/>
            <w:vAlign w:val="bottom"/>
            <w:hideMark/>
          </w:tcPr>
          <w:p w14:paraId="38CDD8C6" w14:textId="77777777" w:rsidR="00635943" w:rsidRPr="00B457F5" w:rsidRDefault="00635943" w:rsidP="00635943">
            <w:pPr>
              <w:spacing w:before="0" w:after="0"/>
              <w:jc w:val="left"/>
              <w:rPr>
                <w:rFonts w:ascii="Garamond" w:eastAsia="Times New Roman" w:hAnsi="Garamond" w:cs="Times New Roman"/>
                <w:sz w:val="4"/>
                <w:szCs w:val="4"/>
              </w:rPr>
            </w:pPr>
          </w:p>
        </w:tc>
        <w:tc>
          <w:tcPr>
            <w:tcW w:w="231" w:type="pct"/>
            <w:tcBorders>
              <w:top w:val="nil"/>
              <w:left w:val="nil"/>
              <w:bottom w:val="nil"/>
              <w:right w:val="nil"/>
            </w:tcBorders>
            <w:shd w:val="clear" w:color="auto" w:fill="auto"/>
            <w:noWrap/>
            <w:vAlign w:val="bottom"/>
            <w:hideMark/>
          </w:tcPr>
          <w:p w14:paraId="4C01EE8F" w14:textId="77777777" w:rsidR="00635943" w:rsidRPr="00B457F5" w:rsidRDefault="00635943" w:rsidP="00635943">
            <w:pPr>
              <w:spacing w:before="0" w:after="0"/>
              <w:jc w:val="left"/>
              <w:rPr>
                <w:rFonts w:ascii="Garamond" w:eastAsia="Times New Roman" w:hAnsi="Garamond" w:cs="Times New Roman"/>
                <w:sz w:val="4"/>
                <w:szCs w:val="4"/>
              </w:rPr>
            </w:pPr>
          </w:p>
        </w:tc>
        <w:tc>
          <w:tcPr>
            <w:tcW w:w="259" w:type="pct"/>
            <w:tcBorders>
              <w:top w:val="single" w:sz="4" w:space="0" w:color="auto"/>
              <w:left w:val="single" w:sz="4" w:space="0" w:color="auto"/>
              <w:bottom w:val="single" w:sz="4" w:space="0" w:color="auto"/>
              <w:right w:val="single" w:sz="4" w:space="0" w:color="auto"/>
            </w:tcBorders>
            <w:shd w:val="clear" w:color="000000" w:fill="4472C4"/>
            <w:vAlign w:val="center"/>
            <w:hideMark/>
          </w:tcPr>
          <w:p w14:paraId="0129BA7F" w14:textId="142A8C34"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Kosto</w:t>
            </w:r>
            <w:r w:rsidR="0028334E" w:rsidRPr="00B457F5">
              <w:rPr>
                <w:rFonts w:ascii="Garamond" w:eastAsia="Times New Roman" w:hAnsi="Garamond" w:cs="Calibri"/>
                <w:color w:val="FFFFFF"/>
                <w:sz w:val="4"/>
                <w:szCs w:val="4"/>
              </w:rPr>
              <w:t>t</w:t>
            </w:r>
            <w:r w:rsidRPr="00B457F5">
              <w:rPr>
                <w:rFonts w:ascii="Garamond" w:eastAsia="Times New Roman" w:hAnsi="Garamond" w:cs="Calibri"/>
                <w:color w:val="FFFFFF"/>
                <w:sz w:val="4"/>
                <w:szCs w:val="4"/>
              </w:rPr>
              <w:t xml:space="preserve"> totale t</w:t>
            </w:r>
            <w:r w:rsidR="0028334E" w:rsidRPr="00B457F5">
              <w:rPr>
                <w:rFonts w:ascii="Garamond" w:eastAsia="Times New Roman" w:hAnsi="Garamond" w:cs="Calibri"/>
                <w:color w:val="FFFFFF"/>
                <w:sz w:val="4"/>
                <w:szCs w:val="4"/>
              </w:rPr>
              <w:t>ë</w:t>
            </w:r>
            <w:r w:rsidRPr="00B457F5">
              <w:rPr>
                <w:rFonts w:ascii="Garamond" w:eastAsia="Times New Roman" w:hAnsi="Garamond" w:cs="Calibri"/>
                <w:color w:val="FFFFFF"/>
                <w:sz w:val="4"/>
                <w:szCs w:val="4"/>
              </w:rPr>
              <w:t xml:space="preserve"> PKV</w:t>
            </w:r>
            <w:r w:rsidR="0028334E" w:rsidRPr="00B457F5">
              <w:rPr>
                <w:rFonts w:ascii="Garamond" w:eastAsia="Times New Roman" w:hAnsi="Garamond" w:cs="Calibri"/>
                <w:color w:val="FFFFFF"/>
                <w:sz w:val="4"/>
                <w:szCs w:val="4"/>
              </w:rPr>
              <w:t>-ve</w:t>
            </w:r>
          </w:p>
        </w:tc>
        <w:tc>
          <w:tcPr>
            <w:tcW w:w="278" w:type="pct"/>
            <w:tcBorders>
              <w:top w:val="single" w:sz="4" w:space="0" w:color="auto"/>
              <w:left w:val="nil"/>
              <w:bottom w:val="single" w:sz="4" w:space="0" w:color="auto"/>
              <w:right w:val="single" w:sz="4" w:space="0" w:color="auto"/>
            </w:tcBorders>
            <w:shd w:val="clear" w:color="000000" w:fill="4472C4"/>
            <w:noWrap/>
            <w:vAlign w:val="center"/>
            <w:hideMark/>
          </w:tcPr>
          <w:p w14:paraId="38E445BF" w14:textId="77777777"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970,126,845</w:t>
            </w:r>
          </w:p>
        </w:tc>
        <w:tc>
          <w:tcPr>
            <w:tcW w:w="260" w:type="pct"/>
            <w:tcBorders>
              <w:top w:val="nil"/>
              <w:left w:val="nil"/>
              <w:bottom w:val="nil"/>
              <w:right w:val="nil"/>
            </w:tcBorders>
            <w:shd w:val="clear" w:color="auto" w:fill="auto"/>
            <w:noWrap/>
            <w:vAlign w:val="center"/>
            <w:hideMark/>
          </w:tcPr>
          <w:p w14:paraId="28547F4A" w14:textId="77777777" w:rsidR="00635943" w:rsidRPr="00B457F5" w:rsidRDefault="00635943" w:rsidP="00635943">
            <w:pPr>
              <w:spacing w:before="0" w:after="0"/>
              <w:jc w:val="center"/>
              <w:rPr>
                <w:rFonts w:ascii="Garamond" w:eastAsia="Times New Roman" w:hAnsi="Garamond" w:cs="Calibri"/>
                <w:color w:val="FFFFFF"/>
                <w:sz w:val="4"/>
                <w:szCs w:val="4"/>
              </w:rPr>
            </w:pPr>
          </w:p>
        </w:tc>
        <w:tc>
          <w:tcPr>
            <w:tcW w:w="313" w:type="pct"/>
            <w:tcBorders>
              <w:top w:val="nil"/>
              <w:left w:val="single" w:sz="4" w:space="0" w:color="auto"/>
              <w:bottom w:val="single" w:sz="4" w:space="0" w:color="auto"/>
              <w:right w:val="single" w:sz="4" w:space="0" w:color="auto"/>
            </w:tcBorders>
            <w:shd w:val="clear" w:color="000000" w:fill="70AD47"/>
            <w:noWrap/>
            <w:vAlign w:val="center"/>
            <w:hideMark/>
          </w:tcPr>
          <w:p w14:paraId="4CA40316" w14:textId="689C9DD0"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 xml:space="preserve">Qëllimi i </w:t>
            </w:r>
            <w:r w:rsidR="0028334E" w:rsidRPr="00B457F5">
              <w:rPr>
                <w:rFonts w:ascii="Garamond" w:eastAsia="Times New Roman" w:hAnsi="Garamond" w:cs="Calibri"/>
                <w:color w:val="FFFFFF"/>
                <w:sz w:val="4"/>
                <w:szCs w:val="4"/>
              </w:rPr>
              <w:t>p</w:t>
            </w:r>
            <w:r w:rsidRPr="00B457F5">
              <w:rPr>
                <w:rFonts w:ascii="Garamond" w:eastAsia="Times New Roman" w:hAnsi="Garamond" w:cs="Calibri"/>
                <w:color w:val="FFFFFF"/>
                <w:sz w:val="4"/>
                <w:szCs w:val="4"/>
              </w:rPr>
              <w:t>olitikës I</w:t>
            </w:r>
          </w:p>
        </w:tc>
        <w:tc>
          <w:tcPr>
            <w:tcW w:w="256" w:type="pct"/>
            <w:tcBorders>
              <w:top w:val="nil"/>
              <w:left w:val="nil"/>
              <w:bottom w:val="single" w:sz="4" w:space="0" w:color="auto"/>
              <w:right w:val="single" w:sz="4" w:space="0" w:color="auto"/>
            </w:tcBorders>
            <w:shd w:val="clear" w:color="000000" w:fill="70AD47"/>
            <w:noWrap/>
            <w:vAlign w:val="center"/>
            <w:hideMark/>
          </w:tcPr>
          <w:p w14:paraId="4B174E97" w14:textId="77777777"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327,557,228</w:t>
            </w:r>
          </w:p>
        </w:tc>
        <w:tc>
          <w:tcPr>
            <w:tcW w:w="256" w:type="pct"/>
            <w:tcBorders>
              <w:top w:val="nil"/>
              <w:left w:val="nil"/>
              <w:bottom w:val="single" w:sz="4" w:space="0" w:color="auto"/>
              <w:right w:val="single" w:sz="4" w:space="0" w:color="auto"/>
            </w:tcBorders>
            <w:shd w:val="clear" w:color="000000" w:fill="70AD47"/>
            <w:noWrap/>
            <w:vAlign w:val="center"/>
            <w:hideMark/>
          </w:tcPr>
          <w:p w14:paraId="582ECA66" w14:textId="77777777"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138,000,000</w:t>
            </w:r>
          </w:p>
        </w:tc>
        <w:tc>
          <w:tcPr>
            <w:tcW w:w="253" w:type="pct"/>
            <w:tcBorders>
              <w:top w:val="nil"/>
              <w:left w:val="nil"/>
              <w:bottom w:val="single" w:sz="4" w:space="0" w:color="auto"/>
              <w:right w:val="single" w:sz="4" w:space="0" w:color="auto"/>
            </w:tcBorders>
            <w:shd w:val="clear" w:color="000000" w:fill="70AD47"/>
            <w:noWrap/>
            <w:vAlign w:val="center"/>
            <w:hideMark/>
          </w:tcPr>
          <w:p w14:paraId="16179934" w14:textId="77777777"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48.0%</w:t>
            </w:r>
          </w:p>
        </w:tc>
        <w:tc>
          <w:tcPr>
            <w:tcW w:w="238" w:type="pct"/>
            <w:tcBorders>
              <w:top w:val="nil"/>
              <w:left w:val="nil"/>
              <w:bottom w:val="nil"/>
              <w:right w:val="nil"/>
            </w:tcBorders>
            <w:shd w:val="clear" w:color="auto" w:fill="auto"/>
            <w:noWrap/>
            <w:vAlign w:val="center"/>
            <w:hideMark/>
          </w:tcPr>
          <w:p w14:paraId="225D13D1" w14:textId="77777777" w:rsidR="00635943" w:rsidRPr="00B457F5" w:rsidRDefault="00635943" w:rsidP="00635943">
            <w:pPr>
              <w:spacing w:before="0" w:after="0"/>
              <w:jc w:val="center"/>
              <w:rPr>
                <w:rFonts w:ascii="Garamond" w:eastAsia="Times New Roman" w:hAnsi="Garamond" w:cs="Calibri"/>
                <w:color w:val="FFFFFF"/>
                <w:sz w:val="4"/>
                <w:szCs w:val="4"/>
              </w:rPr>
            </w:pPr>
          </w:p>
        </w:tc>
        <w:tc>
          <w:tcPr>
            <w:tcW w:w="256" w:type="pct"/>
            <w:tcBorders>
              <w:top w:val="nil"/>
              <w:left w:val="nil"/>
              <w:bottom w:val="nil"/>
              <w:right w:val="nil"/>
            </w:tcBorders>
            <w:shd w:val="clear" w:color="auto" w:fill="auto"/>
            <w:noWrap/>
            <w:vAlign w:val="center"/>
            <w:hideMark/>
          </w:tcPr>
          <w:p w14:paraId="67CE0E0B" w14:textId="77777777" w:rsidR="00635943" w:rsidRPr="00B457F5" w:rsidRDefault="00635943" w:rsidP="00635943">
            <w:pPr>
              <w:spacing w:before="0" w:after="0"/>
              <w:jc w:val="center"/>
              <w:rPr>
                <w:rFonts w:ascii="Garamond" w:eastAsia="Times New Roman" w:hAnsi="Garamond" w:cs="Times New Roman"/>
                <w:sz w:val="4"/>
                <w:szCs w:val="4"/>
              </w:rPr>
            </w:pPr>
          </w:p>
        </w:tc>
        <w:tc>
          <w:tcPr>
            <w:tcW w:w="205" w:type="pct"/>
            <w:tcBorders>
              <w:top w:val="nil"/>
              <w:left w:val="nil"/>
              <w:bottom w:val="nil"/>
              <w:right w:val="nil"/>
            </w:tcBorders>
            <w:shd w:val="clear" w:color="auto" w:fill="auto"/>
            <w:noWrap/>
            <w:vAlign w:val="center"/>
            <w:hideMark/>
          </w:tcPr>
          <w:p w14:paraId="66FDA305" w14:textId="77777777" w:rsidR="00635943" w:rsidRPr="00B457F5" w:rsidRDefault="00635943" w:rsidP="00635943">
            <w:pPr>
              <w:spacing w:before="0" w:after="0"/>
              <w:jc w:val="center"/>
              <w:rPr>
                <w:rFonts w:ascii="Garamond" w:eastAsia="Times New Roman" w:hAnsi="Garamond" w:cs="Times New Roman"/>
                <w:sz w:val="4"/>
                <w:szCs w:val="4"/>
              </w:rPr>
            </w:pPr>
          </w:p>
        </w:tc>
        <w:tc>
          <w:tcPr>
            <w:tcW w:w="211" w:type="pct"/>
            <w:tcBorders>
              <w:top w:val="nil"/>
              <w:left w:val="nil"/>
              <w:bottom w:val="nil"/>
              <w:right w:val="nil"/>
            </w:tcBorders>
            <w:shd w:val="clear" w:color="auto" w:fill="auto"/>
            <w:noWrap/>
            <w:vAlign w:val="center"/>
            <w:hideMark/>
          </w:tcPr>
          <w:p w14:paraId="2B63EDA7" w14:textId="77777777" w:rsidR="00635943" w:rsidRPr="00B457F5" w:rsidRDefault="00635943" w:rsidP="00635943">
            <w:pPr>
              <w:spacing w:before="0" w:after="0"/>
              <w:jc w:val="center"/>
              <w:rPr>
                <w:rFonts w:ascii="Garamond" w:eastAsia="Times New Roman" w:hAnsi="Garamond" w:cs="Times New Roman"/>
                <w:sz w:val="4"/>
                <w:szCs w:val="4"/>
              </w:rPr>
            </w:pPr>
          </w:p>
        </w:tc>
        <w:tc>
          <w:tcPr>
            <w:tcW w:w="177" w:type="pct"/>
            <w:tcBorders>
              <w:top w:val="nil"/>
              <w:left w:val="nil"/>
              <w:bottom w:val="nil"/>
              <w:right w:val="nil"/>
            </w:tcBorders>
            <w:shd w:val="clear" w:color="auto" w:fill="auto"/>
            <w:noWrap/>
            <w:vAlign w:val="center"/>
            <w:hideMark/>
          </w:tcPr>
          <w:p w14:paraId="33A0FCA8" w14:textId="77777777" w:rsidR="00635943" w:rsidRPr="00B457F5" w:rsidRDefault="00635943" w:rsidP="00635943">
            <w:pPr>
              <w:spacing w:before="0" w:after="0"/>
              <w:jc w:val="center"/>
              <w:rPr>
                <w:rFonts w:ascii="Garamond" w:eastAsia="Times New Roman" w:hAnsi="Garamond" w:cs="Times New Roman"/>
                <w:sz w:val="4"/>
                <w:szCs w:val="4"/>
              </w:rPr>
            </w:pPr>
          </w:p>
        </w:tc>
        <w:tc>
          <w:tcPr>
            <w:tcW w:w="284" w:type="pct"/>
            <w:tcBorders>
              <w:top w:val="nil"/>
              <w:left w:val="nil"/>
              <w:bottom w:val="nil"/>
              <w:right w:val="nil"/>
            </w:tcBorders>
            <w:shd w:val="clear" w:color="auto" w:fill="auto"/>
            <w:noWrap/>
            <w:vAlign w:val="center"/>
            <w:hideMark/>
          </w:tcPr>
          <w:p w14:paraId="42097C78" w14:textId="77777777" w:rsidR="00635943" w:rsidRPr="00B457F5" w:rsidRDefault="00635943" w:rsidP="00635943">
            <w:pPr>
              <w:spacing w:before="0" w:after="0"/>
              <w:jc w:val="center"/>
              <w:rPr>
                <w:rFonts w:ascii="Garamond" w:eastAsia="Times New Roman" w:hAnsi="Garamond" w:cs="Times New Roman"/>
                <w:sz w:val="4"/>
                <w:szCs w:val="4"/>
              </w:rPr>
            </w:pPr>
          </w:p>
        </w:tc>
        <w:tc>
          <w:tcPr>
            <w:tcW w:w="244" w:type="pct"/>
            <w:tcBorders>
              <w:top w:val="nil"/>
              <w:left w:val="nil"/>
              <w:bottom w:val="nil"/>
              <w:right w:val="nil"/>
            </w:tcBorders>
            <w:shd w:val="clear" w:color="auto" w:fill="auto"/>
            <w:noWrap/>
            <w:vAlign w:val="center"/>
            <w:hideMark/>
          </w:tcPr>
          <w:p w14:paraId="00F8CD5B" w14:textId="77777777" w:rsidR="00635943" w:rsidRPr="00B457F5" w:rsidRDefault="00635943" w:rsidP="00635943">
            <w:pPr>
              <w:spacing w:before="0" w:after="0"/>
              <w:jc w:val="center"/>
              <w:rPr>
                <w:rFonts w:ascii="Garamond" w:eastAsia="Times New Roman" w:hAnsi="Garamond" w:cs="Times New Roman"/>
                <w:sz w:val="4"/>
                <w:szCs w:val="4"/>
              </w:rPr>
            </w:pPr>
          </w:p>
        </w:tc>
      </w:tr>
      <w:tr w:rsidR="0028334E" w:rsidRPr="00B457F5" w14:paraId="5AA388FF" w14:textId="77777777" w:rsidTr="00635943">
        <w:trPr>
          <w:trHeight w:val="20"/>
        </w:trPr>
        <w:tc>
          <w:tcPr>
            <w:tcW w:w="343" w:type="pct"/>
            <w:tcBorders>
              <w:top w:val="nil"/>
              <w:left w:val="nil"/>
              <w:bottom w:val="nil"/>
              <w:right w:val="nil"/>
            </w:tcBorders>
            <w:shd w:val="clear" w:color="auto" w:fill="auto"/>
            <w:noWrap/>
            <w:vAlign w:val="bottom"/>
            <w:hideMark/>
          </w:tcPr>
          <w:p w14:paraId="42C6A554" w14:textId="77777777" w:rsidR="00635943" w:rsidRPr="00B457F5" w:rsidRDefault="00635943" w:rsidP="00635943">
            <w:pPr>
              <w:spacing w:before="0" w:after="0"/>
              <w:jc w:val="center"/>
              <w:rPr>
                <w:rFonts w:ascii="Garamond" w:eastAsia="Times New Roman" w:hAnsi="Garamond" w:cs="Times New Roman"/>
                <w:sz w:val="4"/>
                <w:szCs w:val="4"/>
              </w:rPr>
            </w:pPr>
          </w:p>
        </w:tc>
        <w:tc>
          <w:tcPr>
            <w:tcW w:w="266" w:type="pct"/>
            <w:tcBorders>
              <w:top w:val="nil"/>
              <w:left w:val="nil"/>
              <w:bottom w:val="nil"/>
              <w:right w:val="nil"/>
            </w:tcBorders>
            <w:shd w:val="clear" w:color="auto" w:fill="auto"/>
            <w:noWrap/>
            <w:vAlign w:val="bottom"/>
            <w:hideMark/>
          </w:tcPr>
          <w:p w14:paraId="59C16FE4" w14:textId="77777777" w:rsidR="00635943" w:rsidRPr="00B457F5" w:rsidRDefault="00635943" w:rsidP="00635943">
            <w:pPr>
              <w:spacing w:before="0" w:after="0"/>
              <w:jc w:val="left"/>
              <w:rPr>
                <w:rFonts w:ascii="Garamond" w:eastAsia="Times New Roman" w:hAnsi="Garamond" w:cs="Times New Roman"/>
                <w:sz w:val="4"/>
                <w:szCs w:val="4"/>
              </w:rPr>
            </w:pPr>
          </w:p>
        </w:tc>
        <w:tc>
          <w:tcPr>
            <w:tcW w:w="474" w:type="pct"/>
            <w:tcBorders>
              <w:top w:val="nil"/>
              <w:left w:val="nil"/>
              <w:bottom w:val="nil"/>
              <w:right w:val="nil"/>
            </w:tcBorders>
            <w:shd w:val="clear" w:color="auto" w:fill="auto"/>
            <w:noWrap/>
            <w:vAlign w:val="bottom"/>
            <w:hideMark/>
          </w:tcPr>
          <w:p w14:paraId="6CEE58A4" w14:textId="77777777" w:rsidR="00635943" w:rsidRPr="00B457F5" w:rsidRDefault="00635943" w:rsidP="00635943">
            <w:pPr>
              <w:spacing w:before="0" w:after="0"/>
              <w:jc w:val="left"/>
              <w:rPr>
                <w:rFonts w:ascii="Garamond" w:eastAsia="Times New Roman" w:hAnsi="Garamond" w:cs="Times New Roman"/>
                <w:sz w:val="4"/>
                <w:szCs w:val="4"/>
              </w:rPr>
            </w:pPr>
          </w:p>
        </w:tc>
        <w:tc>
          <w:tcPr>
            <w:tcW w:w="196" w:type="pct"/>
            <w:tcBorders>
              <w:top w:val="nil"/>
              <w:left w:val="nil"/>
              <w:bottom w:val="nil"/>
              <w:right w:val="nil"/>
            </w:tcBorders>
            <w:shd w:val="clear" w:color="auto" w:fill="auto"/>
            <w:noWrap/>
            <w:vAlign w:val="bottom"/>
            <w:hideMark/>
          </w:tcPr>
          <w:p w14:paraId="0ECB6B1D" w14:textId="77777777" w:rsidR="00635943" w:rsidRPr="00B457F5" w:rsidRDefault="00635943" w:rsidP="00635943">
            <w:pPr>
              <w:spacing w:before="0" w:after="0"/>
              <w:jc w:val="left"/>
              <w:rPr>
                <w:rFonts w:ascii="Garamond" w:eastAsia="Times New Roman" w:hAnsi="Garamond" w:cs="Times New Roman"/>
                <w:sz w:val="4"/>
                <w:szCs w:val="4"/>
              </w:rPr>
            </w:pPr>
          </w:p>
        </w:tc>
        <w:tc>
          <w:tcPr>
            <w:tcW w:w="231" w:type="pct"/>
            <w:tcBorders>
              <w:top w:val="nil"/>
              <w:left w:val="nil"/>
              <w:bottom w:val="nil"/>
              <w:right w:val="nil"/>
            </w:tcBorders>
            <w:shd w:val="clear" w:color="auto" w:fill="auto"/>
            <w:noWrap/>
            <w:vAlign w:val="bottom"/>
            <w:hideMark/>
          </w:tcPr>
          <w:p w14:paraId="2CD901CA" w14:textId="77777777" w:rsidR="00635943" w:rsidRPr="00B457F5" w:rsidRDefault="00635943" w:rsidP="00635943">
            <w:pPr>
              <w:spacing w:before="0" w:after="0"/>
              <w:jc w:val="left"/>
              <w:rPr>
                <w:rFonts w:ascii="Garamond" w:eastAsia="Times New Roman" w:hAnsi="Garamond" w:cs="Times New Roman"/>
                <w:sz w:val="4"/>
                <w:szCs w:val="4"/>
              </w:rPr>
            </w:pPr>
          </w:p>
        </w:tc>
        <w:tc>
          <w:tcPr>
            <w:tcW w:w="259" w:type="pct"/>
            <w:tcBorders>
              <w:top w:val="nil"/>
              <w:left w:val="single" w:sz="4" w:space="0" w:color="auto"/>
              <w:bottom w:val="single" w:sz="4" w:space="0" w:color="auto"/>
              <w:right w:val="single" w:sz="4" w:space="0" w:color="auto"/>
            </w:tcBorders>
            <w:shd w:val="clear" w:color="000000" w:fill="4472C4"/>
            <w:vAlign w:val="center"/>
            <w:hideMark/>
          </w:tcPr>
          <w:p w14:paraId="1C267C73" w14:textId="1C7A254D"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MTBP 2024</w:t>
            </w:r>
            <w:r w:rsidR="0028334E" w:rsidRPr="00B457F5">
              <w:rPr>
                <w:rFonts w:ascii="Garamond" w:eastAsia="Times New Roman" w:hAnsi="Garamond" w:cs="Calibri"/>
                <w:color w:val="FFFFFF"/>
                <w:sz w:val="4"/>
                <w:szCs w:val="4"/>
              </w:rPr>
              <w:t>–</w:t>
            </w:r>
            <w:r w:rsidRPr="00B457F5">
              <w:rPr>
                <w:rFonts w:ascii="Garamond" w:eastAsia="Times New Roman" w:hAnsi="Garamond" w:cs="Calibri"/>
                <w:color w:val="FFFFFF"/>
                <w:sz w:val="4"/>
                <w:szCs w:val="4"/>
              </w:rPr>
              <w:t>2026</w:t>
            </w:r>
          </w:p>
        </w:tc>
        <w:tc>
          <w:tcPr>
            <w:tcW w:w="278" w:type="pct"/>
            <w:tcBorders>
              <w:top w:val="nil"/>
              <w:left w:val="nil"/>
              <w:bottom w:val="single" w:sz="4" w:space="0" w:color="auto"/>
              <w:right w:val="single" w:sz="4" w:space="0" w:color="auto"/>
            </w:tcBorders>
            <w:shd w:val="clear" w:color="000000" w:fill="4472C4"/>
            <w:noWrap/>
            <w:vAlign w:val="center"/>
            <w:hideMark/>
          </w:tcPr>
          <w:p w14:paraId="0B8107FF" w14:textId="77777777"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482,158,351</w:t>
            </w:r>
          </w:p>
        </w:tc>
        <w:tc>
          <w:tcPr>
            <w:tcW w:w="260" w:type="pct"/>
            <w:tcBorders>
              <w:top w:val="nil"/>
              <w:left w:val="nil"/>
              <w:bottom w:val="nil"/>
              <w:right w:val="nil"/>
            </w:tcBorders>
            <w:shd w:val="clear" w:color="auto" w:fill="auto"/>
            <w:noWrap/>
            <w:vAlign w:val="center"/>
            <w:hideMark/>
          </w:tcPr>
          <w:p w14:paraId="701C684C" w14:textId="77777777" w:rsidR="00635943" w:rsidRPr="00B457F5" w:rsidRDefault="00635943" w:rsidP="00635943">
            <w:pPr>
              <w:spacing w:before="0" w:after="0"/>
              <w:jc w:val="center"/>
              <w:rPr>
                <w:rFonts w:ascii="Garamond" w:eastAsia="Times New Roman" w:hAnsi="Garamond" w:cs="Calibri"/>
                <w:color w:val="FFFFFF"/>
                <w:sz w:val="4"/>
                <w:szCs w:val="4"/>
              </w:rPr>
            </w:pPr>
          </w:p>
        </w:tc>
        <w:tc>
          <w:tcPr>
            <w:tcW w:w="313" w:type="pct"/>
            <w:tcBorders>
              <w:top w:val="nil"/>
              <w:left w:val="single" w:sz="4" w:space="0" w:color="auto"/>
              <w:bottom w:val="single" w:sz="4" w:space="0" w:color="auto"/>
              <w:right w:val="single" w:sz="4" w:space="0" w:color="auto"/>
            </w:tcBorders>
            <w:shd w:val="clear" w:color="000000" w:fill="70AD47"/>
            <w:noWrap/>
            <w:vAlign w:val="center"/>
            <w:hideMark/>
          </w:tcPr>
          <w:p w14:paraId="0CDA2153" w14:textId="6B9B15DA"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 xml:space="preserve">Qëllimi i </w:t>
            </w:r>
            <w:r w:rsidR="0028334E" w:rsidRPr="00B457F5">
              <w:rPr>
                <w:rFonts w:ascii="Garamond" w:eastAsia="Times New Roman" w:hAnsi="Garamond" w:cs="Calibri"/>
                <w:color w:val="FFFFFF"/>
                <w:sz w:val="4"/>
                <w:szCs w:val="4"/>
              </w:rPr>
              <w:t>p</w:t>
            </w:r>
            <w:r w:rsidRPr="00B457F5">
              <w:rPr>
                <w:rFonts w:ascii="Garamond" w:eastAsia="Times New Roman" w:hAnsi="Garamond" w:cs="Calibri"/>
                <w:color w:val="FFFFFF"/>
                <w:sz w:val="4"/>
                <w:szCs w:val="4"/>
              </w:rPr>
              <w:t>olitikës II</w:t>
            </w:r>
          </w:p>
        </w:tc>
        <w:tc>
          <w:tcPr>
            <w:tcW w:w="256" w:type="pct"/>
            <w:tcBorders>
              <w:top w:val="nil"/>
              <w:left w:val="nil"/>
              <w:bottom w:val="single" w:sz="4" w:space="0" w:color="auto"/>
              <w:right w:val="single" w:sz="4" w:space="0" w:color="auto"/>
            </w:tcBorders>
            <w:shd w:val="clear" w:color="000000" w:fill="70AD47"/>
            <w:noWrap/>
            <w:vAlign w:val="center"/>
            <w:hideMark/>
          </w:tcPr>
          <w:p w14:paraId="273D2E6B" w14:textId="77777777"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275,253,035</w:t>
            </w:r>
          </w:p>
        </w:tc>
        <w:tc>
          <w:tcPr>
            <w:tcW w:w="256" w:type="pct"/>
            <w:tcBorders>
              <w:top w:val="nil"/>
              <w:left w:val="nil"/>
              <w:bottom w:val="single" w:sz="4" w:space="0" w:color="auto"/>
              <w:right w:val="single" w:sz="4" w:space="0" w:color="auto"/>
            </w:tcBorders>
            <w:shd w:val="clear" w:color="000000" w:fill="70AD47"/>
            <w:noWrap/>
            <w:vAlign w:val="center"/>
            <w:hideMark/>
          </w:tcPr>
          <w:p w14:paraId="712A7A5D" w14:textId="77777777"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2,875,000</w:t>
            </w:r>
          </w:p>
        </w:tc>
        <w:tc>
          <w:tcPr>
            <w:tcW w:w="253" w:type="pct"/>
            <w:tcBorders>
              <w:top w:val="nil"/>
              <w:left w:val="nil"/>
              <w:bottom w:val="single" w:sz="4" w:space="0" w:color="auto"/>
              <w:right w:val="single" w:sz="4" w:space="0" w:color="auto"/>
            </w:tcBorders>
            <w:shd w:val="clear" w:color="000000" w:fill="70AD47"/>
            <w:noWrap/>
            <w:vAlign w:val="center"/>
            <w:hideMark/>
          </w:tcPr>
          <w:p w14:paraId="05A5242B" w14:textId="77777777"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28.7%</w:t>
            </w:r>
          </w:p>
        </w:tc>
        <w:tc>
          <w:tcPr>
            <w:tcW w:w="238" w:type="pct"/>
            <w:tcBorders>
              <w:top w:val="nil"/>
              <w:left w:val="nil"/>
              <w:bottom w:val="nil"/>
              <w:right w:val="nil"/>
            </w:tcBorders>
            <w:shd w:val="clear" w:color="auto" w:fill="auto"/>
            <w:noWrap/>
            <w:vAlign w:val="center"/>
            <w:hideMark/>
          </w:tcPr>
          <w:p w14:paraId="2B694C21" w14:textId="77777777" w:rsidR="00635943" w:rsidRPr="00B457F5" w:rsidRDefault="00635943" w:rsidP="00635943">
            <w:pPr>
              <w:spacing w:before="0" w:after="0"/>
              <w:jc w:val="center"/>
              <w:rPr>
                <w:rFonts w:ascii="Garamond" w:eastAsia="Times New Roman" w:hAnsi="Garamond" w:cs="Calibri"/>
                <w:color w:val="FFFFFF"/>
                <w:sz w:val="4"/>
                <w:szCs w:val="4"/>
              </w:rPr>
            </w:pPr>
          </w:p>
        </w:tc>
        <w:tc>
          <w:tcPr>
            <w:tcW w:w="256" w:type="pct"/>
            <w:tcBorders>
              <w:top w:val="nil"/>
              <w:left w:val="nil"/>
              <w:bottom w:val="nil"/>
              <w:right w:val="nil"/>
            </w:tcBorders>
            <w:shd w:val="clear" w:color="auto" w:fill="auto"/>
            <w:noWrap/>
            <w:vAlign w:val="center"/>
            <w:hideMark/>
          </w:tcPr>
          <w:p w14:paraId="019A64E9" w14:textId="77777777" w:rsidR="00635943" w:rsidRPr="00B457F5" w:rsidRDefault="00635943" w:rsidP="00635943">
            <w:pPr>
              <w:spacing w:before="0" w:after="0"/>
              <w:jc w:val="center"/>
              <w:rPr>
                <w:rFonts w:ascii="Garamond" w:eastAsia="Times New Roman" w:hAnsi="Garamond" w:cs="Times New Roman"/>
                <w:sz w:val="4"/>
                <w:szCs w:val="4"/>
              </w:rPr>
            </w:pPr>
          </w:p>
        </w:tc>
        <w:tc>
          <w:tcPr>
            <w:tcW w:w="205" w:type="pct"/>
            <w:tcBorders>
              <w:top w:val="nil"/>
              <w:left w:val="nil"/>
              <w:bottom w:val="nil"/>
              <w:right w:val="nil"/>
            </w:tcBorders>
            <w:shd w:val="clear" w:color="auto" w:fill="auto"/>
            <w:noWrap/>
            <w:vAlign w:val="center"/>
            <w:hideMark/>
          </w:tcPr>
          <w:p w14:paraId="1B1DE6BC" w14:textId="77777777" w:rsidR="00635943" w:rsidRPr="00B457F5" w:rsidRDefault="00635943" w:rsidP="00635943">
            <w:pPr>
              <w:spacing w:before="0" w:after="0"/>
              <w:jc w:val="center"/>
              <w:rPr>
                <w:rFonts w:ascii="Garamond" w:eastAsia="Times New Roman" w:hAnsi="Garamond" w:cs="Times New Roman"/>
                <w:sz w:val="4"/>
                <w:szCs w:val="4"/>
              </w:rPr>
            </w:pPr>
          </w:p>
        </w:tc>
        <w:tc>
          <w:tcPr>
            <w:tcW w:w="211" w:type="pct"/>
            <w:tcBorders>
              <w:top w:val="nil"/>
              <w:left w:val="nil"/>
              <w:bottom w:val="nil"/>
              <w:right w:val="nil"/>
            </w:tcBorders>
            <w:shd w:val="clear" w:color="auto" w:fill="auto"/>
            <w:noWrap/>
            <w:vAlign w:val="center"/>
            <w:hideMark/>
          </w:tcPr>
          <w:p w14:paraId="65297497" w14:textId="77777777" w:rsidR="00635943" w:rsidRPr="00B457F5" w:rsidRDefault="00635943" w:rsidP="00635943">
            <w:pPr>
              <w:spacing w:before="0" w:after="0"/>
              <w:jc w:val="center"/>
              <w:rPr>
                <w:rFonts w:ascii="Garamond" w:eastAsia="Times New Roman" w:hAnsi="Garamond" w:cs="Times New Roman"/>
                <w:sz w:val="4"/>
                <w:szCs w:val="4"/>
              </w:rPr>
            </w:pPr>
          </w:p>
        </w:tc>
        <w:tc>
          <w:tcPr>
            <w:tcW w:w="177" w:type="pct"/>
            <w:tcBorders>
              <w:top w:val="nil"/>
              <w:left w:val="nil"/>
              <w:bottom w:val="nil"/>
              <w:right w:val="nil"/>
            </w:tcBorders>
            <w:shd w:val="clear" w:color="auto" w:fill="auto"/>
            <w:noWrap/>
            <w:vAlign w:val="center"/>
            <w:hideMark/>
          </w:tcPr>
          <w:p w14:paraId="026AB657" w14:textId="77777777" w:rsidR="00635943" w:rsidRPr="00B457F5" w:rsidRDefault="00635943" w:rsidP="00635943">
            <w:pPr>
              <w:spacing w:before="0" w:after="0"/>
              <w:jc w:val="center"/>
              <w:rPr>
                <w:rFonts w:ascii="Garamond" w:eastAsia="Times New Roman" w:hAnsi="Garamond" w:cs="Times New Roman"/>
                <w:sz w:val="4"/>
                <w:szCs w:val="4"/>
              </w:rPr>
            </w:pPr>
          </w:p>
        </w:tc>
        <w:tc>
          <w:tcPr>
            <w:tcW w:w="284" w:type="pct"/>
            <w:tcBorders>
              <w:top w:val="nil"/>
              <w:left w:val="nil"/>
              <w:bottom w:val="nil"/>
              <w:right w:val="nil"/>
            </w:tcBorders>
            <w:shd w:val="clear" w:color="auto" w:fill="auto"/>
            <w:noWrap/>
            <w:vAlign w:val="center"/>
            <w:hideMark/>
          </w:tcPr>
          <w:p w14:paraId="52E1CB92" w14:textId="77777777" w:rsidR="00635943" w:rsidRPr="00B457F5" w:rsidRDefault="00635943" w:rsidP="00635943">
            <w:pPr>
              <w:spacing w:before="0" w:after="0"/>
              <w:jc w:val="center"/>
              <w:rPr>
                <w:rFonts w:ascii="Garamond" w:eastAsia="Times New Roman" w:hAnsi="Garamond" w:cs="Times New Roman"/>
                <w:sz w:val="4"/>
                <w:szCs w:val="4"/>
              </w:rPr>
            </w:pPr>
          </w:p>
        </w:tc>
        <w:tc>
          <w:tcPr>
            <w:tcW w:w="244" w:type="pct"/>
            <w:tcBorders>
              <w:top w:val="nil"/>
              <w:left w:val="nil"/>
              <w:bottom w:val="nil"/>
              <w:right w:val="nil"/>
            </w:tcBorders>
            <w:shd w:val="clear" w:color="auto" w:fill="auto"/>
            <w:noWrap/>
            <w:vAlign w:val="center"/>
            <w:hideMark/>
          </w:tcPr>
          <w:p w14:paraId="3B4B8113" w14:textId="77777777" w:rsidR="00635943" w:rsidRPr="00B457F5" w:rsidRDefault="00635943" w:rsidP="00635943">
            <w:pPr>
              <w:spacing w:before="0" w:after="0"/>
              <w:jc w:val="center"/>
              <w:rPr>
                <w:rFonts w:ascii="Garamond" w:eastAsia="Times New Roman" w:hAnsi="Garamond" w:cs="Times New Roman"/>
                <w:sz w:val="4"/>
                <w:szCs w:val="4"/>
              </w:rPr>
            </w:pPr>
          </w:p>
        </w:tc>
      </w:tr>
      <w:tr w:rsidR="0028334E" w:rsidRPr="00B457F5" w14:paraId="14F224D9" w14:textId="77777777" w:rsidTr="00635943">
        <w:trPr>
          <w:trHeight w:val="20"/>
        </w:trPr>
        <w:tc>
          <w:tcPr>
            <w:tcW w:w="343" w:type="pct"/>
            <w:tcBorders>
              <w:top w:val="nil"/>
              <w:left w:val="nil"/>
              <w:bottom w:val="nil"/>
              <w:right w:val="nil"/>
            </w:tcBorders>
            <w:shd w:val="clear" w:color="auto" w:fill="auto"/>
            <w:noWrap/>
            <w:vAlign w:val="bottom"/>
            <w:hideMark/>
          </w:tcPr>
          <w:p w14:paraId="4ECB8956" w14:textId="77777777" w:rsidR="00635943" w:rsidRPr="00B457F5" w:rsidRDefault="00635943" w:rsidP="00635943">
            <w:pPr>
              <w:spacing w:before="0" w:after="0"/>
              <w:jc w:val="center"/>
              <w:rPr>
                <w:rFonts w:ascii="Garamond" w:eastAsia="Times New Roman" w:hAnsi="Garamond" w:cs="Times New Roman"/>
                <w:sz w:val="4"/>
                <w:szCs w:val="4"/>
              </w:rPr>
            </w:pPr>
          </w:p>
        </w:tc>
        <w:tc>
          <w:tcPr>
            <w:tcW w:w="266" w:type="pct"/>
            <w:tcBorders>
              <w:top w:val="nil"/>
              <w:left w:val="nil"/>
              <w:bottom w:val="nil"/>
              <w:right w:val="nil"/>
            </w:tcBorders>
            <w:shd w:val="clear" w:color="auto" w:fill="auto"/>
            <w:noWrap/>
            <w:vAlign w:val="bottom"/>
            <w:hideMark/>
          </w:tcPr>
          <w:p w14:paraId="716074E4" w14:textId="77777777" w:rsidR="00635943" w:rsidRPr="00B457F5" w:rsidRDefault="00635943" w:rsidP="00635943">
            <w:pPr>
              <w:spacing w:before="0" w:after="0"/>
              <w:jc w:val="left"/>
              <w:rPr>
                <w:rFonts w:ascii="Garamond" w:eastAsia="Times New Roman" w:hAnsi="Garamond" w:cs="Times New Roman"/>
                <w:sz w:val="4"/>
                <w:szCs w:val="4"/>
              </w:rPr>
            </w:pPr>
          </w:p>
        </w:tc>
        <w:tc>
          <w:tcPr>
            <w:tcW w:w="474" w:type="pct"/>
            <w:tcBorders>
              <w:top w:val="nil"/>
              <w:left w:val="nil"/>
              <w:bottom w:val="nil"/>
              <w:right w:val="nil"/>
            </w:tcBorders>
            <w:shd w:val="clear" w:color="auto" w:fill="auto"/>
            <w:noWrap/>
            <w:vAlign w:val="bottom"/>
            <w:hideMark/>
          </w:tcPr>
          <w:p w14:paraId="1C714811" w14:textId="77777777" w:rsidR="00635943" w:rsidRPr="00B457F5" w:rsidRDefault="00635943" w:rsidP="00635943">
            <w:pPr>
              <w:spacing w:before="0" w:after="0"/>
              <w:jc w:val="left"/>
              <w:rPr>
                <w:rFonts w:ascii="Garamond" w:eastAsia="Times New Roman" w:hAnsi="Garamond" w:cs="Times New Roman"/>
                <w:sz w:val="4"/>
                <w:szCs w:val="4"/>
              </w:rPr>
            </w:pPr>
          </w:p>
        </w:tc>
        <w:tc>
          <w:tcPr>
            <w:tcW w:w="196" w:type="pct"/>
            <w:tcBorders>
              <w:top w:val="nil"/>
              <w:left w:val="nil"/>
              <w:bottom w:val="nil"/>
              <w:right w:val="nil"/>
            </w:tcBorders>
            <w:shd w:val="clear" w:color="auto" w:fill="auto"/>
            <w:noWrap/>
            <w:vAlign w:val="bottom"/>
            <w:hideMark/>
          </w:tcPr>
          <w:p w14:paraId="40E663C1" w14:textId="77777777" w:rsidR="00635943" w:rsidRPr="00B457F5" w:rsidRDefault="00635943" w:rsidP="00635943">
            <w:pPr>
              <w:spacing w:before="0" w:after="0"/>
              <w:jc w:val="left"/>
              <w:rPr>
                <w:rFonts w:ascii="Garamond" w:eastAsia="Times New Roman" w:hAnsi="Garamond" w:cs="Times New Roman"/>
                <w:sz w:val="4"/>
                <w:szCs w:val="4"/>
              </w:rPr>
            </w:pPr>
          </w:p>
        </w:tc>
        <w:tc>
          <w:tcPr>
            <w:tcW w:w="231" w:type="pct"/>
            <w:tcBorders>
              <w:top w:val="nil"/>
              <w:left w:val="nil"/>
              <w:bottom w:val="nil"/>
              <w:right w:val="nil"/>
            </w:tcBorders>
            <w:shd w:val="clear" w:color="auto" w:fill="auto"/>
            <w:noWrap/>
            <w:vAlign w:val="bottom"/>
            <w:hideMark/>
          </w:tcPr>
          <w:p w14:paraId="618DCA10" w14:textId="77777777" w:rsidR="00635943" w:rsidRPr="00B457F5" w:rsidRDefault="00635943" w:rsidP="00635943">
            <w:pPr>
              <w:spacing w:before="0" w:after="0"/>
              <w:jc w:val="left"/>
              <w:rPr>
                <w:rFonts w:ascii="Garamond" w:eastAsia="Times New Roman" w:hAnsi="Garamond" w:cs="Times New Roman"/>
                <w:sz w:val="4"/>
                <w:szCs w:val="4"/>
              </w:rPr>
            </w:pPr>
          </w:p>
        </w:tc>
        <w:tc>
          <w:tcPr>
            <w:tcW w:w="259" w:type="pct"/>
            <w:tcBorders>
              <w:top w:val="nil"/>
              <w:left w:val="single" w:sz="4" w:space="0" w:color="auto"/>
              <w:bottom w:val="single" w:sz="4" w:space="0" w:color="auto"/>
              <w:right w:val="single" w:sz="4" w:space="0" w:color="auto"/>
            </w:tcBorders>
            <w:shd w:val="clear" w:color="000000" w:fill="4472C4"/>
            <w:vAlign w:val="center"/>
            <w:hideMark/>
          </w:tcPr>
          <w:p w14:paraId="178DB7AF" w14:textId="36EAF91B"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 xml:space="preserve">Financim i </w:t>
            </w:r>
            <w:r w:rsidR="0028334E" w:rsidRPr="00B457F5">
              <w:rPr>
                <w:rFonts w:ascii="Garamond" w:eastAsia="Times New Roman" w:hAnsi="Garamond" w:cs="Calibri"/>
                <w:color w:val="FFFFFF"/>
                <w:sz w:val="4"/>
                <w:szCs w:val="4"/>
              </w:rPr>
              <w:t>h</w:t>
            </w:r>
            <w:r w:rsidRPr="00B457F5">
              <w:rPr>
                <w:rFonts w:ascii="Garamond" w:eastAsia="Times New Roman" w:hAnsi="Garamond" w:cs="Calibri"/>
                <w:color w:val="FFFFFF"/>
                <w:sz w:val="4"/>
                <w:szCs w:val="4"/>
              </w:rPr>
              <w:t>uaj/</w:t>
            </w:r>
            <w:r w:rsidR="0028334E" w:rsidRPr="00B457F5">
              <w:rPr>
                <w:rFonts w:ascii="Garamond" w:eastAsia="Times New Roman" w:hAnsi="Garamond" w:cs="Calibri"/>
                <w:color w:val="FFFFFF"/>
                <w:sz w:val="4"/>
                <w:szCs w:val="4"/>
              </w:rPr>
              <w:t>b</w:t>
            </w:r>
            <w:r w:rsidRPr="00B457F5">
              <w:rPr>
                <w:rFonts w:ascii="Garamond" w:eastAsia="Times New Roman" w:hAnsi="Garamond" w:cs="Calibri"/>
                <w:color w:val="FFFFFF"/>
                <w:sz w:val="4"/>
                <w:szCs w:val="4"/>
              </w:rPr>
              <w:t>urime t</w:t>
            </w:r>
            <w:r w:rsidR="0028334E" w:rsidRPr="00B457F5">
              <w:rPr>
                <w:rFonts w:ascii="Garamond" w:eastAsia="Times New Roman" w:hAnsi="Garamond" w:cs="Calibri"/>
                <w:color w:val="FFFFFF"/>
                <w:sz w:val="4"/>
                <w:szCs w:val="4"/>
              </w:rPr>
              <w:t>ë</w:t>
            </w:r>
            <w:r w:rsidRPr="00B457F5">
              <w:rPr>
                <w:rFonts w:ascii="Garamond" w:eastAsia="Times New Roman" w:hAnsi="Garamond" w:cs="Calibri"/>
                <w:color w:val="FFFFFF"/>
                <w:sz w:val="4"/>
                <w:szCs w:val="4"/>
              </w:rPr>
              <w:t xml:space="preserve"> tjera</w:t>
            </w:r>
          </w:p>
        </w:tc>
        <w:tc>
          <w:tcPr>
            <w:tcW w:w="278" w:type="pct"/>
            <w:tcBorders>
              <w:top w:val="nil"/>
              <w:left w:val="nil"/>
              <w:bottom w:val="single" w:sz="4" w:space="0" w:color="auto"/>
              <w:right w:val="single" w:sz="4" w:space="0" w:color="auto"/>
            </w:tcBorders>
            <w:shd w:val="clear" w:color="000000" w:fill="4472C4"/>
            <w:noWrap/>
            <w:vAlign w:val="center"/>
            <w:hideMark/>
          </w:tcPr>
          <w:p w14:paraId="32CC6F52" w14:textId="77777777"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300,295,841</w:t>
            </w:r>
          </w:p>
        </w:tc>
        <w:tc>
          <w:tcPr>
            <w:tcW w:w="260" w:type="pct"/>
            <w:tcBorders>
              <w:top w:val="nil"/>
              <w:left w:val="nil"/>
              <w:bottom w:val="nil"/>
              <w:right w:val="nil"/>
            </w:tcBorders>
            <w:shd w:val="clear" w:color="auto" w:fill="auto"/>
            <w:noWrap/>
            <w:vAlign w:val="center"/>
            <w:hideMark/>
          </w:tcPr>
          <w:p w14:paraId="67D75FD9" w14:textId="77777777" w:rsidR="00635943" w:rsidRPr="00B457F5" w:rsidRDefault="00635943" w:rsidP="00635943">
            <w:pPr>
              <w:spacing w:before="0" w:after="0"/>
              <w:jc w:val="center"/>
              <w:rPr>
                <w:rFonts w:ascii="Garamond" w:eastAsia="Times New Roman" w:hAnsi="Garamond" w:cs="Calibri"/>
                <w:color w:val="FFFFFF"/>
                <w:sz w:val="4"/>
                <w:szCs w:val="4"/>
              </w:rPr>
            </w:pPr>
          </w:p>
        </w:tc>
        <w:tc>
          <w:tcPr>
            <w:tcW w:w="313" w:type="pct"/>
            <w:tcBorders>
              <w:top w:val="nil"/>
              <w:left w:val="single" w:sz="4" w:space="0" w:color="auto"/>
              <w:bottom w:val="single" w:sz="4" w:space="0" w:color="auto"/>
              <w:right w:val="single" w:sz="4" w:space="0" w:color="auto"/>
            </w:tcBorders>
            <w:shd w:val="clear" w:color="000000" w:fill="70AD47"/>
            <w:noWrap/>
            <w:vAlign w:val="center"/>
            <w:hideMark/>
          </w:tcPr>
          <w:p w14:paraId="4C84F77A" w14:textId="64CA7FDF"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 xml:space="preserve">Qëllimi i </w:t>
            </w:r>
            <w:r w:rsidR="0028334E" w:rsidRPr="00B457F5">
              <w:rPr>
                <w:rFonts w:ascii="Garamond" w:eastAsia="Times New Roman" w:hAnsi="Garamond" w:cs="Calibri"/>
                <w:color w:val="FFFFFF"/>
                <w:sz w:val="4"/>
                <w:szCs w:val="4"/>
              </w:rPr>
              <w:t>p</w:t>
            </w:r>
            <w:r w:rsidRPr="00B457F5">
              <w:rPr>
                <w:rFonts w:ascii="Garamond" w:eastAsia="Times New Roman" w:hAnsi="Garamond" w:cs="Calibri"/>
                <w:color w:val="FFFFFF"/>
                <w:sz w:val="4"/>
                <w:szCs w:val="4"/>
              </w:rPr>
              <w:t>olitikës III</w:t>
            </w:r>
          </w:p>
        </w:tc>
        <w:tc>
          <w:tcPr>
            <w:tcW w:w="256" w:type="pct"/>
            <w:tcBorders>
              <w:top w:val="nil"/>
              <w:left w:val="nil"/>
              <w:bottom w:val="single" w:sz="4" w:space="0" w:color="auto"/>
              <w:right w:val="single" w:sz="4" w:space="0" w:color="auto"/>
            </w:tcBorders>
            <w:shd w:val="clear" w:color="000000" w:fill="70AD47"/>
            <w:noWrap/>
            <w:vAlign w:val="center"/>
            <w:hideMark/>
          </w:tcPr>
          <w:p w14:paraId="2416CF86" w14:textId="77777777"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97,733,683</w:t>
            </w:r>
          </w:p>
        </w:tc>
        <w:tc>
          <w:tcPr>
            <w:tcW w:w="256" w:type="pct"/>
            <w:tcBorders>
              <w:top w:val="nil"/>
              <w:left w:val="nil"/>
              <w:bottom w:val="single" w:sz="4" w:space="0" w:color="auto"/>
              <w:right w:val="single" w:sz="4" w:space="0" w:color="auto"/>
            </w:tcBorders>
            <w:shd w:val="clear" w:color="000000" w:fill="70AD47"/>
            <w:noWrap/>
            <w:vAlign w:val="center"/>
            <w:hideMark/>
          </w:tcPr>
          <w:p w14:paraId="1A24171B" w14:textId="77777777"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0</w:t>
            </w:r>
          </w:p>
        </w:tc>
        <w:tc>
          <w:tcPr>
            <w:tcW w:w="253" w:type="pct"/>
            <w:tcBorders>
              <w:top w:val="nil"/>
              <w:left w:val="nil"/>
              <w:bottom w:val="single" w:sz="4" w:space="0" w:color="auto"/>
              <w:right w:val="single" w:sz="4" w:space="0" w:color="auto"/>
            </w:tcBorders>
            <w:shd w:val="clear" w:color="000000" w:fill="70AD47"/>
            <w:noWrap/>
            <w:vAlign w:val="center"/>
            <w:hideMark/>
          </w:tcPr>
          <w:p w14:paraId="75972EF6" w14:textId="77777777"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10.1%</w:t>
            </w:r>
          </w:p>
        </w:tc>
        <w:tc>
          <w:tcPr>
            <w:tcW w:w="238" w:type="pct"/>
            <w:tcBorders>
              <w:top w:val="nil"/>
              <w:left w:val="nil"/>
              <w:bottom w:val="nil"/>
              <w:right w:val="nil"/>
            </w:tcBorders>
            <w:shd w:val="clear" w:color="auto" w:fill="auto"/>
            <w:noWrap/>
            <w:vAlign w:val="center"/>
            <w:hideMark/>
          </w:tcPr>
          <w:p w14:paraId="43F1907F" w14:textId="77777777" w:rsidR="00635943" w:rsidRPr="00B457F5" w:rsidRDefault="00635943" w:rsidP="00635943">
            <w:pPr>
              <w:spacing w:before="0" w:after="0"/>
              <w:jc w:val="center"/>
              <w:rPr>
                <w:rFonts w:ascii="Garamond" w:eastAsia="Times New Roman" w:hAnsi="Garamond" w:cs="Calibri"/>
                <w:color w:val="FFFFFF"/>
                <w:sz w:val="4"/>
                <w:szCs w:val="4"/>
              </w:rPr>
            </w:pPr>
          </w:p>
        </w:tc>
        <w:tc>
          <w:tcPr>
            <w:tcW w:w="256" w:type="pct"/>
            <w:tcBorders>
              <w:top w:val="nil"/>
              <w:left w:val="nil"/>
              <w:bottom w:val="nil"/>
              <w:right w:val="nil"/>
            </w:tcBorders>
            <w:shd w:val="clear" w:color="auto" w:fill="auto"/>
            <w:noWrap/>
            <w:vAlign w:val="center"/>
            <w:hideMark/>
          </w:tcPr>
          <w:p w14:paraId="25413F2A" w14:textId="77777777" w:rsidR="00635943" w:rsidRPr="00B457F5" w:rsidRDefault="00635943" w:rsidP="00635943">
            <w:pPr>
              <w:spacing w:before="0" w:after="0"/>
              <w:jc w:val="center"/>
              <w:rPr>
                <w:rFonts w:ascii="Garamond" w:eastAsia="Times New Roman" w:hAnsi="Garamond" w:cs="Times New Roman"/>
                <w:sz w:val="4"/>
                <w:szCs w:val="4"/>
              </w:rPr>
            </w:pPr>
          </w:p>
        </w:tc>
        <w:tc>
          <w:tcPr>
            <w:tcW w:w="205" w:type="pct"/>
            <w:tcBorders>
              <w:top w:val="nil"/>
              <w:left w:val="nil"/>
              <w:bottom w:val="nil"/>
              <w:right w:val="nil"/>
            </w:tcBorders>
            <w:shd w:val="clear" w:color="auto" w:fill="auto"/>
            <w:noWrap/>
            <w:vAlign w:val="center"/>
            <w:hideMark/>
          </w:tcPr>
          <w:p w14:paraId="5320FEBB" w14:textId="77777777" w:rsidR="00635943" w:rsidRPr="00B457F5" w:rsidRDefault="00635943" w:rsidP="00635943">
            <w:pPr>
              <w:spacing w:before="0" w:after="0"/>
              <w:jc w:val="center"/>
              <w:rPr>
                <w:rFonts w:ascii="Garamond" w:eastAsia="Times New Roman" w:hAnsi="Garamond" w:cs="Times New Roman"/>
                <w:sz w:val="4"/>
                <w:szCs w:val="4"/>
              </w:rPr>
            </w:pPr>
          </w:p>
        </w:tc>
        <w:tc>
          <w:tcPr>
            <w:tcW w:w="211" w:type="pct"/>
            <w:tcBorders>
              <w:top w:val="nil"/>
              <w:left w:val="nil"/>
              <w:bottom w:val="nil"/>
              <w:right w:val="nil"/>
            </w:tcBorders>
            <w:shd w:val="clear" w:color="auto" w:fill="auto"/>
            <w:noWrap/>
            <w:vAlign w:val="center"/>
            <w:hideMark/>
          </w:tcPr>
          <w:p w14:paraId="33D928EC" w14:textId="77777777" w:rsidR="00635943" w:rsidRPr="00B457F5" w:rsidRDefault="00635943" w:rsidP="00635943">
            <w:pPr>
              <w:spacing w:before="0" w:after="0"/>
              <w:jc w:val="center"/>
              <w:rPr>
                <w:rFonts w:ascii="Garamond" w:eastAsia="Times New Roman" w:hAnsi="Garamond" w:cs="Times New Roman"/>
                <w:sz w:val="4"/>
                <w:szCs w:val="4"/>
              </w:rPr>
            </w:pPr>
          </w:p>
        </w:tc>
        <w:tc>
          <w:tcPr>
            <w:tcW w:w="177" w:type="pct"/>
            <w:tcBorders>
              <w:top w:val="nil"/>
              <w:left w:val="nil"/>
              <w:bottom w:val="nil"/>
              <w:right w:val="nil"/>
            </w:tcBorders>
            <w:shd w:val="clear" w:color="auto" w:fill="auto"/>
            <w:noWrap/>
            <w:vAlign w:val="center"/>
            <w:hideMark/>
          </w:tcPr>
          <w:p w14:paraId="2D03A92C" w14:textId="77777777" w:rsidR="00635943" w:rsidRPr="00B457F5" w:rsidRDefault="00635943" w:rsidP="00635943">
            <w:pPr>
              <w:spacing w:before="0" w:after="0"/>
              <w:jc w:val="center"/>
              <w:rPr>
                <w:rFonts w:ascii="Garamond" w:eastAsia="Times New Roman" w:hAnsi="Garamond" w:cs="Times New Roman"/>
                <w:sz w:val="4"/>
                <w:szCs w:val="4"/>
              </w:rPr>
            </w:pPr>
          </w:p>
        </w:tc>
        <w:tc>
          <w:tcPr>
            <w:tcW w:w="284" w:type="pct"/>
            <w:tcBorders>
              <w:top w:val="nil"/>
              <w:left w:val="nil"/>
              <w:bottom w:val="nil"/>
              <w:right w:val="nil"/>
            </w:tcBorders>
            <w:shd w:val="clear" w:color="auto" w:fill="auto"/>
            <w:noWrap/>
            <w:vAlign w:val="center"/>
            <w:hideMark/>
          </w:tcPr>
          <w:p w14:paraId="007DC2BF" w14:textId="77777777" w:rsidR="00635943" w:rsidRPr="00B457F5" w:rsidRDefault="00635943" w:rsidP="00635943">
            <w:pPr>
              <w:spacing w:before="0" w:after="0"/>
              <w:jc w:val="center"/>
              <w:rPr>
                <w:rFonts w:ascii="Garamond" w:eastAsia="Times New Roman" w:hAnsi="Garamond" w:cs="Times New Roman"/>
                <w:sz w:val="4"/>
                <w:szCs w:val="4"/>
              </w:rPr>
            </w:pPr>
          </w:p>
        </w:tc>
        <w:tc>
          <w:tcPr>
            <w:tcW w:w="244" w:type="pct"/>
            <w:tcBorders>
              <w:top w:val="nil"/>
              <w:left w:val="nil"/>
              <w:bottom w:val="nil"/>
              <w:right w:val="nil"/>
            </w:tcBorders>
            <w:shd w:val="clear" w:color="auto" w:fill="auto"/>
            <w:noWrap/>
            <w:vAlign w:val="center"/>
            <w:hideMark/>
          </w:tcPr>
          <w:p w14:paraId="73A4D0FB" w14:textId="77777777" w:rsidR="00635943" w:rsidRPr="00B457F5" w:rsidRDefault="00635943" w:rsidP="00635943">
            <w:pPr>
              <w:spacing w:before="0" w:after="0"/>
              <w:jc w:val="center"/>
              <w:rPr>
                <w:rFonts w:ascii="Garamond" w:eastAsia="Times New Roman" w:hAnsi="Garamond" w:cs="Times New Roman"/>
                <w:sz w:val="4"/>
                <w:szCs w:val="4"/>
              </w:rPr>
            </w:pPr>
          </w:p>
        </w:tc>
      </w:tr>
      <w:tr w:rsidR="0028334E" w:rsidRPr="00B457F5" w14:paraId="58DF6080" w14:textId="77777777" w:rsidTr="00635943">
        <w:trPr>
          <w:trHeight w:val="20"/>
        </w:trPr>
        <w:tc>
          <w:tcPr>
            <w:tcW w:w="343" w:type="pct"/>
            <w:tcBorders>
              <w:top w:val="nil"/>
              <w:left w:val="nil"/>
              <w:bottom w:val="nil"/>
              <w:right w:val="nil"/>
            </w:tcBorders>
            <w:shd w:val="clear" w:color="auto" w:fill="auto"/>
            <w:noWrap/>
            <w:vAlign w:val="bottom"/>
            <w:hideMark/>
          </w:tcPr>
          <w:p w14:paraId="287C5AFF" w14:textId="77777777" w:rsidR="00635943" w:rsidRPr="00B457F5" w:rsidRDefault="00635943" w:rsidP="00635943">
            <w:pPr>
              <w:spacing w:before="0" w:after="0"/>
              <w:jc w:val="center"/>
              <w:rPr>
                <w:rFonts w:ascii="Garamond" w:eastAsia="Times New Roman" w:hAnsi="Garamond" w:cs="Times New Roman"/>
                <w:sz w:val="4"/>
                <w:szCs w:val="4"/>
              </w:rPr>
            </w:pPr>
          </w:p>
        </w:tc>
        <w:tc>
          <w:tcPr>
            <w:tcW w:w="266" w:type="pct"/>
            <w:tcBorders>
              <w:top w:val="nil"/>
              <w:left w:val="nil"/>
              <w:bottom w:val="nil"/>
              <w:right w:val="nil"/>
            </w:tcBorders>
            <w:shd w:val="clear" w:color="auto" w:fill="auto"/>
            <w:noWrap/>
            <w:vAlign w:val="bottom"/>
            <w:hideMark/>
          </w:tcPr>
          <w:p w14:paraId="45BBAB06" w14:textId="77777777" w:rsidR="00635943" w:rsidRPr="00B457F5" w:rsidRDefault="00635943" w:rsidP="00635943">
            <w:pPr>
              <w:spacing w:before="0" w:after="0"/>
              <w:jc w:val="left"/>
              <w:rPr>
                <w:rFonts w:ascii="Garamond" w:eastAsia="Times New Roman" w:hAnsi="Garamond" w:cs="Times New Roman"/>
                <w:sz w:val="4"/>
                <w:szCs w:val="4"/>
              </w:rPr>
            </w:pPr>
          </w:p>
        </w:tc>
        <w:tc>
          <w:tcPr>
            <w:tcW w:w="474" w:type="pct"/>
            <w:tcBorders>
              <w:top w:val="nil"/>
              <w:left w:val="nil"/>
              <w:bottom w:val="nil"/>
              <w:right w:val="nil"/>
            </w:tcBorders>
            <w:shd w:val="clear" w:color="auto" w:fill="auto"/>
            <w:noWrap/>
            <w:vAlign w:val="bottom"/>
            <w:hideMark/>
          </w:tcPr>
          <w:p w14:paraId="4B9CDC79" w14:textId="77777777" w:rsidR="00635943" w:rsidRPr="00B457F5" w:rsidRDefault="00635943" w:rsidP="00635943">
            <w:pPr>
              <w:spacing w:before="0" w:after="0"/>
              <w:jc w:val="left"/>
              <w:rPr>
                <w:rFonts w:ascii="Garamond" w:eastAsia="Times New Roman" w:hAnsi="Garamond" w:cs="Times New Roman"/>
                <w:sz w:val="4"/>
                <w:szCs w:val="4"/>
              </w:rPr>
            </w:pPr>
          </w:p>
        </w:tc>
        <w:tc>
          <w:tcPr>
            <w:tcW w:w="196" w:type="pct"/>
            <w:tcBorders>
              <w:top w:val="nil"/>
              <w:left w:val="nil"/>
              <w:bottom w:val="nil"/>
              <w:right w:val="nil"/>
            </w:tcBorders>
            <w:shd w:val="clear" w:color="auto" w:fill="auto"/>
            <w:noWrap/>
            <w:vAlign w:val="bottom"/>
            <w:hideMark/>
          </w:tcPr>
          <w:p w14:paraId="5BC2D8E2" w14:textId="77777777" w:rsidR="00635943" w:rsidRPr="00B457F5" w:rsidRDefault="00635943" w:rsidP="00635943">
            <w:pPr>
              <w:spacing w:before="0" w:after="0"/>
              <w:jc w:val="left"/>
              <w:rPr>
                <w:rFonts w:ascii="Garamond" w:eastAsia="Times New Roman" w:hAnsi="Garamond" w:cs="Times New Roman"/>
                <w:sz w:val="4"/>
                <w:szCs w:val="4"/>
              </w:rPr>
            </w:pPr>
          </w:p>
        </w:tc>
        <w:tc>
          <w:tcPr>
            <w:tcW w:w="231" w:type="pct"/>
            <w:tcBorders>
              <w:top w:val="nil"/>
              <w:left w:val="nil"/>
              <w:bottom w:val="nil"/>
              <w:right w:val="nil"/>
            </w:tcBorders>
            <w:shd w:val="clear" w:color="auto" w:fill="auto"/>
            <w:noWrap/>
            <w:vAlign w:val="bottom"/>
            <w:hideMark/>
          </w:tcPr>
          <w:p w14:paraId="5D074884" w14:textId="77777777" w:rsidR="00635943" w:rsidRPr="00B457F5" w:rsidRDefault="00635943" w:rsidP="00635943">
            <w:pPr>
              <w:spacing w:before="0" w:after="0"/>
              <w:jc w:val="left"/>
              <w:rPr>
                <w:rFonts w:ascii="Garamond" w:eastAsia="Times New Roman" w:hAnsi="Garamond" w:cs="Times New Roman"/>
                <w:sz w:val="4"/>
                <w:szCs w:val="4"/>
              </w:rPr>
            </w:pPr>
          </w:p>
        </w:tc>
        <w:tc>
          <w:tcPr>
            <w:tcW w:w="259" w:type="pct"/>
            <w:tcBorders>
              <w:top w:val="nil"/>
              <w:left w:val="single" w:sz="4" w:space="0" w:color="auto"/>
              <w:bottom w:val="single" w:sz="4" w:space="0" w:color="auto"/>
              <w:right w:val="single" w:sz="4" w:space="0" w:color="auto"/>
            </w:tcBorders>
            <w:shd w:val="clear" w:color="000000" w:fill="4472C4"/>
            <w:vAlign w:val="center"/>
            <w:hideMark/>
          </w:tcPr>
          <w:p w14:paraId="7B75D7CD" w14:textId="5B630547"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Buxheti 2027</w:t>
            </w:r>
            <w:r w:rsidR="0028334E" w:rsidRPr="00B457F5">
              <w:rPr>
                <w:rFonts w:ascii="Garamond" w:eastAsia="Times New Roman" w:hAnsi="Garamond" w:cs="Calibri"/>
                <w:color w:val="FFFFFF"/>
                <w:sz w:val="4"/>
                <w:szCs w:val="4"/>
              </w:rPr>
              <w:t>–</w:t>
            </w:r>
            <w:r w:rsidRPr="00B457F5">
              <w:rPr>
                <w:rFonts w:ascii="Garamond" w:eastAsia="Times New Roman" w:hAnsi="Garamond" w:cs="Calibri"/>
                <w:color w:val="FFFFFF"/>
                <w:sz w:val="4"/>
                <w:szCs w:val="4"/>
              </w:rPr>
              <w:t>2030</w:t>
            </w:r>
          </w:p>
        </w:tc>
        <w:tc>
          <w:tcPr>
            <w:tcW w:w="278" w:type="pct"/>
            <w:tcBorders>
              <w:top w:val="nil"/>
              <w:left w:val="nil"/>
              <w:bottom w:val="single" w:sz="4" w:space="0" w:color="auto"/>
              <w:right w:val="single" w:sz="4" w:space="0" w:color="auto"/>
            </w:tcBorders>
            <w:shd w:val="clear" w:color="000000" w:fill="4472C4"/>
            <w:noWrap/>
            <w:vAlign w:val="center"/>
            <w:hideMark/>
          </w:tcPr>
          <w:p w14:paraId="72E4CA3B" w14:textId="77777777"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0</w:t>
            </w:r>
          </w:p>
        </w:tc>
        <w:tc>
          <w:tcPr>
            <w:tcW w:w="260" w:type="pct"/>
            <w:tcBorders>
              <w:top w:val="nil"/>
              <w:left w:val="nil"/>
              <w:bottom w:val="nil"/>
              <w:right w:val="nil"/>
            </w:tcBorders>
            <w:shd w:val="clear" w:color="auto" w:fill="auto"/>
            <w:noWrap/>
            <w:vAlign w:val="center"/>
            <w:hideMark/>
          </w:tcPr>
          <w:p w14:paraId="4E2F35E4" w14:textId="77777777" w:rsidR="00635943" w:rsidRPr="00B457F5" w:rsidRDefault="00635943" w:rsidP="00635943">
            <w:pPr>
              <w:spacing w:before="0" w:after="0"/>
              <w:jc w:val="center"/>
              <w:rPr>
                <w:rFonts w:ascii="Garamond" w:eastAsia="Times New Roman" w:hAnsi="Garamond" w:cs="Calibri"/>
                <w:color w:val="FFFFFF"/>
                <w:sz w:val="4"/>
                <w:szCs w:val="4"/>
              </w:rPr>
            </w:pPr>
          </w:p>
        </w:tc>
        <w:tc>
          <w:tcPr>
            <w:tcW w:w="313" w:type="pct"/>
            <w:tcBorders>
              <w:top w:val="nil"/>
              <w:left w:val="single" w:sz="4" w:space="0" w:color="auto"/>
              <w:bottom w:val="single" w:sz="4" w:space="0" w:color="auto"/>
              <w:right w:val="single" w:sz="4" w:space="0" w:color="auto"/>
            </w:tcBorders>
            <w:shd w:val="clear" w:color="000000" w:fill="70AD47"/>
            <w:noWrap/>
            <w:vAlign w:val="center"/>
            <w:hideMark/>
          </w:tcPr>
          <w:p w14:paraId="04333A6F" w14:textId="3F27ED19"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 xml:space="preserve">Qëllimi i </w:t>
            </w:r>
            <w:r w:rsidR="0028334E" w:rsidRPr="00B457F5">
              <w:rPr>
                <w:rFonts w:ascii="Garamond" w:eastAsia="Times New Roman" w:hAnsi="Garamond" w:cs="Calibri"/>
                <w:color w:val="FFFFFF"/>
                <w:sz w:val="4"/>
                <w:szCs w:val="4"/>
              </w:rPr>
              <w:t>p</w:t>
            </w:r>
            <w:r w:rsidRPr="00B457F5">
              <w:rPr>
                <w:rFonts w:ascii="Garamond" w:eastAsia="Times New Roman" w:hAnsi="Garamond" w:cs="Calibri"/>
                <w:color w:val="FFFFFF"/>
                <w:sz w:val="4"/>
                <w:szCs w:val="4"/>
              </w:rPr>
              <w:t>olitikës IV</w:t>
            </w:r>
          </w:p>
        </w:tc>
        <w:tc>
          <w:tcPr>
            <w:tcW w:w="256" w:type="pct"/>
            <w:tcBorders>
              <w:top w:val="nil"/>
              <w:left w:val="nil"/>
              <w:bottom w:val="single" w:sz="4" w:space="0" w:color="auto"/>
              <w:right w:val="single" w:sz="4" w:space="0" w:color="auto"/>
            </w:tcBorders>
            <w:shd w:val="clear" w:color="000000" w:fill="70AD47"/>
            <w:noWrap/>
            <w:vAlign w:val="center"/>
            <w:hideMark/>
          </w:tcPr>
          <w:p w14:paraId="3C555631" w14:textId="77777777"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109,157,899</w:t>
            </w:r>
          </w:p>
        </w:tc>
        <w:tc>
          <w:tcPr>
            <w:tcW w:w="256" w:type="pct"/>
            <w:tcBorders>
              <w:top w:val="nil"/>
              <w:left w:val="nil"/>
              <w:bottom w:val="single" w:sz="4" w:space="0" w:color="auto"/>
              <w:right w:val="single" w:sz="4" w:space="0" w:color="auto"/>
            </w:tcBorders>
            <w:shd w:val="clear" w:color="000000" w:fill="70AD47"/>
            <w:noWrap/>
            <w:vAlign w:val="center"/>
            <w:hideMark/>
          </w:tcPr>
          <w:p w14:paraId="30D8738A" w14:textId="77777777"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19,550,000</w:t>
            </w:r>
          </w:p>
        </w:tc>
        <w:tc>
          <w:tcPr>
            <w:tcW w:w="253" w:type="pct"/>
            <w:tcBorders>
              <w:top w:val="nil"/>
              <w:left w:val="nil"/>
              <w:bottom w:val="single" w:sz="4" w:space="0" w:color="auto"/>
              <w:right w:val="single" w:sz="4" w:space="0" w:color="auto"/>
            </w:tcBorders>
            <w:shd w:val="clear" w:color="000000" w:fill="70AD47"/>
            <w:noWrap/>
            <w:vAlign w:val="center"/>
            <w:hideMark/>
          </w:tcPr>
          <w:p w14:paraId="7AD53186" w14:textId="77777777"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13.3%</w:t>
            </w:r>
          </w:p>
        </w:tc>
        <w:tc>
          <w:tcPr>
            <w:tcW w:w="238" w:type="pct"/>
            <w:tcBorders>
              <w:top w:val="nil"/>
              <w:left w:val="nil"/>
              <w:bottom w:val="nil"/>
              <w:right w:val="nil"/>
            </w:tcBorders>
            <w:shd w:val="clear" w:color="auto" w:fill="auto"/>
            <w:noWrap/>
            <w:vAlign w:val="center"/>
            <w:hideMark/>
          </w:tcPr>
          <w:p w14:paraId="5FD9CAF4" w14:textId="77777777" w:rsidR="00635943" w:rsidRPr="00B457F5" w:rsidRDefault="00635943" w:rsidP="00635943">
            <w:pPr>
              <w:spacing w:before="0" w:after="0"/>
              <w:jc w:val="center"/>
              <w:rPr>
                <w:rFonts w:ascii="Garamond" w:eastAsia="Times New Roman" w:hAnsi="Garamond" w:cs="Calibri"/>
                <w:color w:val="FFFFFF"/>
                <w:sz w:val="4"/>
                <w:szCs w:val="4"/>
              </w:rPr>
            </w:pPr>
          </w:p>
        </w:tc>
        <w:tc>
          <w:tcPr>
            <w:tcW w:w="256" w:type="pct"/>
            <w:tcBorders>
              <w:top w:val="nil"/>
              <w:left w:val="nil"/>
              <w:bottom w:val="nil"/>
              <w:right w:val="nil"/>
            </w:tcBorders>
            <w:shd w:val="clear" w:color="auto" w:fill="auto"/>
            <w:noWrap/>
            <w:vAlign w:val="center"/>
            <w:hideMark/>
          </w:tcPr>
          <w:p w14:paraId="414BD46C" w14:textId="77777777" w:rsidR="00635943" w:rsidRPr="00B457F5" w:rsidRDefault="00635943" w:rsidP="00635943">
            <w:pPr>
              <w:spacing w:before="0" w:after="0"/>
              <w:jc w:val="center"/>
              <w:rPr>
                <w:rFonts w:ascii="Garamond" w:eastAsia="Times New Roman" w:hAnsi="Garamond" w:cs="Times New Roman"/>
                <w:sz w:val="4"/>
                <w:szCs w:val="4"/>
              </w:rPr>
            </w:pPr>
          </w:p>
        </w:tc>
        <w:tc>
          <w:tcPr>
            <w:tcW w:w="205" w:type="pct"/>
            <w:tcBorders>
              <w:top w:val="nil"/>
              <w:left w:val="nil"/>
              <w:bottom w:val="nil"/>
              <w:right w:val="nil"/>
            </w:tcBorders>
            <w:shd w:val="clear" w:color="auto" w:fill="auto"/>
            <w:noWrap/>
            <w:vAlign w:val="center"/>
            <w:hideMark/>
          </w:tcPr>
          <w:p w14:paraId="15210EA6" w14:textId="77777777" w:rsidR="00635943" w:rsidRPr="00B457F5" w:rsidRDefault="00635943" w:rsidP="00635943">
            <w:pPr>
              <w:spacing w:before="0" w:after="0"/>
              <w:jc w:val="center"/>
              <w:rPr>
                <w:rFonts w:ascii="Garamond" w:eastAsia="Times New Roman" w:hAnsi="Garamond" w:cs="Times New Roman"/>
                <w:sz w:val="4"/>
                <w:szCs w:val="4"/>
              </w:rPr>
            </w:pPr>
          </w:p>
        </w:tc>
        <w:tc>
          <w:tcPr>
            <w:tcW w:w="211" w:type="pct"/>
            <w:tcBorders>
              <w:top w:val="nil"/>
              <w:left w:val="nil"/>
              <w:bottom w:val="nil"/>
              <w:right w:val="nil"/>
            </w:tcBorders>
            <w:shd w:val="clear" w:color="auto" w:fill="auto"/>
            <w:noWrap/>
            <w:vAlign w:val="center"/>
            <w:hideMark/>
          </w:tcPr>
          <w:p w14:paraId="303BC0DC" w14:textId="77777777" w:rsidR="00635943" w:rsidRPr="00B457F5" w:rsidRDefault="00635943" w:rsidP="00635943">
            <w:pPr>
              <w:spacing w:before="0" w:after="0"/>
              <w:jc w:val="center"/>
              <w:rPr>
                <w:rFonts w:ascii="Garamond" w:eastAsia="Times New Roman" w:hAnsi="Garamond" w:cs="Times New Roman"/>
                <w:sz w:val="4"/>
                <w:szCs w:val="4"/>
              </w:rPr>
            </w:pPr>
          </w:p>
        </w:tc>
        <w:tc>
          <w:tcPr>
            <w:tcW w:w="177" w:type="pct"/>
            <w:tcBorders>
              <w:top w:val="nil"/>
              <w:left w:val="nil"/>
              <w:bottom w:val="nil"/>
              <w:right w:val="nil"/>
            </w:tcBorders>
            <w:shd w:val="clear" w:color="auto" w:fill="auto"/>
            <w:noWrap/>
            <w:vAlign w:val="center"/>
            <w:hideMark/>
          </w:tcPr>
          <w:p w14:paraId="7F62877E" w14:textId="77777777" w:rsidR="00635943" w:rsidRPr="00B457F5" w:rsidRDefault="00635943" w:rsidP="00635943">
            <w:pPr>
              <w:spacing w:before="0" w:after="0"/>
              <w:jc w:val="center"/>
              <w:rPr>
                <w:rFonts w:ascii="Garamond" w:eastAsia="Times New Roman" w:hAnsi="Garamond" w:cs="Times New Roman"/>
                <w:sz w:val="4"/>
                <w:szCs w:val="4"/>
              </w:rPr>
            </w:pPr>
          </w:p>
        </w:tc>
        <w:tc>
          <w:tcPr>
            <w:tcW w:w="284" w:type="pct"/>
            <w:tcBorders>
              <w:top w:val="nil"/>
              <w:left w:val="nil"/>
              <w:bottom w:val="nil"/>
              <w:right w:val="nil"/>
            </w:tcBorders>
            <w:shd w:val="clear" w:color="auto" w:fill="auto"/>
            <w:noWrap/>
            <w:vAlign w:val="center"/>
            <w:hideMark/>
          </w:tcPr>
          <w:p w14:paraId="01F4E93C" w14:textId="77777777" w:rsidR="00635943" w:rsidRPr="00B457F5" w:rsidRDefault="00635943" w:rsidP="00635943">
            <w:pPr>
              <w:spacing w:before="0" w:after="0"/>
              <w:jc w:val="center"/>
              <w:rPr>
                <w:rFonts w:ascii="Garamond" w:eastAsia="Times New Roman" w:hAnsi="Garamond" w:cs="Times New Roman"/>
                <w:sz w:val="4"/>
                <w:szCs w:val="4"/>
              </w:rPr>
            </w:pPr>
          </w:p>
        </w:tc>
        <w:tc>
          <w:tcPr>
            <w:tcW w:w="244" w:type="pct"/>
            <w:tcBorders>
              <w:top w:val="nil"/>
              <w:left w:val="nil"/>
              <w:bottom w:val="nil"/>
              <w:right w:val="nil"/>
            </w:tcBorders>
            <w:shd w:val="clear" w:color="auto" w:fill="auto"/>
            <w:noWrap/>
            <w:vAlign w:val="center"/>
            <w:hideMark/>
          </w:tcPr>
          <w:p w14:paraId="2BA44B09" w14:textId="77777777" w:rsidR="00635943" w:rsidRPr="00B457F5" w:rsidRDefault="00635943" w:rsidP="00635943">
            <w:pPr>
              <w:spacing w:before="0" w:after="0"/>
              <w:jc w:val="center"/>
              <w:rPr>
                <w:rFonts w:ascii="Garamond" w:eastAsia="Times New Roman" w:hAnsi="Garamond" w:cs="Times New Roman"/>
                <w:sz w:val="4"/>
                <w:szCs w:val="4"/>
              </w:rPr>
            </w:pPr>
          </w:p>
        </w:tc>
      </w:tr>
      <w:tr w:rsidR="0028334E" w:rsidRPr="00B457F5" w14:paraId="2CC25D75" w14:textId="77777777" w:rsidTr="00635943">
        <w:trPr>
          <w:trHeight w:val="20"/>
        </w:trPr>
        <w:tc>
          <w:tcPr>
            <w:tcW w:w="343" w:type="pct"/>
            <w:tcBorders>
              <w:top w:val="nil"/>
              <w:left w:val="nil"/>
              <w:bottom w:val="nil"/>
              <w:right w:val="nil"/>
            </w:tcBorders>
            <w:shd w:val="clear" w:color="auto" w:fill="auto"/>
            <w:noWrap/>
            <w:vAlign w:val="bottom"/>
            <w:hideMark/>
          </w:tcPr>
          <w:p w14:paraId="0C86033E" w14:textId="77777777" w:rsidR="00635943" w:rsidRPr="00B457F5" w:rsidRDefault="00635943" w:rsidP="00635943">
            <w:pPr>
              <w:spacing w:before="0" w:after="0"/>
              <w:jc w:val="center"/>
              <w:rPr>
                <w:rFonts w:ascii="Garamond" w:eastAsia="Times New Roman" w:hAnsi="Garamond" w:cs="Times New Roman"/>
                <w:sz w:val="4"/>
                <w:szCs w:val="4"/>
              </w:rPr>
            </w:pPr>
          </w:p>
        </w:tc>
        <w:tc>
          <w:tcPr>
            <w:tcW w:w="266" w:type="pct"/>
            <w:tcBorders>
              <w:top w:val="nil"/>
              <w:left w:val="nil"/>
              <w:bottom w:val="nil"/>
              <w:right w:val="nil"/>
            </w:tcBorders>
            <w:shd w:val="clear" w:color="auto" w:fill="auto"/>
            <w:noWrap/>
            <w:vAlign w:val="bottom"/>
            <w:hideMark/>
          </w:tcPr>
          <w:p w14:paraId="0C3714DA" w14:textId="77777777" w:rsidR="00635943" w:rsidRPr="00B457F5" w:rsidRDefault="00635943" w:rsidP="00635943">
            <w:pPr>
              <w:spacing w:before="0" w:after="0"/>
              <w:jc w:val="left"/>
              <w:rPr>
                <w:rFonts w:ascii="Garamond" w:eastAsia="Times New Roman" w:hAnsi="Garamond" w:cs="Times New Roman"/>
                <w:sz w:val="4"/>
                <w:szCs w:val="4"/>
              </w:rPr>
            </w:pPr>
          </w:p>
        </w:tc>
        <w:tc>
          <w:tcPr>
            <w:tcW w:w="474" w:type="pct"/>
            <w:tcBorders>
              <w:top w:val="nil"/>
              <w:left w:val="nil"/>
              <w:bottom w:val="nil"/>
              <w:right w:val="nil"/>
            </w:tcBorders>
            <w:shd w:val="clear" w:color="auto" w:fill="auto"/>
            <w:noWrap/>
            <w:vAlign w:val="bottom"/>
            <w:hideMark/>
          </w:tcPr>
          <w:p w14:paraId="3827B2EE" w14:textId="77777777" w:rsidR="00635943" w:rsidRPr="00B457F5" w:rsidRDefault="00635943" w:rsidP="00635943">
            <w:pPr>
              <w:spacing w:before="0" w:after="0"/>
              <w:jc w:val="left"/>
              <w:rPr>
                <w:rFonts w:ascii="Garamond" w:eastAsia="Times New Roman" w:hAnsi="Garamond" w:cs="Times New Roman"/>
                <w:sz w:val="4"/>
                <w:szCs w:val="4"/>
              </w:rPr>
            </w:pPr>
          </w:p>
        </w:tc>
        <w:tc>
          <w:tcPr>
            <w:tcW w:w="196" w:type="pct"/>
            <w:tcBorders>
              <w:top w:val="nil"/>
              <w:left w:val="nil"/>
              <w:bottom w:val="nil"/>
              <w:right w:val="nil"/>
            </w:tcBorders>
            <w:shd w:val="clear" w:color="auto" w:fill="auto"/>
            <w:noWrap/>
            <w:vAlign w:val="bottom"/>
            <w:hideMark/>
          </w:tcPr>
          <w:p w14:paraId="66083617" w14:textId="77777777" w:rsidR="00635943" w:rsidRPr="00B457F5" w:rsidRDefault="00635943" w:rsidP="00635943">
            <w:pPr>
              <w:spacing w:before="0" w:after="0"/>
              <w:jc w:val="left"/>
              <w:rPr>
                <w:rFonts w:ascii="Garamond" w:eastAsia="Times New Roman" w:hAnsi="Garamond" w:cs="Times New Roman"/>
                <w:sz w:val="4"/>
                <w:szCs w:val="4"/>
              </w:rPr>
            </w:pPr>
          </w:p>
        </w:tc>
        <w:tc>
          <w:tcPr>
            <w:tcW w:w="231" w:type="pct"/>
            <w:tcBorders>
              <w:top w:val="nil"/>
              <w:left w:val="nil"/>
              <w:bottom w:val="nil"/>
              <w:right w:val="nil"/>
            </w:tcBorders>
            <w:shd w:val="clear" w:color="auto" w:fill="auto"/>
            <w:noWrap/>
            <w:vAlign w:val="bottom"/>
            <w:hideMark/>
          </w:tcPr>
          <w:p w14:paraId="64100431" w14:textId="77777777" w:rsidR="00635943" w:rsidRPr="00B457F5" w:rsidRDefault="00635943" w:rsidP="00635943">
            <w:pPr>
              <w:spacing w:before="0" w:after="0"/>
              <w:jc w:val="left"/>
              <w:rPr>
                <w:rFonts w:ascii="Garamond" w:eastAsia="Times New Roman" w:hAnsi="Garamond" w:cs="Times New Roman"/>
                <w:sz w:val="4"/>
                <w:szCs w:val="4"/>
              </w:rPr>
            </w:pPr>
          </w:p>
        </w:tc>
        <w:tc>
          <w:tcPr>
            <w:tcW w:w="259" w:type="pct"/>
            <w:tcBorders>
              <w:top w:val="nil"/>
              <w:left w:val="single" w:sz="4" w:space="0" w:color="auto"/>
              <w:bottom w:val="single" w:sz="4" w:space="0" w:color="auto"/>
              <w:right w:val="single" w:sz="4" w:space="0" w:color="auto"/>
            </w:tcBorders>
            <w:shd w:val="clear" w:color="000000" w:fill="4472C4"/>
            <w:vAlign w:val="center"/>
            <w:hideMark/>
          </w:tcPr>
          <w:p w14:paraId="557DC4F5" w14:textId="718AFCE4"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Hendek</w:t>
            </w:r>
            <w:r w:rsidR="0028334E" w:rsidRPr="00B457F5">
              <w:rPr>
                <w:rFonts w:ascii="Garamond" w:eastAsia="Times New Roman" w:hAnsi="Garamond" w:cs="Calibri"/>
                <w:color w:val="FFFFFF"/>
                <w:sz w:val="4"/>
                <w:szCs w:val="4"/>
              </w:rPr>
              <w:t>u</w:t>
            </w:r>
            <w:r w:rsidRPr="00B457F5">
              <w:rPr>
                <w:rFonts w:ascii="Garamond" w:eastAsia="Times New Roman" w:hAnsi="Garamond" w:cs="Calibri"/>
                <w:color w:val="FFFFFF"/>
                <w:sz w:val="4"/>
                <w:szCs w:val="4"/>
              </w:rPr>
              <w:t xml:space="preserve"> financiar 2024</w:t>
            </w:r>
            <w:r w:rsidR="0028334E" w:rsidRPr="00B457F5">
              <w:rPr>
                <w:rFonts w:ascii="Garamond" w:eastAsia="Times New Roman" w:hAnsi="Garamond" w:cs="Calibri"/>
                <w:color w:val="FFFFFF"/>
                <w:sz w:val="4"/>
                <w:szCs w:val="4"/>
              </w:rPr>
              <w:t>–</w:t>
            </w:r>
            <w:r w:rsidRPr="00B457F5">
              <w:rPr>
                <w:rFonts w:ascii="Garamond" w:eastAsia="Times New Roman" w:hAnsi="Garamond" w:cs="Calibri"/>
                <w:color w:val="FFFFFF"/>
                <w:sz w:val="4"/>
                <w:szCs w:val="4"/>
              </w:rPr>
              <w:t>2026</w:t>
            </w:r>
          </w:p>
        </w:tc>
        <w:tc>
          <w:tcPr>
            <w:tcW w:w="278" w:type="pct"/>
            <w:tcBorders>
              <w:top w:val="nil"/>
              <w:left w:val="nil"/>
              <w:bottom w:val="single" w:sz="4" w:space="0" w:color="auto"/>
              <w:right w:val="single" w:sz="4" w:space="0" w:color="auto"/>
            </w:tcBorders>
            <w:shd w:val="clear" w:color="000000" w:fill="4472C4"/>
            <w:noWrap/>
            <w:vAlign w:val="center"/>
            <w:hideMark/>
          </w:tcPr>
          <w:p w14:paraId="54F9E031" w14:textId="22474D41" w:rsidR="00635943" w:rsidRPr="00B457F5" w:rsidRDefault="0006016F"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 xml:space="preserve"> </w:t>
            </w:r>
            <w:r w:rsidR="00635943" w:rsidRPr="00B457F5">
              <w:rPr>
                <w:rFonts w:ascii="Garamond" w:eastAsia="Times New Roman" w:hAnsi="Garamond" w:cs="Calibri"/>
                <w:color w:val="FFFFFF"/>
                <w:sz w:val="4"/>
                <w:szCs w:val="4"/>
              </w:rPr>
              <w:t>(187,272,653)</w:t>
            </w:r>
          </w:p>
        </w:tc>
        <w:tc>
          <w:tcPr>
            <w:tcW w:w="260" w:type="pct"/>
            <w:tcBorders>
              <w:top w:val="nil"/>
              <w:left w:val="nil"/>
              <w:bottom w:val="nil"/>
              <w:right w:val="nil"/>
            </w:tcBorders>
            <w:shd w:val="clear" w:color="auto" w:fill="auto"/>
            <w:noWrap/>
            <w:vAlign w:val="center"/>
            <w:hideMark/>
          </w:tcPr>
          <w:p w14:paraId="111A94F1" w14:textId="77777777" w:rsidR="00635943" w:rsidRPr="00B457F5" w:rsidRDefault="00635943" w:rsidP="00635943">
            <w:pPr>
              <w:spacing w:before="0" w:after="0"/>
              <w:jc w:val="center"/>
              <w:rPr>
                <w:rFonts w:ascii="Garamond" w:eastAsia="Times New Roman" w:hAnsi="Garamond" w:cs="Calibri"/>
                <w:color w:val="FFFFFF"/>
                <w:sz w:val="4"/>
                <w:szCs w:val="4"/>
              </w:rPr>
            </w:pPr>
          </w:p>
        </w:tc>
        <w:tc>
          <w:tcPr>
            <w:tcW w:w="313" w:type="pct"/>
            <w:tcBorders>
              <w:top w:val="nil"/>
              <w:left w:val="single" w:sz="4" w:space="0" w:color="auto"/>
              <w:bottom w:val="nil"/>
              <w:right w:val="single" w:sz="4" w:space="0" w:color="auto"/>
            </w:tcBorders>
            <w:shd w:val="clear" w:color="auto" w:fill="auto"/>
            <w:noWrap/>
            <w:vAlign w:val="center"/>
            <w:hideMark/>
          </w:tcPr>
          <w:p w14:paraId="43D08C8F" w14:textId="77777777"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 </w:t>
            </w:r>
          </w:p>
        </w:tc>
        <w:tc>
          <w:tcPr>
            <w:tcW w:w="256" w:type="pct"/>
            <w:tcBorders>
              <w:top w:val="nil"/>
              <w:left w:val="nil"/>
              <w:bottom w:val="nil"/>
              <w:right w:val="single" w:sz="4" w:space="0" w:color="auto"/>
            </w:tcBorders>
            <w:shd w:val="clear" w:color="auto" w:fill="auto"/>
            <w:noWrap/>
            <w:vAlign w:val="center"/>
            <w:hideMark/>
          </w:tcPr>
          <w:p w14:paraId="32AD2DD4" w14:textId="77777777"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 </w:t>
            </w:r>
          </w:p>
        </w:tc>
        <w:tc>
          <w:tcPr>
            <w:tcW w:w="256" w:type="pct"/>
            <w:tcBorders>
              <w:top w:val="nil"/>
              <w:left w:val="nil"/>
              <w:bottom w:val="nil"/>
              <w:right w:val="single" w:sz="4" w:space="0" w:color="auto"/>
            </w:tcBorders>
            <w:shd w:val="clear" w:color="auto" w:fill="auto"/>
            <w:noWrap/>
            <w:vAlign w:val="center"/>
            <w:hideMark/>
          </w:tcPr>
          <w:p w14:paraId="38C3FCBA" w14:textId="77777777"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 </w:t>
            </w:r>
          </w:p>
        </w:tc>
        <w:tc>
          <w:tcPr>
            <w:tcW w:w="253" w:type="pct"/>
            <w:tcBorders>
              <w:top w:val="nil"/>
              <w:left w:val="nil"/>
              <w:bottom w:val="nil"/>
              <w:right w:val="single" w:sz="4" w:space="0" w:color="auto"/>
            </w:tcBorders>
            <w:shd w:val="clear" w:color="auto" w:fill="auto"/>
            <w:noWrap/>
            <w:vAlign w:val="center"/>
            <w:hideMark/>
          </w:tcPr>
          <w:p w14:paraId="51C335D3" w14:textId="77777777"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 </w:t>
            </w:r>
          </w:p>
        </w:tc>
        <w:tc>
          <w:tcPr>
            <w:tcW w:w="238" w:type="pct"/>
            <w:tcBorders>
              <w:top w:val="nil"/>
              <w:left w:val="nil"/>
              <w:bottom w:val="nil"/>
              <w:right w:val="nil"/>
            </w:tcBorders>
            <w:shd w:val="clear" w:color="auto" w:fill="auto"/>
            <w:noWrap/>
            <w:vAlign w:val="center"/>
            <w:hideMark/>
          </w:tcPr>
          <w:p w14:paraId="48F4B9B7" w14:textId="77777777" w:rsidR="00635943" w:rsidRPr="00B457F5" w:rsidRDefault="00635943" w:rsidP="00635943">
            <w:pPr>
              <w:spacing w:before="0" w:after="0"/>
              <w:jc w:val="center"/>
              <w:rPr>
                <w:rFonts w:ascii="Garamond" w:eastAsia="Times New Roman" w:hAnsi="Garamond" w:cs="Calibri"/>
                <w:color w:val="FFFFFF"/>
                <w:sz w:val="4"/>
                <w:szCs w:val="4"/>
              </w:rPr>
            </w:pPr>
          </w:p>
        </w:tc>
        <w:tc>
          <w:tcPr>
            <w:tcW w:w="256" w:type="pct"/>
            <w:tcBorders>
              <w:top w:val="nil"/>
              <w:left w:val="nil"/>
              <w:bottom w:val="nil"/>
              <w:right w:val="nil"/>
            </w:tcBorders>
            <w:shd w:val="clear" w:color="auto" w:fill="auto"/>
            <w:noWrap/>
            <w:vAlign w:val="center"/>
            <w:hideMark/>
          </w:tcPr>
          <w:p w14:paraId="6F85880E" w14:textId="77777777" w:rsidR="00635943" w:rsidRPr="00B457F5" w:rsidRDefault="00635943" w:rsidP="00635943">
            <w:pPr>
              <w:spacing w:before="0" w:after="0"/>
              <w:jc w:val="center"/>
              <w:rPr>
                <w:rFonts w:ascii="Garamond" w:eastAsia="Times New Roman" w:hAnsi="Garamond" w:cs="Times New Roman"/>
                <w:sz w:val="4"/>
                <w:szCs w:val="4"/>
              </w:rPr>
            </w:pPr>
          </w:p>
        </w:tc>
        <w:tc>
          <w:tcPr>
            <w:tcW w:w="205" w:type="pct"/>
            <w:tcBorders>
              <w:top w:val="nil"/>
              <w:left w:val="nil"/>
              <w:bottom w:val="nil"/>
              <w:right w:val="nil"/>
            </w:tcBorders>
            <w:shd w:val="clear" w:color="auto" w:fill="auto"/>
            <w:noWrap/>
            <w:vAlign w:val="center"/>
            <w:hideMark/>
          </w:tcPr>
          <w:p w14:paraId="70C17479" w14:textId="77777777" w:rsidR="00635943" w:rsidRPr="00B457F5" w:rsidRDefault="00635943" w:rsidP="00635943">
            <w:pPr>
              <w:spacing w:before="0" w:after="0"/>
              <w:jc w:val="center"/>
              <w:rPr>
                <w:rFonts w:ascii="Garamond" w:eastAsia="Times New Roman" w:hAnsi="Garamond" w:cs="Times New Roman"/>
                <w:sz w:val="4"/>
                <w:szCs w:val="4"/>
              </w:rPr>
            </w:pPr>
          </w:p>
        </w:tc>
        <w:tc>
          <w:tcPr>
            <w:tcW w:w="211" w:type="pct"/>
            <w:tcBorders>
              <w:top w:val="nil"/>
              <w:left w:val="nil"/>
              <w:bottom w:val="nil"/>
              <w:right w:val="nil"/>
            </w:tcBorders>
            <w:shd w:val="clear" w:color="auto" w:fill="auto"/>
            <w:noWrap/>
            <w:vAlign w:val="center"/>
            <w:hideMark/>
          </w:tcPr>
          <w:p w14:paraId="489E3BAB" w14:textId="77777777" w:rsidR="00635943" w:rsidRPr="00B457F5" w:rsidRDefault="00635943" w:rsidP="00635943">
            <w:pPr>
              <w:spacing w:before="0" w:after="0"/>
              <w:jc w:val="center"/>
              <w:rPr>
                <w:rFonts w:ascii="Garamond" w:eastAsia="Times New Roman" w:hAnsi="Garamond" w:cs="Times New Roman"/>
                <w:sz w:val="4"/>
                <w:szCs w:val="4"/>
              </w:rPr>
            </w:pPr>
          </w:p>
        </w:tc>
        <w:tc>
          <w:tcPr>
            <w:tcW w:w="177" w:type="pct"/>
            <w:tcBorders>
              <w:top w:val="nil"/>
              <w:left w:val="nil"/>
              <w:bottom w:val="nil"/>
              <w:right w:val="nil"/>
            </w:tcBorders>
            <w:shd w:val="clear" w:color="auto" w:fill="auto"/>
            <w:noWrap/>
            <w:vAlign w:val="center"/>
            <w:hideMark/>
          </w:tcPr>
          <w:p w14:paraId="7963F6BE" w14:textId="77777777" w:rsidR="00635943" w:rsidRPr="00B457F5" w:rsidRDefault="00635943" w:rsidP="00635943">
            <w:pPr>
              <w:spacing w:before="0" w:after="0"/>
              <w:jc w:val="center"/>
              <w:rPr>
                <w:rFonts w:ascii="Garamond" w:eastAsia="Times New Roman" w:hAnsi="Garamond" w:cs="Times New Roman"/>
                <w:sz w:val="4"/>
                <w:szCs w:val="4"/>
              </w:rPr>
            </w:pPr>
          </w:p>
        </w:tc>
        <w:tc>
          <w:tcPr>
            <w:tcW w:w="284" w:type="pct"/>
            <w:tcBorders>
              <w:top w:val="nil"/>
              <w:left w:val="nil"/>
              <w:bottom w:val="nil"/>
              <w:right w:val="nil"/>
            </w:tcBorders>
            <w:shd w:val="clear" w:color="auto" w:fill="auto"/>
            <w:noWrap/>
            <w:vAlign w:val="center"/>
            <w:hideMark/>
          </w:tcPr>
          <w:p w14:paraId="0AFDDF3F" w14:textId="77777777" w:rsidR="00635943" w:rsidRPr="00B457F5" w:rsidRDefault="00635943" w:rsidP="00635943">
            <w:pPr>
              <w:spacing w:before="0" w:after="0"/>
              <w:jc w:val="center"/>
              <w:rPr>
                <w:rFonts w:ascii="Garamond" w:eastAsia="Times New Roman" w:hAnsi="Garamond" w:cs="Times New Roman"/>
                <w:sz w:val="4"/>
                <w:szCs w:val="4"/>
              </w:rPr>
            </w:pPr>
          </w:p>
        </w:tc>
        <w:tc>
          <w:tcPr>
            <w:tcW w:w="244" w:type="pct"/>
            <w:tcBorders>
              <w:top w:val="nil"/>
              <w:left w:val="nil"/>
              <w:bottom w:val="nil"/>
              <w:right w:val="nil"/>
            </w:tcBorders>
            <w:shd w:val="clear" w:color="auto" w:fill="auto"/>
            <w:noWrap/>
            <w:vAlign w:val="center"/>
            <w:hideMark/>
          </w:tcPr>
          <w:p w14:paraId="486A300E" w14:textId="77777777" w:rsidR="00635943" w:rsidRPr="00B457F5" w:rsidRDefault="00635943" w:rsidP="00635943">
            <w:pPr>
              <w:spacing w:before="0" w:after="0"/>
              <w:jc w:val="center"/>
              <w:rPr>
                <w:rFonts w:ascii="Garamond" w:eastAsia="Times New Roman" w:hAnsi="Garamond" w:cs="Times New Roman"/>
                <w:sz w:val="4"/>
                <w:szCs w:val="4"/>
              </w:rPr>
            </w:pPr>
          </w:p>
        </w:tc>
      </w:tr>
      <w:tr w:rsidR="0028334E" w:rsidRPr="00B457F5" w14:paraId="06898BE9" w14:textId="77777777" w:rsidTr="00635943">
        <w:trPr>
          <w:trHeight w:val="20"/>
        </w:trPr>
        <w:tc>
          <w:tcPr>
            <w:tcW w:w="343" w:type="pct"/>
            <w:tcBorders>
              <w:top w:val="nil"/>
              <w:left w:val="nil"/>
              <w:bottom w:val="nil"/>
              <w:right w:val="nil"/>
            </w:tcBorders>
            <w:shd w:val="clear" w:color="auto" w:fill="auto"/>
            <w:noWrap/>
            <w:vAlign w:val="bottom"/>
            <w:hideMark/>
          </w:tcPr>
          <w:p w14:paraId="37881936" w14:textId="77777777" w:rsidR="00635943" w:rsidRPr="00B457F5" w:rsidRDefault="00635943" w:rsidP="00635943">
            <w:pPr>
              <w:spacing w:before="0" w:after="0"/>
              <w:jc w:val="center"/>
              <w:rPr>
                <w:rFonts w:ascii="Garamond" w:eastAsia="Times New Roman" w:hAnsi="Garamond" w:cs="Times New Roman"/>
                <w:sz w:val="4"/>
                <w:szCs w:val="4"/>
              </w:rPr>
            </w:pPr>
          </w:p>
        </w:tc>
        <w:tc>
          <w:tcPr>
            <w:tcW w:w="266" w:type="pct"/>
            <w:tcBorders>
              <w:top w:val="nil"/>
              <w:left w:val="nil"/>
              <w:bottom w:val="nil"/>
              <w:right w:val="nil"/>
            </w:tcBorders>
            <w:shd w:val="clear" w:color="auto" w:fill="auto"/>
            <w:noWrap/>
            <w:vAlign w:val="bottom"/>
            <w:hideMark/>
          </w:tcPr>
          <w:p w14:paraId="7B3BFFEF" w14:textId="77777777" w:rsidR="00635943" w:rsidRPr="00B457F5" w:rsidRDefault="00635943" w:rsidP="00635943">
            <w:pPr>
              <w:spacing w:before="0" w:after="0"/>
              <w:jc w:val="left"/>
              <w:rPr>
                <w:rFonts w:ascii="Garamond" w:eastAsia="Times New Roman" w:hAnsi="Garamond" w:cs="Times New Roman"/>
                <w:sz w:val="4"/>
                <w:szCs w:val="4"/>
              </w:rPr>
            </w:pPr>
          </w:p>
        </w:tc>
        <w:tc>
          <w:tcPr>
            <w:tcW w:w="474" w:type="pct"/>
            <w:tcBorders>
              <w:top w:val="nil"/>
              <w:left w:val="nil"/>
              <w:bottom w:val="nil"/>
              <w:right w:val="nil"/>
            </w:tcBorders>
            <w:shd w:val="clear" w:color="auto" w:fill="auto"/>
            <w:noWrap/>
            <w:vAlign w:val="bottom"/>
            <w:hideMark/>
          </w:tcPr>
          <w:p w14:paraId="47D6736D" w14:textId="77777777" w:rsidR="00635943" w:rsidRPr="00B457F5" w:rsidRDefault="00635943" w:rsidP="00635943">
            <w:pPr>
              <w:spacing w:before="0" w:after="0"/>
              <w:jc w:val="left"/>
              <w:rPr>
                <w:rFonts w:ascii="Garamond" w:eastAsia="Times New Roman" w:hAnsi="Garamond" w:cs="Times New Roman"/>
                <w:sz w:val="4"/>
                <w:szCs w:val="4"/>
              </w:rPr>
            </w:pPr>
          </w:p>
        </w:tc>
        <w:tc>
          <w:tcPr>
            <w:tcW w:w="196" w:type="pct"/>
            <w:tcBorders>
              <w:top w:val="nil"/>
              <w:left w:val="nil"/>
              <w:bottom w:val="nil"/>
              <w:right w:val="nil"/>
            </w:tcBorders>
            <w:shd w:val="clear" w:color="auto" w:fill="auto"/>
            <w:noWrap/>
            <w:vAlign w:val="bottom"/>
            <w:hideMark/>
          </w:tcPr>
          <w:p w14:paraId="09170354" w14:textId="77777777" w:rsidR="00635943" w:rsidRPr="00B457F5" w:rsidRDefault="00635943" w:rsidP="00635943">
            <w:pPr>
              <w:spacing w:before="0" w:after="0"/>
              <w:jc w:val="left"/>
              <w:rPr>
                <w:rFonts w:ascii="Garamond" w:eastAsia="Times New Roman" w:hAnsi="Garamond" w:cs="Times New Roman"/>
                <w:sz w:val="4"/>
                <w:szCs w:val="4"/>
              </w:rPr>
            </w:pPr>
          </w:p>
        </w:tc>
        <w:tc>
          <w:tcPr>
            <w:tcW w:w="231" w:type="pct"/>
            <w:tcBorders>
              <w:top w:val="nil"/>
              <w:left w:val="nil"/>
              <w:bottom w:val="nil"/>
              <w:right w:val="nil"/>
            </w:tcBorders>
            <w:shd w:val="clear" w:color="auto" w:fill="auto"/>
            <w:noWrap/>
            <w:vAlign w:val="bottom"/>
            <w:hideMark/>
          </w:tcPr>
          <w:p w14:paraId="52E7621D" w14:textId="77777777" w:rsidR="00635943" w:rsidRPr="00B457F5" w:rsidRDefault="00635943" w:rsidP="00635943">
            <w:pPr>
              <w:spacing w:before="0" w:after="0"/>
              <w:jc w:val="left"/>
              <w:rPr>
                <w:rFonts w:ascii="Garamond" w:eastAsia="Times New Roman" w:hAnsi="Garamond" w:cs="Times New Roman"/>
                <w:sz w:val="4"/>
                <w:szCs w:val="4"/>
              </w:rPr>
            </w:pPr>
          </w:p>
        </w:tc>
        <w:tc>
          <w:tcPr>
            <w:tcW w:w="259" w:type="pct"/>
            <w:tcBorders>
              <w:top w:val="nil"/>
              <w:left w:val="nil"/>
              <w:bottom w:val="nil"/>
              <w:right w:val="nil"/>
            </w:tcBorders>
            <w:shd w:val="clear" w:color="auto" w:fill="auto"/>
            <w:noWrap/>
            <w:vAlign w:val="center"/>
            <w:hideMark/>
          </w:tcPr>
          <w:p w14:paraId="11ABE002" w14:textId="77777777" w:rsidR="00635943" w:rsidRPr="00B457F5" w:rsidRDefault="00635943" w:rsidP="00635943">
            <w:pPr>
              <w:spacing w:before="0" w:after="0"/>
              <w:jc w:val="left"/>
              <w:rPr>
                <w:rFonts w:ascii="Garamond" w:eastAsia="Times New Roman" w:hAnsi="Garamond" w:cs="Times New Roman"/>
                <w:sz w:val="4"/>
                <w:szCs w:val="4"/>
              </w:rPr>
            </w:pPr>
          </w:p>
        </w:tc>
        <w:tc>
          <w:tcPr>
            <w:tcW w:w="278" w:type="pct"/>
            <w:tcBorders>
              <w:top w:val="nil"/>
              <w:left w:val="nil"/>
              <w:bottom w:val="nil"/>
              <w:right w:val="nil"/>
            </w:tcBorders>
            <w:shd w:val="clear" w:color="auto" w:fill="auto"/>
            <w:noWrap/>
            <w:vAlign w:val="center"/>
            <w:hideMark/>
          </w:tcPr>
          <w:p w14:paraId="09BD6EAB" w14:textId="77777777" w:rsidR="00635943" w:rsidRPr="00B457F5" w:rsidRDefault="00635943" w:rsidP="00635943">
            <w:pPr>
              <w:spacing w:before="0" w:after="0"/>
              <w:jc w:val="center"/>
              <w:rPr>
                <w:rFonts w:ascii="Garamond" w:eastAsia="Times New Roman" w:hAnsi="Garamond" w:cs="Times New Roman"/>
                <w:sz w:val="4"/>
                <w:szCs w:val="4"/>
              </w:rPr>
            </w:pPr>
          </w:p>
        </w:tc>
        <w:tc>
          <w:tcPr>
            <w:tcW w:w="260" w:type="pct"/>
            <w:tcBorders>
              <w:top w:val="nil"/>
              <w:left w:val="nil"/>
              <w:bottom w:val="nil"/>
              <w:right w:val="nil"/>
            </w:tcBorders>
            <w:shd w:val="clear" w:color="auto" w:fill="auto"/>
            <w:noWrap/>
            <w:vAlign w:val="center"/>
            <w:hideMark/>
          </w:tcPr>
          <w:p w14:paraId="434B439A" w14:textId="77777777" w:rsidR="00635943" w:rsidRPr="00B457F5" w:rsidRDefault="00635943" w:rsidP="00635943">
            <w:pPr>
              <w:spacing w:before="0" w:after="0"/>
              <w:jc w:val="center"/>
              <w:rPr>
                <w:rFonts w:ascii="Garamond" w:eastAsia="Times New Roman" w:hAnsi="Garamond" w:cs="Times New Roman"/>
                <w:sz w:val="4"/>
                <w:szCs w:val="4"/>
              </w:rPr>
            </w:pPr>
          </w:p>
        </w:tc>
        <w:tc>
          <w:tcPr>
            <w:tcW w:w="313" w:type="pct"/>
            <w:tcBorders>
              <w:top w:val="nil"/>
              <w:left w:val="nil"/>
              <w:bottom w:val="nil"/>
              <w:right w:val="nil"/>
            </w:tcBorders>
            <w:shd w:val="clear" w:color="auto" w:fill="auto"/>
            <w:noWrap/>
            <w:vAlign w:val="center"/>
            <w:hideMark/>
          </w:tcPr>
          <w:p w14:paraId="396D4E9A"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316D33C0"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4567235E" w14:textId="77777777" w:rsidR="00635943" w:rsidRPr="00B457F5" w:rsidRDefault="00635943" w:rsidP="00635943">
            <w:pPr>
              <w:spacing w:before="0" w:after="0"/>
              <w:jc w:val="center"/>
              <w:rPr>
                <w:rFonts w:ascii="Garamond" w:eastAsia="Times New Roman" w:hAnsi="Garamond" w:cs="Times New Roman"/>
                <w:sz w:val="4"/>
                <w:szCs w:val="4"/>
              </w:rPr>
            </w:pPr>
          </w:p>
        </w:tc>
        <w:tc>
          <w:tcPr>
            <w:tcW w:w="253" w:type="pct"/>
            <w:tcBorders>
              <w:top w:val="nil"/>
              <w:left w:val="nil"/>
              <w:bottom w:val="nil"/>
              <w:right w:val="nil"/>
            </w:tcBorders>
            <w:shd w:val="clear" w:color="auto" w:fill="auto"/>
            <w:noWrap/>
            <w:vAlign w:val="center"/>
            <w:hideMark/>
          </w:tcPr>
          <w:p w14:paraId="20C4A617" w14:textId="77777777" w:rsidR="00635943" w:rsidRPr="00B457F5" w:rsidRDefault="00635943" w:rsidP="00635943">
            <w:pPr>
              <w:spacing w:before="0" w:after="0"/>
              <w:jc w:val="center"/>
              <w:rPr>
                <w:rFonts w:ascii="Garamond" w:eastAsia="Times New Roman" w:hAnsi="Garamond" w:cs="Times New Roman"/>
                <w:sz w:val="4"/>
                <w:szCs w:val="4"/>
              </w:rPr>
            </w:pPr>
          </w:p>
        </w:tc>
        <w:tc>
          <w:tcPr>
            <w:tcW w:w="238" w:type="pct"/>
            <w:tcBorders>
              <w:top w:val="nil"/>
              <w:left w:val="nil"/>
              <w:bottom w:val="nil"/>
              <w:right w:val="nil"/>
            </w:tcBorders>
            <w:shd w:val="clear" w:color="auto" w:fill="auto"/>
            <w:noWrap/>
            <w:vAlign w:val="center"/>
            <w:hideMark/>
          </w:tcPr>
          <w:p w14:paraId="33248B23"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1BFA7BD5" w14:textId="77777777" w:rsidR="00635943" w:rsidRPr="00B457F5" w:rsidRDefault="00635943" w:rsidP="00635943">
            <w:pPr>
              <w:spacing w:before="0" w:after="0"/>
              <w:jc w:val="center"/>
              <w:rPr>
                <w:rFonts w:ascii="Garamond" w:eastAsia="Times New Roman" w:hAnsi="Garamond" w:cs="Times New Roman"/>
                <w:sz w:val="4"/>
                <w:szCs w:val="4"/>
              </w:rPr>
            </w:pPr>
          </w:p>
        </w:tc>
        <w:tc>
          <w:tcPr>
            <w:tcW w:w="205" w:type="pct"/>
            <w:tcBorders>
              <w:top w:val="nil"/>
              <w:left w:val="nil"/>
              <w:bottom w:val="nil"/>
              <w:right w:val="nil"/>
            </w:tcBorders>
            <w:shd w:val="clear" w:color="auto" w:fill="auto"/>
            <w:noWrap/>
            <w:vAlign w:val="center"/>
            <w:hideMark/>
          </w:tcPr>
          <w:p w14:paraId="736D641B" w14:textId="77777777" w:rsidR="00635943" w:rsidRPr="00B457F5" w:rsidRDefault="00635943" w:rsidP="00635943">
            <w:pPr>
              <w:spacing w:before="0" w:after="0"/>
              <w:jc w:val="center"/>
              <w:rPr>
                <w:rFonts w:ascii="Garamond" w:eastAsia="Times New Roman" w:hAnsi="Garamond" w:cs="Times New Roman"/>
                <w:sz w:val="4"/>
                <w:szCs w:val="4"/>
              </w:rPr>
            </w:pPr>
          </w:p>
        </w:tc>
        <w:tc>
          <w:tcPr>
            <w:tcW w:w="211" w:type="pct"/>
            <w:tcBorders>
              <w:top w:val="nil"/>
              <w:left w:val="nil"/>
              <w:bottom w:val="nil"/>
              <w:right w:val="nil"/>
            </w:tcBorders>
            <w:shd w:val="clear" w:color="auto" w:fill="auto"/>
            <w:noWrap/>
            <w:vAlign w:val="center"/>
            <w:hideMark/>
          </w:tcPr>
          <w:p w14:paraId="46A655D2" w14:textId="77777777" w:rsidR="00635943" w:rsidRPr="00B457F5" w:rsidRDefault="00635943" w:rsidP="00635943">
            <w:pPr>
              <w:spacing w:before="0" w:after="0"/>
              <w:jc w:val="center"/>
              <w:rPr>
                <w:rFonts w:ascii="Garamond" w:eastAsia="Times New Roman" w:hAnsi="Garamond" w:cs="Times New Roman"/>
                <w:sz w:val="4"/>
                <w:szCs w:val="4"/>
              </w:rPr>
            </w:pPr>
          </w:p>
        </w:tc>
        <w:tc>
          <w:tcPr>
            <w:tcW w:w="177" w:type="pct"/>
            <w:tcBorders>
              <w:top w:val="nil"/>
              <w:left w:val="nil"/>
              <w:bottom w:val="nil"/>
              <w:right w:val="nil"/>
            </w:tcBorders>
            <w:shd w:val="clear" w:color="auto" w:fill="auto"/>
            <w:noWrap/>
            <w:vAlign w:val="center"/>
            <w:hideMark/>
          </w:tcPr>
          <w:p w14:paraId="7637366C" w14:textId="77777777" w:rsidR="00635943" w:rsidRPr="00B457F5" w:rsidRDefault="00635943" w:rsidP="00635943">
            <w:pPr>
              <w:spacing w:before="0" w:after="0"/>
              <w:jc w:val="center"/>
              <w:rPr>
                <w:rFonts w:ascii="Garamond" w:eastAsia="Times New Roman" w:hAnsi="Garamond" w:cs="Times New Roman"/>
                <w:sz w:val="4"/>
                <w:szCs w:val="4"/>
              </w:rPr>
            </w:pPr>
          </w:p>
        </w:tc>
        <w:tc>
          <w:tcPr>
            <w:tcW w:w="284" w:type="pct"/>
            <w:tcBorders>
              <w:top w:val="nil"/>
              <w:left w:val="nil"/>
              <w:bottom w:val="nil"/>
              <w:right w:val="nil"/>
            </w:tcBorders>
            <w:shd w:val="clear" w:color="auto" w:fill="auto"/>
            <w:noWrap/>
            <w:vAlign w:val="center"/>
            <w:hideMark/>
          </w:tcPr>
          <w:p w14:paraId="3F2FC4F8" w14:textId="77777777" w:rsidR="00635943" w:rsidRPr="00B457F5" w:rsidRDefault="00635943" w:rsidP="00635943">
            <w:pPr>
              <w:spacing w:before="0" w:after="0"/>
              <w:jc w:val="center"/>
              <w:rPr>
                <w:rFonts w:ascii="Garamond" w:eastAsia="Times New Roman" w:hAnsi="Garamond" w:cs="Times New Roman"/>
                <w:sz w:val="4"/>
                <w:szCs w:val="4"/>
              </w:rPr>
            </w:pPr>
          </w:p>
        </w:tc>
        <w:tc>
          <w:tcPr>
            <w:tcW w:w="244" w:type="pct"/>
            <w:tcBorders>
              <w:top w:val="nil"/>
              <w:left w:val="nil"/>
              <w:bottom w:val="nil"/>
              <w:right w:val="nil"/>
            </w:tcBorders>
            <w:shd w:val="clear" w:color="auto" w:fill="auto"/>
            <w:noWrap/>
            <w:vAlign w:val="center"/>
            <w:hideMark/>
          </w:tcPr>
          <w:p w14:paraId="26A44220" w14:textId="77777777" w:rsidR="00635943" w:rsidRPr="00B457F5" w:rsidRDefault="00635943" w:rsidP="00635943">
            <w:pPr>
              <w:spacing w:before="0" w:after="0"/>
              <w:jc w:val="center"/>
              <w:rPr>
                <w:rFonts w:ascii="Garamond" w:eastAsia="Times New Roman" w:hAnsi="Garamond" w:cs="Times New Roman"/>
                <w:sz w:val="4"/>
                <w:szCs w:val="4"/>
              </w:rPr>
            </w:pPr>
          </w:p>
        </w:tc>
      </w:tr>
      <w:tr w:rsidR="0028334E" w:rsidRPr="00B457F5" w14:paraId="44FF4952" w14:textId="77777777" w:rsidTr="00635943">
        <w:trPr>
          <w:trHeight w:val="20"/>
        </w:trPr>
        <w:tc>
          <w:tcPr>
            <w:tcW w:w="343" w:type="pct"/>
            <w:tcBorders>
              <w:top w:val="nil"/>
              <w:left w:val="nil"/>
              <w:bottom w:val="nil"/>
              <w:right w:val="nil"/>
            </w:tcBorders>
            <w:shd w:val="clear" w:color="auto" w:fill="auto"/>
            <w:noWrap/>
            <w:vAlign w:val="bottom"/>
            <w:hideMark/>
          </w:tcPr>
          <w:p w14:paraId="65C92BA8" w14:textId="77777777" w:rsidR="00635943" w:rsidRPr="00B457F5" w:rsidRDefault="00635943" w:rsidP="00635943">
            <w:pPr>
              <w:spacing w:before="0" w:after="0"/>
              <w:jc w:val="center"/>
              <w:rPr>
                <w:rFonts w:ascii="Garamond" w:eastAsia="Times New Roman" w:hAnsi="Garamond" w:cs="Times New Roman"/>
                <w:sz w:val="4"/>
                <w:szCs w:val="4"/>
              </w:rPr>
            </w:pPr>
          </w:p>
        </w:tc>
        <w:tc>
          <w:tcPr>
            <w:tcW w:w="266" w:type="pct"/>
            <w:tcBorders>
              <w:top w:val="nil"/>
              <w:left w:val="nil"/>
              <w:bottom w:val="nil"/>
              <w:right w:val="nil"/>
            </w:tcBorders>
            <w:shd w:val="clear" w:color="auto" w:fill="auto"/>
            <w:noWrap/>
            <w:vAlign w:val="bottom"/>
            <w:hideMark/>
          </w:tcPr>
          <w:p w14:paraId="719CA6D7" w14:textId="77777777" w:rsidR="00635943" w:rsidRPr="00B457F5" w:rsidRDefault="00635943" w:rsidP="00635943">
            <w:pPr>
              <w:spacing w:before="0" w:after="0"/>
              <w:jc w:val="left"/>
              <w:rPr>
                <w:rFonts w:ascii="Garamond" w:eastAsia="Times New Roman" w:hAnsi="Garamond" w:cs="Times New Roman"/>
                <w:sz w:val="4"/>
                <w:szCs w:val="4"/>
              </w:rPr>
            </w:pPr>
          </w:p>
        </w:tc>
        <w:tc>
          <w:tcPr>
            <w:tcW w:w="474" w:type="pct"/>
            <w:tcBorders>
              <w:top w:val="nil"/>
              <w:left w:val="nil"/>
              <w:bottom w:val="nil"/>
              <w:right w:val="nil"/>
            </w:tcBorders>
            <w:shd w:val="clear" w:color="auto" w:fill="auto"/>
            <w:noWrap/>
            <w:vAlign w:val="bottom"/>
            <w:hideMark/>
          </w:tcPr>
          <w:p w14:paraId="21B98C01" w14:textId="77777777" w:rsidR="00635943" w:rsidRPr="00B457F5" w:rsidRDefault="00635943" w:rsidP="00635943">
            <w:pPr>
              <w:spacing w:before="0" w:after="0"/>
              <w:jc w:val="left"/>
              <w:rPr>
                <w:rFonts w:ascii="Garamond" w:eastAsia="Times New Roman" w:hAnsi="Garamond" w:cs="Times New Roman"/>
                <w:sz w:val="4"/>
                <w:szCs w:val="4"/>
              </w:rPr>
            </w:pPr>
          </w:p>
        </w:tc>
        <w:tc>
          <w:tcPr>
            <w:tcW w:w="196" w:type="pct"/>
            <w:tcBorders>
              <w:top w:val="nil"/>
              <w:left w:val="nil"/>
              <w:bottom w:val="nil"/>
              <w:right w:val="nil"/>
            </w:tcBorders>
            <w:shd w:val="clear" w:color="auto" w:fill="auto"/>
            <w:noWrap/>
            <w:vAlign w:val="bottom"/>
            <w:hideMark/>
          </w:tcPr>
          <w:p w14:paraId="663CCC9D" w14:textId="77777777" w:rsidR="00635943" w:rsidRPr="00B457F5" w:rsidRDefault="00635943" w:rsidP="00635943">
            <w:pPr>
              <w:spacing w:before="0" w:after="0"/>
              <w:jc w:val="left"/>
              <w:rPr>
                <w:rFonts w:ascii="Garamond" w:eastAsia="Times New Roman" w:hAnsi="Garamond" w:cs="Times New Roman"/>
                <w:sz w:val="4"/>
                <w:szCs w:val="4"/>
              </w:rPr>
            </w:pPr>
          </w:p>
        </w:tc>
        <w:tc>
          <w:tcPr>
            <w:tcW w:w="231" w:type="pct"/>
            <w:tcBorders>
              <w:top w:val="nil"/>
              <w:left w:val="nil"/>
              <w:bottom w:val="nil"/>
              <w:right w:val="nil"/>
            </w:tcBorders>
            <w:shd w:val="clear" w:color="auto" w:fill="auto"/>
            <w:noWrap/>
            <w:vAlign w:val="bottom"/>
            <w:hideMark/>
          </w:tcPr>
          <w:p w14:paraId="4582A376" w14:textId="77777777" w:rsidR="00635943" w:rsidRPr="00B457F5" w:rsidRDefault="00635943" w:rsidP="00635943">
            <w:pPr>
              <w:spacing w:before="0" w:after="0"/>
              <w:jc w:val="left"/>
              <w:rPr>
                <w:rFonts w:ascii="Garamond" w:eastAsia="Times New Roman" w:hAnsi="Garamond" w:cs="Times New Roman"/>
                <w:sz w:val="4"/>
                <w:szCs w:val="4"/>
              </w:rPr>
            </w:pPr>
          </w:p>
        </w:tc>
        <w:tc>
          <w:tcPr>
            <w:tcW w:w="259" w:type="pct"/>
            <w:tcBorders>
              <w:top w:val="nil"/>
              <w:left w:val="nil"/>
              <w:bottom w:val="nil"/>
              <w:right w:val="nil"/>
            </w:tcBorders>
            <w:shd w:val="clear" w:color="auto" w:fill="auto"/>
            <w:noWrap/>
            <w:vAlign w:val="center"/>
            <w:hideMark/>
          </w:tcPr>
          <w:p w14:paraId="3FC5CC72" w14:textId="77777777" w:rsidR="00635943" w:rsidRPr="00B457F5" w:rsidRDefault="00635943" w:rsidP="00635943">
            <w:pPr>
              <w:spacing w:before="0" w:after="0"/>
              <w:jc w:val="left"/>
              <w:rPr>
                <w:rFonts w:ascii="Garamond" w:eastAsia="Times New Roman" w:hAnsi="Garamond" w:cs="Times New Roman"/>
                <w:sz w:val="4"/>
                <w:szCs w:val="4"/>
              </w:rPr>
            </w:pPr>
          </w:p>
        </w:tc>
        <w:tc>
          <w:tcPr>
            <w:tcW w:w="278" w:type="pct"/>
            <w:tcBorders>
              <w:top w:val="nil"/>
              <w:left w:val="nil"/>
              <w:bottom w:val="nil"/>
              <w:right w:val="nil"/>
            </w:tcBorders>
            <w:shd w:val="clear" w:color="auto" w:fill="auto"/>
            <w:noWrap/>
            <w:vAlign w:val="center"/>
            <w:hideMark/>
          </w:tcPr>
          <w:p w14:paraId="2240FE71" w14:textId="77777777" w:rsidR="00635943" w:rsidRPr="00B457F5" w:rsidRDefault="00635943" w:rsidP="00635943">
            <w:pPr>
              <w:spacing w:before="0" w:after="0"/>
              <w:jc w:val="center"/>
              <w:rPr>
                <w:rFonts w:ascii="Garamond" w:eastAsia="Times New Roman" w:hAnsi="Garamond" w:cs="Times New Roman"/>
                <w:sz w:val="4"/>
                <w:szCs w:val="4"/>
              </w:rPr>
            </w:pPr>
          </w:p>
        </w:tc>
        <w:tc>
          <w:tcPr>
            <w:tcW w:w="260" w:type="pct"/>
            <w:tcBorders>
              <w:top w:val="nil"/>
              <w:left w:val="nil"/>
              <w:bottom w:val="nil"/>
              <w:right w:val="nil"/>
            </w:tcBorders>
            <w:shd w:val="clear" w:color="auto" w:fill="auto"/>
            <w:noWrap/>
            <w:vAlign w:val="center"/>
            <w:hideMark/>
          </w:tcPr>
          <w:p w14:paraId="326E0467" w14:textId="52BC6D64" w:rsidR="00635943" w:rsidRPr="00B457F5" w:rsidRDefault="00635943" w:rsidP="00635943">
            <w:pPr>
              <w:spacing w:before="0" w:after="0"/>
              <w:jc w:val="center"/>
              <w:rPr>
                <w:rFonts w:ascii="Garamond" w:eastAsia="Times New Roman" w:hAnsi="Garamond" w:cs="Calibri"/>
                <w:color w:val="000000"/>
                <w:sz w:val="4"/>
                <w:szCs w:val="4"/>
              </w:rPr>
            </w:pPr>
            <w:r w:rsidRPr="00B457F5">
              <w:rPr>
                <w:rFonts w:ascii="Garamond" w:eastAsia="Times New Roman" w:hAnsi="Garamond" w:cs="Calibri"/>
                <w:color w:val="000000"/>
                <w:sz w:val="4"/>
                <w:szCs w:val="4"/>
              </w:rPr>
              <w:t>(0)</w:t>
            </w:r>
          </w:p>
        </w:tc>
        <w:tc>
          <w:tcPr>
            <w:tcW w:w="313" w:type="pct"/>
            <w:tcBorders>
              <w:top w:val="nil"/>
              <w:left w:val="nil"/>
              <w:bottom w:val="nil"/>
              <w:right w:val="nil"/>
            </w:tcBorders>
            <w:shd w:val="clear" w:color="auto" w:fill="auto"/>
            <w:noWrap/>
            <w:vAlign w:val="center"/>
            <w:hideMark/>
          </w:tcPr>
          <w:p w14:paraId="41ABA49B" w14:textId="77777777" w:rsidR="00635943" w:rsidRPr="00B457F5" w:rsidRDefault="00635943" w:rsidP="00635943">
            <w:pPr>
              <w:spacing w:before="0" w:after="0"/>
              <w:jc w:val="center"/>
              <w:rPr>
                <w:rFonts w:ascii="Garamond" w:eastAsia="Times New Roman" w:hAnsi="Garamond" w:cs="Calibri"/>
                <w:color w:val="000000"/>
                <w:sz w:val="4"/>
                <w:szCs w:val="4"/>
              </w:rPr>
            </w:pPr>
          </w:p>
        </w:tc>
        <w:tc>
          <w:tcPr>
            <w:tcW w:w="256" w:type="pct"/>
            <w:tcBorders>
              <w:top w:val="nil"/>
              <w:left w:val="nil"/>
              <w:bottom w:val="nil"/>
              <w:right w:val="nil"/>
            </w:tcBorders>
            <w:shd w:val="clear" w:color="auto" w:fill="auto"/>
            <w:noWrap/>
            <w:vAlign w:val="center"/>
            <w:hideMark/>
          </w:tcPr>
          <w:p w14:paraId="70D6A932"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7625C9AA" w14:textId="77777777" w:rsidR="00635943" w:rsidRPr="00B457F5" w:rsidRDefault="00635943" w:rsidP="00635943">
            <w:pPr>
              <w:spacing w:before="0" w:after="0"/>
              <w:jc w:val="center"/>
              <w:rPr>
                <w:rFonts w:ascii="Garamond" w:eastAsia="Times New Roman" w:hAnsi="Garamond" w:cs="Times New Roman"/>
                <w:sz w:val="4"/>
                <w:szCs w:val="4"/>
              </w:rPr>
            </w:pPr>
          </w:p>
        </w:tc>
        <w:tc>
          <w:tcPr>
            <w:tcW w:w="253" w:type="pct"/>
            <w:tcBorders>
              <w:top w:val="nil"/>
              <w:left w:val="nil"/>
              <w:bottom w:val="nil"/>
              <w:right w:val="nil"/>
            </w:tcBorders>
            <w:shd w:val="clear" w:color="auto" w:fill="auto"/>
            <w:noWrap/>
            <w:vAlign w:val="center"/>
            <w:hideMark/>
          </w:tcPr>
          <w:p w14:paraId="22B66B2E" w14:textId="77777777" w:rsidR="00635943" w:rsidRPr="00B457F5" w:rsidRDefault="00635943" w:rsidP="00635943">
            <w:pPr>
              <w:spacing w:before="0" w:after="0"/>
              <w:jc w:val="center"/>
              <w:rPr>
                <w:rFonts w:ascii="Garamond" w:eastAsia="Times New Roman" w:hAnsi="Garamond" w:cs="Times New Roman"/>
                <w:sz w:val="4"/>
                <w:szCs w:val="4"/>
              </w:rPr>
            </w:pPr>
          </w:p>
        </w:tc>
        <w:tc>
          <w:tcPr>
            <w:tcW w:w="238" w:type="pct"/>
            <w:tcBorders>
              <w:top w:val="nil"/>
              <w:left w:val="nil"/>
              <w:bottom w:val="nil"/>
              <w:right w:val="nil"/>
            </w:tcBorders>
            <w:shd w:val="clear" w:color="auto" w:fill="auto"/>
            <w:noWrap/>
            <w:vAlign w:val="center"/>
            <w:hideMark/>
          </w:tcPr>
          <w:p w14:paraId="4B3A9741"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21C986C3" w14:textId="77777777" w:rsidR="00635943" w:rsidRPr="00B457F5" w:rsidRDefault="00635943" w:rsidP="00635943">
            <w:pPr>
              <w:spacing w:before="0" w:after="0"/>
              <w:jc w:val="center"/>
              <w:rPr>
                <w:rFonts w:ascii="Garamond" w:eastAsia="Times New Roman" w:hAnsi="Garamond" w:cs="Times New Roman"/>
                <w:sz w:val="4"/>
                <w:szCs w:val="4"/>
              </w:rPr>
            </w:pPr>
          </w:p>
        </w:tc>
        <w:tc>
          <w:tcPr>
            <w:tcW w:w="205" w:type="pct"/>
            <w:tcBorders>
              <w:top w:val="nil"/>
              <w:left w:val="nil"/>
              <w:bottom w:val="nil"/>
              <w:right w:val="nil"/>
            </w:tcBorders>
            <w:shd w:val="clear" w:color="auto" w:fill="auto"/>
            <w:noWrap/>
            <w:vAlign w:val="center"/>
            <w:hideMark/>
          </w:tcPr>
          <w:p w14:paraId="4B439AC4" w14:textId="77777777" w:rsidR="00635943" w:rsidRPr="00B457F5" w:rsidRDefault="00635943" w:rsidP="00635943">
            <w:pPr>
              <w:spacing w:before="0" w:after="0"/>
              <w:jc w:val="center"/>
              <w:rPr>
                <w:rFonts w:ascii="Garamond" w:eastAsia="Times New Roman" w:hAnsi="Garamond" w:cs="Times New Roman"/>
                <w:sz w:val="4"/>
                <w:szCs w:val="4"/>
              </w:rPr>
            </w:pPr>
          </w:p>
        </w:tc>
        <w:tc>
          <w:tcPr>
            <w:tcW w:w="211" w:type="pct"/>
            <w:tcBorders>
              <w:top w:val="nil"/>
              <w:left w:val="nil"/>
              <w:bottom w:val="nil"/>
              <w:right w:val="nil"/>
            </w:tcBorders>
            <w:shd w:val="clear" w:color="auto" w:fill="auto"/>
            <w:noWrap/>
            <w:vAlign w:val="center"/>
            <w:hideMark/>
          </w:tcPr>
          <w:p w14:paraId="7B952651" w14:textId="77777777" w:rsidR="00635943" w:rsidRPr="00B457F5" w:rsidRDefault="00635943" w:rsidP="00635943">
            <w:pPr>
              <w:spacing w:before="0" w:after="0"/>
              <w:jc w:val="center"/>
              <w:rPr>
                <w:rFonts w:ascii="Garamond" w:eastAsia="Times New Roman" w:hAnsi="Garamond" w:cs="Times New Roman"/>
                <w:sz w:val="4"/>
                <w:szCs w:val="4"/>
              </w:rPr>
            </w:pPr>
          </w:p>
        </w:tc>
        <w:tc>
          <w:tcPr>
            <w:tcW w:w="177" w:type="pct"/>
            <w:tcBorders>
              <w:top w:val="nil"/>
              <w:left w:val="nil"/>
              <w:bottom w:val="nil"/>
              <w:right w:val="nil"/>
            </w:tcBorders>
            <w:shd w:val="clear" w:color="auto" w:fill="auto"/>
            <w:noWrap/>
            <w:vAlign w:val="center"/>
            <w:hideMark/>
          </w:tcPr>
          <w:p w14:paraId="23EBFED1" w14:textId="77777777" w:rsidR="00635943" w:rsidRPr="00B457F5" w:rsidRDefault="00635943" w:rsidP="00635943">
            <w:pPr>
              <w:spacing w:before="0" w:after="0"/>
              <w:jc w:val="center"/>
              <w:rPr>
                <w:rFonts w:ascii="Garamond" w:eastAsia="Times New Roman" w:hAnsi="Garamond" w:cs="Times New Roman"/>
                <w:sz w:val="4"/>
                <w:szCs w:val="4"/>
              </w:rPr>
            </w:pPr>
          </w:p>
        </w:tc>
        <w:tc>
          <w:tcPr>
            <w:tcW w:w="284" w:type="pct"/>
            <w:tcBorders>
              <w:top w:val="nil"/>
              <w:left w:val="nil"/>
              <w:bottom w:val="nil"/>
              <w:right w:val="nil"/>
            </w:tcBorders>
            <w:shd w:val="clear" w:color="auto" w:fill="auto"/>
            <w:noWrap/>
            <w:vAlign w:val="center"/>
            <w:hideMark/>
          </w:tcPr>
          <w:p w14:paraId="2F9B687A" w14:textId="77777777" w:rsidR="00635943" w:rsidRPr="00B457F5" w:rsidRDefault="00635943" w:rsidP="00635943">
            <w:pPr>
              <w:spacing w:before="0" w:after="0"/>
              <w:jc w:val="center"/>
              <w:rPr>
                <w:rFonts w:ascii="Garamond" w:eastAsia="Times New Roman" w:hAnsi="Garamond" w:cs="Times New Roman"/>
                <w:sz w:val="4"/>
                <w:szCs w:val="4"/>
              </w:rPr>
            </w:pPr>
          </w:p>
        </w:tc>
        <w:tc>
          <w:tcPr>
            <w:tcW w:w="244" w:type="pct"/>
            <w:tcBorders>
              <w:top w:val="nil"/>
              <w:left w:val="nil"/>
              <w:bottom w:val="nil"/>
              <w:right w:val="nil"/>
            </w:tcBorders>
            <w:shd w:val="clear" w:color="auto" w:fill="auto"/>
            <w:noWrap/>
            <w:vAlign w:val="center"/>
            <w:hideMark/>
          </w:tcPr>
          <w:p w14:paraId="7803CDE9" w14:textId="77777777" w:rsidR="00635943" w:rsidRPr="00B457F5" w:rsidRDefault="00635943" w:rsidP="00635943">
            <w:pPr>
              <w:spacing w:before="0" w:after="0"/>
              <w:jc w:val="center"/>
              <w:rPr>
                <w:rFonts w:ascii="Garamond" w:eastAsia="Times New Roman" w:hAnsi="Garamond" w:cs="Times New Roman"/>
                <w:sz w:val="4"/>
                <w:szCs w:val="4"/>
              </w:rPr>
            </w:pPr>
          </w:p>
        </w:tc>
      </w:tr>
      <w:tr w:rsidR="0028334E" w:rsidRPr="00B457F5" w14:paraId="6DAC3DE9" w14:textId="77777777" w:rsidTr="00635943">
        <w:trPr>
          <w:trHeight w:val="20"/>
        </w:trPr>
        <w:tc>
          <w:tcPr>
            <w:tcW w:w="343" w:type="pct"/>
            <w:tcBorders>
              <w:top w:val="nil"/>
              <w:left w:val="nil"/>
              <w:bottom w:val="nil"/>
              <w:right w:val="nil"/>
            </w:tcBorders>
            <w:shd w:val="clear" w:color="auto" w:fill="auto"/>
            <w:noWrap/>
            <w:vAlign w:val="bottom"/>
            <w:hideMark/>
          </w:tcPr>
          <w:p w14:paraId="10ACBB5D" w14:textId="77777777" w:rsidR="00635943" w:rsidRPr="00B457F5" w:rsidRDefault="00635943" w:rsidP="00635943">
            <w:pPr>
              <w:spacing w:before="0" w:after="0"/>
              <w:jc w:val="center"/>
              <w:rPr>
                <w:rFonts w:ascii="Garamond" w:eastAsia="Times New Roman" w:hAnsi="Garamond" w:cs="Times New Roman"/>
                <w:sz w:val="4"/>
                <w:szCs w:val="4"/>
              </w:rPr>
            </w:pPr>
          </w:p>
        </w:tc>
        <w:tc>
          <w:tcPr>
            <w:tcW w:w="266" w:type="pct"/>
            <w:tcBorders>
              <w:top w:val="nil"/>
              <w:left w:val="nil"/>
              <w:bottom w:val="nil"/>
              <w:right w:val="nil"/>
            </w:tcBorders>
            <w:shd w:val="clear" w:color="auto" w:fill="auto"/>
            <w:noWrap/>
            <w:vAlign w:val="bottom"/>
            <w:hideMark/>
          </w:tcPr>
          <w:p w14:paraId="4D9C99D4" w14:textId="77777777" w:rsidR="00635943" w:rsidRPr="00B457F5" w:rsidRDefault="00635943" w:rsidP="00635943">
            <w:pPr>
              <w:spacing w:before="0" w:after="0"/>
              <w:jc w:val="left"/>
              <w:rPr>
                <w:rFonts w:ascii="Garamond" w:eastAsia="Times New Roman" w:hAnsi="Garamond" w:cs="Times New Roman"/>
                <w:sz w:val="4"/>
                <w:szCs w:val="4"/>
              </w:rPr>
            </w:pPr>
          </w:p>
        </w:tc>
        <w:tc>
          <w:tcPr>
            <w:tcW w:w="474" w:type="pct"/>
            <w:tcBorders>
              <w:top w:val="nil"/>
              <w:left w:val="nil"/>
              <w:bottom w:val="nil"/>
              <w:right w:val="nil"/>
            </w:tcBorders>
            <w:shd w:val="clear" w:color="auto" w:fill="auto"/>
            <w:noWrap/>
            <w:vAlign w:val="bottom"/>
            <w:hideMark/>
          </w:tcPr>
          <w:p w14:paraId="0BC638F4" w14:textId="77777777" w:rsidR="00635943" w:rsidRPr="00B457F5" w:rsidRDefault="00635943" w:rsidP="00635943">
            <w:pPr>
              <w:spacing w:before="0" w:after="0"/>
              <w:jc w:val="left"/>
              <w:rPr>
                <w:rFonts w:ascii="Garamond" w:eastAsia="Times New Roman" w:hAnsi="Garamond" w:cs="Times New Roman"/>
                <w:sz w:val="4"/>
                <w:szCs w:val="4"/>
              </w:rPr>
            </w:pPr>
          </w:p>
        </w:tc>
        <w:tc>
          <w:tcPr>
            <w:tcW w:w="196" w:type="pct"/>
            <w:tcBorders>
              <w:top w:val="nil"/>
              <w:left w:val="nil"/>
              <w:bottom w:val="nil"/>
              <w:right w:val="nil"/>
            </w:tcBorders>
            <w:shd w:val="clear" w:color="auto" w:fill="auto"/>
            <w:noWrap/>
            <w:vAlign w:val="bottom"/>
            <w:hideMark/>
          </w:tcPr>
          <w:p w14:paraId="4E83A170" w14:textId="77777777" w:rsidR="00635943" w:rsidRPr="00B457F5" w:rsidRDefault="00635943" w:rsidP="00635943">
            <w:pPr>
              <w:spacing w:before="0" w:after="0"/>
              <w:jc w:val="left"/>
              <w:rPr>
                <w:rFonts w:ascii="Garamond" w:eastAsia="Times New Roman" w:hAnsi="Garamond" w:cs="Times New Roman"/>
                <w:sz w:val="4"/>
                <w:szCs w:val="4"/>
              </w:rPr>
            </w:pPr>
          </w:p>
        </w:tc>
        <w:tc>
          <w:tcPr>
            <w:tcW w:w="231" w:type="pct"/>
            <w:tcBorders>
              <w:top w:val="nil"/>
              <w:left w:val="nil"/>
              <w:bottom w:val="nil"/>
              <w:right w:val="nil"/>
            </w:tcBorders>
            <w:shd w:val="clear" w:color="auto" w:fill="auto"/>
            <w:noWrap/>
            <w:vAlign w:val="bottom"/>
            <w:hideMark/>
          </w:tcPr>
          <w:p w14:paraId="2AD51364" w14:textId="77777777" w:rsidR="00635943" w:rsidRPr="00B457F5" w:rsidRDefault="00635943" w:rsidP="00635943">
            <w:pPr>
              <w:spacing w:before="0" w:after="0"/>
              <w:jc w:val="left"/>
              <w:rPr>
                <w:rFonts w:ascii="Garamond" w:eastAsia="Times New Roman" w:hAnsi="Garamond" w:cs="Times New Roman"/>
                <w:sz w:val="4"/>
                <w:szCs w:val="4"/>
              </w:rPr>
            </w:pPr>
          </w:p>
        </w:tc>
        <w:tc>
          <w:tcPr>
            <w:tcW w:w="259" w:type="pct"/>
            <w:tcBorders>
              <w:top w:val="nil"/>
              <w:left w:val="nil"/>
              <w:bottom w:val="nil"/>
              <w:right w:val="nil"/>
            </w:tcBorders>
            <w:shd w:val="clear" w:color="auto" w:fill="auto"/>
            <w:noWrap/>
            <w:vAlign w:val="center"/>
            <w:hideMark/>
          </w:tcPr>
          <w:p w14:paraId="4B55A4AA" w14:textId="77777777" w:rsidR="00635943" w:rsidRPr="00B457F5" w:rsidRDefault="00635943" w:rsidP="00635943">
            <w:pPr>
              <w:spacing w:before="0" w:after="0"/>
              <w:jc w:val="left"/>
              <w:rPr>
                <w:rFonts w:ascii="Garamond" w:eastAsia="Times New Roman" w:hAnsi="Garamond" w:cs="Times New Roman"/>
                <w:sz w:val="4"/>
                <w:szCs w:val="4"/>
              </w:rPr>
            </w:pPr>
          </w:p>
        </w:tc>
        <w:tc>
          <w:tcPr>
            <w:tcW w:w="278" w:type="pct"/>
            <w:tcBorders>
              <w:top w:val="nil"/>
              <w:left w:val="nil"/>
              <w:bottom w:val="nil"/>
              <w:right w:val="nil"/>
            </w:tcBorders>
            <w:shd w:val="clear" w:color="auto" w:fill="auto"/>
            <w:noWrap/>
            <w:vAlign w:val="center"/>
            <w:hideMark/>
          </w:tcPr>
          <w:p w14:paraId="2F9AF695" w14:textId="77777777" w:rsidR="00635943" w:rsidRPr="00B457F5" w:rsidRDefault="00635943" w:rsidP="00635943">
            <w:pPr>
              <w:spacing w:before="0" w:after="0"/>
              <w:jc w:val="center"/>
              <w:rPr>
                <w:rFonts w:ascii="Garamond" w:eastAsia="Times New Roman" w:hAnsi="Garamond" w:cs="Times New Roman"/>
                <w:sz w:val="4"/>
                <w:szCs w:val="4"/>
              </w:rPr>
            </w:pPr>
          </w:p>
        </w:tc>
        <w:tc>
          <w:tcPr>
            <w:tcW w:w="260" w:type="pct"/>
            <w:tcBorders>
              <w:top w:val="nil"/>
              <w:left w:val="nil"/>
              <w:bottom w:val="nil"/>
              <w:right w:val="nil"/>
            </w:tcBorders>
            <w:shd w:val="clear" w:color="auto" w:fill="auto"/>
            <w:noWrap/>
            <w:vAlign w:val="center"/>
            <w:hideMark/>
          </w:tcPr>
          <w:p w14:paraId="66F29063" w14:textId="77777777" w:rsidR="00635943" w:rsidRPr="00B457F5" w:rsidRDefault="00635943" w:rsidP="00635943">
            <w:pPr>
              <w:spacing w:before="0" w:after="0"/>
              <w:jc w:val="center"/>
              <w:rPr>
                <w:rFonts w:ascii="Garamond" w:eastAsia="Times New Roman" w:hAnsi="Garamond" w:cs="Times New Roman"/>
                <w:sz w:val="4"/>
                <w:szCs w:val="4"/>
              </w:rPr>
            </w:pPr>
          </w:p>
        </w:tc>
        <w:tc>
          <w:tcPr>
            <w:tcW w:w="313" w:type="pct"/>
            <w:tcBorders>
              <w:top w:val="nil"/>
              <w:left w:val="nil"/>
              <w:bottom w:val="nil"/>
              <w:right w:val="nil"/>
            </w:tcBorders>
            <w:shd w:val="clear" w:color="auto" w:fill="auto"/>
            <w:noWrap/>
            <w:vAlign w:val="center"/>
            <w:hideMark/>
          </w:tcPr>
          <w:p w14:paraId="029A1324"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6BDCF224"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1642336A" w14:textId="77777777" w:rsidR="00635943" w:rsidRPr="00B457F5" w:rsidRDefault="00635943" w:rsidP="00635943">
            <w:pPr>
              <w:spacing w:before="0" w:after="0"/>
              <w:jc w:val="center"/>
              <w:rPr>
                <w:rFonts w:ascii="Garamond" w:eastAsia="Times New Roman" w:hAnsi="Garamond" w:cs="Times New Roman"/>
                <w:sz w:val="4"/>
                <w:szCs w:val="4"/>
              </w:rPr>
            </w:pPr>
          </w:p>
        </w:tc>
        <w:tc>
          <w:tcPr>
            <w:tcW w:w="253" w:type="pct"/>
            <w:tcBorders>
              <w:top w:val="nil"/>
              <w:left w:val="nil"/>
              <w:bottom w:val="nil"/>
              <w:right w:val="nil"/>
            </w:tcBorders>
            <w:shd w:val="clear" w:color="auto" w:fill="auto"/>
            <w:noWrap/>
            <w:vAlign w:val="center"/>
            <w:hideMark/>
          </w:tcPr>
          <w:p w14:paraId="04BB15F2" w14:textId="77777777" w:rsidR="00635943" w:rsidRPr="00B457F5" w:rsidRDefault="00635943" w:rsidP="00635943">
            <w:pPr>
              <w:spacing w:before="0" w:after="0"/>
              <w:jc w:val="center"/>
              <w:rPr>
                <w:rFonts w:ascii="Garamond" w:eastAsia="Times New Roman" w:hAnsi="Garamond" w:cs="Times New Roman"/>
                <w:sz w:val="4"/>
                <w:szCs w:val="4"/>
              </w:rPr>
            </w:pPr>
          </w:p>
        </w:tc>
        <w:tc>
          <w:tcPr>
            <w:tcW w:w="238" w:type="pct"/>
            <w:tcBorders>
              <w:top w:val="nil"/>
              <w:left w:val="nil"/>
              <w:bottom w:val="nil"/>
              <w:right w:val="nil"/>
            </w:tcBorders>
            <w:shd w:val="clear" w:color="auto" w:fill="auto"/>
            <w:noWrap/>
            <w:vAlign w:val="center"/>
            <w:hideMark/>
          </w:tcPr>
          <w:p w14:paraId="18458D61"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3F4D7903" w14:textId="77777777" w:rsidR="00635943" w:rsidRPr="00B457F5" w:rsidRDefault="00635943" w:rsidP="00635943">
            <w:pPr>
              <w:spacing w:before="0" w:after="0"/>
              <w:jc w:val="center"/>
              <w:rPr>
                <w:rFonts w:ascii="Garamond" w:eastAsia="Times New Roman" w:hAnsi="Garamond" w:cs="Times New Roman"/>
                <w:sz w:val="4"/>
                <w:szCs w:val="4"/>
              </w:rPr>
            </w:pPr>
          </w:p>
        </w:tc>
        <w:tc>
          <w:tcPr>
            <w:tcW w:w="205" w:type="pct"/>
            <w:tcBorders>
              <w:top w:val="nil"/>
              <w:left w:val="nil"/>
              <w:bottom w:val="nil"/>
              <w:right w:val="nil"/>
            </w:tcBorders>
            <w:shd w:val="clear" w:color="auto" w:fill="auto"/>
            <w:noWrap/>
            <w:vAlign w:val="center"/>
            <w:hideMark/>
          </w:tcPr>
          <w:p w14:paraId="1A283977" w14:textId="77777777" w:rsidR="00635943" w:rsidRPr="00B457F5" w:rsidRDefault="00635943" w:rsidP="00635943">
            <w:pPr>
              <w:spacing w:before="0" w:after="0"/>
              <w:jc w:val="center"/>
              <w:rPr>
                <w:rFonts w:ascii="Garamond" w:eastAsia="Times New Roman" w:hAnsi="Garamond" w:cs="Times New Roman"/>
                <w:sz w:val="4"/>
                <w:szCs w:val="4"/>
              </w:rPr>
            </w:pPr>
          </w:p>
        </w:tc>
        <w:tc>
          <w:tcPr>
            <w:tcW w:w="211" w:type="pct"/>
            <w:tcBorders>
              <w:top w:val="nil"/>
              <w:left w:val="nil"/>
              <w:bottom w:val="nil"/>
              <w:right w:val="nil"/>
            </w:tcBorders>
            <w:shd w:val="clear" w:color="auto" w:fill="auto"/>
            <w:noWrap/>
            <w:vAlign w:val="center"/>
            <w:hideMark/>
          </w:tcPr>
          <w:p w14:paraId="143147C0" w14:textId="77777777" w:rsidR="00635943" w:rsidRPr="00B457F5" w:rsidRDefault="00635943" w:rsidP="00635943">
            <w:pPr>
              <w:spacing w:before="0" w:after="0"/>
              <w:jc w:val="center"/>
              <w:rPr>
                <w:rFonts w:ascii="Garamond" w:eastAsia="Times New Roman" w:hAnsi="Garamond" w:cs="Times New Roman"/>
                <w:sz w:val="4"/>
                <w:szCs w:val="4"/>
              </w:rPr>
            </w:pPr>
          </w:p>
        </w:tc>
        <w:tc>
          <w:tcPr>
            <w:tcW w:w="177" w:type="pct"/>
            <w:tcBorders>
              <w:top w:val="nil"/>
              <w:left w:val="nil"/>
              <w:bottom w:val="nil"/>
              <w:right w:val="nil"/>
            </w:tcBorders>
            <w:shd w:val="clear" w:color="auto" w:fill="auto"/>
            <w:noWrap/>
            <w:vAlign w:val="center"/>
            <w:hideMark/>
          </w:tcPr>
          <w:p w14:paraId="419A4919" w14:textId="77777777" w:rsidR="00635943" w:rsidRPr="00B457F5" w:rsidRDefault="00635943" w:rsidP="00635943">
            <w:pPr>
              <w:spacing w:before="0" w:after="0"/>
              <w:jc w:val="center"/>
              <w:rPr>
                <w:rFonts w:ascii="Garamond" w:eastAsia="Times New Roman" w:hAnsi="Garamond" w:cs="Times New Roman"/>
                <w:sz w:val="4"/>
                <w:szCs w:val="4"/>
              </w:rPr>
            </w:pPr>
          </w:p>
        </w:tc>
        <w:tc>
          <w:tcPr>
            <w:tcW w:w="284" w:type="pct"/>
            <w:tcBorders>
              <w:top w:val="nil"/>
              <w:left w:val="nil"/>
              <w:bottom w:val="nil"/>
              <w:right w:val="nil"/>
            </w:tcBorders>
            <w:shd w:val="clear" w:color="auto" w:fill="auto"/>
            <w:noWrap/>
            <w:vAlign w:val="center"/>
            <w:hideMark/>
          </w:tcPr>
          <w:p w14:paraId="56F30E56" w14:textId="77777777" w:rsidR="00635943" w:rsidRPr="00B457F5" w:rsidRDefault="00635943" w:rsidP="00635943">
            <w:pPr>
              <w:spacing w:before="0" w:after="0"/>
              <w:jc w:val="center"/>
              <w:rPr>
                <w:rFonts w:ascii="Garamond" w:eastAsia="Times New Roman" w:hAnsi="Garamond" w:cs="Times New Roman"/>
                <w:sz w:val="4"/>
                <w:szCs w:val="4"/>
              </w:rPr>
            </w:pPr>
          </w:p>
        </w:tc>
        <w:tc>
          <w:tcPr>
            <w:tcW w:w="244" w:type="pct"/>
            <w:tcBorders>
              <w:top w:val="nil"/>
              <w:left w:val="nil"/>
              <w:bottom w:val="nil"/>
              <w:right w:val="nil"/>
            </w:tcBorders>
            <w:shd w:val="clear" w:color="auto" w:fill="auto"/>
            <w:noWrap/>
            <w:vAlign w:val="center"/>
            <w:hideMark/>
          </w:tcPr>
          <w:p w14:paraId="4579D34E" w14:textId="77777777" w:rsidR="00635943" w:rsidRPr="00B457F5" w:rsidRDefault="00635943" w:rsidP="00635943">
            <w:pPr>
              <w:spacing w:before="0" w:after="0"/>
              <w:jc w:val="center"/>
              <w:rPr>
                <w:rFonts w:ascii="Garamond" w:eastAsia="Times New Roman" w:hAnsi="Garamond" w:cs="Times New Roman"/>
                <w:sz w:val="4"/>
                <w:szCs w:val="4"/>
              </w:rPr>
            </w:pPr>
          </w:p>
        </w:tc>
      </w:tr>
      <w:tr w:rsidR="0028334E" w:rsidRPr="00B457F5" w14:paraId="51C64B83" w14:textId="77777777" w:rsidTr="00635943">
        <w:trPr>
          <w:trHeight w:val="20"/>
        </w:trPr>
        <w:tc>
          <w:tcPr>
            <w:tcW w:w="343" w:type="pct"/>
            <w:tcBorders>
              <w:top w:val="nil"/>
              <w:left w:val="nil"/>
              <w:bottom w:val="nil"/>
              <w:right w:val="nil"/>
            </w:tcBorders>
            <w:shd w:val="clear" w:color="auto" w:fill="auto"/>
            <w:noWrap/>
            <w:vAlign w:val="bottom"/>
            <w:hideMark/>
          </w:tcPr>
          <w:p w14:paraId="03D0070A" w14:textId="77777777" w:rsidR="00635943" w:rsidRPr="00B457F5" w:rsidRDefault="00635943" w:rsidP="00635943">
            <w:pPr>
              <w:spacing w:before="0" w:after="0"/>
              <w:jc w:val="center"/>
              <w:rPr>
                <w:rFonts w:ascii="Garamond" w:eastAsia="Times New Roman" w:hAnsi="Garamond" w:cs="Times New Roman"/>
                <w:sz w:val="4"/>
                <w:szCs w:val="4"/>
              </w:rPr>
            </w:pPr>
          </w:p>
        </w:tc>
        <w:tc>
          <w:tcPr>
            <w:tcW w:w="266" w:type="pct"/>
            <w:tcBorders>
              <w:top w:val="nil"/>
              <w:left w:val="nil"/>
              <w:bottom w:val="nil"/>
              <w:right w:val="nil"/>
            </w:tcBorders>
            <w:shd w:val="clear" w:color="auto" w:fill="auto"/>
            <w:noWrap/>
            <w:vAlign w:val="bottom"/>
            <w:hideMark/>
          </w:tcPr>
          <w:p w14:paraId="5EAAB39E" w14:textId="77777777" w:rsidR="00635943" w:rsidRPr="00B457F5" w:rsidRDefault="00635943" w:rsidP="00635943">
            <w:pPr>
              <w:spacing w:before="0" w:after="0"/>
              <w:jc w:val="left"/>
              <w:rPr>
                <w:rFonts w:ascii="Garamond" w:eastAsia="Times New Roman" w:hAnsi="Garamond" w:cs="Times New Roman"/>
                <w:sz w:val="4"/>
                <w:szCs w:val="4"/>
              </w:rPr>
            </w:pPr>
          </w:p>
        </w:tc>
        <w:tc>
          <w:tcPr>
            <w:tcW w:w="474" w:type="pct"/>
            <w:tcBorders>
              <w:top w:val="nil"/>
              <w:left w:val="nil"/>
              <w:bottom w:val="nil"/>
              <w:right w:val="nil"/>
            </w:tcBorders>
            <w:shd w:val="clear" w:color="auto" w:fill="auto"/>
            <w:noWrap/>
            <w:vAlign w:val="bottom"/>
            <w:hideMark/>
          </w:tcPr>
          <w:p w14:paraId="55B99BF3" w14:textId="77777777" w:rsidR="00635943" w:rsidRPr="00B457F5" w:rsidRDefault="00635943" w:rsidP="00635943">
            <w:pPr>
              <w:spacing w:before="0" w:after="0"/>
              <w:jc w:val="left"/>
              <w:rPr>
                <w:rFonts w:ascii="Garamond" w:eastAsia="Times New Roman" w:hAnsi="Garamond" w:cs="Times New Roman"/>
                <w:sz w:val="4"/>
                <w:szCs w:val="4"/>
              </w:rPr>
            </w:pPr>
          </w:p>
        </w:tc>
        <w:tc>
          <w:tcPr>
            <w:tcW w:w="196" w:type="pct"/>
            <w:tcBorders>
              <w:top w:val="nil"/>
              <w:left w:val="nil"/>
              <w:bottom w:val="nil"/>
              <w:right w:val="nil"/>
            </w:tcBorders>
            <w:shd w:val="clear" w:color="auto" w:fill="auto"/>
            <w:noWrap/>
            <w:vAlign w:val="bottom"/>
            <w:hideMark/>
          </w:tcPr>
          <w:p w14:paraId="4CA0942A" w14:textId="77777777" w:rsidR="00635943" w:rsidRPr="00B457F5" w:rsidRDefault="00635943" w:rsidP="00635943">
            <w:pPr>
              <w:spacing w:before="0" w:after="0"/>
              <w:jc w:val="left"/>
              <w:rPr>
                <w:rFonts w:ascii="Garamond" w:eastAsia="Times New Roman" w:hAnsi="Garamond" w:cs="Times New Roman"/>
                <w:sz w:val="4"/>
                <w:szCs w:val="4"/>
              </w:rPr>
            </w:pPr>
          </w:p>
        </w:tc>
        <w:tc>
          <w:tcPr>
            <w:tcW w:w="231" w:type="pct"/>
            <w:tcBorders>
              <w:top w:val="nil"/>
              <w:left w:val="nil"/>
              <w:bottom w:val="nil"/>
              <w:right w:val="nil"/>
            </w:tcBorders>
            <w:shd w:val="clear" w:color="auto" w:fill="auto"/>
            <w:noWrap/>
            <w:vAlign w:val="bottom"/>
            <w:hideMark/>
          </w:tcPr>
          <w:p w14:paraId="4760F5C2" w14:textId="77777777" w:rsidR="00635943" w:rsidRPr="00B457F5" w:rsidRDefault="00635943" w:rsidP="00635943">
            <w:pPr>
              <w:spacing w:before="0" w:after="0"/>
              <w:jc w:val="left"/>
              <w:rPr>
                <w:rFonts w:ascii="Garamond" w:eastAsia="Times New Roman" w:hAnsi="Garamond" w:cs="Times New Roman"/>
                <w:sz w:val="4"/>
                <w:szCs w:val="4"/>
              </w:rPr>
            </w:pPr>
          </w:p>
        </w:tc>
        <w:tc>
          <w:tcPr>
            <w:tcW w:w="259" w:type="pct"/>
            <w:tcBorders>
              <w:top w:val="nil"/>
              <w:left w:val="nil"/>
              <w:bottom w:val="nil"/>
              <w:right w:val="nil"/>
            </w:tcBorders>
            <w:shd w:val="clear" w:color="auto" w:fill="auto"/>
            <w:noWrap/>
            <w:vAlign w:val="center"/>
            <w:hideMark/>
          </w:tcPr>
          <w:p w14:paraId="6DC0FFE5" w14:textId="77777777" w:rsidR="00635943" w:rsidRPr="00B457F5" w:rsidRDefault="00635943" w:rsidP="00635943">
            <w:pPr>
              <w:spacing w:before="0" w:after="0"/>
              <w:jc w:val="left"/>
              <w:rPr>
                <w:rFonts w:ascii="Garamond" w:eastAsia="Times New Roman" w:hAnsi="Garamond" w:cs="Times New Roman"/>
                <w:sz w:val="4"/>
                <w:szCs w:val="4"/>
              </w:rPr>
            </w:pPr>
          </w:p>
        </w:tc>
        <w:tc>
          <w:tcPr>
            <w:tcW w:w="278" w:type="pct"/>
            <w:tcBorders>
              <w:top w:val="nil"/>
              <w:left w:val="nil"/>
              <w:bottom w:val="nil"/>
              <w:right w:val="nil"/>
            </w:tcBorders>
            <w:shd w:val="clear" w:color="auto" w:fill="auto"/>
            <w:noWrap/>
            <w:vAlign w:val="center"/>
            <w:hideMark/>
          </w:tcPr>
          <w:p w14:paraId="2025EE07" w14:textId="77777777" w:rsidR="00635943" w:rsidRPr="00B457F5" w:rsidRDefault="00635943" w:rsidP="00635943">
            <w:pPr>
              <w:spacing w:before="0" w:after="0"/>
              <w:jc w:val="center"/>
              <w:rPr>
                <w:rFonts w:ascii="Garamond" w:eastAsia="Times New Roman" w:hAnsi="Garamond" w:cs="Times New Roman"/>
                <w:sz w:val="4"/>
                <w:szCs w:val="4"/>
              </w:rPr>
            </w:pPr>
          </w:p>
        </w:tc>
        <w:tc>
          <w:tcPr>
            <w:tcW w:w="260" w:type="pct"/>
            <w:tcBorders>
              <w:top w:val="nil"/>
              <w:left w:val="nil"/>
              <w:bottom w:val="nil"/>
              <w:right w:val="nil"/>
            </w:tcBorders>
            <w:shd w:val="clear" w:color="auto" w:fill="auto"/>
            <w:noWrap/>
            <w:vAlign w:val="center"/>
            <w:hideMark/>
          </w:tcPr>
          <w:p w14:paraId="6A294381" w14:textId="77777777" w:rsidR="00635943" w:rsidRPr="00B457F5" w:rsidRDefault="00635943" w:rsidP="00635943">
            <w:pPr>
              <w:spacing w:before="0" w:after="0"/>
              <w:jc w:val="center"/>
              <w:rPr>
                <w:rFonts w:ascii="Garamond" w:eastAsia="Times New Roman" w:hAnsi="Garamond" w:cs="Times New Roman"/>
                <w:sz w:val="4"/>
                <w:szCs w:val="4"/>
              </w:rPr>
            </w:pPr>
          </w:p>
        </w:tc>
        <w:tc>
          <w:tcPr>
            <w:tcW w:w="313" w:type="pct"/>
            <w:tcBorders>
              <w:top w:val="nil"/>
              <w:left w:val="nil"/>
              <w:bottom w:val="nil"/>
              <w:right w:val="nil"/>
            </w:tcBorders>
            <w:shd w:val="clear" w:color="auto" w:fill="auto"/>
            <w:noWrap/>
            <w:vAlign w:val="center"/>
            <w:hideMark/>
          </w:tcPr>
          <w:p w14:paraId="4C0F9836"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0D4F1C1F"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2EF69632" w14:textId="77777777" w:rsidR="00635943" w:rsidRPr="00B457F5" w:rsidRDefault="00635943" w:rsidP="00635943">
            <w:pPr>
              <w:spacing w:before="0" w:after="0"/>
              <w:jc w:val="center"/>
              <w:rPr>
                <w:rFonts w:ascii="Garamond" w:eastAsia="Times New Roman" w:hAnsi="Garamond" w:cs="Times New Roman"/>
                <w:sz w:val="4"/>
                <w:szCs w:val="4"/>
              </w:rPr>
            </w:pPr>
          </w:p>
        </w:tc>
        <w:tc>
          <w:tcPr>
            <w:tcW w:w="253" w:type="pct"/>
            <w:tcBorders>
              <w:top w:val="nil"/>
              <w:left w:val="nil"/>
              <w:bottom w:val="nil"/>
              <w:right w:val="nil"/>
            </w:tcBorders>
            <w:shd w:val="clear" w:color="auto" w:fill="auto"/>
            <w:noWrap/>
            <w:vAlign w:val="center"/>
            <w:hideMark/>
          </w:tcPr>
          <w:p w14:paraId="44ECDA33" w14:textId="77777777" w:rsidR="00635943" w:rsidRPr="00B457F5" w:rsidRDefault="00635943" w:rsidP="00635943">
            <w:pPr>
              <w:spacing w:before="0" w:after="0"/>
              <w:jc w:val="center"/>
              <w:rPr>
                <w:rFonts w:ascii="Garamond" w:eastAsia="Times New Roman" w:hAnsi="Garamond" w:cs="Times New Roman"/>
                <w:sz w:val="4"/>
                <w:szCs w:val="4"/>
              </w:rPr>
            </w:pPr>
          </w:p>
        </w:tc>
        <w:tc>
          <w:tcPr>
            <w:tcW w:w="238" w:type="pct"/>
            <w:tcBorders>
              <w:top w:val="nil"/>
              <w:left w:val="nil"/>
              <w:bottom w:val="nil"/>
              <w:right w:val="nil"/>
            </w:tcBorders>
            <w:shd w:val="clear" w:color="auto" w:fill="auto"/>
            <w:noWrap/>
            <w:vAlign w:val="center"/>
            <w:hideMark/>
          </w:tcPr>
          <w:p w14:paraId="4D7BAECB"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1CED7A8A" w14:textId="77777777" w:rsidR="00635943" w:rsidRPr="00B457F5" w:rsidRDefault="00635943" w:rsidP="00635943">
            <w:pPr>
              <w:spacing w:before="0" w:after="0"/>
              <w:jc w:val="center"/>
              <w:rPr>
                <w:rFonts w:ascii="Garamond" w:eastAsia="Times New Roman" w:hAnsi="Garamond" w:cs="Times New Roman"/>
                <w:sz w:val="4"/>
                <w:szCs w:val="4"/>
              </w:rPr>
            </w:pPr>
          </w:p>
        </w:tc>
        <w:tc>
          <w:tcPr>
            <w:tcW w:w="205" w:type="pct"/>
            <w:tcBorders>
              <w:top w:val="nil"/>
              <w:left w:val="nil"/>
              <w:bottom w:val="nil"/>
              <w:right w:val="nil"/>
            </w:tcBorders>
            <w:shd w:val="clear" w:color="auto" w:fill="auto"/>
            <w:noWrap/>
            <w:vAlign w:val="center"/>
            <w:hideMark/>
          </w:tcPr>
          <w:p w14:paraId="5D82BCF9" w14:textId="77777777" w:rsidR="00635943" w:rsidRPr="00B457F5" w:rsidRDefault="00635943" w:rsidP="00635943">
            <w:pPr>
              <w:spacing w:before="0" w:after="0"/>
              <w:jc w:val="center"/>
              <w:rPr>
                <w:rFonts w:ascii="Garamond" w:eastAsia="Times New Roman" w:hAnsi="Garamond" w:cs="Times New Roman"/>
                <w:sz w:val="4"/>
                <w:szCs w:val="4"/>
              </w:rPr>
            </w:pPr>
          </w:p>
        </w:tc>
        <w:tc>
          <w:tcPr>
            <w:tcW w:w="211" w:type="pct"/>
            <w:tcBorders>
              <w:top w:val="nil"/>
              <w:left w:val="nil"/>
              <w:bottom w:val="nil"/>
              <w:right w:val="nil"/>
            </w:tcBorders>
            <w:shd w:val="clear" w:color="auto" w:fill="auto"/>
            <w:noWrap/>
            <w:vAlign w:val="center"/>
            <w:hideMark/>
          </w:tcPr>
          <w:p w14:paraId="7B98892D" w14:textId="77777777" w:rsidR="00635943" w:rsidRPr="00B457F5" w:rsidRDefault="00635943" w:rsidP="00635943">
            <w:pPr>
              <w:spacing w:before="0" w:after="0"/>
              <w:jc w:val="center"/>
              <w:rPr>
                <w:rFonts w:ascii="Garamond" w:eastAsia="Times New Roman" w:hAnsi="Garamond" w:cs="Times New Roman"/>
                <w:sz w:val="4"/>
                <w:szCs w:val="4"/>
              </w:rPr>
            </w:pPr>
          </w:p>
        </w:tc>
        <w:tc>
          <w:tcPr>
            <w:tcW w:w="177" w:type="pct"/>
            <w:tcBorders>
              <w:top w:val="nil"/>
              <w:left w:val="nil"/>
              <w:bottom w:val="nil"/>
              <w:right w:val="nil"/>
            </w:tcBorders>
            <w:shd w:val="clear" w:color="auto" w:fill="auto"/>
            <w:noWrap/>
            <w:vAlign w:val="center"/>
            <w:hideMark/>
          </w:tcPr>
          <w:p w14:paraId="25D372B1" w14:textId="77777777" w:rsidR="00635943" w:rsidRPr="00B457F5" w:rsidRDefault="00635943" w:rsidP="00635943">
            <w:pPr>
              <w:spacing w:before="0" w:after="0"/>
              <w:jc w:val="center"/>
              <w:rPr>
                <w:rFonts w:ascii="Garamond" w:eastAsia="Times New Roman" w:hAnsi="Garamond" w:cs="Times New Roman"/>
                <w:sz w:val="4"/>
                <w:szCs w:val="4"/>
              </w:rPr>
            </w:pPr>
          </w:p>
        </w:tc>
        <w:tc>
          <w:tcPr>
            <w:tcW w:w="284" w:type="pct"/>
            <w:tcBorders>
              <w:top w:val="nil"/>
              <w:left w:val="nil"/>
              <w:bottom w:val="nil"/>
              <w:right w:val="nil"/>
            </w:tcBorders>
            <w:shd w:val="clear" w:color="auto" w:fill="auto"/>
            <w:noWrap/>
            <w:vAlign w:val="center"/>
            <w:hideMark/>
          </w:tcPr>
          <w:p w14:paraId="3BE3C725" w14:textId="77777777" w:rsidR="00635943" w:rsidRPr="00B457F5" w:rsidRDefault="00635943" w:rsidP="00635943">
            <w:pPr>
              <w:spacing w:before="0" w:after="0"/>
              <w:jc w:val="center"/>
              <w:rPr>
                <w:rFonts w:ascii="Garamond" w:eastAsia="Times New Roman" w:hAnsi="Garamond" w:cs="Times New Roman"/>
                <w:sz w:val="4"/>
                <w:szCs w:val="4"/>
              </w:rPr>
            </w:pPr>
          </w:p>
        </w:tc>
        <w:tc>
          <w:tcPr>
            <w:tcW w:w="244" w:type="pct"/>
            <w:tcBorders>
              <w:top w:val="nil"/>
              <w:left w:val="nil"/>
              <w:bottom w:val="nil"/>
              <w:right w:val="nil"/>
            </w:tcBorders>
            <w:shd w:val="clear" w:color="auto" w:fill="auto"/>
            <w:noWrap/>
            <w:vAlign w:val="center"/>
            <w:hideMark/>
          </w:tcPr>
          <w:p w14:paraId="2C5B9DED" w14:textId="77777777" w:rsidR="00635943" w:rsidRPr="00B457F5" w:rsidRDefault="00635943" w:rsidP="00635943">
            <w:pPr>
              <w:spacing w:before="0" w:after="0"/>
              <w:jc w:val="center"/>
              <w:rPr>
                <w:rFonts w:ascii="Garamond" w:eastAsia="Times New Roman" w:hAnsi="Garamond" w:cs="Times New Roman"/>
                <w:sz w:val="4"/>
                <w:szCs w:val="4"/>
              </w:rPr>
            </w:pPr>
          </w:p>
        </w:tc>
      </w:tr>
      <w:tr w:rsidR="0028334E" w:rsidRPr="00B457F5" w14:paraId="7C6B98C9" w14:textId="77777777" w:rsidTr="00635943">
        <w:trPr>
          <w:trHeight w:val="20"/>
        </w:trPr>
        <w:tc>
          <w:tcPr>
            <w:tcW w:w="343" w:type="pct"/>
            <w:tcBorders>
              <w:top w:val="nil"/>
              <w:left w:val="nil"/>
              <w:bottom w:val="nil"/>
              <w:right w:val="nil"/>
            </w:tcBorders>
            <w:shd w:val="clear" w:color="auto" w:fill="auto"/>
            <w:noWrap/>
            <w:vAlign w:val="bottom"/>
            <w:hideMark/>
          </w:tcPr>
          <w:p w14:paraId="3F4BC631" w14:textId="77777777" w:rsidR="00635943" w:rsidRPr="00B457F5" w:rsidRDefault="00635943" w:rsidP="00635943">
            <w:pPr>
              <w:spacing w:before="0" w:after="0"/>
              <w:jc w:val="center"/>
              <w:rPr>
                <w:rFonts w:ascii="Garamond" w:eastAsia="Times New Roman" w:hAnsi="Garamond" w:cs="Times New Roman"/>
                <w:sz w:val="4"/>
                <w:szCs w:val="4"/>
              </w:rPr>
            </w:pPr>
          </w:p>
        </w:tc>
        <w:tc>
          <w:tcPr>
            <w:tcW w:w="266" w:type="pct"/>
            <w:tcBorders>
              <w:top w:val="nil"/>
              <w:left w:val="nil"/>
              <w:bottom w:val="nil"/>
              <w:right w:val="nil"/>
            </w:tcBorders>
            <w:shd w:val="clear" w:color="auto" w:fill="auto"/>
            <w:noWrap/>
            <w:vAlign w:val="bottom"/>
            <w:hideMark/>
          </w:tcPr>
          <w:p w14:paraId="58FF2B54" w14:textId="77777777" w:rsidR="00635943" w:rsidRPr="00B457F5" w:rsidRDefault="00635943" w:rsidP="00635943">
            <w:pPr>
              <w:spacing w:before="0" w:after="0"/>
              <w:jc w:val="left"/>
              <w:rPr>
                <w:rFonts w:ascii="Garamond" w:eastAsia="Times New Roman" w:hAnsi="Garamond" w:cs="Times New Roman"/>
                <w:sz w:val="4"/>
                <w:szCs w:val="4"/>
              </w:rPr>
            </w:pPr>
          </w:p>
        </w:tc>
        <w:tc>
          <w:tcPr>
            <w:tcW w:w="474" w:type="pct"/>
            <w:tcBorders>
              <w:top w:val="nil"/>
              <w:left w:val="nil"/>
              <w:bottom w:val="nil"/>
              <w:right w:val="nil"/>
            </w:tcBorders>
            <w:shd w:val="clear" w:color="auto" w:fill="auto"/>
            <w:noWrap/>
            <w:vAlign w:val="bottom"/>
            <w:hideMark/>
          </w:tcPr>
          <w:p w14:paraId="502E1413" w14:textId="77777777" w:rsidR="00635943" w:rsidRPr="00B457F5" w:rsidRDefault="00635943" w:rsidP="00635943">
            <w:pPr>
              <w:spacing w:before="0" w:after="0"/>
              <w:jc w:val="left"/>
              <w:rPr>
                <w:rFonts w:ascii="Garamond" w:eastAsia="Times New Roman" w:hAnsi="Garamond" w:cs="Times New Roman"/>
                <w:sz w:val="4"/>
                <w:szCs w:val="4"/>
              </w:rPr>
            </w:pPr>
          </w:p>
        </w:tc>
        <w:tc>
          <w:tcPr>
            <w:tcW w:w="196" w:type="pct"/>
            <w:tcBorders>
              <w:top w:val="nil"/>
              <w:left w:val="nil"/>
              <w:bottom w:val="nil"/>
              <w:right w:val="nil"/>
            </w:tcBorders>
            <w:shd w:val="clear" w:color="auto" w:fill="auto"/>
            <w:noWrap/>
            <w:vAlign w:val="bottom"/>
            <w:hideMark/>
          </w:tcPr>
          <w:p w14:paraId="12C4FF96" w14:textId="77777777" w:rsidR="00635943" w:rsidRPr="00B457F5" w:rsidRDefault="00635943" w:rsidP="00635943">
            <w:pPr>
              <w:spacing w:before="0" w:after="0"/>
              <w:jc w:val="left"/>
              <w:rPr>
                <w:rFonts w:ascii="Garamond" w:eastAsia="Times New Roman" w:hAnsi="Garamond" w:cs="Times New Roman"/>
                <w:sz w:val="4"/>
                <w:szCs w:val="4"/>
              </w:rPr>
            </w:pPr>
          </w:p>
        </w:tc>
        <w:tc>
          <w:tcPr>
            <w:tcW w:w="231" w:type="pct"/>
            <w:tcBorders>
              <w:top w:val="nil"/>
              <w:left w:val="nil"/>
              <w:bottom w:val="nil"/>
              <w:right w:val="nil"/>
            </w:tcBorders>
            <w:shd w:val="clear" w:color="auto" w:fill="auto"/>
            <w:noWrap/>
            <w:vAlign w:val="bottom"/>
            <w:hideMark/>
          </w:tcPr>
          <w:p w14:paraId="2A8DD970" w14:textId="77777777" w:rsidR="00635943" w:rsidRPr="00B457F5" w:rsidRDefault="00635943" w:rsidP="00635943">
            <w:pPr>
              <w:spacing w:before="0" w:after="0"/>
              <w:jc w:val="left"/>
              <w:rPr>
                <w:rFonts w:ascii="Garamond" w:eastAsia="Times New Roman" w:hAnsi="Garamond" w:cs="Times New Roman"/>
                <w:sz w:val="4"/>
                <w:szCs w:val="4"/>
              </w:rPr>
            </w:pPr>
          </w:p>
        </w:tc>
        <w:tc>
          <w:tcPr>
            <w:tcW w:w="259" w:type="pct"/>
            <w:tcBorders>
              <w:top w:val="nil"/>
              <w:left w:val="nil"/>
              <w:bottom w:val="nil"/>
              <w:right w:val="nil"/>
            </w:tcBorders>
            <w:shd w:val="clear" w:color="auto" w:fill="auto"/>
            <w:noWrap/>
            <w:vAlign w:val="center"/>
            <w:hideMark/>
          </w:tcPr>
          <w:p w14:paraId="1EDB5D27" w14:textId="77777777" w:rsidR="00635943" w:rsidRPr="00B457F5" w:rsidRDefault="00635943" w:rsidP="00635943">
            <w:pPr>
              <w:spacing w:before="0" w:after="0"/>
              <w:jc w:val="left"/>
              <w:rPr>
                <w:rFonts w:ascii="Garamond" w:eastAsia="Times New Roman" w:hAnsi="Garamond" w:cs="Times New Roman"/>
                <w:sz w:val="4"/>
                <w:szCs w:val="4"/>
              </w:rPr>
            </w:pPr>
          </w:p>
        </w:tc>
        <w:tc>
          <w:tcPr>
            <w:tcW w:w="278" w:type="pct"/>
            <w:tcBorders>
              <w:top w:val="nil"/>
              <w:left w:val="nil"/>
              <w:bottom w:val="nil"/>
              <w:right w:val="nil"/>
            </w:tcBorders>
            <w:shd w:val="clear" w:color="auto" w:fill="auto"/>
            <w:noWrap/>
            <w:vAlign w:val="center"/>
            <w:hideMark/>
          </w:tcPr>
          <w:p w14:paraId="6091753C" w14:textId="77777777" w:rsidR="00635943" w:rsidRPr="00B457F5" w:rsidRDefault="00635943" w:rsidP="00635943">
            <w:pPr>
              <w:spacing w:before="0" w:after="0"/>
              <w:jc w:val="center"/>
              <w:rPr>
                <w:rFonts w:ascii="Garamond" w:eastAsia="Times New Roman" w:hAnsi="Garamond" w:cs="Times New Roman"/>
                <w:sz w:val="4"/>
                <w:szCs w:val="4"/>
              </w:rPr>
            </w:pPr>
          </w:p>
        </w:tc>
        <w:tc>
          <w:tcPr>
            <w:tcW w:w="260" w:type="pct"/>
            <w:tcBorders>
              <w:top w:val="nil"/>
              <w:left w:val="nil"/>
              <w:bottom w:val="nil"/>
              <w:right w:val="nil"/>
            </w:tcBorders>
            <w:shd w:val="clear" w:color="auto" w:fill="auto"/>
            <w:noWrap/>
            <w:vAlign w:val="center"/>
            <w:hideMark/>
          </w:tcPr>
          <w:p w14:paraId="474B775B" w14:textId="77777777" w:rsidR="00635943" w:rsidRPr="00B457F5" w:rsidRDefault="00635943" w:rsidP="00635943">
            <w:pPr>
              <w:spacing w:before="0" w:after="0"/>
              <w:jc w:val="center"/>
              <w:rPr>
                <w:rFonts w:ascii="Garamond" w:eastAsia="Times New Roman" w:hAnsi="Garamond" w:cs="Times New Roman"/>
                <w:sz w:val="4"/>
                <w:szCs w:val="4"/>
              </w:rPr>
            </w:pPr>
          </w:p>
        </w:tc>
        <w:tc>
          <w:tcPr>
            <w:tcW w:w="313" w:type="pct"/>
            <w:tcBorders>
              <w:top w:val="nil"/>
              <w:left w:val="nil"/>
              <w:bottom w:val="nil"/>
              <w:right w:val="nil"/>
            </w:tcBorders>
            <w:shd w:val="clear" w:color="auto" w:fill="auto"/>
            <w:noWrap/>
            <w:vAlign w:val="center"/>
            <w:hideMark/>
          </w:tcPr>
          <w:p w14:paraId="352EC1DD"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5DD01306"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1276C1EC" w14:textId="77777777" w:rsidR="00635943" w:rsidRPr="00B457F5" w:rsidRDefault="00635943" w:rsidP="00635943">
            <w:pPr>
              <w:spacing w:before="0" w:after="0"/>
              <w:jc w:val="center"/>
              <w:rPr>
                <w:rFonts w:ascii="Garamond" w:eastAsia="Times New Roman" w:hAnsi="Garamond" w:cs="Times New Roman"/>
                <w:sz w:val="4"/>
                <w:szCs w:val="4"/>
              </w:rPr>
            </w:pPr>
          </w:p>
        </w:tc>
        <w:tc>
          <w:tcPr>
            <w:tcW w:w="253" w:type="pct"/>
            <w:tcBorders>
              <w:top w:val="nil"/>
              <w:left w:val="nil"/>
              <w:bottom w:val="nil"/>
              <w:right w:val="nil"/>
            </w:tcBorders>
            <w:shd w:val="clear" w:color="auto" w:fill="auto"/>
            <w:noWrap/>
            <w:vAlign w:val="center"/>
            <w:hideMark/>
          </w:tcPr>
          <w:p w14:paraId="70FA2E0F" w14:textId="77777777" w:rsidR="00635943" w:rsidRPr="00B457F5" w:rsidRDefault="00635943" w:rsidP="00635943">
            <w:pPr>
              <w:spacing w:before="0" w:after="0"/>
              <w:jc w:val="center"/>
              <w:rPr>
                <w:rFonts w:ascii="Garamond" w:eastAsia="Times New Roman" w:hAnsi="Garamond" w:cs="Times New Roman"/>
                <w:sz w:val="4"/>
                <w:szCs w:val="4"/>
              </w:rPr>
            </w:pPr>
          </w:p>
        </w:tc>
        <w:tc>
          <w:tcPr>
            <w:tcW w:w="238" w:type="pct"/>
            <w:tcBorders>
              <w:top w:val="nil"/>
              <w:left w:val="nil"/>
              <w:bottom w:val="nil"/>
              <w:right w:val="nil"/>
            </w:tcBorders>
            <w:shd w:val="clear" w:color="auto" w:fill="auto"/>
            <w:noWrap/>
            <w:vAlign w:val="center"/>
            <w:hideMark/>
          </w:tcPr>
          <w:p w14:paraId="48C5DF8C"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6A1DDF7D" w14:textId="77777777" w:rsidR="00635943" w:rsidRPr="00B457F5" w:rsidRDefault="00635943" w:rsidP="00635943">
            <w:pPr>
              <w:spacing w:before="0" w:after="0"/>
              <w:jc w:val="center"/>
              <w:rPr>
                <w:rFonts w:ascii="Garamond" w:eastAsia="Times New Roman" w:hAnsi="Garamond" w:cs="Times New Roman"/>
                <w:sz w:val="4"/>
                <w:szCs w:val="4"/>
              </w:rPr>
            </w:pPr>
          </w:p>
        </w:tc>
        <w:tc>
          <w:tcPr>
            <w:tcW w:w="205" w:type="pct"/>
            <w:tcBorders>
              <w:top w:val="nil"/>
              <w:left w:val="nil"/>
              <w:bottom w:val="nil"/>
              <w:right w:val="nil"/>
            </w:tcBorders>
            <w:shd w:val="clear" w:color="auto" w:fill="auto"/>
            <w:noWrap/>
            <w:vAlign w:val="center"/>
            <w:hideMark/>
          </w:tcPr>
          <w:p w14:paraId="1713B241" w14:textId="77777777" w:rsidR="00635943" w:rsidRPr="00B457F5" w:rsidRDefault="00635943" w:rsidP="00635943">
            <w:pPr>
              <w:spacing w:before="0" w:after="0"/>
              <w:jc w:val="center"/>
              <w:rPr>
                <w:rFonts w:ascii="Garamond" w:eastAsia="Times New Roman" w:hAnsi="Garamond" w:cs="Times New Roman"/>
                <w:sz w:val="4"/>
                <w:szCs w:val="4"/>
              </w:rPr>
            </w:pPr>
          </w:p>
        </w:tc>
        <w:tc>
          <w:tcPr>
            <w:tcW w:w="211" w:type="pct"/>
            <w:tcBorders>
              <w:top w:val="nil"/>
              <w:left w:val="nil"/>
              <w:bottom w:val="nil"/>
              <w:right w:val="nil"/>
            </w:tcBorders>
            <w:shd w:val="clear" w:color="auto" w:fill="auto"/>
            <w:noWrap/>
            <w:vAlign w:val="center"/>
            <w:hideMark/>
          </w:tcPr>
          <w:p w14:paraId="69AA140B" w14:textId="77777777" w:rsidR="00635943" w:rsidRPr="00B457F5" w:rsidRDefault="00635943" w:rsidP="00635943">
            <w:pPr>
              <w:spacing w:before="0" w:after="0"/>
              <w:jc w:val="center"/>
              <w:rPr>
                <w:rFonts w:ascii="Garamond" w:eastAsia="Times New Roman" w:hAnsi="Garamond" w:cs="Times New Roman"/>
                <w:sz w:val="4"/>
                <w:szCs w:val="4"/>
              </w:rPr>
            </w:pPr>
          </w:p>
        </w:tc>
        <w:tc>
          <w:tcPr>
            <w:tcW w:w="177" w:type="pct"/>
            <w:tcBorders>
              <w:top w:val="nil"/>
              <w:left w:val="nil"/>
              <w:bottom w:val="nil"/>
              <w:right w:val="nil"/>
            </w:tcBorders>
            <w:shd w:val="clear" w:color="auto" w:fill="auto"/>
            <w:noWrap/>
            <w:vAlign w:val="center"/>
            <w:hideMark/>
          </w:tcPr>
          <w:p w14:paraId="3CCFDF2F" w14:textId="77777777" w:rsidR="00635943" w:rsidRPr="00B457F5" w:rsidRDefault="00635943" w:rsidP="00635943">
            <w:pPr>
              <w:spacing w:before="0" w:after="0"/>
              <w:jc w:val="center"/>
              <w:rPr>
                <w:rFonts w:ascii="Garamond" w:eastAsia="Times New Roman" w:hAnsi="Garamond" w:cs="Times New Roman"/>
                <w:sz w:val="4"/>
                <w:szCs w:val="4"/>
              </w:rPr>
            </w:pPr>
          </w:p>
        </w:tc>
        <w:tc>
          <w:tcPr>
            <w:tcW w:w="284" w:type="pct"/>
            <w:tcBorders>
              <w:top w:val="nil"/>
              <w:left w:val="nil"/>
              <w:bottom w:val="nil"/>
              <w:right w:val="nil"/>
            </w:tcBorders>
            <w:shd w:val="clear" w:color="auto" w:fill="auto"/>
            <w:noWrap/>
            <w:vAlign w:val="center"/>
            <w:hideMark/>
          </w:tcPr>
          <w:p w14:paraId="0DB1EB37" w14:textId="77777777" w:rsidR="00635943" w:rsidRPr="00B457F5" w:rsidRDefault="00635943" w:rsidP="00635943">
            <w:pPr>
              <w:spacing w:before="0" w:after="0"/>
              <w:jc w:val="center"/>
              <w:rPr>
                <w:rFonts w:ascii="Garamond" w:eastAsia="Times New Roman" w:hAnsi="Garamond" w:cs="Times New Roman"/>
                <w:sz w:val="4"/>
                <w:szCs w:val="4"/>
              </w:rPr>
            </w:pPr>
          </w:p>
        </w:tc>
        <w:tc>
          <w:tcPr>
            <w:tcW w:w="244" w:type="pct"/>
            <w:tcBorders>
              <w:top w:val="nil"/>
              <w:left w:val="nil"/>
              <w:bottom w:val="nil"/>
              <w:right w:val="nil"/>
            </w:tcBorders>
            <w:shd w:val="clear" w:color="auto" w:fill="auto"/>
            <w:noWrap/>
            <w:vAlign w:val="center"/>
            <w:hideMark/>
          </w:tcPr>
          <w:p w14:paraId="7D9947FC" w14:textId="77777777" w:rsidR="00635943" w:rsidRPr="00B457F5" w:rsidRDefault="00635943" w:rsidP="00635943">
            <w:pPr>
              <w:spacing w:before="0" w:after="0"/>
              <w:jc w:val="center"/>
              <w:rPr>
                <w:rFonts w:ascii="Garamond" w:eastAsia="Times New Roman" w:hAnsi="Garamond" w:cs="Times New Roman"/>
                <w:sz w:val="4"/>
                <w:szCs w:val="4"/>
              </w:rPr>
            </w:pPr>
          </w:p>
        </w:tc>
      </w:tr>
      <w:tr w:rsidR="0028334E" w:rsidRPr="00B457F5" w14:paraId="218907FC" w14:textId="77777777" w:rsidTr="00635943">
        <w:trPr>
          <w:trHeight w:val="20"/>
        </w:trPr>
        <w:tc>
          <w:tcPr>
            <w:tcW w:w="343" w:type="pct"/>
            <w:tcBorders>
              <w:top w:val="nil"/>
              <w:left w:val="nil"/>
              <w:bottom w:val="nil"/>
              <w:right w:val="nil"/>
            </w:tcBorders>
            <w:shd w:val="clear" w:color="auto" w:fill="auto"/>
            <w:noWrap/>
            <w:vAlign w:val="bottom"/>
            <w:hideMark/>
          </w:tcPr>
          <w:p w14:paraId="46D15C2B" w14:textId="77777777" w:rsidR="00635943" w:rsidRPr="00B457F5" w:rsidRDefault="00635943" w:rsidP="00635943">
            <w:pPr>
              <w:spacing w:before="0" w:after="0"/>
              <w:jc w:val="center"/>
              <w:rPr>
                <w:rFonts w:ascii="Garamond" w:eastAsia="Times New Roman" w:hAnsi="Garamond" w:cs="Times New Roman"/>
                <w:sz w:val="4"/>
                <w:szCs w:val="4"/>
              </w:rPr>
            </w:pPr>
          </w:p>
        </w:tc>
        <w:tc>
          <w:tcPr>
            <w:tcW w:w="266" w:type="pct"/>
            <w:tcBorders>
              <w:top w:val="nil"/>
              <w:left w:val="nil"/>
              <w:bottom w:val="nil"/>
              <w:right w:val="nil"/>
            </w:tcBorders>
            <w:shd w:val="clear" w:color="auto" w:fill="auto"/>
            <w:noWrap/>
            <w:vAlign w:val="bottom"/>
            <w:hideMark/>
          </w:tcPr>
          <w:p w14:paraId="68C9AEEB" w14:textId="77777777" w:rsidR="00635943" w:rsidRPr="00B457F5" w:rsidRDefault="00635943" w:rsidP="00635943">
            <w:pPr>
              <w:spacing w:before="0" w:after="0"/>
              <w:jc w:val="left"/>
              <w:rPr>
                <w:rFonts w:ascii="Garamond" w:eastAsia="Times New Roman" w:hAnsi="Garamond" w:cs="Times New Roman"/>
                <w:sz w:val="4"/>
                <w:szCs w:val="4"/>
              </w:rPr>
            </w:pPr>
          </w:p>
        </w:tc>
        <w:tc>
          <w:tcPr>
            <w:tcW w:w="474" w:type="pct"/>
            <w:tcBorders>
              <w:top w:val="nil"/>
              <w:left w:val="nil"/>
              <w:bottom w:val="nil"/>
              <w:right w:val="nil"/>
            </w:tcBorders>
            <w:shd w:val="clear" w:color="auto" w:fill="auto"/>
            <w:noWrap/>
            <w:vAlign w:val="bottom"/>
            <w:hideMark/>
          </w:tcPr>
          <w:p w14:paraId="1C484A49" w14:textId="77777777" w:rsidR="00635943" w:rsidRPr="00B457F5" w:rsidRDefault="00635943" w:rsidP="00635943">
            <w:pPr>
              <w:spacing w:before="0" w:after="0"/>
              <w:jc w:val="left"/>
              <w:rPr>
                <w:rFonts w:ascii="Garamond" w:eastAsia="Times New Roman" w:hAnsi="Garamond" w:cs="Times New Roman"/>
                <w:sz w:val="4"/>
                <w:szCs w:val="4"/>
              </w:rPr>
            </w:pPr>
          </w:p>
        </w:tc>
        <w:tc>
          <w:tcPr>
            <w:tcW w:w="196" w:type="pct"/>
            <w:tcBorders>
              <w:top w:val="nil"/>
              <w:left w:val="nil"/>
              <w:bottom w:val="nil"/>
              <w:right w:val="nil"/>
            </w:tcBorders>
            <w:shd w:val="clear" w:color="auto" w:fill="auto"/>
            <w:noWrap/>
            <w:vAlign w:val="bottom"/>
            <w:hideMark/>
          </w:tcPr>
          <w:p w14:paraId="1C568EFD" w14:textId="77777777" w:rsidR="00635943" w:rsidRPr="00B457F5" w:rsidRDefault="00635943" w:rsidP="00635943">
            <w:pPr>
              <w:spacing w:before="0" w:after="0"/>
              <w:jc w:val="left"/>
              <w:rPr>
                <w:rFonts w:ascii="Garamond" w:eastAsia="Times New Roman" w:hAnsi="Garamond" w:cs="Times New Roman"/>
                <w:sz w:val="4"/>
                <w:szCs w:val="4"/>
              </w:rPr>
            </w:pPr>
          </w:p>
        </w:tc>
        <w:tc>
          <w:tcPr>
            <w:tcW w:w="231" w:type="pct"/>
            <w:tcBorders>
              <w:top w:val="nil"/>
              <w:left w:val="nil"/>
              <w:bottom w:val="nil"/>
              <w:right w:val="nil"/>
            </w:tcBorders>
            <w:shd w:val="clear" w:color="auto" w:fill="auto"/>
            <w:noWrap/>
            <w:vAlign w:val="bottom"/>
            <w:hideMark/>
          </w:tcPr>
          <w:p w14:paraId="3FB849CA" w14:textId="77777777" w:rsidR="00635943" w:rsidRPr="00B457F5" w:rsidRDefault="00635943" w:rsidP="00635943">
            <w:pPr>
              <w:spacing w:before="0" w:after="0"/>
              <w:jc w:val="left"/>
              <w:rPr>
                <w:rFonts w:ascii="Garamond" w:eastAsia="Times New Roman" w:hAnsi="Garamond" w:cs="Times New Roman"/>
                <w:sz w:val="4"/>
                <w:szCs w:val="4"/>
              </w:rPr>
            </w:pPr>
          </w:p>
        </w:tc>
        <w:tc>
          <w:tcPr>
            <w:tcW w:w="259" w:type="pct"/>
            <w:tcBorders>
              <w:top w:val="nil"/>
              <w:left w:val="nil"/>
              <w:bottom w:val="nil"/>
              <w:right w:val="nil"/>
            </w:tcBorders>
            <w:shd w:val="clear" w:color="auto" w:fill="auto"/>
            <w:noWrap/>
            <w:vAlign w:val="center"/>
            <w:hideMark/>
          </w:tcPr>
          <w:p w14:paraId="1BF3A7F9" w14:textId="77777777" w:rsidR="00635943" w:rsidRPr="00B457F5" w:rsidRDefault="00635943" w:rsidP="00635943">
            <w:pPr>
              <w:spacing w:before="0" w:after="0"/>
              <w:jc w:val="left"/>
              <w:rPr>
                <w:rFonts w:ascii="Garamond" w:eastAsia="Times New Roman" w:hAnsi="Garamond" w:cs="Times New Roman"/>
                <w:sz w:val="4"/>
                <w:szCs w:val="4"/>
              </w:rPr>
            </w:pPr>
          </w:p>
        </w:tc>
        <w:tc>
          <w:tcPr>
            <w:tcW w:w="278" w:type="pct"/>
            <w:tcBorders>
              <w:top w:val="nil"/>
              <w:left w:val="nil"/>
              <w:bottom w:val="nil"/>
              <w:right w:val="nil"/>
            </w:tcBorders>
            <w:shd w:val="clear" w:color="auto" w:fill="auto"/>
            <w:noWrap/>
            <w:vAlign w:val="center"/>
            <w:hideMark/>
          </w:tcPr>
          <w:p w14:paraId="6D7FA9E9" w14:textId="77777777" w:rsidR="00635943" w:rsidRPr="00B457F5" w:rsidRDefault="00635943" w:rsidP="00635943">
            <w:pPr>
              <w:spacing w:before="0" w:after="0"/>
              <w:jc w:val="center"/>
              <w:rPr>
                <w:rFonts w:ascii="Garamond" w:eastAsia="Times New Roman" w:hAnsi="Garamond" w:cs="Times New Roman"/>
                <w:sz w:val="4"/>
                <w:szCs w:val="4"/>
              </w:rPr>
            </w:pPr>
          </w:p>
        </w:tc>
        <w:tc>
          <w:tcPr>
            <w:tcW w:w="260" w:type="pct"/>
            <w:tcBorders>
              <w:top w:val="nil"/>
              <w:left w:val="nil"/>
              <w:bottom w:val="nil"/>
              <w:right w:val="nil"/>
            </w:tcBorders>
            <w:shd w:val="clear" w:color="auto" w:fill="auto"/>
            <w:noWrap/>
            <w:vAlign w:val="center"/>
            <w:hideMark/>
          </w:tcPr>
          <w:p w14:paraId="55A64129" w14:textId="77777777" w:rsidR="00635943" w:rsidRPr="00B457F5" w:rsidRDefault="00635943" w:rsidP="00635943">
            <w:pPr>
              <w:spacing w:before="0" w:after="0"/>
              <w:jc w:val="center"/>
              <w:rPr>
                <w:rFonts w:ascii="Garamond" w:eastAsia="Times New Roman" w:hAnsi="Garamond" w:cs="Times New Roman"/>
                <w:sz w:val="4"/>
                <w:szCs w:val="4"/>
              </w:rPr>
            </w:pPr>
          </w:p>
        </w:tc>
        <w:tc>
          <w:tcPr>
            <w:tcW w:w="313" w:type="pct"/>
            <w:tcBorders>
              <w:top w:val="nil"/>
              <w:left w:val="nil"/>
              <w:bottom w:val="nil"/>
              <w:right w:val="nil"/>
            </w:tcBorders>
            <w:shd w:val="clear" w:color="auto" w:fill="auto"/>
            <w:noWrap/>
            <w:vAlign w:val="center"/>
            <w:hideMark/>
          </w:tcPr>
          <w:p w14:paraId="661EA2ED"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405D408E"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548254FC" w14:textId="77777777" w:rsidR="00635943" w:rsidRPr="00B457F5" w:rsidRDefault="00635943" w:rsidP="00635943">
            <w:pPr>
              <w:spacing w:before="0" w:after="0"/>
              <w:jc w:val="center"/>
              <w:rPr>
                <w:rFonts w:ascii="Garamond" w:eastAsia="Times New Roman" w:hAnsi="Garamond" w:cs="Times New Roman"/>
                <w:sz w:val="4"/>
                <w:szCs w:val="4"/>
              </w:rPr>
            </w:pPr>
          </w:p>
        </w:tc>
        <w:tc>
          <w:tcPr>
            <w:tcW w:w="253" w:type="pct"/>
            <w:tcBorders>
              <w:top w:val="nil"/>
              <w:left w:val="nil"/>
              <w:bottom w:val="nil"/>
              <w:right w:val="nil"/>
            </w:tcBorders>
            <w:shd w:val="clear" w:color="auto" w:fill="auto"/>
            <w:noWrap/>
            <w:vAlign w:val="center"/>
            <w:hideMark/>
          </w:tcPr>
          <w:p w14:paraId="270339BD" w14:textId="77777777" w:rsidR="00635943" w:rsidRPr="00B457F5" w:rsidRDefault="00635943" w:rsidP="00635943">
            <w:pPr>
              <w:spacing w:before="0" w:after="0"/>
              <w:jc w:val="center"/>
              <w:rPr>
                <w:rFonts w:ascii="Garamond" w:eastAsia="Times New Roman" w:hAnsi="Garamond" w:cs="Times New Roman"/>
                <w:sz w:val="4"/>
                <w:szCs w:val="4"/>
              </w:rPr>
            </w:pPr>
          </w:p>
        </w:tc>
        <w:tc>
          <w:tcPr>
            <w:tcW w:w="238" w:type="pct"/>
            <w:tcBorders>
              <w:top w:val="nil"/>
              <w:left w:val="nil"/>
              <w:bottom w:val="nil"/>
              <w:right w:val="nil"/>
            </w:tcBorders>
            <w:shd w:val="clear" w:color="auto" w:fill="auto"/>
            <w:noWrap/>
            <w:vAlign w:val="center"/>
            <w:hideMark/>
          </w:tcPr>
          <w:p w14:paraId="41CADA9B"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1E314912" w14:textId="77777777" w:rsidR="00635943" w:rsidRPr="00B457F5" w:rsidRDefault="00635943" w:rsidP="00635943">
            <w:pPr>
              <w:spacing w:before="0" w:after="0"/>
              <w:jc w:val="center"/>
              <w:rPr>
                <w:rFonts w:ascii="Garamond" w:eastAsia="Times New Roman" w:hAnsi="Garamond" w:cs="Times New Roman"/>
                <w:sz w:val="4"/>
                <w:szCs w:val="4"/>
              </w:rPr>
            </w:pPr>
          </w:p>
        </w:tc>
        <w:tc>
          <w:tcPr>
            <w:tcW w:w="205" w:type="pct"/>
            <w:tcBorders>
              <w:top w:val="nil"/>
              <w:left w:val="nil"/>
              <w:bottom w:val="nil"/>
              <w:right w:val="nil"/>
            </w:tcBorders>
            <w:shd w:val="clear" w:color="auto" w:fill="auto"/>
            <w:noWrap/>
            <w:vAlign w:val="center"/>
            <w:hideMark/>
          </w:tcPr>
          <w:p w14:paraId="63CD0C6E" w14:textId="77777777" w:rsidR="00635943" w:rsidRPr="00B457F5" w:rsidRDefault="00635943" w:rsidP="00635943">
            <w:pPr>
              <w:spacing w:before="0" w:after="0"/>
              <w:jc w:val="center"/>
              <w:rPr>
                <w:rFonts w:ascii="Garamond" w:eastAsia="Times New Roman" w:hAnsi="Garamond" w:cs="Times New Roman"/>
                <w:sz w:val="4"/>
                <w:szCs w:val="4"/>
              </w:rPr>
            </w:pPr>
          </w:p>
        </w:tc>
        <w:tc>
          <w:tcPr>
            <w:tcW w:w="211" w:type="pct"/>
            <w:tcBorders>
              <w:top w:val="nil"/>
              <w:left w:val="nil"/>
              <w:bottom w:val="nil"/>
              <w:right w:val="nil"/>
            </w:tcBorders>
            <w:shd w:val="clear" w:color="auto" w:fill="auto"/>
            <w:noWrap/>
            <w:vAlign w:val="center"/>
            <w:hideMark/>
          </w:tcPr>
          <w:p w14:paraId="4C62D072" w14:textId="77777777" w:rsidR="00635943" w:rsidRPr="00B457F5" w:rsidRDefault="00635943" w:rsidP="00635943">
            <w:pPr>
              <w:spacing w:before="0" w:after="0"/>
              <w:jc w:val="center"/>
              <w:rPr>
                <w:rFonts w:ascii="Garamond" w:eastAsia="Times New Roman" w:hAnsi="Garamond" w:cs="Times New Roman"/>
                <w:sz w:val="4"/>
                <w:szCs w:val="4"/>
              </w:rPr>
            </w:pPr>
          </w:p>
        </w:tc>
        <w:tc>
          <w:tcPr>
            <w:tcW w:w="177" w:type="pct"/>
            <w:tcBorders>
              <w:top w:val="nil"/>
              <w:left w:val="nil"/>
              <w:bottom w:val="nil"/>
              <w:right w:val="nil"/>
            </w:tcBorders>
            <w:shd w:val="clear" w:color="auto" w:fill="auto"/>
            <w:noWrap/>
            <w:vAlign w:val="center"/>
            <w:hideMark/>
          </w:tcPr>
          <w:p w14:paraId="05E38241" w14:textId="77777777" w:rsidR="00635943" w:rsidRPr="00B457F5" w:rsidRDefault="00635943" w:rsidP="00635943">
            <w:pPr>
              <w:spacing w:before="0" w:after="0"/>
              <w:jc w:val="center"/>
              <w:rPr>
                <w:rFonts w:ascii="Garamond" w:eastAsia="Times New Roman" w:hAnsi="Garamond" w:cs="Times New Roman"/>
                <w:sz w:val="4"/>
                <w:szCs w:val="4"/>
              </w:rPr>
            </w:pPr>
          </w:p>
        </w:tc>
        <w:tc>
          <w:tcPr>
            <w:tcW w:w="284" w:type="pct"/>
            <w:tcBorders>
              <w:top w:val="nil"/>
              <w:left w:val="nil"/>
              <w:bottom w:val="nil"/>
              <w:right w:val="nil"/>
            </w:tcBorders>
            <w:shd w:val="clear" w:color="auto" w:fill="auto"/>
            <w:noWrap/>
            <w:vAlign w:val="center"/>
            <w:hideMark/>
          </w:tcPr>
          <w:p w14:paraId="0408AD1E" w14:textId="77777777" w:rsidR="00635943" w:rsidRPr="00B457F5" w:rsidRDefault="00635943" w:rsidP="00635943">
            <w:pPr>
              <w:spacing w:before="0" w:after="0"/>
              <w:jc w:val="center"/>
              <w:rPr>
                <w:rFonts w:ascii="Garamond" w:eastAsia="Times New Roman" w:hAnsi="Garamond" w:cs="Times New Roman"/>
                <w:sz w:val="4"/>
                <w:szCs w:val="4"/>
              </w:rPr>
            </w:pPr>
          </w:p>
        </w:tc>
        <w:tc>
          <w:tcPr>
            <w:tcW w:w="244" w:type="pct"/>
            <w:tcBorders>
              <w:top w:val="nil"/>
              <w:left w:val="nil"/>
              <w:bottom w:val="nil"/>
              <w:right w:val="nil"/>
            </w:tcBorders>
            <w:shd w:val="clear" w:color="auto" w:fill="auto"/>
            <w:noWrap/>
            <w:vAlign w:val="center"/>
            <w:hideMark/>
          </w:tcPr>
          <w:p w14:paraId="5BE5FF89" w14:textId="77777777" w:rsidR="00635943" w:rsidRPr="00B457F5" w:rsidRDefault="00635943" w:rsidP="00635943">
            <w:pPr>
              <w:spacing w:before="0" w:after="0"/>
              <w:jc w:val="center"/>
              <w:rPr>
                <w:rFonts w:ascii="Garamond" w:eastAsia="Times New Roman" w:hAnsi="Garamond" w:cs="Times New Roman"/>
                <w:sz w:val="4"/>
                <w:szCs w:val="4"/>
              </w:rPr>
            </w:pPr>
          </w:p>
        </w:tc>
      </w:tr>
      <w:tr w:rsidR="0028334E" w:rsidRPr="00B457F5" w14:paraId="5D201C82" w14:textId="77777777" w:rsidTr="00635943">
        <w:trPr>
          <w:trHeight w:val="20"/>
        </w:trPr>
        <w:tc>
          <w:tcPr>
            <w:tcW w:w="343" w:type="pct"/>
            <w:tcBorders>
              <w:top w:val="nil"/>
              <w:left w:val="nil"/>
              <w:bottom w:val="nil"/>
              <w:right w:val="nil"/>
            </w:tcBorders>
            <w:shd w:val="clear" w:color="auto" w:fill="auto"/>
            <w:noWrap/>
            <w:vAlign w:val="bottom"/>
            <w:hideMark/>
          </w:tcPr>
          <w:p w14:paraId="21040087" w14:textId="77777777" w:rsidR="00635943" w:rsidRPr="00B457F5" w:rsidRDefault="00635943" w:rsidP="00635943">
            <w:pPr>
              <w:spacing w:before="0" w:after="0"/>
              <w:jc w:val="center"/>
              <w:rPr>
                <w:rFonts w:ascii="Garamond" w:eastAsia="Times New Roman" w:hAnsi="Garamond" w:cs="Times New Roman"/>
                <w:sz w:val="4"/>
                <w:szCs w:val="4"/>
              </w:rPr>
            </w:pPr>
          </w:p>
        </w:tc>
        <w:tc>
          <w:tcPr>
            <w:tcW w:w="266" w:type="pct"/>
            <w:tcBorders>
              <w:top w:val="nil"/>
              <w:left w:val="nil"/>
              <w:bottom w:val="nil"/>
              <w:right w:val="nil"/>
            </w:tcBorders>
            <w:shd w:val="clear" w:color="auto" w:fill="auto"/>
            <w:noWrap/>
            <w:vAlign w:val="bottom"/>
            <w:hideMark/>
          </w:tcPr>
          <w:p w14:paraId="3194F470" w14:textId="77777777" w:rsidR="00635943" w:rsidRPr="00B457F5" w:rsidRDefault="00635943" w:rsidP="00635943">
            <w:pPr>
              <w:spacing w:before="0" w:after="0"/>
              <w:jc w:val="left"/>
              <w:rPr>
                <w:rFonts w:ascii="Garamond" w:eastAsia="Times New Roman" w:hAnsi="Garamond" w:cs="Times New Roman"/>
                <w:sz w:val="4"/>
                <w:szCs w:val="4"/>
              </w:rPr>
            </w:pPr>
          </w:p>
        </w:tc>
        <w:tc>
          <w:tcPr>
            <w:tcW w:w="474" w:type="pct"/>
            <w:tcBorders>
              <w:top w:val="nil"/>
              <w:left w:val="nil"/>
              <w:bottom w:val="nil"/>
              <w:right w:val="nil"/>
            </w:tcBorders>
            <w:shd w:val="clear" w:color="auto" w:fill="auto"/>
            <w:noWrap/>
            <w:vAlign w:val="bottom"/>
            <w:hideMark/>
          </w:tcPr>
          <w:p w14:paraId="3A724BC6" w14:textId="77777777" w:rsidR="00635943" w:rsidRPr="00B457F5" w:rsidRDefault="00635943" w:rsidP="00635943">
            <w:pPr>
              <w:spacing w:before="0" w:after="0"/>
              <w:jc w:val="left"/>
              <w:rPr>
                <w:rFonts w:ascii="Garamond" w:eastAsia="Times New Roman" w:hAnsi="Garamond" w:cs="Times New Roman"/>
                <w:sz w:val="4"/>
                <w:szCs w:val="4"/>
              </w:rPr>
            </w:pPr>
          </w:p>
        </w:tc>
        <w:tc>
          <w:tcPr>
            <w:tcW w:w="196" w:type="pct"/>
            <w:tcBorders>
              <w:top w:val="nil"/>
              <w:left w:val="nil"/>
              <w:bottom w:val="nil"/>
              <w:right w:val="nil"/>
            </w:tcBorders>
            <w:shd w:val="clear" w:color="auto" w:fill="auto"/>
            <w:noWrap/>
            <w:vAlign w:val="bottom"/>
            <w:hideMark/>
          </w:tcPr>
          <w:p w14:paraId="4DD1B1A9" w14:textId="77777777" w:rsidR="00635943" w:rsidRPr="00B457F5" w:rsidRDefault="00635943" w:rsidP="00635943">
            <w:pPr>
              <w:spacing w:before="0" w:after="0"/>
              <w:jc w:val="left"/>
              <w:rPr>
                <w:rFonts w:ascii="Garamond" w:eastAsia="Times New Roman" w:hAnsi="Garamond" w:cs="Times New Roman"/>
                <w:sz w:val="4"/>
                <w:szCs w:val="4"/>
              </w:rPr>
            </w:pPr>
          </w:p>
        </w:tc>
        <w:tc>
          <w:tcPr>
            <w:tcW w:w="231" w:type="pct"/>
            <w:tcBorders>
              <w:top w:val="nil"/>
              <w:left w:val="nil"/>
              <w:bottom w:val="nil"/>
              <w:right w:val="nil"/>
            </w:tcBorders>
            <w:shd w:val="clear" w:color="auto" w:fill="auto"/>
            <w:noWrap/>
            <w:vAlign w:val="bottom"/>
            <w:hideMark/>
          </w:tcPr>
          <w:p w14:paraId="00998C38" w14:textId="77777777" w:rsidR="00635943" w:rsidRPr="00B457F5" w:rsidRDefault="00635943" w:rsidP="00635943">
            <w:pPr>
              <w:spacing w:before="0" w:after="0"/>
              <w:jc w:val="left"/>
              <w:rPr>
                <w:rFonts w:ascii="Garamond" w:eastAsia="Times New Roman" w:hAnsi="Garamond" w:cs="Times New Roman"/>
                <w:sz w:val="4"/>
                <w:szCs w:val="4"/>
              </w:rPr>
            </w:pPr>
          </w:p>
        </w:tc>
        <w:tc>
          <w:tcPr>
            <w:tcW w:w="259" w:type="pct"/>
            <w:tcBorders>
              <w:top w:val="nil"/>
              <w:left w:val="nil"/>
              <w:bottom w:val="nil"/>
              <w:right w:val="nil"/>
            </w:tcBorders>
            <w:shd w:val="clear" w:color="auto" w:fill="auto"/>
            <w:noWrap/>
            <w:vAlign w:val="center"/>
            <w:hideMark/>
          </w:tcPr>
          <w:p w14:paraId="1DA5026F" w14:textId="77777777" w:rsidR="00635943" w:rsidRPr="00B457F5" w:rsidRDefault="00635943" w:rsidP="00635943">
            <w:pPr>
              <w:spacing w:before="0" w:after="0"/>
              <w:jc w:val="left"/>
              <w:rPr>
                <w:rFonts w:ascii="Garamond" w:eastAsia="Times New Roman" w:hAnsi="Garamond" w:cs="Times New Roman"/>
                <w:sz w:val="4"/>
                <w:szCs w:val="4"/>
              </w:rPr>
            </w:pPr>
          </w:p>
        </w:tc>
        <w:tc>
          <w:tcPr>
            <w:tcW w:w="278" w:type="pct"/>
            <w:tcBorders>
              <w:top w:val="nil"/>
              <w:left w:val="nil"/>
              <w:bottom w:val="nil"/>
              <w:right w:val="nil"/>
            </w:tcBorders>
            <w:shd w:val="clear" w:color="auto" w:fill="auto"/>
            <w:noWrap/>
            <w:vAlign w:val="center"/>
            <w:hideMark/>
          </w:tcPr>
          <w:p w14:paraId="5E5B17BE" w14:textId="77777777" w:rsidR="00635943" w:rsidRPr="00B457F5" w:rsidRDefault="00635943" w:rsidP="00635943">
            <w:pPr>
              <w:spacing w:before="0" w:after="0"/>
              <w:jc w:val="center"/>
              <w:rPr>
                <w:rFonts w:ascii="Garamond" w:eastAsia="Times New Roman" w:hAnsi="Garamond" w:cs="Times New Roman"/>
                <w:sz w:val="4"/>
                <w:szCs w:val="4"/>
              </w:rPr>
            </w:pPr>
          </w:p>
        </w:tc>
        <w:tc>
          <w:tcPr>
            <w:tcW w:w="260" w:type="pct"/>
            <w:tcBorders>
              <w:top w:val="nil"/>
              <w:left w:val="nil"/>
              <w:bottom w:val="nil"/>
              <w:right w:val="nil"/>
            </w:tcBorders>
            <w:shd w:val="clear" w:color="auto" w:fill="auto"/>
            <w:noWrap/>
            <w:vAlign w:val="center"/>
            <w:hideMark/>
          </w:tcPr>
          <w:p w14:paraId="67AABAEF" w14:textId="77777777" w:rsidR="00635943" w:rsidRPr="00B457F5" w:rsidRDefault="00635943" w:rsidP="00635943">
            <w:pPr>
              <w:spacing w:before="0" w:after="0"/>
              <w:jc w:val="center"/>
              <w:rPr>
                <w:rFonts w:ascii="Garamond" w:eastAsia="Times New Roman" w:hAnsi="Garamond" w:cs="Times New Roman"/>
                <w:sz w:val="4"/>
                <w:szCs w:val="4"/>
              </w:rPr>
            </w:pPr>
          </w:p>
        </w:tc>
        <w:tc>
          <w:tcPr>
            <w:tcW w:w="313" w:type="pct"/>
            <w:tcBorders>
              <w:top w:val="nil"/>
              <w:left w:val="nil"/>
              <w:bottom w:val="nil"/>
              <w:right w:val="nil"/>
            </w:tcBorders>
            <w:shd w:val="clear" w:color="auto" w:fill="auto"/>
            <w:noWrap/>
            <w:vAlign w:val="center"/>
            <w:hideMark/>
          </w:tcPr>
          <w:p w14:paraId="1BD2625B"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7113F660"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25DFBF5B" w14:textId="77777777" w:rsidR="00635943" w:rsidRPr="00B457F5" w:rsidRDefault="00635943" w:rsidP="00635943">
            <w:pPr>
              <w:spacing w:before="0" w:after="0"/>
              <w:jc w:val="center"/>
              <w:rPr>
                <w:rFonts w:ascii="Garamond" w:eastAsia="Times New Roman" w:hAnsi="Garamond" w:cs="Times New Roman"/>
                <w:sz w:val="4"/>
                <w:szCs w:val="4"/>
              </w:rPr>
            </w:pPr>
          </w:p>
        </w:tc>
        <w:tc>
          <w:tcPr>
            <w:tcW w:w="253" w:type="pct"/>
            <w:tcBorders>
              <w:top w:val="nil"/>
              <w:left w:val="nil"/>
              <w:bottom w:val="nil"/>
              <w:right w:val="nil"/>
            </w:tcBorders>
            <w:shd w:val="clear" w:color="auto" w:fill="auto"/>
            <w:noWrap/>
            <w:vAlign w:val="center"/>
            <w:hideMark/>
          </w:tcPr>
          <w:p w14:paraId="13BCD0EA" w14:textId="77777777" w:rsidR="00635943" w:rsidRPr="00B457F5" w:rsidRDefault="00635943" w:rsidP="00635943">
            <w:pPr>
              <w:spacing w:before="0" w:after="0"/>
              <w:jc w:val="center"/>
              <w:rPr>
                <w:rFonts w:ascii="Garamond" w:eastAsia="Times New Roman" w:hAnsi="Garamond" w:cs="Times New Roman"/>
                <w:sz w:val="4"/>
                <w:szCs w:val="4"/>
              </w:rPr>
            </w:pPr>
          </w:p>
        </w:tc>
        <w:tc>
          <w:tcPr>
            <w:tcW w:w="238" w:type="pct"/>
            <w:tcBorders>
              <w:top w:val="nil"/>
              <w:left w:val="nil"/>
              <w:bottom w:val="nil"/>
              <w:right w:val="nil"/>
            </w:tcBorders>
            <w:shd w:val="clear" w:color="auto" w:fill="auto"/>
            <w:noWrap/>
            <w:vAlign w:val="center"/>
            <w:hideMark/>
          </w:tcPr>
          <w:p w14:paraId="4DA76617"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2A046C54" w14:textId="77777777" w:rsidR="00635943" w:rsidRPr="00B457F5" w:rsidRDefault="00635943" w:rsidP="00635943">
            <w:pPr>
              <w:spacing w:before="0" w:after="0"/>
              <w:jc w:val="center"/>
              <w:rPr>
                <w:rFonts w:ascii="Garamond" w:eastAsia="Times New Roman" w:hAnsi="Garamond" w:cs="Times New Roman"/>
                <w:sz w:val="4"/>
                <w:szCs w:val="4"/>
              </w:rPr>
            </w:pPr>
          </w:p>
        </w:tc>
        <w:tc>
          <w:tcPr>
            <w:tcW w:w="205" w:type="pct"/>
            <w:tcBorders>
              <w:top w:val="nil"/>
              <w:left w:val="nil"/>
              <w:bottom w:val="nil"/>
              <w:right w:val="nil"/>
            </w:tcBorders>
            <w:shd w:val="clear" w:color="auto" w:fill="auto"/>
            <w:noWrap/>
            <w:vAlign w:val="center"/>
            <w:hideMark/>
          </w:tcPr>
          <w:p w14:paraId="06BCA28B" w14:textId="77777777" w:rsidR="00635943" w:rsidRPr="00B457F5" w:rsidRDefault="00635943" w:rsidP="00635943">
            <w:pPr>
              <w:spacing w:before="0" w:after="0"/>
              <w:jc w:val="center"/>
              <w:rPr>
                <w:rFonts w:ascii="Garamond" w:eastAsia="Times New Roman" w:hAnsi="Garamond" w:cs="Times New Roman"/>
                <w:sz w:val="4"/>
                <w:szCs w:val="4"/>
              </w:rPr>
            </w:pPr>
          </w:p>
        </w:tc>
        <w:tc>
          <w:tcPr>
            <w:tcW w:w="211" w:type="pct"/>
            <w:tcBorders>
              <w:top w:val="nil"/>
              <w:left w:val="nil"/>
              <w:bottom w:val="nil"/>
              <w:right w:val="nil"/>
            </w:tcBorders>
            <w:shd w:val="clear" w:color="auto" w:fill="auto"/>
            <w:noWrap/>
            <w:vAlign w:val="center"/>
            <w:hideMark/>
          </w:tcPr>
          <w:p w14:paraId="0DB461AD" w14:textId="77777777" w:rsidR="00635943" w:rsidRPr="00B457F5" w:rsidRDefault="00635943" w:rsidP="00635943">
            <w:pPr>
              <w:spacing w:before="0" w:after="0"/>
              <w:jc w:val="center"/>
              <w:rPr>
                <w:rFonts w:ascii="Garamond" w:eastAsia="Times New Roman" w:hAnsi="Garamond" w:cs="Times New Roman"/>
                <w:sz w:val="4"/>
                <w:szCs w:val="4"/>
              </w:rPr>
            </w:pPr>
          </w:p>
        </w:tc>
        <w:tc>
          <w:tcPr>
            <w:tcW w:w="177" w:type="pct"/>
            <w:tcBorders>
              <w:top w:val="nil"/>
              <w:left w:val="nil"/>
              <w:bottom w:val="nil"/>
              <w:right w:val="nil"/>
            </w:tcBorders>
            <w:shd w:val="clear" w:color="auto" w:fill="auto"/>
            <w:noWrap/>
            <w:vAlign w:val="center"/>
            <w:hideMark/>
          </w:tcPr>
          <w:p w14:paraId="5C13DFA5" w14:textId="77777777" w:rsidR="00635943" w:rsidRPr="00B457F5" w:rsidRDefault="00635943" w:rsidP="00635943">
            <w:pPr>
              <w:spacing w:before="0" w:after="0"/>
              <w:jc w:val="center"/>
              <w:rPr>
                <w:rFonts w:ascii="Garamond" w:eastAsia="Times New Roman" w:hAnsi="Garamond" w:cs="Times New Roman"/>
                <w:sz w:val="4"/>
                <w:szCs w:val="4"/>
              </w:rPr>
            </w:pPr>
          </w:p>
        </w:tc>
        <w:tc>
          <w:tcPr>
            <w:tcW w:w="284" w:type="pct"/>
            <w:tcBorders>
              <w:top w:val="nil"/>
              <w:left w:val="nil"/>
              <w:bottom w:val="nil"/>
              <w:right w:val="nil"/>
            </w:tcBorders>
            <w:shd w:val="clear" w:color="auto" w:fill="auto"/>
            <w:noWrap/>
            <w:vAlign w:val="center"/>
            <w:hideMark/>
          </w:tcPr>
          <w:p w14:paraId="0177A6D2" w14:textId="77777777" w:rsidR="00635943" w:rsidRPr="00B457F5" w:rsidRDefault="00635943" w:rsidP="00635943">
            <w:pPr>
              <w:spacing w:before="0" w:after="0"/>
              <w:jc w:val="center"/>
              <w:rPr>
                <w:rFonts w:ascii="Garamond" w:eastAsia="Times New Roman" w:hAnsi="Garamond" w:cs="Times New Roman"/>
                <w:sz w:val="4"/>
                <w:szCs w:val="4"/>
              </w:rPr>
            </w:pPr>
          </w:p>
        </w:tc>
        <w:tc>
          <w:tcPr>
            <w:tcW w:w="244" w:type="pct"/>
            <w:tcBorders>
              <w:top w:val="nil"/>
              <w:left w:val="nil"/>
              <w:bottom w:val="nil"/>
              <w:right w:val="nil"/>
            </w:tcBorders>
            <w:shd w:val="clear" w:color="auto" w:fill="auto"/>
            <w:noWrap/>
            <w:vAlign w:val="center"/>
            <w:hideMark/>
          </w:tcPr>
          <w:p w14:paraId="66476CA6" w14:textId="77777777" w:rsidR="00635943" w:rsidRPr="00B457F5" w:rsidRDefault="00635943" w:rsidP="00635943">
            <w:pPr>
              <w:spacing w:before="0" w:after="0"/>
              <w:jc w:val="center"/>
              <w:rPr>
                <w:rFonts w:ascii="Garamond" w:eastAsia="Times New Roman" w:hAnsi="Garamond" w:cs="Times New Roman"/>
                <w:sz w:val="4"/>
                <w:szCs w:val="4"/>
              </w:rPr>
            </w:pPr>
          </w:p>
        </w:tc>
      </w:tr>
      <w:tr w:rsidR="0028334E" w:rsidRPr="00B457F5" w14:paraId="347056D4" w14:textId="77777777" w:rsidTr="00635943">
        <w:trPr>
          <w:trHeight w:val="20"/>
        </w:trPr>
        <w:tc>
          <w:tcPr>
            <w:tcW w:w="343" w:type="pct"/>
            <w:tcBorders>
              <w:top w:val="nil"/>
              <w:left w:val="nil"/>
              <w:bottom w:val="nil"/>
              <w:right w:val="nil"/>
            </w:tcBorders>
            <w:shd w:val="clear" w:color="auto" w:fill="auto"/>
            <w:noWrap/>
            <w:vAlign w:val="bottom"/>
            <w:hideMark/>
          </w:tcPr>
          <w:p w14:paraId="33F2845D" w14:textId="77777777" w:rsidR="00635943" w:rsidRPr="00B457F5" w:rsidRDefault="00635943" w:rsidP="00635943">
            <w:pPr>
              <w:spacing w:before="0" w:after="0"/>
              <w:jc w:val="center"/>
              <w:rPr>
                <w:rFonts w:ascii="Garamond" w:eastAsia="Times New Roman" w:hAnsi="Garamond" w:cs="Times New Roman"/>
                <w:sz w:val="4"/>
                <w:szCs w:val="4"/>
              </w:rPr>
            </w:pPr>
          </w:p>
        </w:tc>
        <w:tc>
          <w:tcPr>
            <w:tcW w:w="266" w:type="pct"/>
            <w:tcBorders>
              <w:top w:val="nil"/>
              <w:left w:val="nil"/>
              <w:bottom w:val="nil"/>
              <w:right w:val="nil"/>
            </w:tcBorders>
            <w:shd w:val="clear" w:color="auto" w:fill="auto"/>
            <w:noWrap/>
            <w:vAlign w:val="bottom"/>
            <w:hideMark/>
          </w:tcPr>
          <w:p w14:paraId="79CCB527" w14:textId="77777777" w:rsidR="00635943" w:rsidRPr="00B457F5" w:rsidRDefault="00635943" w:rsidP="00635943">
            <w:pPr>
              <w:spacing w:before="0" w:after="0"/>
              <w:jc w:val="left"/>
              <w:rPr>
                <w:rFonts w:ascii="Garamond" w:eastAsia="Times New Roman" w:hAnsi="Garamond" w:cs="Times New Roman"/>
                <w:sz w:val="4"/>
                <w:szCs w:val="4"/>
              </w:rPr>
            </w:pPr>
          </w:p>
        </w:tc>
        <w:tc>
          <w:tcPr>
            <w:tcW w:w="474" w:type="pct"/>
            <w:tcBorders>
              <w:top w:val="nil"/>
              <w:left w:val="nil"/>
              <w:bottom w:val="nil"/>
              <w:right w:val="nil"/>
            </w:tcBorders>
            <w:shd w:val="clear" w:color="auto" w:fill="auto"/>
            <w:noWrap/>
            <w:vAlign w:val="bottom"/>
            <w:hideMark/>
          </w:tcPr>
          <w:p w14:paraId="3D4EA369" w14:textId="77777777" w:rsidR="00635943" w:rsidRPr="00B457F5" w:rsidRDefault="00635943" w:rsidP="00635943">
            <w:pPr>
              <w:spacing w:before="0" w:after="0"/>
              <w:jc w:val="left"/>
              <w:rPr>
                <w:rFonts w:ascii="Garamond" w:eastAsia="Times New Roman" w:hAnsi="Garamond" w:cs="Times New Roman"/>
                <w:sz w:val="4"/>
                <w:szCs w:val="4"/>
              </w:rPr>
            </w:pPr>
          </w:p>
        </w:tc>
        <w:tc>
          <w:tcPr>
            <w:tcW w:w="196" w:type="pct"/>
            <w:tcBorders>
              <w:top w:val="nil"/>
              <w:left w:val="nil"/>
              <w:bottom w:val="nil"/>
              <w:right w:val="nil"/>
            </w:tcBorders>
            <w:shd w:val="clear" w:color="auto" w:fill="auto"/>
            <w:noWrap/>
            <w:vAlign w:val="bottom"/>
            <w:hideMark/>
          </w:tcPr>
          <w:p w14:paraId="0CDFD1EF" w14:textId="77777777" w:rsidR="00635943" w:rsidRPr="00B457F5" w:rsidRDefault="00635943" w:rsidP="00635943">
            <w:pPr>
              <w:spacing w:before="0" w:after="0"/>
              <w:jc w:val="left"/>
              <w:rPr>
                <w:rFonts w:ascii="Garamond" w:eastAsia="Times New Roman" w:hAnsi="Garamond" w:cs="Times New Roman"/>
                <w:sz w:val="4"/>
                <w:szCs w:val="4"/>
              </w:rPr>
            </w:pPr>
          </w:p>
        </w:tc>
        <w:tc>
          <w:tcPr>
            <w:tcW w:w="231" w:type="pct"/>
            <w:tcBorders>
              <w:top w:val="nil"/>
              <w:left w:val="nil"/>
              <w:bottom w:val="nil"/>
              <w:right w:val="nil"/>
            </w:tcBorders>
            <w:shd w:val="clear" w:color="auto" w:fill="auto"/>
            <w:noWrap/>
            <w:vAlign w:val="bottom"/>
            <w:hideMark/>
          </w:tcPr>
          <w:p w14:paraId="018568B0" w14:textId="77777777" w:rsidR="00635943" w:rsidRPr="00B457F5" w:rsidRDefault="00635943" w:rsidP="00635943">
            <w:pPr>
              <w:spacing w:before="0" w:after="0"/>
              <w:jc w:val="left"/>
              <w:rPr>
                <w:rFonts w:ascii="Garamond" w:eastAsia="Times New Roman" w:hAnsi="Garamond" w:cs="Times New Roman"/>
                <w:sz w:val="4"/>
                <w:szCs w:val="4"/>
              </w:rPr>
            </w:pPr>
          </w:p>
        </w:tc>
        <w:tc>
          <w:tcPr>
            <w:tcW w:w="259" w:type="pct"/>
            <w:tcBorders>
              <w:top w:val="nil"/>
              <w:left w:val="nil"/>
              <w:bottom w:val="nil"/>
              <w:right w:val="nil"/>
            </w:tcBorders>
            <w:shd w:val="clear" w:color="auto" w:fill="auto"/>
            <w:noWrap/>
            <w:vAlign w:val="center"/>
            <w:hideMark/>
          </w:tcPr>
          <w:p w14:paraId="760DD784" w14:textId="77777777" w:rsidR="00635943" w:rsidRPr="00B457F5" w:rsidRDefault="00635943" w:rsidP="00635943">
            <w:pPr>
              <w:spacing w:before="0" w:after="0"/>
              <w:jc w:val="left"/>
              <w:rPr>
                <w:rFonts w:ascii="Garamond" w:eastAsia="Times New Roman" w:hAnsi="Garamond" w:cs="Times New Roman"/>
                <w:sz w:val="4"/>
                <w:szCs w:val="4"/>
              </w:rPr>
            </w:pPr>
          </w:p>
        </w:tc>
        <w:tc>
          <w:tcPr>
            <w:tcW w:w="278" w:type="pct"/>
            <w:tcBorders>
              <w:top w:val="nil"/>
              <w:left w:val="nil"/>
              <w:bottom w:val="nil"/>
              <w:right w:val="nil"/>
            </w:tcBorders>
            <w:shd w:val="clear" w:color="auto" w:fill="auto"/>
            <w:noWrap/>
            <w:vAlign w:val="center"/>
            <w:hideMark/>
          </w:tcPr>
          <w:p w14:paraId="0C11C9E9" w14:textId="77777777" w:rsidR="00635943" w:rsidRPr="00B457F5" w:rsidRDefault="00635943" w:rsidP="00635943">
            <w:pPr>
              <w:spacing w:before="0" w:after="0"/>
              <w:jc w:val="center"/>
              <w:rPr>
                <w:rFonts w:ascii="Garamond" w:eastAsia="Times New Roman" w:hAnsi="Garamond" w:cs="Times New Roman"/>
                <w:sz w:val="4"/>
                <w:szCs w:val="4"/>
              </w:rPr>
            </w:pPr>
          </w:p>
        </w:tc>
        <w:tc>
          <w:tcPr>
            <w:tcW w:w="260" w:type="pct"/>
            <w:tcBorders>
              <w:top w:val="nil"/>
              <w:left w:val="nil"/>
              <w:bottom w:val="nil"/>
              <w:right w:val="nil"/>
            </w:tcBorders>
            <w:shd w:val="clear" w:color="auto" w:fill="auto"/>
            <w:noWrap/>
            <w:vAlign w:val="center"/>
            <w:hideMark/>
          </w:tcPr>
          <w:p w14:paraId="217B9E54" w14:textId="77777777" w:rsidR="00635943" w:rsidRPr="00B457F5" w:rsidRDefault="00635943" w:rsidP="00635943">
            <w:pPr>
              <w:spacing w:before="0" w:after="0"/>
              <w:jc w:val="center"/>
              <w:rPr>
                <w:rFonts w:ascii="Garamond" w:eastAsia="Times New Roman" w:hAnsi="Garamond" w:cs="Times New Roman"/>
                <w:sz w:val="4"/>
                <w:szCs w:val="4"/>
              </w:rPr>
            </w:pPr>
          </w:p>
        </w:tc>
        <w:tc>
          <w:tcPr>
            <w:tcW w:w="313" w:type="pct"/>
            <w:tcBorders>
              <w:top w:val="nil"/>
              <w:left w:val="nil"/>
              <w:bottom w:val="nil"/>
              <w:right w:val="nil"/>
            </w:tcBorders>
            <w:shd w:val="clear" w:color="auto" w:fill="auto"/>
            <w:noWrap/>
            <w:vAlign w:val="center"/>
            <w:hideMark/>
          </w:tcPr>
          <w:p w14:paraId="1E75B636"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24DC0A37"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2880963B" w14:textId="77777777" w:rsidR="00635943" w:rsidRPr="00B457F5" w:rsidRDefault="00635943" w:rsidP="00635943">
            <w:pPr>
              <w:spacing w:before="0" w:after="0"/>
              <w:jc w:val="center"/>
              <w:rPr>
                <w:rFonts w:ascii="Garamond" w:eastAsia="Times New Roman" w:hAnsi="Garamond" w:cs="Times New Roman"/>
                <w:sz w:val="4"/>
                <w:szCs w:val="4"/>
              </w:rPr>
            </w:pPr>
          </w:p>
        </w:tc>
        <w:tc>
          <w:tcPr>
            <w:tcW w:w="253" w:type="pct"/>
            <w:tcBorders>
              <w:top w:val="nil"/>
              <w:left w:val="nil"/>
              <w:bottom w:val="nil"/>
              <w:right w:val="nil"/>
            </w:tcBorders>
            <w:shd w:val="clear" w:color="auto" w:fill="auto"/>
            <w:noWrap/>
            <w:vAlign w:val="center"/>
            <w:hideMark/>
          </w:tcPr>
          <w:p w14:paraId="68101C63" w14:textId="77777777" w:rsidR="00635943" w:rsidRPr="00B457F5" w:rsidRDefault="00635943" w:rsidP="00635943">
            <w:pPr>
              <w:spacing w:before="0" w:after="0"/>
              <w:jc w:val="center"/>
              <w:rPr>
                <w:rFonts w:ascii="Garamond" w:eastAsia="Times New Roman" w:hAnsi="Garamond" w:cs="Times New Roman"/>
                <w:sz w:val="4"/>
                <w:szCs w:val="4"/>
              </w:rPr>
            </w:pPr>
          </w:p>
        </w:tc>
        <w:tc>
          <w:tcPr>
            <w:tcW w:w="238" w:type="pct"/>
            <w:tcBorders>
              <w:top w:val="nil"/>
              <w:left w:val="nil"/>
              <w:bottom w:val="nil"/>
              <w:right w:val="nil"/>
            </w:tcBorders>
            <w:shd w:val="clear" w:color="auto" w:fill="auto"/>
            <w:noWrap/>
            <w:vAlign w:val="center"/>
            <w:hideMark/>
          </w:tcPr>
          <w:p w14:paraId="4D1E02B1"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135A1C64" w14:textId="77777777" w:rsidR="00635943" w:rsidRPr="00B457F5" w:rsidRDefault="00635943" w:rsidP="00635943">
            <w:pPr>
              <w:spacing w:before="0" w:after="0"/>
              <w:jc w:val="center"/>
              <w:rPr>
                <w:rFonts w:ascii="Garamond" w:eastAsia="Times New Roman" w:hAnsi="Garamond" w:cs="Times New Roman"/>
                <w:sz w:val="4"/>
                <w:szCs w:val="4"/>
              </w:rPr>
            </w:pPr>
          </w:p>
        </w:tc>
        <w:tc>
          <w:tcPr>
            <w:tcW w:w="205" w:type="pct"/>
            <w:tcBorders>
              <w:top w:val="nil"/>
              <w:left w:val="nil"/>
              <w:bottom w:val="nil"/>
              <w:right w:val="nil"/>
            </w:tcBorders>
            <w:shd w:val="clear" w:color="auto" w:fill="auto"/>
            <w:noWrap/>
            <w:vAlign w:val="center"/>
            <w:hideMark/>
          </w:tcPr>
          <w:p w14:paraId="02FFE4E0" w14:textId="77777777" w:rsidR="00635943" w:rsidRPr="00B457F5" w:rsidRDefault="00635943" w:rsidP="00635943">
            <w:pPr>
              <w:spacing w:before="0" w:after="0"/>
              <w:jc w:val="center"/>
              <w:rPr>
                <w:rFonts w:ascii="Garamond" w:eastAsia="Times New Roman" w:hAnsi="Garamond" w:cs="Times New Roman"/>
                <w:sz w:val="4"/>
                <w:szCs w:val="4"/>
              </w:rPr>
            </w:pPr>
          </w:p>
        </w:tc>
        <w:tc>
          <w:tcPr>
            <w:tcW w:w="211" w:type="pct"/>
            <w:tcBorders>
              <w:top w:val="nil"/>
              <w:left w:val="nil"/>
              <w:bottom w:val="nil"/>
              <w:right w:val="nil"/>
            </w:tcBorders>
            <w:shd w:val="clear" w:color="auto" w:fill="auto"/>
            <w:noWrap/>
            <w:vAlign w:val="center"/>
            <w:hideMark/>
          </w:tcPr>
          <w:p w14:paraId="2DFC0FDC" w14:textId="77777777" w:rsidR="00635943" w:rsidRPr="00B457F5" w:rsidRDefault="00635943" w:rsidP="00635943">
            <w:pPr>
              <w:spacing w:before="0" w:after="0"/>
              <w:jc w:val="center"/>
              <w:rPr>
                <w:rFonts w:ascii="Garamond" w:eastAsia="Times New Roman" w:hAnsi="Garamond" w:cs="Times New Roman"/>
                <w:sz w:val="4"/>
                <w:szCs w:val="4"/>
              </w:rPr>
            </w:pPr>
          </w:p>
        </w:tc>
        <w:tc>
          <w:tcPr>
            <w:tcW w:w="177" w:type="pct"/>
            <w:tcBorders>
              <w:top w:val="nil"/>
              <w:left w:val="nil"/>
              <w:bottom w:val="nil"/>
              <w:right w:val="nil"/>
            </w:tcBorders>
            <w:shd w:val="clear" w:color="auto" w:fill="auto"/>
            <w:noWrap/>
            <w:vAlign w:val="center"/>
            <w:hideMark/>
          </w:tcPr>
          <w:p w14:paraId="39F94464" w14:textId="77777777" w:rsidR="00635943" w:rsidRPr="00B457F5" w:rsidRDefault="00635943" w:rsidP="00635943">
            <w:pPr>
              <w:spacing w:before="0" w:after="0"/>
              <w:jc w:val="center"/>
              <w:rPr>
                <w:rFonts w:ascii="Garamond" w:eastAsia="Times New Roman" w:hAnsi="Garamond" w:cs="Times New Roman"/>
                <w:sz w:val="4"/>
                <w:szCs w:val="4"/>
              </w:rPr>
            </w:pPr>
          </w:p>
        </w:tc>
        <w:tc>
          <w:tcPr>
            <w:tcW w:w="284" w:type="pct"/>
            <w:tcBorders>
              <w:top w:val="nil"/>
              <w:left w:val="nil"/>
              <w:bottom w:val="nil"/>
              <w:right w:val="nil"/>
            </w:tcBorders>
            <w:shd w:val="clear" w:color="auto" w:fill="auto"/>
            <w:noWrap/>
            <w:vAlign w:val="center"/>
            <w:hideMark/>
          </w:tcPr>
          <w:p w14:paraId="2AC1762A" w14:textId="77777777" w:rsidR="00635943" w:rsidRPr="00B457F5" w:rsidRDefault="00635943" w:rsidP="00635943">
            <w:pPr>
              <w:spacing w:before="0" w:after="0"/>
              <w:jc w:val="center"/>
              <w:rPr>
                <w:rFonts w:ascii="Garamond" w:eastAsia="Times New Roman" w:hAnsi="Garamond" w:cs="Times New Roman"/>
                <w:sz w:val="4"/>
                <w:szCs w:val="4"/>
              </w:rPr>
            </w:pPr>
          </w:p>
        </w:tc>
        <w:tc>
          <w:tcPr>
            <w:tcW w:w="244" w:type="pct"/>
            <w:tcBorders>
              <w:top w:val="nil"/>
              <w:left w:val="nil"/>
              <w:bottom w:val="nil"/>
              <w:right w:val="nil"/>
            </w:tcBorders>
            <w:shd w:val="clear" w:color="auto" w:fill="auto"/>
            <w:noWrap/>
            <w:vAlign w:val="center"/>
            <w:hideMark/>
          </w:tcPr>
          <w:p w14:paraId="5ADEE7D2" w14:textId="77777777" w:rsidR="00635943" w:rsidRPr="00B457F5" w:rsidRDefault="00635943" w:rsidP="00635943">
            <w:pPr>
              <w:spacing w:before="0" w:after="0"/>
              <w:jc w:val="center"/>
              <w:rPr>
                <w:rFonts w:ascii="Garamond" w:eastAsia="Times New Roman" w:hAnsi="Garamond" w:cs="Times New Roman"/>
                <w:sz w:val="4"/>
                <w:szCs w:val="4"/>
              </w:rPr>
            </w:pPr>
          </w:p>
        </w:tc>
      </w:tr>
      <w:tr w:rsidR="0028334E" w:rsidRPr="00B457F5" w14:paraId="5FDE490B" w14:textId="77777777" w:rsidTr="00635943">
        <w:trPr>
          <w:trHeight w:val="20"/>
        </w:trPr>
        <w:tc>
          <w:tcPr>
            <w:tcW w:w="343" w:type="pct"/>
            <w:tcBorders>
              <w:top w:val="nil"/>
              <w:left w:val="nil"/>
              <w:bottom w:val="nil"/>
              <w:right w:val="nil"/>
            </w:tcBorders>
            <w:shd w:val="clear" w:color="auto" w:fill="auto"/>
            <w:noWrap/>
            <w:vAlign w:val="bottom"/>
            <w:hideMark/>
          </w:tcPr>
          <w:p w14:paraId="54BFE04D" w14:textId="77777777" w:rsidR="00635943" w:rsidRPr="00B457F5" w:rsidRDefault="00635943" w:rsidP="00635943">
            <w:pPr>
              <w:spacing w:before="0" w:after="0"/>
              <w:jc w:val="center"/>
              <w:rPr>
                <w:rFonts w:ascii="Garamond" w:eastAsia="Times New Roman" w:hAnsi="Garamond" w:cs="Times New Roman"/>
                <w:sz w:val="4"/>
                <w:szCs w:val="4"/>
              </w:rPr>
            </w:pPr>
          </w:p>
        </w:tc>
        <w:tc>
          <w:tcPr>
            <w:tcW w:w="266" w:type="pct"/>
            <w:tcBorders>
              <w:top w:val="nil"/>
              <w:left w:val="nil"/>
              <w:bottom w:val="nil"/>
              <w:right w:val="nil"/>
            </w:tcBorders>
            <w:shd w:val="clear" w:color="auto" w:fill="auto"/>
            <w:noWrap/>
            <w:vAlign w:val="bottom"/>
            <w:hideMark/>
          </w:tcPr>
          <w:p w14:paraId="600CC948" w14:textId="77777777" w:rsidR="00635943" w:rsidRPr="00B457F5" w:rsidRDefault="00635943" w:rsidP="00635943">
            <w:pPr>
              <w:spacing w:before="0" w:after="0"/>
              <w:jc w:val="left"/>
              <w:rPr>
                <w:rFonts w:ascii="Garamond" w:eastAsia="Times New Roman" w:hAnsi="Garamond" w:cs="Times New Roman"/>
                <w:sz w:val="4"/>
                <w:szCs w:val="4"/>
              </w:rPr>
            </w:pPr>
          </w:p>
        </w:tc>
        <w:tc>
          <w:tcPr>
            <w:tcW w:w="474" w:type="pct"/>
            <w:tcBorders>
              <w:top w:val="nil"/>
              <w:left w:val="nil"/>
              <w:bottom w:val="nil"/>
              <w:right w:val="nil"/>
            </w:tcBorders>
            <w:shd w:val="clear" w:color="auto" w:fill="auto"/>
            <w:noWrap/>
            <w:vAlign w:val="bottom"/>
            <w:hideMark/>
          </w:tcPr>
          <w:p w14:paraId="6592AACB" w14:textId="77777777" w:rsidR="00635943" w:rsidRPr="00B457F5" w:rsidRDefault="00635943" w:rsidP="00635943">
            <w:pPr>
              <w:spacing w:before="0" w:after="0"/>
              <w:jc w:val="left"/>
              <w:rPr>
                <w:rFonts w:ascii="Garamond" w:eastAsia="Times New Roman" w:hAnsi="Garamond" w:cs="Times New Roman"/>
                <w:sz w:val="4"/>
                <w:szCs w:val="4"/>
              </w:rPr>
            </w:pPr>
          </w:p>
        </w:tc>
        <w:tc>
          <w:tcPr>
            <w:tcW w:w="196" w:type="pct"/>
            <w:tcBorders>
              <w:top w:val="nil"/>
              <w:left w:val="nil"/>
              <w:bottom w:val="nil"/>
              <w:right w:val="nil"/>
            </w:tcBorders>
            <w:shd w:val="clear" w:color="auto" w:fill="auto"/>
            <w:noWrap/>
            <w:vAlign w:val="bottom"/>
            <w:hideMark/>
          </w:tcPr>
          <w:p w14:paraId="46AF0D34" w14:textId="77777777" w:rsidR="00635943" w:rsidRPr="00B457F5" w:rsidRDefault="00635943" w:rsidP="00635943">
            <w:pPr>
              <w:spacing w:before="0" w:after="0"/>
              <w:jc w:val="left"/>
              <w:rPr>
                <w:rFonts w:ascii="Garamond" w:eastAsia="Times New Roman" w:hAnsi="Garamond" w:cs="Times New Roman"/>
                <w:sz w:val="4"/>
                <w:szCs w:val="4"/>
              </w:rPr>
            </w:pPr>
          </w:p>
        </w:tc>
        <w:tc>
          <w:tcPr>
            <w:tcW w:w="231" w:type="pct"/>
            <w:tcBorders>
              <w:top w:val="nil"/>
              <w:left w:val="nil"/>
              <w:bottom w:val="nil"/>
              <w:right w:val="nil"/>
            </w:tcBorders>
            <w:shd w:val="clear" w:color="auto" w:fill="auto"/>
            <w:noWrap/>
            <w:vAlign w:val="bottom"/>
            <w:hideMark/>
          </w:tcPr>
          <w:p w14:paraId="449A6D77" w14:textId="77777777" w:rsidR="00635943" w:rsidRPr="00B457F5" w:rsidRDefault="00635943" w:rsidP="00635943">
            <w:pPr>
              <w:spacing w:before="0" w:after="0"/>
              <w:jc w:val="left"/>
              <w:rPr>
                <w:rFonts w:ascii="Garamond" w:eastAsia="Times New Roman" w:hAnsi="Garamond" w:cs="Times New Roman"/>
                <w:sz w:val="4"/>
                <w:szCs w:val="4"/>
              </w:rPr>
            </w:pPr>
          </w:p>
        </w:tc>
        <w:tc>
          <w:tcPr>
            <w:tcW w:w="259" w:type="pct"/>
            <w:tcBorders>
              <w:top w:val="nil"/>
              <w:left w:val="nil"/>
              <w:bottom w:val="nil"/>
              <w:right w:val="nil"/>
            </w:tcBorders>
            <w:shd w:val="clear" w:color="auto" w:fill="auto"/>
            <w:noWrap/>
            <w:vAlign w:val="center"/>
            <w:hideMark/>
          </w:tcPr>
          <w:p w14:paraId="73664572" w14:textId="77777777" w:rsidR="00635943" w:rsidRPr="00B457F5" w:rsidRDefault="00635943" w:rsidP="00635943">
            <w:pPr>
              <w:spacing w:before="0" w:after="0"/>
              <w:jc w:val="left"/>
              <w:rPr>
                <w:rFonts w:ascii="Garamond" w:eastAsia="Times New Roman" w:hAnsi="Garamond" w:cs="Times New Roman"/>
                <w:sz w:val="4"/>
                <w:szCs w:val="4"/>
              </w:rPr>
            </w:pPr>
          </w:p>
        </w:tc>
        <w:tc>
          <w:tcPr>
            <w:tcW w:w="278" w:type="pct"/>
            <w:tcBorders>
              <w:top w:val="nil"/>
              <w:left w:val="nil"/>
              <w:bottom w:val="nil"/>
              <w:right w:val="nil"/>
            </w:tcBorders>
            <w:shd w:val="clear" w:color="auto" w:fill="auto"/>
            <w:noWrap/>
            <w:vAlign w:val="center"/>
            <w:hideMark/>
          </w:tcPr>
          <w:p w14:paraId="358310BD" w14:textId="77777777" w:rsidR="00635943" w:rsidRPr="00B457F5" w:rsidRDefault="00635943" w:rsidP="00635943">
            <w:pPr>
              <w:spacing w:before="0" w:after="0"/>
              <w:jc w:val="center"/>
              <w:rPr>
                <w:rFonts w:ascii="Garamond" w:eastAsia="Times New Roman" w:hAnsi="Garamond" w:cs="Times New Roman"/>
                <w:sz w:val="4"/>
                <w:szCs w:val="4"/>
              </w:rPr>
            </w:pPr>
          </w:p>
        </w:tc>
        <w:tc>
          <w:tcPr>
            <w:tcW w:w="260" w:type="pct"/>
            <w:tcBorders>
              <w:top w:val="nil"/>
              <w:left w:val="nil"/>
              <w:bottom w:val="nil"/>
              <w:right w:val="nil"/>
            </w:tcBorders>
            <w:shd w:val="clear" w:color="auto" w:fill="auto"/>
            <w:noWrap/>
            <w:vAlign w:val="center"/>
            <w:hideMark/>
          </w:tcPr>
          <w:p w14:paraId="0025F2EA" w14:textId="77777777" w:rsidR="00635943" w:rsidRPr="00B457F5" w:rsidRDefault="00635943" w:rsidP="00635943">
            <w:pPr>
              <w:spacing w:before="0" w:after="0"/>
              <w:jc w:val="center"/>
              <w:rPr>
                <w:rFonts w:ascii="Garamond" w:eastAsia="Times New Roman" w:hAnsi="Garamond" w:cs="Times New Roman"/>
                <w:sz w:val="4"/>
                <w:szCs w:val="4"/>
              </w:rPr>
            </w:pPr>
          </w:p>
        </w:tc>
        <w:tc>
          <w:tcPr>
            <w:tcW w:w="313" w:type="pct"/>
            <w:tcBorders>
              <w:top w:val="nil"/>
              <w:left w:val="nil"/>
              <w:bottom w:val="nil"/>
              <w:right w:val="nil"/>
            </w:tcBorders>
            <w:shd w:val="clear" w:color="auto" w:fill="auto"/>
            <w:noWrap/>
            <w:vAlign w:val="center"/>
            <w:hideMark/>
          </w:tcPr>
          <w:p w14:paraId="4AE49CBA"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3F5D5B5F"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7B871E87" w14:textId="77777777" w:rsidR="00635943" w:rsidRPr="00B457F5" w:rsidRDefault="00635943" w:rsidP="00635943">
            <w:pPr>
              <w:spacing w:before="0" w:after="0"/>
              <w:jc w:val="center"/>
              <w:rPr>
                <w:rFonts w:ascii="Garamond" w:eastAsia="Times New Roman" w:hAnsi="Garamond" w:cs="Times New Roman"/>
                <w:sz w:val="4"/>
                <w:szCs w:val="4"/>
              </w:rPr>
            </w:pPr>
          </w:p>
        </w:tc>
        <w:tc>
          <w:tcPr>
            <w:tcW w:w="253" w:type="pct"/>
            <w:tcBorders>
              <w:top w:val="nil"/>
              <w:left w:val="nil"/>
              <w:bottom w:val="nil"/>
              <w:right w:val="nil"/>
            </w:tcBorders>
            <w:shd w:val="clear" w:color="auto" w:fill="auto"/>
            <w:noWrap/>
            <w:vAlign w:val="center"/>
            <w:hideMark/>
          </w:tcPr>
          <w:p w14:paraId="09AB2B24" w14:textId="77777777" w:rsidR="00635943" w:rsidRPr="00B457F5" w:rsidRDefault="00635943" w:rsidP="00635943">
            <w:pPr>
              <w:spacing w:before="0" w:after="0"/>
              <w:jc w:val="center"/>
              <w:rPr>
                <w:rFonts w:ascii="Garamond" w:eastAsia="Times New Roman" w:hAnsi="Garamond" w:cs="Times New Roman"/>
                <w:sz w:val="4"/>
                <w:szCs w:val="4"/>
              </w:rPr>
            </w:pPr>
          </w:p>
        </w:tc>
        <w:tc>
          <w:tcPr>
            <w:tcW w:w="238" w:type="pct"/>
            <w:tcBorders>
              <w:top w:val="nil"/>
              <w:left w:val="nil"/>
              <w:bottom w:val="nil"/>
              <w:right w:val="nil"/>
            </w:tcBorders>
            <w:shd w:val="clear" w:color="auto" w:fill="auto"/>
            <w:noWrap/>
            <w:vAlign w:val="center"/>
            <w:hideMark/>
          </w:tcPr>
          <w:p w14:paraId="06A2AE91"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2A0FA3C7" w14:textId="77777777" w:rsidR="00635943" w:rsidRPr="00B457F5" w:rsidRDefault="00635943" w:rsidP="00635943">
            <w:pPr>
              <w:spacing w:before="0" w:after="0"/>
              <w:jc w:val="center"/>
              <w:rPr>
                <w:rFonts w:ascii="Garamond" w:eastAsia="Times New Roman" w:hAnsi="Garamond" w:cs="Times New Roman"/>
                <w:sz w:val="4"/>
                <w:szCs w:val="4"/>
              </w:rPr>
            </w:pPr>
          </w:p>
        </w:tc>
        <w:tc>
          <w:tcPr>
            <w:tcW w:w="205" w:type="pct"/>
            <w:tcBorders>
              <w:top w:val="nil"/>
              <w:left w:val="nil"/>
              <w:bottom w:val="nil"/>
              <w:right w:val="nil"/>
            </w:tcBorders>
            <w:shd w:val="clear" w:color="auto" w:fill="auto"/>
            <w:noWrap/>
            <w:vAlign w:val="center"/>
            <w:hideMark/>
          </w:tcPr>
          <w:p w14:paraId="350ADE7D" w14:textId="77777777" w:rsidR="00635943" w:rsidRPr="00B457F5" w:rsidRDefault="00635943" w:rsidP="00635943">
            <w:pPr>
              <w:spacing w:before="0" w:after="0"/>
              <w:jc w:val="center"/>
              <w:rPr>
                <w:rFonts w:ascii="Garamond" w:eastAsia="Times New Roman" w:hAnsi="Garamond" w:cs="Times New Roman"/>
                <w:sz w:val="4"/>
                <w:szCs w:val="4"/>
              </w:rPr>
            </w:pPr>
          </w:p>
        </w:tc>
        <w:tc>
          <w:tcPr>
            <w:tcW w:w="211" w:type="pct"/>
            <w:tcBorders>
              <w:top w:val="nil"/>
              <w:left w:val="nil"/>
              <w:bottom w:val="nil"/>
              <w:right w:val="nil"/>
            </w:tcBorders>
            <w:shd w:val="clear" w:color="auto" w:fill="auto"/>
            <w:noWrap/>
            <w:vAlign w:val="center"/>
            <w:hideMark/>
          </w:tcPr>
          <w:p w14:paraId="7D06290A" w14:textId="77777777" w:rsidR="00635943" w:rsidRPr="00B457F5" w:rsidRDefault="00635943" w:rsidP="00635943">
            <w:pPr>
              <w:spacing w:before="0" w:after="0"/>
              <w:jc w:val="center"/>
              <w:rPr>
                <w:rFonts w:ascii="Garamond" w:eastAsia="Times New Roman" w:hAnsi="Garamond" w:cs="Times New Roman"/>
                <w:sz w:val="4"/>
                <w:szCs w:val="4"/>
              </w:rPr>
            </w:pPr>
          </w:p>
        </w:tc>
        <w:tc>
          <w:tcPr>
            <w:tcW w:w="177" w:type="pct"/>
            <w:tcBorders>
              <w:top w:val="nil"/>
              <w:left w:val="nil"/>
              <w:bottom w:val="nil"/>
              <w:right w:val="nil"/>
            </w:tcBorders>
            <w:shd w:val="clear" w:color="auto" w:fill="auto"/>
            <w:noWrap/>
            <w:vAlign w:val="center"/>
            <w:hideMark/>
          </w:tcPr>
          <w:p w14:paraId="70615758" w14:textId="77777777" w:rsidR="00635943" w:rsidRPr="00B457F5" w:rsidRDefault="00635943" w:rsidP="00635943">
            <w:pPr>
              <w:spacing w:before="0" w:after="0"/>
              <w:jc w:val="center"/>
              <w:rPr>
                <w:rFonts w:ascii="Garamond" w:eastAsia="Times New Roman" w:hAnsi="Garamond" w:cs="Times New Roman"/>
                <w:sz w:val="4"/>
                <w:szCs w:val="4"/>
              </w:rPr>
            </w:pPr>
          </w:p>
        </w:tc>
        <w:tc>
          <w:tcPr>
            <w:tcW w:w="284" w:type="pct"/>
            <w:tcBorders>
              <w:top w:val="nil"/>
              <w:left w:val="nil"/>
              <w:bottom w:val="nil"/>
              <w:right w:val="nil"/>
            </w:tcBorders>
            <w:shd w:val="clear" w:color="auto" w:fill="auto"/>
            <w:noWrap/>
            <w:vAlign w:val="center"/>
            <w:hideMark/>
          </w:tcPr>
          <w:p w14:paraId="6160CEC4" w14:textId="77777777" w:rsidR="00635943" w:rsidRPr="00B457F5" w:rsidRDefault="00635943" w:rsidP="00635943">
            <w:pPr>
              <w:spacing w:before="0" w:after="0"/>
              <w:jc w:val="center"/>
              <w:rPr>
                <w:rFonts w:ascii="Garamond" w:eastAsia="Times New Roman" w:hAnsi="Garamond" w:cs="Times New Roman"/>
                <w:sz w:val="4"/>
                <w:szCs w:val="4"/>
              </w:rPr>
            </w:pPr>
          </w:p>
        </w:tc>
        <w:tc>
          <w:tcPr>
            <w:tcW w:w="244" w:type="pct"/>
            <w:tcBorders>
              <w:top w:val="nil"/>
              <w:left w:val="nil"/>
              <w:bottom w:val="nil"/>
              <w:right w:val="nil"/>
            </w:tcBorders>
            <w:shd w:val="clear" w:color="auto" w:fill="auto"/>
            <w:noWrap/>
            <w:vAlign w:val="center"/>
            <w:hideMark/>
          </w:tcPr>
          <w:p w14:paraId="59E92286" w14:textId="77777777" w:rsidR="00635943" w:rsidRPr="00B457F5" w:rsidRDefault="00635943" w:rsidP="00635943">
            <w:pPr>
              <w:spacing w:before="0" w:after="0"/>
              <w:jc w:val="center"/>
              <w:rPr>
                <w:rFonts w:ascii="Garamond" w:eastAsia="Times New Roman" w:hAnsi="Garamond" w:cs="Times New Roman"/>
                <w:sz w:val="4"/>
                <w:szCs w:val="4"/>
              </w:rPr>
            </w:pPr>
          </w:p>
        </w:tc>
      </w:tr>
      <w:tr w:rsidR="0028334E" w:rsidRPr="00B457F5" w14:paraId="56E78C3C" w14:textId="77777777" w:rsidTr="00635943">
        <w:trPr>
          <w:trHeight w:val="20"/>
        </w:trPr>
        <w:tc>
          <w:tcPr>
            <w:tcW w:w="343" w:type="pct"/>
            <w:tcBorders>
              <w:top w:val="nil"/>
              <w:left w:val="nil"/>
              <w:bottom w:val="nil"/>
              <w:right w:val="nil"/>
            </w:tcBorders>
            <w:shd w:val="clear" w:color="auto" w:fill="auto"/>
            <w:noWrap/>
            <w:vAlign w:val="bottom"/>
            <w:hideMark/>
          </w:tcPr>
          <w:p w14:paraId="6DA50715" w14:textId="77777777" w:rsidR="00635943" w:rsidRPr="00B457F5" w:rsidRDefault="00635943" w:rsidP="00635943">
            <w:pPr>
              <w:spacing w:before="0" w:after="0"/>
              <w:jc w:val="center"/>
              <w:rPr>
                <w:rFonts w:ascii="Garamond" w:eastAsia="Times New Roman" w:hAnsi="Garamond" w:cs="Times New Roman"/>
                <w:sz w:val="4"/>
                <w:szCs w:val="4"/>
              </w:rPr>
            </w:pPr>
          </w:p>
        </w:tc>
        <w:tc>
          <w:tcPr>
            <w:tcW w:w="266" w:type="pct"/>
            <w:tcBorders>
              <w:top w:val="nil"/>
              <w:left w:val="nil"/>
              <w:bottom w:val="nil"/>
              <w:right w:val="nil"/>
            </w:tcBorders>
            <w:shd w:val="clear" w:color="auto" w:fill="auto"/>
            <w:noWrap/>
            <w:vAlign w:val="bottom"/>
            <w:hideMark/>
          </w:tcPr>
          <w:p w14:paraId="6F0D9388" w14:textId="77777777" w:rsidR="00635943" w:rsidRPr="00B457F5" w:rsidRDefault="00635943" w:rsidP="00635943">
            <w:pPr>
              <w:spacing w:before="0" w:after="0"/>
              <w:jc w:val="left"/>
              <w:rPr>
                <w:rFonts w:ascii="Garamond" w:eastAsia="Times New Roman" w:hAnsi="Garamond" w:cs="Times New Roman"/>
                <w:sz w:val="4"/>
                <w:szCs w:val="4"/>
              </w:rPr>
            </w:pPr>
          </w:p>
        </w:tc>
        <w:tc>
          <w:tcPr>
            <w:tcW w:w="474" w:type="pct"/>
            <w:tcBorders>
              <w:top w:val="nil"/>
              <w:left w:val="nil"/>
              <w:bottom w:val="nil"/>
              <w:right w:val="nil"/>
            </w:tcBorders>
            <w:shd w:val="clear" w:color="auto" w:fill="auto"/>
            <w:noWrap/>
            <w:vAlign w:val="bottom"/>
            <w:hideMark/>
          </w:tcPr>
          <w:p w14:paraId="76E1BF9D" w14:textId="77777777" w:rsidR="00635943" w:rsidRPr="00B457F5" w:rsidRDefault="00635943" w:rsidP="00635943">
            <w:pPr>
              <w:spacing w:before="0" w:after="0"/>
              <w:jc w:val="left"/>
              <w:rPr>
                <w:rFonts w:ascii="Garamond" w:eastAsia="Times New Roman" w:hAnsi="Garamond" w:cs="Times New Roman"/>
                <w:sz w:val="4"/>
                <w:szCs w:val="4"/>
              </w:rPr>
            </w:pPr>
          </w:p>
        </w:tc>
        <w:tc>
          <w:tcPr>
            <w:tcW w:w="196" w:type="pct"/>
            <w:tcBorders>
              <w:top w:val="nil"/>
              <w:left w:val="nil"/>
              <w:bottom w:val="nil"/>
              <w:right w:val="nil"/>
            </w:tcBorders>
            <w:shd w:val="clear" w:color="auto" w:fill="auto"/>
            <w:noWrap/>
            <w:vAlign w:val="bottom"/>
            <w:hideMark/>
          </w:tcPr>
          <w:p w14:paraId="4D80E9F0" w14:textId="77777777" w:rsidR="00635943" w:rsidRPr="00B457F5" w:rsidRDefault="00635943" w:rsidP="00635943">
            <w:pPr>
              <w:spacing w:before="0" w:after="0"/>
              <w:jc w:val="left"/>
              <w:rPr>
                <w:rFonts w:ascii="Garamond" w:eastAsia="Times New Roman" w:hAnsi="Garamond" w:cs="Times New Roman"/>
                <w:sz w:val="4"/>
                <w:szCs w:val="4"/>
              </w:rPr>
            </w:pPr>
          </w:p>
        </w:tc>
        <w:tc>
          <w:tcPr>
            <w:tcW w:w="231" w:type="pct"/>
            <w:tcBorders>
              <w:top w:val="nil"/>
              <w:left w:val="nil"/>
              <w:bottom w:val="nil"/>
              <w:right w:val="nil"/>
            </w:tcBorders>
            <w:shd w:val="clear" w:color="auto" w:fill="auto"/>
            <w:noWrap/>
            <w:vAlign w:val="bottom"/>
            <w:hideMark/>
          </w:tcPr>
          <w:p w14:paraId="659B786C" w14:textId="77777777" w:rsidR="00635943" w:rsidRPr="00B457F5" w:rsidRDefault="00635943" w:rsidP="00635943">
            <w:pPr>
              <w:spacing w:before="0" w:after="0"/>
              <w:jc w:val="left"/>
              <w:rPr>
                <w:rFonts w:ascii="Garamond" w:eastAsia="Times New Roman" w:hAnsi="Garamond" w:cs="Times New Roman"/>
                <w:sz w:val="4"/>
                <w:szCs w:val="4"/>
              </w:rPr>
            </w:pPr>
          </w:p>
        </w:tc>
        <w:tc>
          <w:tcPr>
            <w:tcW w:w="259" w:type="pct"/>
            <w:tcBorders>
              <w:top w:val="nil"/>
              <w:left w:val="nil"/>
              <w:bottom w:val="nil"/>
              <w:right w:val="nil"/>
            </w:tcBorders>
            <w:shd w:val="clear" w:color="auto" w:fill="auto"/>
            <w:noWrap/>
            <w:vAlign w:val="center"/>
            <w:hideMark/>
          </w:tcPr>
          <w:p w14:paraId="1867B814" w14:textId="77777777" w:rsidR="00635943" w:rsidRPr="00B457F5" w:rsidRDefault="00635943" w:rsidP="00635943">
            <w:pPr>
              <w:spacing w:before="0" w:after="0"/>
              <w:jc w:val="left"/>
              <w:rPr>
                <w:rFonts w:ascii="Garamond" w:eastAsia="Times New Roman" w:hAnsi="Garamond" w:cs="Times New Roman"/>
                <w:sz w:val="4"/>
                <w:szCs w:val="4"/>
              </w:rPr>
            </w:pPr>
          </w:p>
        </w:tc>
        <w:tc>
          <w:tcPr>
            <w:tcW w:w="278" w:type="pct"/>
            <w:tcBorders>
              <w:top w:val="nil"/>
              <w:left w:val="nil"/>
              <w:bottom w:val="nil"/>
              <w:right w:val="nil"/>
            </w:tcBorders>
            <w:shd w:val="clear" w:color="auto" w:fill="auto"/>
            <w:noWrap/>
            <w:vAlign w:val="center"/>
            <w:hideMark/>
          </w:tcPr>
          <w:p w14:paraId="5E0D9FDF" w14:textId="77777777" w:rsidR="00635943" w:rsidRPr="00B457F5" w:rsidRDefault="00635943" w:rsidP="00635943">
            <w:pPr>
              <w:spacing w:before="0" w:after="0"/>
              <w:jc w:val="center"/>
              <w:rPr>
                <w:rFonts w:ascii="Garamond" w:eastAsia="Times New Roman" w:hAnsi="Garamond" w:cs="Times New Roman"/>
                <w:sz w:val="4"/>
                <w:szCs w:val="4"/>
              </w:rPr>
            </w:pPr>
          </w:p>
        </w:tc>
        <w:tc>
          <w:tcPr>
            <w:tcW w:w="260" w:type="pct"/>
            <w:tcBorders>
              <w:top w:val="nil"/>
              <w:left w:val="nil"/>
              <w:bottom w:val="nil"/>
              <w:right w:val="nil"/>
            </w:tcBorders>
            <w:shd w:val="clear" w:color="auto" w:fill="auto"/>
            <w:noWrap/>
            <w:vAlign w:val="center"/>
            <w:hideMark/>
          </w:tcPr>
          <w:p w14:paraId="4BBB083A" w14:textId="77777777" w:rsidR="00635943" w:rsidRPr="00B457F5" w:rsidRDefault="00635943" w:rsidP="00635943">
            <w:pPr>
              <w:spacing w:before="0" w:after="0"/>
              <w:jc w:val="center"/>
              <w:rPr>
                <w:rFonts w:ascii="Garamond" w:eastAsia="Times New Roman" w:hAnsi="Garamond" w:cs="Times New Roman"/>
                <w:sz w:val="4"/>
                <w:szCs w:val="4"/>
              </w:rPr>
            </w:pPr>
          </w:p>
        </w:tc>
        <w:tc>
          <w:tcPr>
            <w:tcW w:w="313" w:type="pct"/>
            <w:tcBorders>
              <w:top w:val="nil"/>
              <w:left w:val="nil"/>
              <w:bottom w:val="nil"/>
              <w:right w:val="nil"/>
            </w:tcBorders>
            <w:shd w:val="clear" w:color="auto" w:fill="auto"/>
            <w:noWrap/>
            <w:vAlign w:val="center"/>
            <w:hideMark/>
          </w:tcPr>
          <w:p w14:paraId="61376738"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257FBA7E"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302243E0" w14:textId="77777777" w:rsidR="00635943" w:rsidRPr="00B457F5" w:rsidRDefault="00635943" w:rsidP="00635943">
            <w:pPr>
              <w:spacing w:before="0" w:after="0"/>
              <w:jc w:val="center"/>
              <w:rPr>
                <w:rFonts w:ascii="Garamond" w:eastAsia="Times New Roman" w:hAnsi="Garamond" w:cs="Times New Roman"/>
                <w:sz w:val="4"/>
                <w:szCs w:val="4"/>
              </w:rPr>
            </w:pPr>
          </w:p>
        </w:tc>
        <w:tc>
          <w:tcPr>
            <w:tcW w:w="253" w:type="pct"/>
            <w:tcBorders>
              <w:top w:val="nil"/>
              <w:left w:val="nil"/>
              <w:bottom w:val="nil"/>
              <w:right w:val="nil"/>
            </w:tcBorders>
            <w:shd w:val="clear" w:color="auto" w:fill="auto"/>
            <w:noWrap/>
            <w:vAlign w:val="center"/>
            <w:hideMark/>
          </w:tcPr>
          <w:p w14:paraId="2D92A285" w14:textId="77777777" w:rsidR="00635943" w:rsidRPr="00B457F5" w:rsidRDefault="00635943" w:rsidP="00635943">
            <w:pPr>
              <w:spacing w:before="0" w:after="0"/>
              <w:jc w:val="center"/>
              <w:rPr>
                <w:rFonts w:ascii="Garamond" w:eastAsia="Times New Roman" w:hAnsi="Garamond" w:cs="Times New Roman"/>
                <w:sz w:val="4"/>
                <w:szCs w:val="4"/>
              </w:rPr>
            </w:pPr>
          </w:p>
        </w:tc>
        <w:tc>
          <w:tcPr>
            <w:tcW w:w="238" w:type="pct"/>
            <w:tcBorders>
              <w:top w:val="nil"/>
              <w:left w:val="nil"/>
              <w:bottom w:val="nil"/>
              <w:right w:val="nil"/>
            </w:tcBorders>
            <w:shd w:val="clear" w:color="auto" w:fill="auto"/>
            <w:noWrap/>
            <w:vAlign w:val="center"/>
            <w:hideMark/>
          </w:tcPr>
          <w:p w14:paraId="6D71A05B"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3B21AD4F" w14:textId="77777777" w:rsidR="00635943" w:rsidRPr="00B457F5" w:rsidRDefault="00635943" w:rsidP="00635943">
            <w:pPr>
              <w:spacing w:before="0" w:after="0"/>
              <w:jc w:val="center"/>
              <w:rPr>
                <w:rFonts w:ascii="Garamond" w:eastAsia="Times New Roman" w:hAnsi="Garamond" w:cs="Times New Roman"/>
                <w:sz w:val="4"/>
                <w:szCs w:val="4"/>
              </w:rPr>
            </w:pPr>
          </w:p>
        </w:tc>
        <w:tc>
          <w:tcPr>
            <w:tcW w:w="205" w:type="pct"/>
            <w:tcBorders>
              <w:top w:val="nil"/>
              <w:left w:val="nil"/>
              <w:bottom w:val="nil"/>
              <w:right w:val="nil"/>
            </w:tcBorders>
            <w:shd w:val="clear" w:color="auto" w:fill="auto"/>
            <w:noWrap/>
            <w:vAlign w:val="center"/>
            <w:hideMark/>
          </w:tcPr>
          <w:p w14:paraId="1602790F" w14:textId="77777777" w:rsidR="00635943" w:rsidRPr="00B457F5" w:rsidRDefault="00635943" w:rsidP="00635943">
            <w:pPr>
              <w:spacing w:before="0" w:after="0"/>
              <w:jc w:val="center"/>
              <w:rPr>
                <w:rFonts w:ascii="Garamond" w:eastAsia="Times New Roman" w:hAnsi="Garamond" w:cs="Times New Roman"/>
                <w:sz w:val="4"/>
                <w:szCs w:val="4"/>
              </w:rPr>
            </w:pPr>
          </w:p>
        </w:tc>
        <w:tc>
          <w:tcPr>
            <w:tcW w:w="211" w:type="pct"/>
            <w:tcBorders>
              <w:top w:val="nil"/>
              <w:left w:val="nil"/>
              <w:bottom w:val="nil"/>
              <w:right w:val="nil"/>
            </w:tcBorders>
            <w:shd w:val="clear" w:color="auto" w:fill="auto"/>
            <w:noWrap/>
            <w:vAlign w:val="center"/>
            <w:hideMark/>
          </w:tcPr>
          <w:p w14:paraId="77EAE141" w14:textId="77777777" w:rsidR="00635943" w:rsidRPr="00B457F5" w:rsidRDefault="00635943" w:rsidP="00635943">
            <w:pPr>
              <w:spacing w:before="0" w:after="0"/>
              <w:jc w:val="center"/>
              <w:rPr>
                <w:rFonts w:ascii="Garamond" w:eastAsia="Times New Roman" w:hAnsi="Garamond" w:cs="Times New Roman"/>
                <w:sz w:val="4"/>
                <w:szCs w:val="4"/>
              </w:rPr>
            </w:pPr>
          </w:p>
        </w:tc>
        <w:tc>
          <w:tcPr>
            <w:tcW w:w="177" w:type="pct"/>
            <w:tcBorders>
              <w:top w:val="nil"/>
              <w:left w:val="nil"/>
              <w:bottom w:val="nil"/>
              <w:right w:val="nil"/>
            </w:tcBorders>
            <w:shd w:val="clear" w:color="auto" w:fill="auto"/>
            <w:noWrap/>
            <w:vAlign w:val="center"/>
            <w:hideMark/>
          </w:tcPr>
          <w:p w14:paraId="08D06C48" w14:textId="77777777" w:rsidR="00635943" w:rsidRPr="00B457F5" w:rsidRDefault="00635943" w:rsidP="00635943">
            <w:pPr>
              <w:spacing w:before="0" w:after="0"/>
              <w:jc w:val="center"/>
              <w:rPr>
                <w:rFonts w:ascii="Garamond" w:eastAsia="Times New Roman" w:hAnsi="Garamond" w:cs="Times New Roman"/>
                <w:sz w:val="4"/>
                <w:szCs w:val="4"/>
              </w:rPr>
            </w:pPr>
          </w:p>
        </w:tc>
        <w:tc>
          <w:tcPr>
            <w:tcW w:w="284" w:type="pct"/>
            <w:tcBorders>
              <w:top w:val="nil"/>
              <w:left w:val="nil"/>
              <w:bottom w:val="nil"/>
              <w:right w:val="nil"/>
            </w:tcBorders>
            <w:shd w:val="clear" w:color="auto" w:fill="auto"/>
            <w:noWrap/>
            <w:vAlign w:val="center"/>
            <w:hideMark/>
          </w:tcPr>
          <w:p w14:paraId="3ED6CEC3" w14:textId="77777777" w:rsidR="00635943" w:rsidRPr="00B457F5" w:rsidRDefault="00635943" w:rsidP="00635943">
            <w:pPr>
              <w:spacing w:before="0" w:after="0"/>
              <w:jc w:val="center"/>
              <w:rPr>
                <w:rFonts w:ascii="Garamond" w:eastAsia="Times New Roman" w:hAnsi="Garamond" w:cs="Times New Roman"/>
                <w:sz w:val="4"/>
                <w:szCs w:val="4"/>
              </w:rPr>
            </w:pPr>
          </w:p>
        </w:tc>
        <w:tc>
          <w:tcPr>
            <w:tcW w:w="244" w:type="pct"/>
            <w:tcBorders>
              <w:top w:val="nil"/>
              <w:left w:val="nil"/>
              <w:bottom w:val="nil"/>
              <w:right w:val="nil"/>
            </w:tcBorders>
            <w:shd w:val="clear" w:color="auto" w:fill="auto"/>
            <w:noWrap/>
            <w:vAlign w:val="center"/>
            <w:hideMark/>
          </w:tcPr>
          <w:p w14:paraId="51C6E90E" w14:textId="77777777" w:rsidR="00635943" w:rsidRPr="00B457F5" w:rsidRDefault="00635943" w:rsidP="00635943">
            <w:pPr>
              <w:spacing w:before="0" w:after="0"/>
              <w:jc w:val="center"/>
              <w:rPr>
                <w:rFonts w:ascii="Garamond" w:eastAsia="Times New Roman" w:hAnsi="Garamond" w:cs="Times New Roman"/>
                <w:sz w:val="4"/>
                <w:szCs w:val="4"/>
              </w:rPr>
            </w:pPr>
          </w:p>
        </w:tc>
      </w:tr>
      <w:tr w:rsidR="0028334E" w:rsidRPr="00B457F5" w14:paraId="54492101" w14:textId="77777777" w:rsidTr="00635943">
        <w:trPr>
          <w:trHeight w:val="20"/>
        </w:trPr>
        <w:tc>
          <w:tcPr>
            <w:tcW w:w="343" w:type="pct"/>
            <w:tcBorders>
              <w:top w:val="nil"/>
              <w:left w:val="nil"/>
              <w:bottom w:val="nil"/>
              <w:right w:val="nil"/>
            </w:tcBorders>
            <w:shd w:val="clear" w:color="auto" w:fill="auto"/>
            <w:noWrap/>
            <w:vAlign w:val="bottom"/>
            <w:hideMark/>
          </w:tcPr>
          <w:p w14:paraId="0BFBC4F3" w14:textId="77777777" w:rsidR="00635943" w:rsidRPr="00B457F5" w:rsidRDefault="00635943" w:rsidP="00635943">
            <w:pPr>
              <w:spacing w:before="0" w:after="0"/>
              <w:jc w:val="center"/>
              <w:rPr>
                <w:rFonts w:ascii="Garamond" w:eastAsia="Times New Roman" w:hAnsi="Garamond" w:cs="Times New Roman"/>
                <w:sz w:val="4"/>
                <w:szCs w:val="4"/>
              </w:rPr>
            </w:pPr>
          </w:p>
        </w:tc>
        <w:tc>
          <w:tcPr>
            <w:tcW w:w="266" w:type="pct"/>
            <w:tcBorders>
              <w:top w:val="nil"/>
              <w:left w:val="nil"/>
              <w:bottom w:val="nil"/>
              <w:right w:val="nil"/>
            </w:tcBorders>
            <w:shd w:val="clear" w:color="auto" w:fill="auto"/>
            <w:noWrap/>
            <w:vAlign w:val="bottom"/>
            <w:hideMark/>
          </w:tcPr>
          <w:p w14:paraId="54BF4803" w14:textId="77777777" w:rsidR="00635943" w:rsidRPr="00B457F5" w:rsidRDefault="00635943" w:rsidP="00635943">
            <w:pPr>
              <w:spacing w:before="0" w:after="0"/>
              <w:jc w:val="left"/>
              <w:rPr>
                <w:rFonts w:ascii="Garamond" w:eastAsia="Times New Roman" w:hAnsi="Garamond" w:cs="Times New Roman"/>
                <w:sz w:val="4"/>
                <w:szCs w:val="4"/>
              </w:rPr>
            </w:pPr>
          </w:p>
        </w:tc>
        <w:tc>
          <w:tcPr>
            <w:tcW w:w="474" w:type="pct"/>
            <w:tcBorders>
              <w:top w:val="nil"/>
              <w:left w:val="nil"/>
              <w:bottom w:val="nil"/>
              <w:right w:val="nil"/>
            </w:tcBorders>
            <w:shd w:val="clear" w:color="auto" w:fill="auto"/>
            <w:noWrap/>
            <w:vAlign w:val="bottom"/>
            <w:hideMark/>
          </w:tcPr>
          <w:p w14:paraId="493A7B99" w14:textId="77777777" w:rsidR="00635943" w:rsidRPr="00B457F5" w:rsidRDefault="00635943" w:rsidP="00635943">
            <w:pPr>
              <w:spacing w:before="0" w:after="0"/>
              <w:jc w:val="left"/>
              <w:rPr>
                <w:rFonts w:ascii="Garamond" w:eastAsia="Times New Roman" w:hAnsi="Garamond" w:cs="Times New Roman"/>
                <w:sz w:val="4"/>
                <w:szCs w:val="4"/>
              </w:rPr>
            </w:pPr>
          </w:p>
        </w:tc>
        <w:tc>
          <w:tcPr>
            <w:tcW w:w="196" w:type="pct"/>
            <w:tcBorders>
              <w:top w:val="nil"/>
              <w:left w:val="nil"/>
              <w:bottom w:val="nil"/>
              <w:right w:val="nil"/>
            </w:tcBorders>
            <w:shd w:val="clear" w:color="auto" w:fill="auto"/>
            <w:noWrap/>
            <w:vAlign w:val="bottom"/>
            <w:hideMark/>
          </w:tcPr>
          <w:p w14:paraId="63A4749F" w14:textId="77777777" w:rsidR="00635943" w:rsidRPr="00B457F5" w:rsidRDefault="00635943" w:rsidP="00635943">
            <w:pPr>
              <w:spacing w:before="0" w:after="0"/>
              <w:jc w:val="left"/>
              <w:rPr>
                <w:rFonts w:ascii="Garamond" w:eastAsia="Times New Roman" w:hAnsi="Garamond" w:cs="Times New Roman"/>
                <w:sz w:val="4"/>
                <w:szCs w:val="4"/>
              </w:rPr>
            </w:pPr>
          </w:p>
        </w:tc>
        <w:tc>
          <w:tcPr>
            <w:tcW w:w="231" w:type="pct"/>
            <w:tcBorders>
              <w:top w:val="nil"/>
              <w:left w:val="nil"/>
              <w:bottom w:val="nil"/>
              <w:right w:val="nil"/>
            </w:tcBorders>
            <w:shd w:val="clear" w:color="auto" w:fill="auto"/>
            <w:noWrap/>
            <w:vAlign w:val="bottom"/>
            <w:hideMark/>
          </w:tcPr>
          <w:p w14:paraId="371AE203" w14:textId="77777777" w:rsidR="00635943" w:rsidRPr="00B457F5" w:rsidRDefault="00635943" w:rsidP="00635943">
            <w:pPr>
              <w:spacing w:before="0" w:after="0"/>
              <w:jc w:val="left"/>
              <w:rPr>
                <w:rFonts w:ascii="Garamond" w:eastAsia="Times New Roman" w:hAnsi="Garamond" w:cs="Times New Roman"/>
                <w:sz w:val="4"/>
                <w:szCs w:val="4"/>
              </w:rPr>
            </w:pPr>
          </w:p>
        </w:tc>
        <w:tc>
          <w:tcPr>
            <w:tcW w:w="259" w:type="pct"/>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1D5D564C" w14:textId="17162EA5"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Kosto</w:t>
            </w:r>
            <w:r w:rsidR="0028334E" w:rsidRPr="00B457F5">
              <w:rPr>
                <w:rFonts w:ascii="Garamond" w:eastAsia="Times New Roman" w:hAnsi="Garamond" w:cs="Calibri"/>
                <w:color w:val="FFFFFF"/>
                <w:sz w:val="4"/>
                <w:szCs w:val="4"/>
              </w:rPr>
              <w:t>ja</w:t>
            </w:r>
            <w:r w:rsidRPr="00B457F5">
              <w:rPr>
                <w:rFonts w:ascii="Garamond" w:eastAsia="Times New Roman" w:hAnsi="Garamond" w:cs="Calibri"/>
                <w:color w:val="FFFFFF"/>
                <w:sz w:val="4"/>
                <w:szCs w:val="4"/>
              </w:rPr>
              <w:t xml:space="preserve"> </w:t>
            </w:r>
            <w:r w:rsidR="0028334E" w:rsidRPr="00B457F5">
              <w:rPr>
                <w:rFonts w:ascii="Garamond" w:eastAsia="Times New Roman" w:hAnsi="Garamond" w:cs="Calibri"/>
                <w:color w:val="FFFFFF"/>
                <w:sz w:val="4"/>
                <w:szCs w:val="4"/>
              </w:rPr>
              <w:t>k</w:t>
            </w:r>
            <w:r w:rsidRPr="00B457F5">
              <w:rPr>
                <w:rFonts w:ascii="Garamond" w:eastAsia="Times New Roman" w:hAnsi="Garamond" w:cs="Calibri"/>
                <w:color w:val="FFFFFF"/>
                <w:sz w:val="4"/>
                <w:szCs w:val="4"/>
              </w:rPr>
              <w:t>or</w:t>
            </w:r>
            <w:r w:rsidR="0028334E" w:rsidRPr="00B457F5">
              <w:rPr>
                <w:rFonts w:ascii="Garamond" w:eastAsia="Times New Roman" w:hAnsi="Garamond" w:cs="Calibri"/>
                <w:color w:val="FFFFFF"/>
                <w:sz w:val="4"/>
                <w:szCs w:val="4"/>
              </w:rPr>
              <w:t>r</w:t>
            </w:r>
            <w:r w:rsidRPr="00B457F5">
              <w:rPr>
                <w:rFonts w:ascii="Garamond" w:eastAsia="Times New Roman" w:hAnsi="Garamond" w:cs="Calibri"/>
                <w:color w:val="FFFFFF"/>
                <w:sz w:val="4"/>
                <w:szCs w:val="4"/>
              </w:rPr>
              <w:t xml:space="preserve">ente </w:t>
            </w:r>
          </w:p>
        </w:tc>
        <w:tc>
          <w:tcPr>
            <w:tcW w:w="278" w:type="pct"/>
            <w:tcBorders>
              <w:top w:val="single" w:sz="4" w:space="0" w:color="auto"/>
              <w:left w:val="nil"/>
              <w:bottom w:val="single" w:sz="4" w:space="0" w:color="auto"/>
              <w:right w:val="single" w:sz="4" w:space="0" w:color="auto"/>
            </w:tcBorders>
            <w:shd w:val="clear" w:color="000000" w:fill="ED7D31"/>
            <w:noWrap/>
            <w:vAlign w:val="center"/>
            <w:hideMark/>
          </w:tcPr>
          <w:p w14:paraId="20C466D8" w14:textId="77777777"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809,701,845</w:t>
            </w:r>
          </w:p>
        </w:tc>
        <w:tc>
          <w:tcPr>
            <w:tcW w:w="260" w:type="pct"/>
            <w:tcBorders>
              <w:top w:val="nil"/>
              <w:left w:val="nil"/>
              <w:bottom w:val="nil"/>
              <w:right w:val="nil"/>
            </w:tcBorders>
            <w:shd w:val="clear" w:color="auto" w:fill="auto"/>
            <w:noWrap/>
            <w:vAlign w:val="center"/>
            <w:hideMark/>
          </w:tcPr>
          <w:p w14:paraId="29AA4004" w14:textId="77777777" w:rsidR="00635943" w:rsidRPr="00B457F5" w:rsidRDefault="00635943" w:rsidP="00635943">
            <w:pPr>
              <w:spacing w:before="0" w:after="0"/>
              <w:jc w:val="center"/>
              <w:rPr>
                <w:rFonts w:ascii="Garamond" w:eastAsia="Times New Roman" w:hAnsi="Garamond" w:cs="Calibri"/>
                <w:color w:val="000000"/>
                <w:sz w:val="4"/>
                <w:szCs w:val="4"/>
              </w:rPr>
            </w:pPr>
            <w:r w:rsidRPr="00B457F5">
              <w:rPr>
                <w:rFonts w:ascii="Garamond" w:eastAsia="Times New Roman" w:hAnsi="Garamond" w:cs="Calibri"/>
                <w:color w:val="000000"/>
                <w:sz w:val="4"/>
                <w:szCs w:val="4"/>
              </w:rPr>
              <w:t>83%</w:t>
            </w:r>
          </w:p>
        </w:tc>
        <w:tc>
          <w:tcPr>
            <w:tcW w:w="313" w:type="pct"/>
            <w:tcBorders>
              <w:top w:val="nil"/>
              <w:left w:val="nil"/>
              <w:bottom w:val="nil"/>
              <w:right w:val="nil"/>
            </w:tcBorders>
            <w:shd w:val="clear" w:color="auto" w:fill="auto"/>
            <w:noWrap/>
            <w:vAlign w:val="center"/>
            <w:hideMark/>
          </w:tcPr>
          <w:p w14:paraId="0366A13D" w14:textId="77777777" w:rsidR="00635943" w:rsidRPr="00B457F5" w:rsidRDefault="00635943" w:rsidP="00635943">
            <w:pPr>
              <w:spacing w:before="0" w:after="0"/>
              <w:jc w:val="center"/>
              <w:rPr>
                <w:rFonts w:ascii="Garamond" w:eastAsia="Times New Roman" w:hAnsi="Garamond" w:cs="Calibri"/>
                <w:color w:val="000000"/>
                <w:sz w:val="4"/>
                <w:szCs w:val="4"/>
              </w:rPr>
            </w:pPr>
          </w:p>
        </w:tc>
        <w:tc>
          <w:tcPr>
            <w:tcW w:w="256" w:type="pct"/>
            <w:tcBorders>
              <w:top w:val="nil"/>
              <w:left w:val="nil"/>
              <w:bottom w:val="nil"/>
              <w:right w:val="nil"/>
            </w:tcBorders>
            <w:shd w:val="clear" w:color="auto" w:fill="auto"/>
            <w:noWrap/>
            <w:vAlign w:val="center"/>
            <w:hideMark/>
          </w:tcPr>
          <w:p w14:paraId="13445517"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3F81021C" w14:textId="77777777" w:rsidR="00635943" w:rsidRPr="00B457F5" w:rsidRDefault="00635943" w:rsidP="00635943">
            <w:pPr>
              <w:spacing w:before="0" w:after="0"/>
              <w:jc w:val="center"/>
              <w:rPr>
                <w:rFonts w:ascii="Garamond" w:eastAsia="Times New Roman" w:hAnsi="Garamond" w:cs="Times New Roman"/>
                <w:sz w:val="4"/>
                <w:szCs w:val="4"/>
              </w:rPr>
            </w:pPr>
          </w:p>
        </w:tc>
        <w:tc>
          <w:tcPr>
            <w:tcW w:w="253" w:type="pct"/>
            <w:tcBorders>
              <w:top w:val="nil"/>
              <w:left w:val="nil"/>
              <w:bottom w:val="nil"/>
              <w:right w:val="nil"/>
            </w:tcBorders>
            <w:shd w:val="clear" w:color="auto" w:fill="auto"/>
            <w:noWrap/>
            <w:vAlign w:val="center"/>
            <w:hideMark/>
          </w:tcPr>
          <w:p w14:paraId="533AD333" w14:textId="77777777" w:rsidR="00635943" w:rsidRPr="00B457F5" w:rsidRDefault="00635943" w:rsidP="00635943">
            <w:pPr>
              <w:spacing w:before="0" w:after="0"/>
              <w:jc w:val="center"/>
              <w:rPr>
                <w:rFonts w:ascii="Garamond" w:eastAsia="Times New Roman" w:hAnsi="Garamond" w:cs="Times New Roman"/>
                <w:sz w:val="4"/>
                <w:szCs w:val="4"/>
              </w:rPr>
            </w:pPr>
          </w:p>
        </w:tc>
        <w:tc>
          <w:tcPr>
            <w:tcW w:w="238" w:type="pct"/>
            <w:tcBorders>
              <w:top w:val="nil"/>
              <w:left w:val="nil"/>
              <w:bottom w:val="nil"/>
              <w:right w:val="nil"/>
            </w:tcBorders>
            <w:shd w:val="clear" w:color="auto" w:fill="auto"/>
            <w:noWrap/>
            <w:vAlign w:val="center"/>
            <w:hideMark/>
          </w:tcPr>
          <w:p w14:paraId="12C51C01"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2ED008FD" w14:textId="77777777" w:rsidR="00635943" w:rsidRPr="00B457F5" w:rsidRDefault="00635943" w:rsidP="00635943">
            <w:pPr>
              <w:spacing w:before="0" w:after="0"/>
              <w:jc w:val="center"/>
              <w:rPr>
                <w:rFonts w:ascii="Garamond" w:eastAsia="Times New Roman" w:hAnsi="Garamond" w:cs="Times New Roman"/>
                <w:sz w:val="4"/>
                <w:szCs w:val="4"/>
              </w:rPr>
            </w:pPr>
          </w:p>
        </w:tc>
        <w:tc>
          <w:tcPr>
            <w:tcW w:w="205" w:type="pct"/>
            <w:tcBorders>
              <w:top w:val="nil"/>
              <w:left w:val="nil"/>
              <w:bottom w:val="nil"/>
              <w:right w:val="nil"/>
            </w:tcBorders>
            <w:shd w:val="clear" w:color="auto" w:fill="auto"/>
            <w:noWrap/>
            <w:vAlign w:val="center"/>
            <w:hideMark/>
          </w:tcPr>
          <w:p w14:paraId="7DF59558" w14:textId="77777777" w:rsidR="00635943" w:rsidRPr="00B457F5" w:rsidRDefault="00635943" w:rsidP="00635943">
            <w:pPr>
              <w:spacing w:before="0" w:after="0"/>
              <w:jc w:val="center"/>
              <w:rPr>
                <w:rFonts w:ascii="Garamond" w:eastAsia="Times New Roman" w:hAnsi="Garamond" w:cs="Times New Roman"/>
                <w:sz w:val="4"/>
                <w:szCs w:val="4"/>
              </w:rPr>
            </w:pPr>
          </w:p>
        </w:tc>
        <w:tc>
          <w:tcPr>
            <w:tcW w:w="211" w:type="pct"/>
            <w:tcBorders>
              <w:top w:val="nil"/>
              <w:left w:val="nil"/>
              <w:bottom w:val="nil"/>
              <w:right w:val="nil"/>
            </w:tcBorders>
            <w:shd w:val="clear" w:color="auto" w:fill="auto"/>
            <w:noWrap/>
            <w:vAlign w:val="center"/>
            <w:hideMark/>
          </w:tcPr>
          <w:p w14:paraId="516F3D17" w14:textId="77777777" w:rsidR="00635943" w:rsidRPr="00B457F5" w:rsidRDefault="00635943" w:rsidP="00635943">
            <w:pPr>
              <w:spacing w:before="0" w:after="0"/>
              <w:jc w:val="center"/>
              <w:rPr>
                <w:rFonts w:ascii="Garamond" w:eastAsia="Times New Roman" w:hAnsi="Garamond" w:cs="Times New Roman"/>
                <w:sz w:val="4"/>
                <w:szCs w:val="4"/>
              </w:rPr>
            </w:pPr>
          </w:p>
        </w:tc>
        <w:tc>
          <w:tcPr>
            <w:tcW w:w="177" w:type="pct"/>
            <w:tcBorders>
              <w:top w:val="nil"/>
              <w:left w:val="nil"/>
              <w:bottom w:val="nil"/>
              <w:right w:val="nil"/>
            </w:tcBorders>
            <w:shd w:val="clear" w:color="auto" w:fill="auto"/>
            <w:noWrap/>
            <w:vAlign w:val="center"/>
            <w:hideMark/>
          </w:tcPr>
          <w:p w14:paraId="33877964" w14:textId="77777777" w:rsidR="00635943" w:rsidRPr="00B457F5" w:rsidRDefault="00635943" w:rsidP="00635943">
            <w:pPr>
              <w:spacing w:before="0" w:after="0"/>
              <w:jc w:val="center"/>
              <w:rPr>
                <w:rFonts w:ascii="Garamond" w:eastAsia="Times New Roman" w:hAnsi="Garamond" w:cs="Times New Roman"/>
                <w:sz w:val="4"/>
                <w:szCs w:val="4"/>
              </w:rPr>
            </w:pPr>
          </w:p>
        </w:tc>
        <w:tc>
          <w:tcPr>
            <w:tcW w:w="284" w:type="pct"/>
            <w:tcBorders>
              <w:top w:val="nil"/>
              <w:left w:val="nil"/>
              <w:bottom w:val="nil"/>
              <w:right w:val="nil"/>
            </w:tcBorders>
            <w:shd w:val="clear" w:color="auto" w:fill="auto"/>
            <w:noWrap/>
            <w:vAlign w:val="center"/>
            <w:hideMark/>
          </w:tcPr>
          <w:p w14:paraId="6F48C997" w14:textId="77777777" w:rsidR="00635943" w:rsidRPr="00B457F5" w:rsidRDefault="00635943" w:rsidP="00635943">
            <w:pPr>
              <w:spacing w:before="0" w:after="0"/>
              <w:jc w:val="center"/>
              <w:rPr>
                <w:rFonts w:ascii="Garamond" w:eastAsia="Times New Roman" w:hAnsi="Garamond" w:cs="Times New Roman"/>
                <w:sz w:val="4"/>
                <w:szCs w:val="4"/>
              </w:rPr>
            </w:pPr>
          </w:p>
        </w:tc>
        <w:tc>
          <w:tcPr>
            <w:tcW w:w="244" w:type="pct"/>
            <w:tcBorders>
              <w:top w:val="nil"/>
              <w:left w:val="nil"/>
              <w:bottom w:val="nil"/>
              <w:right w:val="nil"/>
            </w:tcBorders>
            <w:shd w:val="clear" w:color="auto" w:fill="auto"/>
            <w:noWrap/>
            <w:vAlign w:val="center"/>
            <w:hideMark/>
          </w:tcPr>
          <w:p w14:paraId="566AA502" w14:textId="77777777" w:rsidR="00635943" w:rsidRPr="00B457F5" w:rsidRDefault="00635943" w:rsidP="00635943">
            <w:pPr>
              <w:spacing w:before="0" w:after="0"/>
              <w:jc w:val="center"/>
              <w:rPr>
                <w:rFonts w:ascii="Garamond" w:eastAsia="Times New Roman" w:hAnsi="Garamond" w:cs="Times New Roman"/>
                <w:sz w:val="4"/>
                <w:szCs w:val="4"/>
              </w:rPr>
            </w:pPr>
          </w:p>
        </w:tc>
      </w:tr>
      <w:tr w:rsidR="0028334E" w:rsidRPr="00B457F5" w14:paraId="2DDBF3BA" w14:textId="77777777" w:rsidTr="00635943">
        <w:trPr>
          <w:trHeight w:val="20"/>
        </w:trPr>
        <w:tc>
          <w:tcPr>
            <w:tcW w:w="343" w:type="pct"/>
            <w:tcBorders>
              <w:top w:val="nil"/>
              <w:left w:val="nil"/>
              <w:bottom w:val="nil"/>
              <w:right w:val="nil"/>
            </w:tcBorders>
            <w:shd w:val="clear" w:color="auto" w:fill="auto"/>
            <w:noWrap/>
            <w:vAlign w:val="bottom"/>
            <w:hideMark/>
          </w:tcPr>
          <w:p w14:paraId="1484170E" w14:textId="77777777" w:rsidR="00635943" w:rsidRPr="00B457F5" w:rsidRDefault="00635943" w:rsidP="00635943">
            <w:pPr>
              <w:spacing w:before="0" w:after="0"/>
              <w:jc w:val="center"/>
              <w:rPr>
                <w:rFonts w:ascii="Garamond" w:eastAsia="Times New Roman" w:hAnsi="Garamond" w:cs="Times New Roman"/>
                <w:sz w:val="4"/>
                <w:szCs w:val="4"/>
              </w:rPr>
            </w:pPr>
          </w:p>
        </w:tc>
        <w:tc>
          <w:tcPr>
            <w:tcW w:w="266" w:type="pct"/>
            <w:tcBorders>
              <w:top w:val="nil"/>
              <w:left w:val="nil"/>
              <w:bottom w:val="nil"/>
              <w:right w:val="nil"/>
            </w:tcBorders>
            <w:shd w:val="clear" w:color="auto" w:fill="auto"/>
            <w:noWrap/>
            <w:vAlign w:val="bottom"/>
            <w:hideMark/>
          </w:tcPr>
          <w:p w14:paraId="2A7538F2" w14:textId="77777777" w:rsidR="00635943" w:rsidRPr="00B457F5" w:rsidRDefault="00635943" w:rsidP="00635943">
            <w:pPr>
              <w:spacing w:before="0" w:after="0"/>
              <w:jc w:val="left"/>
              <w:rPr>
                <w:rFonts w:ascii="Garamond" w:eastAsia="Times New Roman" w:hAnsi="Garamond" w:cs="Times New Roman"/>
                <w:sz w:val="4"/>
                <w:szCs w:val="4"/>
              </w:rPr>
            </w:pPr>
          </w:p>
        </w:tc>
        <w:tc>
          <w:tcPr>
            <w:tcW w:w="474" w:type="pct"/>
            <w:tcBorders>
              <w:top w:val="nil"/>
              <w:left w:val="nil"/>
              <w:bottom w:val="nil"/>
              <w:right w:val="nil"/>
            </w:tcBorders>
            <w:shd w:val="clear" w:color="auto" w:fill="auto"/>
            <w:noWrap/>
            <w:vAlign w:val="bottom"/>
            <w:hideMark/>
          </w:tcPr>
          <w:p w14:paraId="6E1672FA" w14:textId="77777777" w:rsidR="00635943" w:rsidRPr="00B457F5" w:rsidRDefault="00635943" w:rsidP="00635943">
            <w:pPr>
              <w:spacing w:before="0" w:after="0"/>
              <w:jc w:val="left"/>
              <w:rPr>
                <w:rFonts w:ascii="Garamond" w:eastAsia="Times New Roman" w:hAnsi="Garamond" w:cs="Times New Roman"/>
                <w:sz w:val="4"/>
                <w:szCs w:val="4"/>
              </w:rPr>
            </w:pPr>
          </w:p>
        </w:tc>
        <w:tc>
          <w:tcPr>
            <w:tcW w:w="196" w:type="pct"/>
            <w:tcBorders>
              <w:top w:val="nil"/>
              <w:left w:val="nil"/>
              <w:bottom w:val="nil"/>
              <w:right w:val="nil"/>
            </w:tcBorders>
            <w:shd w:val="clear" w:color="auto" w:fill="auto"/>
            <w:noWrap/>
            <w:vAlign w:val="bottom"/>
            <w:hideMark/>
          </w:tcPr>
          <w:p w14:paraId="6E45E391" w14:textId="77777777" w:rsidR="00635943" w:rsidRPr="00B457F5" w:rsidRDefault="00635943" w:rsidP="00635943">
            <w:pPr>
              <w:spacing w:before="0" w:after="0"/>
              <w:jc w:val="left"/>
              <w:rPr>
                <w:rFonts w:ascii="Garamond" w:eastAsia="Times New Roman" w:hAnsi="Garamond" w:cs="Times New Roman"/>
                <w:sz w:val="4"/>
                <w:szCs w:val="4"/>
              </w:rPr>
            </w:pPr>
          </w:p>
        </w:tc>
        <w:tc>
          <w:tcPr>
            <w:tcW w:w="231" w:type="pct"/>
            <w:tcBorders>
              <w:top w:val="nil"/>
              <w:left w:val="nil"/>
              <w:bottom w:val="nil"/>
              <w:right w:val="nil"/>
            </w:tcBorders>
            <w:shd w:val="clear" w:color="auto" w:fill="auto"/>
            <w:noWrap/>
            <w:vAlign w:val="bottom"/>
            <w:hideMark/>
          </w:tcPr>
          <w:p w14:paraId="0A383088" w14:textId="77777777" w:rsidR="00635943" w:rsidRPr="00B457F5" w:rsidRDefault="00635943" w:rsidP="00635943">
            <w:pPr>
              <w:spacing w:before="0" w:after="0"/>
              <w:jc w:val="left"/>
              <w:rPr>
                <w:rFonts w:ascii="Garamond" w:eastAsia="Times New Roman" w:hAnsi="Garamond" w:cs="Times New Roman"/>
                <w:sz w:val="4"/>
                <w:szCs w:val="4"/>
              </w:rPr>
            </w:pPr>
          </w:p>
        </w:tc>
        <w:tc>
          <w:tcPr>
            <w:tcW w:w="259" w:type="pct"/>
            <w:tcBorders>
              <w:top w:val="nil"/>
              <w:left w:val="single" w:sz="4" w:space="0" w:color="auto"/>
              <w:bottom w:val="single" w:sz="4" w:space="0" w:color="auto"/>
              <w:right w:val="single" w:sz="4" w:space="0" w:color="auto"/>
            </w:tcBorders>
            <w:shd w:val="clear" w:color="000000" w:fill="ED7D31"/>
            <w:noWrap/>
            <w:vAlign w:val="center"/>
            <w:hideMark/>
          </w:tcPr>
          <w:p w14:paraId="28AA98D1" w14:textId="58C4EBB9"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Kosto</w:t>
            </w:r>
            <w:r w:rsidR="0028334E" w:rsidRPr="00B457F5">
              <w:rPr>
                <w:rFonts w:ascii="Garamond" w:eastAsia="Times New Roman" w:hAnsi="Garamond" w:cs="Calibri"/>
                <w:color w:val="FFFFFF"/>
                <w:sz w:val="4"/>
                <w:szCs w:val="4"/>
              </w:rPr>
              <w:t>ja</w:t>
            </w:r>
            <w:r w:rsidRPr="00B457F5">
              <w:rPr>
                <w:rFonts w:ascii="Garamond" w:eastAsia="Times New Roman" w:hAnsi="Garamond" w:cs="Calibri"/>
                <w:color w:val="FFFFFF"/>
                <w:sz w:val="4"/>
                <w:szCs w:val="4"/>
              </w:rPr>
              <w:t xml:space="preserve"> kapitale</w:t>
            </w:r>
          </w:p>
        </w:tc>
        <w:tc>
          <w:tcPr>
            <w:tcW w:w="278" w:type="pct"/>
            <w:tcBorders>
              <w:top w:val="nil"/>
              <w:left w:val="nil"/>
              <w:bottom w:val="single" w:sz="4" w:space="0" w:color="auto"/>
              <w:right w:val="single" w:sz="4" w:space="0" w:color="auto"/>
            </w:tcBorders>
            <w:shd w:val="clear" w:color="000000" w:fill="ED7D31"/>
            <w:noWrap/>
            <w:vAlign w:val="center"/>
            <w:hideMark/>
          </w:tcPr>
          <w:p w14:paraId="33B54160" w14:textId="77777777"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160,425,000</w:t>
            </w:r>
          </w:p>
        </w:tc>
        <w:tc>
          <w:tcPr>
            <w:tcW w:w="260" w:type="pct"/>
            <w:tcBorders>
              <w:top w:val="nil"/>
              <w:left w:val="nil"/>
              <w:bottom w:val="nil"/>
              <w:right w:val="nil"/>
            </w:tcBorders>
            <w:shd w:val="clear" w:color="auto" w:fill="auto"/>
            <w:noWrap/>
            <w:vAlign w:val="center"/>
            <w:hideMark/>
          </w:tcPr>
          <w:p w14:paraId="4B99C33C" w14:textId="77777777" w:rsidR="00635943" w:rsidRPr="00B457F5" w:rsidRDefault="00635943" w:rsidP="00635943">
            <w:pPr>
              <w:spacing w:before="0" w:after="0"/>
              <w:jc w:val="center"/>
              <w:rPr>
                <w:rFonts w:ascii="Garamond" w:eastAsia="Times New Roman" w:hAnsi="Garamond" w:cs="Calibri"/>
                <w:color w:val="000000"/>
                <w:sz w:val="4"/>
                <w:szCs w:val="4"/>
              </w:rPr>
            </w:pPr>
            <w:r w:rsidRPr="00B457F5">
              <w:rPr>
                <w:rFonts w:ascii="Garamond" w:eastAsia="Times New Roman" w:hAnsi="Garamond" w:cs="Calibri"/>
                <w:color w:val="000000"/>
                <w:sz w:val="4"/>
                <w:szCs w:val="4"/>
              </w:rPr>
              <w:t>17%</w:t>
            </w:r>
          </w:p>
        </w:tc>
        <w:tc>
          <w:tcPr>
            <w:tcW w:w="313" w:type="pct"/>
            <w:tcBorders>
              <w:top w:val="nil"/>
              <w:left w:val="nil"/>
              <w:bottom w:val="nil"/>
              <w:right w:val="nil"/>
            </w:tcBorders>
            <w:shd w:val="clear" w:color="auto" w:fill="auto"/>
            <w:noWrap/>
            <w:vAlign w:val="center"/>
            <w:hideMark/>
          </w:tcPr>
          <w:p w14:paraId="64E3B9F3" w14:textId="77777777" w:rsidR="00635943" w:rsidRPr="00B457F5" w:rsidRDefault="00635943" w:rsidP="00635943">
            <w:pPr>
              <w:spacing w:before="0" w:after="0"/>
              <w:jc w:val="center"/>
              <w:rPr>
                <w:rFonts w:ascii="Garamond" w:eastAsia="Times New Roman" w:hAnsi="Garamond" w:cs="Calibri"/>
                <w:color w:val="000000"/>
                <w:sz w:val="4"/>
                <w:szCs w:val="4"/>
              </w:rPr>
            </w:pPr>
          </w:p>
        </w:tc>
        <w:tc>
          <w:tcPr>
            <w:tcW w:w="256" w:type="pct"/>
            <w:tcBorders>
              <w:top w:val="nil"/>
              <w:left w:val="nil"/>
              <w:bottom w:val="nil"/>
              <w:right w:val="nil"/>
            </w:tcBorders>
            <w:shd w:val="clear" w:color="auto" w:fill="auto"/>
            <w:noWrap/>
            <w:vAlign w:val="center"/>
            <w:hideMark/>
          </w:tcPr>
          <w:p w14:paraId="0F61815D"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2AAC7759" w14:textId="77777777" w:rsidR="00635943" w:rsidRPr="00B457F5" w:rsidRDefault="00635943" w:rsidP="00635943">
            <w:pPr>
              <w:spacing w:before="0" w:after="0"/>
              <w:jc w:val="center"/>
              <w:rPr>
                <w:rFonts w:ascii="Garamond" w:eastAsia="Times New Roman" w:hAnsi="Garamond" w:cs="Times New Roman"/>
                <w:sz w:val="4"/>
                <w:szCs w:val="4"/>
              </w:rPr>
            </w:pPr>
          </w:p>
        </w:tc>
        <w:tc>
          <w:tcPr>
            <w:tcW w:w="253" w:type="pct"/>
            <w:tcBorders>
              <w:top w:val="nil"/>
              <w:left w:val="nil"/>
              <w:bottom w:val="nil"/>
              <w:right w:val="nil"/>
            </w:tcBorders>
            <w:shd w:val="clear" w:color="auto" w:fill="auto"/>
            <w:noWrap/>
            <w:vAlign w:val="center"/>
            <w:hideMark/>
          </w:tcPr>
          <w:p w14:paraId="356B4B67" w14:textId="77777777" w:rsidR="00635943" w:rsidRPr="00B457F5" w:rsidRDefault="00635943" w:rsidP="00635943">
            <w:pPr>
              <w:spacing w:before="0" w:after="0"/>
              <w:jc w:val="center"/>
              <w:rPr>
                <w:rFonts w:ascii="Garamond" w:eastAsia="Times New Roman" w:hAnsi="Garamond" w:cs="Times New Roman"/>
                <w:sz w:val="4"/>
                <w:szCs w:val="4"/>
              </w:rPr>
            </w:pPr>
          </w:p>
        </w:tc>
        <w:tc>
          <w:tcPr>
            <w:tcW w:w="238" w:type="pct"/>
            <w:tcBorders>
              <w:top w:val="nil"/>
              <w:left w:val="nil"/>
              <w:bottom w:val="nil"/>
              <w:right w:val="nil"/>
            </w:tcBorders>
            <w:shd w:val="clear" w:color="auto" w:fill="auto"/>
            <w:noWrap/>
            <w:vAlign w:val="center"/>
            <w:hideMark/>
          </w:tcPr>
          <w:p w14:paraId="70387F7D"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427FCCC8" w14:textId="77777777" w:rsidR="00635943" w:rsidRPr="00B457F5" w:rsidRDefault="00635943" w:rsidP="00635943">
            <w:pPr>
              <w:spacing w:before="0" w:after="0"/>
              <w:jc w:val="center"/>
              <w:rPr>
                <w:rFonts w:ascii="Garamond" w:eastAsia="Times New Roman" w:hAnsi="Garamond" w:cs="Times New Roman"/>
                <w:sz w:val="4"/>
                <w:szCs w:val="4"/>
              </w:rPr>
            </w:pPr>
          </w:p>
        </w:tc>
        <w:tc>
          <w:tcPr>
            <w:tcW w:w="205" w:type="pct"/>
            <w:tcBorders>
              <w:top w:val="nil"/>
              <w:left w:val="nil"/>
              <w:bottom w:val="nil"/>
              <w:right w:val="nil"/>
            </w:tcBorders>
            <w:shd w:val="clear" w:color="auto" w:fill="auto"/>
            <w:noWrap/>
            <w:vAlign w:val="center"/>
            <w:hideMark/>
          </w:tcPr>
          <w:p w14:paraId="3BDFDD90" w14:textId="77777777" w:rsidR="00635943" w:rsidRPr="00B457F5" w:rsidRDefault="00635943" w:rsidP="00635943">
            <w:pPr>
              <w:spacing w:before="0" w:after="0"/>
              <w:jc w:val="center"/>
              <w:rPr>
                <w:rFonts w:ascii="Garamond" w:eastAsia="Times New Roman" w:hAnsi="Garamond" w:cs="Times New Roman"/>
                <w:sz w:val="4"/>
                <w:szCs w:val="4"/>
              </w:rPr>
            </w:pPr>
          </w:p>
        </w:tc>
        <w:tc>
          <w:tcPr>
            <w:tcW w:w="211" w:type="pct"/>
            <w:tcBorders>
              <w:top w:val="nil"/>
              <w:left w:val="nil"/>
              <w:bottom w:val="nil"/>
              <w:right w:val="nil"/>
            </w:tcBorders>
            <w:shd w:val="clear" w:color="auto" w:fill="auto"/>
            <w:noWrap/>
            <w:vAlign w:val="center"/>
            <w:hideMark/>
          </w:tcPr>
          <w:p w14:paraId="1643AD0A" w14:textId="77777777" w:rsidR="00635943" w:rsidRPr="00B457F5" w:rsidRDefault="00635943" w:rsidP="00635943">
            <w:pPr>
              <w:spacing w:before="0" w:after="0"/>
              <w:jc w:val="center"/>
              <w:rPr>
                <w:rFonts w:ascii="Garamond" w:eastAsia="Times New Roman" w:hAnsi="Garamond" w:cs="Times New Roman"/>
                <w:sz w:val="4"/>
                <w:szCs w:val="4"/>
              </w:rPr>
            </w:pPr>
          </w:p>
        </w:tc>
        <w:tc>
          <w:tcPr>
            <w:tcW w:w="177" w:type="pct"/>
            <w:tcBorders>
              <w:top w:val="nil"/>
              <w:left w:val="nil"/>
              <w:bottom w:val="nil"/>
              <w:right w:val="nil"/>
            </w:tcBorders>
            <w:shd w:val="clear" w:color="auto" w:fill="auto"/>
            <w:noWrap/>
            <w:vAlign w:val="center"/>
            <w:hideMark/>
          </w:tcPr>
          <w:p w14:paraId="3D52164D" w14:textId="77777777" w:rsidR="00635943" w:rsidRPr="00B457F5" w:rsidRDefault="00635943" w:rsidP="00635943">
            <w:pPr>
              <w:spacing w:before="0" w:after="0"/>
              <w:jc w:val="center"/>
              <w:rPr>
                <w:rFonts w:ascii="Garamond" w:eastAsia="Times New Roman" w:hAnsi="Garamond" w:cs="Times New Roman"/>
                <w:sz w:val="4"/>
                <w:szCs w:val="4"/>
              </w:rPr>
            </w:pPr>
          </w:p>
        </w:tc>
        <w:tc>
          <w:tcPr>
            <w:tcW w:w="284" w:type="pct"/>
            <w:tcBorders>
              <w:top w:val="nil"/>
              <w:left w:val="nil"/>
              <w:bottom w:val="nil"/>
              <w:right w:val="nil"/>
            </w:tcBorders>
            <w:shd w:val="clear" w:color="auto" w:fill="auto"/>
            <w:noWrap/>
            <w:vAlign w:val="center"/>
            <w:hideMark/>
          </w:tcPr>
          <w:p w14:paraId="112E4E42" w14:textId="77777777" w:rsidR="00635943" w:rsidRPr="00B457F5" w:rsidRDefault="00635943" w:rsidP="00635943">
            <w:pPr>
              <w:spacing w:before="0" w:after="0"/>
              <w:jc w:val="center"/>
              <w:rPr>
                <w:rFonts w:ascii="Garamond" w:eastAsia="Times New Roman" w:hAnsi="Garamond" w:cs="Times New Roman"/>
                <w:sz w:val="4"/>
                <w:szCs w:val="4"/>
              </w:rPr>
            </w:pPr>
          </w:p>
        </w:tc>
        <w:tc>
          <w:tcPr>
            <w:tcW w:w="244" w:type="pct"/>
            <w:tcBorders>
              <w:top w:val="nil"/>
              <w:left w:val="nil"/>
              <w:bottom w:val="nil"/>
              <w:right w:val="nil"/>
            </w:tcBorders>
            <w:shd w:val="clear" w:color="auto" w:fill="auto"/>
            <w:noWrap/>
            <w:vAlign w:val="center"/>
            <w:hideMark/>
          </w:tcPr>
          <w:p w14:paraId="387CFBFD" w14:textId="77777777" w:rsidR="00635943" w:rsidRPr="00B457F5" w:rsidRDefault="00635943" w:rsidP="00635943">
            <w:pPr>
              <w:spacing w:before="0" w:after="0"/>
              <w:jc w:val="center"/>
              <w:rPr>
                <w:rFonts w:ascii="Garamond" w:eastAsia="Times New Roman" w:hAnsi="Garamond" w:cs="Times New Roman"/>
                <w:sz w:val="4"/>
                <w:szCs w:val="4"/>
              </w:rPr>
            </w:pPr>
          </w:p>
        </w:tc>
      </w:tr>
      <w:tr w:rsidR="0028334E" w:rsidRPr="00B457F5" w14:paraId="038695B4" w14:textId="77777777" w:rsidTr="00635943">
        <w:trPr>
          <w:trHeight w:val="20"/>
        </w:trPr>
        <w:tc>
          <w:tcPr>
            <w:tcW w:w="343" w:type="pct"/>
            <w:tcBorders>
              <w:top w:val="nil"/>
              <w:left w:val="nil"/>
              <w:bottom w:val="nil"/>
              <w:right w:val="nil"/>
            </w:tcBorders>
            <w:shd w:val="clear" w:color="auto" w:fill="auto"/>
            <w:noWrap/>
            <w:vAlign w:val="bottom"/>
            <w:hideMark/>
          </w:tcPr>
          <w:p w14:paraId="6A21DFBD" w14:textId="77777777" w:rsidR="00635943" w:rsidRPr="00B457F5" w:rsidRDefault="00635943" w:rsidP="00635943">
            <w:pPr>
              <w:spacing w:before="0" w:after="0"/>
              <w:jc w:val="center"/>
              <w:rPr>
                <w:rFonts w:ascii="Garamond" w:eastAsia="Times New Roman" w:hAnsi="Garamond" w:cs="Times New Roman"/>
                <w:sz w:val="4"/>
                <w:szCs w:val="4"/>
              </w:rPr>
            </w:pPr>
          </w:p>
        </w:tc>
        <w:tc>
          <w:tcPr>
            <w:tcW w:w="266" w:type="pct"/>
            <w:tcBorders>
              <w:top w:val="nil"/>
              <w:left w:val="nil"/>
              <w:bottom w:val="nil"/>
              <w:right w:val="nil"/>
            </w:tcBorders>
            <w:shd w:val="clear" w:color="auto" w:fill="auto"/>
            <w:noWrap/>
            <w:vAlign w:val="bottom"/>
            <w:hideMark/>
          </w:tcPr>
          <w:p w14:paraId="30914634" w14:textId="77777777" w:rsidR="00635943" w:rsidRPr="00B457F5" w:rsidRDefault="00635943" w:rsidP="00635943">
            <w:pPr>
              <w:spacing w:before="0" w:after="0"/>
              <w:jc w:val="left"/>
              <w:rPr>
                <w:rFonts w:ascii="Garamond" w:eastAsia="Times New Roman" w:hAnsi="Garamond" w:cs="Times New Roman"/>
                <w:sz w:val="4"/>
                <w:szCs w:val="4"/>
              </w:rPr>
            </w:pPr>
          </w:p>
        </w:tc>
        <w:tc>
          <w:tcPr>
            <w:tcW w:w="474" w:type="pct"/>
            <w:tcBorders>
              <w:top w:val="nil"/>
              <w:left w:val="nil"/>
              <w:bottom w:val="nil"/>
              <w:right w:val="nil"/>
            </w:tcBorders>
            <w:shd w:val="clear" w:color="auto" w:fill="auto"/>
            <w:noWrap/>
            <w:vAlign w:val="bottom"/>
            <w:hideMark/>
          </w:tcPr>
          <w:p w14:paraId="503F0BFC" w14:textId="77777777" w:rsidR="00635943" w:rsidRPr="00B457F5" w:rsidRDefault="00635943" w:rsidP="00635943">
            <w:pPr>
              <w:spacing w:before="0" w:after="0"/>
              <w:jc w:val="left"/>
              <w:rPr>
                <w:rFonts w:ascii="Garamond" w:eastAsia="Times New Roman" w:hAnsi="Garamond" w:cs="Times New Roman"/>
                <w:sz w:val="4"/>
                <w:szCs w:val="4"/>
              </w:rPr>
            </w:pPr>
          </w:p>
        </w:tc>
        <w:tc>
          <w:tcPr>
            <w:tcW w:w="196" w:type="pct"/>
            <w:tcBorders>
              <w:top w:val="nil"/>
              <w:left w:val="nil"/>
              <w:bottom w:val="nil"/>
              <w:right w:val="nil"/>
            </w:tcBorders>
            <w:shd w:val="clear" w:color="auto" w:fill="auto"/>
            <w:noWrap/>
            <w:vAlign w:val="bottom"/>
            <w:hideMark/>
          </w:tcPr>
          <w:p w14:paraId="1DBBAD3F" w14:textId="77777777" w:rsidR="00635943" w:rsidRPr="00B457F5" w:rsidRDefault="00635943" w:rsidP="00635943">
            <w:pPr>
              <w:spacing w:before="0" w:after="0"/>
              <w:jc w:val="left"/>
              <w:rPr>
                <w:rFonts w:ascii="Garamond" w:eastAsia="Times New Roman" w:hAnsi="Garamond" w:cs="Times New Roman"/>
                <w:sz w:val="4"/>
                <w:szCs w:val="4"/>
              </w:rPr>
            </w:pPr>
          </w:p>
        </w:tc>
        <w:tc>
          <w:tcPr>
            <w:tcW w:w="231" w:type="pct"/>
            <w:tcBorders>
              <w:top w:val="nil"/>
              <w:left w:val="nil"/>
              <w:bottom w:val="nil"/>
              <w:right w:val="nil"/>
            </w:tcBorders>
            <w:shd w:val="clear" w:color="auto" w:fill="auto"/>
            <w:noWrap/>
            <w:vAlign w:val="bottom"/>
            <w:hideMark/>
          </w:tcPr>
          <w:p w14:paraId="43F2168A" w14:textId="77777777" w:rsidR="00635943" w:rsidRPr="00B457F5" w:rsidRDefault="00635943" w:rsidP="00635943">
            <w:pPr>
              <w:spacing w:before="0" w:after="0"/>
              <w:jc w:val="left"/>
              <w:rPr>
                <w:rFonts w:ascii="Garamond" w:eastAsia="Times New Roman" w:hAnsi="Garamond" w:cs="Times New Roman"/>
                <w:sz w:val="4"/>
                <w:szCs w:val="4"/>
              </w:rPr>
            </w:pPr>
          </w:p>
        </w:tc>
        <w:tc>
          <w:tcPr>
            <w:tcW w:w="259" w:type="pct"/>
            <w:tcBorders>
              <w:top w:val="nil"/>
              <w:left w:val="single" w:sz="4" w:space="0" w:color="auto"/>
              <w:bottom w:val="single" w:sz="4" w:space="0" w:color="auto"/>
              <w:right w:val="single" w:sz="4" w:space="0" w:color="auto"/>
            </w:tcBorders>
            <w:shd w:val="clear" w:color="000000" w:fill="ED7D31"/>
            <w:noWrap/>
            <w:vAlign w:val="center"/>
            <w:hideMark/>
          </w:tcPr>
          <w:p w14:paraId="39577F01" w14:textId="77777777"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Total kosto</w:t>
            </w:r>
          </w:p>
        </w:tc>
        <w:tc>
          <w:tcPr>
            <w:tcW w:w="278" w:type="pct"/>
            <w:tcBorders>
              <w:top w:val="nil"/>
              <w:left w:val="nil"/>
              <w:bottom w:val="single" w:sz="4" w:space="0" w:color="auto"/>
              <w:right w:val="single" w:sz="4" w:space="0" w:color="auto"/>
            </w:tcBorders>
            <w:shd w:val="clear" w:color="000000" w:fill="ED7D31"/>
            <w:noWrap/>
            <w:vAlign w:val="center"/>
            <w:hideMark/>
          </w:tcPr>
          <w:p w14:paraId="6CB01F27" w14:textId="77777777" w:rsidR="00635943" w:rsidRPr="00B457F5" w:rsidRDefault="00635943" w:rsidP="00635943">
            <w:pPr>
              <w:spacing w:before="0" w:after="0"/>
              <w:jc w:val="center"/>
              <w:rPr>
                <w:rFonts w:ascii="Garamond" w:eastAsia="Times New Roman" w:hAnsi="Garamond" w:cs="Calibri"/>
                <w:color w:val="FFFFFF"/>
                <w:sz w:val="4"/>
                <w:szCs w:val="4"/>
              </w:rPr>
            </w:pPr>
            <w:r w:rsidRPr="00B457F5">
              <w:rPr>
                <w:rFonts w:ascii="Garamond" w:eastAsia="Times New Roman" w:hAnsi="Garamond" w:cs="Calibri"/>
                <w:color w:val="FFFFFF"/>
                <w:sz w:val="4"/>
                <w:szCs w:val="4"/>
              </w:rPr>
              <w:t>970,126,845</w:t>
            </w:r>
          </w:p>
        </w:tc>
        <w:tc>
          <w:tcPr>
            <w:tcW w:w="260" w:type="pct"/>
            <w:tcBorders>
              <w:top w:val="nil"/>
              <w:left w:val="nil"/>
              <w:bottom w:val="nil"/>
              <w:right w:val="nil"/>
            </w:tcBorders>
            <w:shd w:val="clear" w:color="auto" w:fill="auto"/>
            <w:noWrap/>
            <w:vAlign w:val="center"/>
            <w:hideMark/>
          </w:tcPr>
          <w:p w14:paraId="3BA81A8C" w14:textId="77777777" w:rsidR="00635943" w:rsidRPr="00B457F5" w:rsidRDefault="00635943" w:rsidP="00635943">
            <w:pPr>
              <w:spacing w:before="0" w:after="0"/>
              <w:jc w:val="center"/>
              <w:rPr>
                <w:rFonts w:ascii="Garamond" w:eastAsia="Times New Roman" w:hAnsi="Garamond" w:cs="Calibri"/>
                <w:color w:val="FFFFFF"/>
                <w:sz w:val="4"/>
                <w:szCs w:val="4"/>
              </w:rPr>
            </w:pPr>
          </w:p>
        </w:tc>
        <w:tc>
          <w:tcPr>
            <w:tcW w:w="313" w:type="pct"/>
            <w:tcBorders>
              <w:top w:val="nil"/>
              <w:left w:val="nil"/>
              <w:bottom w:val="nil"/>
              <w:right w:val="nil"/>
            </w:tcBorders>
            <w:shd w:val="clear" w:color="auto" w:fill="auto"/>
            <w:noWrap/>
            <w:vAlign w:val="center"/>
            <w:hideMark/>
          </w:tcPr>
          <w:p w14:paraId="3B0F3E9B"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52E1A0AA"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34DD8A3A" w14:textId="77777777" w:rsidR="00635943" w:rsidRPr="00B457F5" w:rsidRDefault="00635943" w:rsidP="00635943">
            <w:pPr>
              <w:spacing w:before="0" w:after="0"/>
              <w:jc w:val="center"/>
              <w:rPr>
                <w:rFonts w:ascii="Garamond" w:eastAsia="Times New Roman" w:hAnsi="Garamond" w:cs="Times New Roman"/>
                <w:sz w:val="4"/>
                <w:szCs w:val="4"/>
              </w:rPr>
            </w:pPr>
          </w:p>
        </w:tc>
        <w:tc>
          <w:tcPr>
            <w:tcW w:w="253" w:type="pct"/>
            <w:tcBorders>
              <w:top w:val="nil"/>
              <w:left w:val="nil"/>
              <w:bottom w:val="nil"/>
              <w:right w:val="nil"/>
            </w:tcBorders>
            <w:shd w:val="clear" w:color="auto" w:fill="auto"/>
            <w:noWrap/>
            <w:vAlign w:val="center"/>
            <w:hideMark/>
          </w:tcPr>
          <w:p w14:paraId="320C9F33" w14:textId="77777777" w:rsidR="00635943" w:rsidRPr="00B457F5" w:rsidRDefault="00635943" w:rsidP="00635943">
            <w:pPr>
              <w:spacing w:before="0" w:after="0"/>
              <w:jc w:val="center"/>
              <w:rPr>
                <w:rFonts w:ascii="Garamond" w:eastAsia="Times New Roman" w:hAnsi="Garamond" w:cs="Times New Roman"/>
                <w:sz w:val="4"/>
                <w:szCs w:val="4"/>
              </w:rPr>
            </w:pPr>
          </w:p>
        </w:tc>
        <w:tc>
          <w:tcPr>
            <w:tcW w:w="238" w:type="pct"/>
            <w:tcBorders>
              <w:top w:val="nil"/>
              <w:left w:val="nil"/>
              <w:bottom w:val="nil"/>
              <w:right w:val="nil"/>
            </w:tcBorders>
            <w:shd w:val="clear" w:color="auto" w:fill="auto"/>
            <w:noWrap/>
            <w:vAlign w:val="center"/>
            <w:hideMark/>
          </w:tcPr>
          <w:p w14:paraId="29442FFC" w14:textId="77777777" w:rsidR="00635943" w:rsidRPr="00B457F5" w:rsidRDefault="00635943" w:rsidP="00635943">
            <w:pPr>
              <w:spacing w:before="0" w:after="0"/>
              <w:jc w:val="center"/>
              <w:rPr>
                <w:rFonts w:ascii="Garamond" w:eastAsia="Times New Roman" w:hAnsi="Garamond" w:cs="Times New Roman"/>
                <w:sz w:val="4"/>
                <w:szCs w:val="4"/>
              </w:rPr>
            </w:pPr>
          </w:p>
        </w:tc>
        <w:tc>
          <w:tcPr>
            <w:tcW w:w="256" w:type="pct"/>
            <w:tcBorders>
              <w:top w:val="nil"/>
              <w:left w:val="nil"/>
              <w:bottom w:val="nil"/>
              <w:right w:val="nil"/>
            </w:tcBorders>
            <w:shd w:val="clear" w:color="auto" w:fill="auto"/>
            <w:noWrap/>
            <w:vAlign w:val="center"/>
            <w:hideMark/>
          </w:tcPr>
          <w:p w14:paraId="37F1A2D3" w14:textId="77777777" w:rsidR="00635943" w:rsidRPr="00B457F5" w:rsidRDefault="00635943" w:rsidP="00635943">
            <w:pPr>
              <w:spacing w:before="0" w:after="0"/>
              <w:jc w:val="center"/>
              <w:rPr>
                <w:rFonts w:ascii="Garamond" w:eastAsia="Times New Roman" w:hAnsi="Garamond" w:cs="Times New Roman"/>
                <w:sz w:val="4"/>
                <w:szCs w:val="4"/>
              </w:rPr>
            </w:pPr>
          </w:p>
        </w:tc>
        <w:tc>
          <w:tcPr>
            <w:tcW w:w="205" w:type="pct"/>
            <w:tcBorders>
              <w:top w:val="nil"/>
              <w:left w:val="nil"/>
              <w:bottom w:val="nil"/>
              <w:right w:val="nil"/>
            </w:tcBorders>
            <w:shd w:val="clear" w:color="auto" w:fill="auto"/>
            <w:noWrap/>
            <w:vAlign w:val="center"/>
            <w:hideMark/>
          </w:tcPr>
          <w:p w14:paraId="4C004F0B" w14:textId="77777777" w:rsidR="00635943" w:rsidRPr="00B457F5" w:rsidRDefault="00635943" w:rsidP="00635943">
            <w:pPr>
              <w:spacing w:before="0" w:after="0"/>
              <w:jc w:val="center"/>
              <w:rPr>
                <w:rFonts w:ascii="Garamond" w:eastAsia="Times New Roman" w:hAnsi="Garamond" w:cs="Times New Roman"/>
                <w:sz w:val="4"/>
                <w:szCs w:val="4"/>
              </w:rPr>
            </w:pPr>
          </w:p>
        </w:tc>
        <w:tc>
          <w:tcPr>
            <w:tcW w:w="211" w:type="pct"/>
            <w:tcBorders>
              <w:top w:val="nil"/>
              <w:left w:val="nil"/>
              <w:bottom w:val="nil"/>
              <w:right w:val="nil"/>
            </w:tcBorders>
            <w:shd w:val="clear" w:color="auto" w:fill="auto"/>
            <w:noWrap/>
            <w:vAlign w:val="center"/>
            <w:hideMark/>
          </w:tcPr>
          <w:p w14:paraId="42E54365" w14:textId="77777777" w:rsidR="00635943" w:rsidRPr="00B457F5" w:rsidRDefault="00635943" w:rsidP="00635943">
            <w:pPr>
              <w:spacing w:before="0" w:after="0"/>
              <w:jc w:val="center"/>
              <w:rPr>
                <w:rFonts w:ascii="Garamond" w:eastAsia="Times New Roman" w:hAnsi="Garamond" w:cs="Times New Roman"/>
                <w:sz w:val="4"/>
                <w:szCs w:val="4"/>
              </w:rPr>
            </w:pPr>
          </w:p>
        </w:tc>
        <w:tc>
          <w:tcPr>
            <w:tcW w:w="177" w:type="pct"/>
            <w:tcBorders>
              <w:top w:val="nil"/>
              <w:left w:val="nil"/>
              <w:bottom w:val="nil"/>
              <w:right w:val="nil"/>
            </w:tcBorders>
            <w:shd w:val="clear" w:color="auto" w:fill="auto"/>
            <w:noWrap/>
            <w:vAlign w:val="center"/>
            <w:hideMark/>
          </w:tcPr>
          <w:p w14:paraId="705750D5" w14:textId="77777777" w:rsidR="00635943" w:rsidRPr="00B457F5" w:rsidRDefault="00635943" w:rsidP="00635943">
            <w:pPr>
              <w:spacing w:before="0" w:after="0"/>
              <w:jc w:val="center"/>
              <w:rPr>
                <w:rFonts w:ascii="Garamond" w:eastAsia="Times New Roman" w:hAnsi="Garamond" w:cs="Times New Roman"/>
                <w:sz w:val="4"/>
                <w:szCs w:val="4"/>
              </w:rPr>
            </w:pPr>
          </w:p>
        </w:tc>
        <w:tc>
          <w:tcPr>
            <w:tcW w:w="284" w:type="pct"/>
            <w:tcBorders>
              <w:top w:val="nil"/>
              <w:left w:val="nil"/>
              <w:bottom w:val="nil"/>
              <w:right w:val="nil"/>
            </w:tcBorders>
            <w:shd w:val="clear" w:color="auto" w:fill="auto"/>
            <w:noWrap/>
            <w:vAlign w:val="center"/>
            <w:hideMark/>
          </w:tcPr>
          <w:p w14:paraId="60C4DEBB" w14:textId="77777777" w:rsidR="00635943" w:rsidRPr="00B457F5" w:rsidRDefault="00635943" w:rsidP="00635943">
            <w:pPr>
              <w:spacing w:before="0" w:after="0"/>
              <w:jc w:val="center"/>
              <w:rPr>
                <w:rFonts w:ascii="Garamond" w:eastAsia="Times New Roman" w:hAnsi="Garamond" w:cs="Times New Roman"/>
                <w:sz w:val="4"/>
                <w:szCs w:val="4"/>
              </w:rPr>
            </w:pPr>
          </w:p>
        </w:tc>
        <w:tc>
          <w:tcPr>
            <w:tcW w:w="244" w:type="pct"/>
            <w:tcBorders>
              <w:top w:val="nil"/>
              <w:left w:val="nil"/>
              <w:bottom w:val="nil"/>
              <w:right w:val="nil"/>
            </w:tcBorders>
            <w:shd w:val="clear" w:color="auto" w:fill="auto"/>
            <w:noWrap/>
            <w:vAlign w:val="center"/>
            <w:hideMark/>
          </w:tcPr>
          <w:p w14:paraId="7BA1A6BD" w14:textId="77777777" w:rsidR="00635943" w:rsidRPr="00B457F5" w:rsidRDefault="00635943" w:rsidP="00635943">
            <w:pPr>
              <w:spacing w:before="0" w:after="0"/>
              <w:jc w:val="center"/>
              <w:rPr>
                <w:rFonts w:ascii="Garamond" w:eastAsia="Times New Roman" w:hAnsi="Garamond" w:cs="Times New Roman"/>
                <w:sz w:val="4"/>
                <w:szCs w:val="4"/>
              </w:rPr>
            </w:pPr>
          </w:p>
        </w:tc>
      </w:tr>
    </w:tbl>
    <w:p w14:paraId="548CA2E8" w14:textId="77777777" w:rsidR="00151C91" w:rsidRPr="00B457F5" w:rsidRDefault="00151C91" w:rsidP="002E693B">
      <w:pPr>
        <w:tabs>
          <w:tab w:val="left" w:pos="540"/>
        </w:tabs>
        <w:spacing w:before="0" w:after="0"/>
        <w:ind w:firstLine="284"/>
        <w:rPr>
          <w:rFonts w:ascii="Garamond" w:hAnsi="Garamond" w:cs="Times New Roman"/>
          <w:szCs w:val="24"/>
        </w:rPr>
      </w:pPr>
    </w:p>
    <w:tbl>
      <w:tblPr>
        <w:tblW w:w="5000" w:type="pct"/>
        <w:tblLook w:val="04A0" w:firstRow="1" w:lastRow="0" w:firstColumn="1" w:lastColumn="0" w:noHBand="0" w:noVBand="1"/>
      </w:tblPr>
      <w:tblGrid>
        <w:gridCol w:w="5720"/>
        <w:gridCol w:w="1383"/>
        <w:gridCol w:w="1555"/>
        <w:gridCol w:w="1863"/>
        <w:gridCol w:w="1754"/>
        <w:gridCol w:w="1709"/>
      </w:tblGrid>
      <w:tr w:rsidR="00FC6EBE" w:rsidRPr="00B457F5" w14:paraId="1503D612" w14:textId="77777777" w:rsidTr="00FC6EBE">
        <w:trPr>
          <w:trHeight w:val="20"/>
        </w:trPr>
        <w:tc>
          <w:tcPr>
            <w:tcW w:w="2045" w:type="pct"/>
            <w:vMerge w:val="restart"/>
            <w:tcBorders>
              <w:top w:val="single" w:sz="8" w:space="0" w:color="auto"/>
              <w:left w:val="single" w:sz="8" w:space="0" w:color="auto"/>
              <w:bottom w:val="nil"/>
              <w:right w:val="nil"/>
            </w:tcBorders>
            <w:shd w:val="clear" w:color="000000" w:fill="4472C4"/>
            <w:vAlign w:val="center"/>
            <w:hideMark/>
          </w:tcPr>
          <w:p w14:paraId="286A3375" w14:textId="51C172CA" w:rsidR="00FC6EBE" w:rsidRPr="00B457F5" w:rsidRDefault="00FC6EBE" w:rsidP="00FC6EBE">
            <w:pPr>
              <w:spacing w:before="0" w:after="0"/>
              <w:rPr>
                <w:rFonts w:ascii="Garamond" w:eastAsia="Times New Roman" w:hAnsi="Garamond" w:cs="Arial"/>
                <w:b/>
                <w:bCs/>
                <w:color w:val="FFFFFF"/>
                <w:sz w:val="4"/>
                <w:szCs w:val="4"/>
              </w:rPr>
            </w:pPr>
            <w:r w:rsidRPr="00B457F5">
              <w:rPr>
                <w:rFonts w:ascii="Garamond" w:eastAsia="Times New Roman" w:hAnsi="Garamond" w:cs="Arial"/>
                <w:b/>
                <w:bCs/>
                <w:color w:val="FFFFFF"/>
                <w:sz w:val="4"/>
                <w:szCs w:val="4"/>
              </w:rPr>
              <w:t xml:space="preserve">Qëllimi i </w:t>
            </w:r>
            <w:r w:rsidR="002803F2" w:rsidRPr="00B457F5">
              <w:rPr>
                <w:rFonts w:ascii="Garamond" w:eastAsia="Times New Roman" w:hAnsi="Garamond" w:cs="Arial"/>
                <w:b/>
                <w:bCs/>
                <w:color w:val="FFFFFF"/>
                <w:sz w:val="4"/>
                <w:szCs w:val="4"/>
              </w:rPr>
              <w:t>p</w:t>
            </w:r>
            <w:r w:rsidRPr="00B457F5">
              <w:rPr>
                <w:rFonts w:ascii="Garamond" w:eastAsia="Times New Roman" w:hAnsi="Garamond" w:cs="Arial"/>
                <w:b/>
                <w:bCs/>
                <w:color w:val="FFFFFF"/>
                <w:sz w:val="4"/>
                <w:szCs w:val="4"/>
              </w:rPr>
              <w:t>olitikave</w:t>
            </w:r>
          </w:p>
        </w:tc>
        <w:tc>
          <w:tcPr>
            <w:tcW w:w="494" w:type="pct"/>
            <w:vMerge w:val="restart"/>
            <w:tcBorders>
              <w:top w:val="single" w:sz="8" w:space="0" w:color="auto"/>
              <w:left w:val="nil"/>
              <w:bottom w:val="nil"/>
              <w:right w:val="nil"/>
            </w:tcBorders>
            <w:shd w:val="clear" w:color="000000" w:fill="4472C4"/>
            <w:vAlign w:val="center"/>
            <w:hideMark/>
          </w:tcPr>
          <w:p w14:paraId="0D44DDA8" w14:textId="7911C5BB" w:rsidR="00FC6EBE" w:rsidRPr="00B457F5" w:rsidRDefault="00FC6EBE" w:rsidP="00FC6EBE">
            <w:pPr>
              <w:spacing w:before="0" w:after="0"/>
              <w:jc w:val="center"/>
              <w:rPr>
                <w:rFonts w:ascii="Garamond" w:eastAsia="Times New Roman" w:hAnsi="Garamond" w:cs="Arial"/>
                <w:b/>
                <w:bCs/>
                <w:color w:val="FFFFFF"/>
                <w:sz w:val="4"/>
                <w:szCs w:val="4"/>
              </w:rPr>
            </w:pPr>
            <w:r w:rsidRPr="00B457F5">
              <w:rPr>
                <w:rFonts w:ascii="Garamond" w:eastAsia="Times New Roman" w:hAnsi="Garamond" w:cs="Arial"/>
                <w:b/>
                <w:bCs/>
                <w:color w:val="FFFFFF"/>
                <w:sz w:val="4"/>
                <w:szCs w:val="4"/>
              </w:rPr>
              <w:t>Natyra/</w:t>
            </w:r>
            <w:r w:rsidR="0028334E" w:rsidRPr="00B457F5">
              <w:rPr>
                <w:rFonts w:ascii="Garamond" w:eastAsia="Times New Roman" w:hAnsi="Garamond" w:cs="Arial"/>
                <w:b/>
                <w:bCs/>
                <w:color w:val="FFFFFF"/>
                <w:sz w:val="4"/>
                <w:szCs w:val="4"/>
              </w:rPr>
              <w:t>tipologjia e kostove</w:t>
            </w:r>
          </w:p>
        </w:tc>
        <w:tc>
          <w:tcPr>
            <w:tcW w:w="556" w:type="pct"/>
            <w:tcBorders>
              <w:top w:val="single" w:sz="8" w:space="0" w:color="auto"/>
              <w:left w:val="nil"/>
              <w:bottom w:val="nil"/>
              <w:right w:val="nil"/>
            </w:tcBorders>
            <w:shd w:val="clear" w:color="000000" w:fill="4472C4"/>
            <w:vAlign w:val="center"/>
            <w:hideMark/>
          </w:tcPr>
          <w:p w14:paraId="25F83AD1" w14:textId="44F5A6BD" w:rsidR="00FC6EBE" w:rsidRPr="00B457F5" w:rsidRDefault="00FC6EBE" w:rsidP="00FC6EBE">
            <w:pPr>
              <w:spacing w:before="0" w:after="0"/>
              <w:jc w:val="center"/>
              <w:rPr>
                <w:rFonts w:ascii="Garamond" w:eastAsia="Times New Roman" w:hAnsi="Garamond" w:cs="Arial"/>
                <w:b/>
                <w:bCs/>
                <w:color w:val="FFFFFF"/>
                <w:sz w:val="4"/>
                <w:szCs w:val="4"/>
              </w:rPr>
            </w:pPr>
            <w:r w:rsidRPr="00B457F5">
              <w:rPr>
                <w:rFonts w:ascii="Garamond" w:eastAsia="Times New Roman" w:hAnsi="Garamond" w:cs="Arial"/>
                <w:b/>
                <w:bCs/>
                <w:color w:val="FFFFFF"/>
                <w:sz w:val="4"/>
                <w:szCs w:val="4"/>
              </w:rPr>
              <w:t xml:space="preserve">Kostoja </w:t>
            </w:r>
            <w:r w:rsidR="0028334E" w:rsidRPr="00B457F5">
              <w:rPr>
                <w:rFonts w:ascii="Garamond" w:eastAsia="Times New Roman" w:hAnsi="Garamond" w:cs="Arial"/>
                <w:b/>
                <w:bCs/>
                <w:color w:val="FFFFFF"/>
                <w:sz w:val="4"/>
                <w:szCs w:val="4"/>
              </w:rPr>
              <w:t>t</w:t>
            </w:r>
            <w:r w:rsidRPr="00B457F5">
              <w:rPr>
                <w:rFonts w:ascii="Garamond" w:eastAsia="Times New Roman" w:hAnsi="Garamond" w:cs="Arial"/>
                <w:b/>
                <w:bCs/>
                <w:color w:val="FFFFFF"/>
                <w:sz w:val="4"/>
                <w:szCs w:val="4"/>
              </w:rPr>
              <w:t>otale</w:t>
            </w:r>
          </w:p>
        </w:tc>
        <w:tc>
          <w:tcPr>
            <w:tcW w:w="666" w:type="pct"/>
            <w:tcBorders>
              <w:top w:val="single" w:sz="8" w:space="0" w:color="auto"/>
              <w:left w:val="nil"/>
              <w:bottom w:val="nil"/>
              <w:right w:val="nil"/>
            </w:tcBorders>
            <w:shd w:val="clear" w:color="000000" w:fill="4472C4"/>
            <w:vAlign w:val="center"/>
            <w:hideMark/>
          </w:tcPr>
          <w:p w14:paraId="3EF53406" w14:textId="402A06A7" w:rsidR="00FC6EBE" w:rsidRPr="00B457F5" w:rsidRDefault="00FC6EBE" w:rsidP="00FC6EBE">
            <w:pPr>
              <w:spacing w:before="0" w:after="0"/>
              <w:jc w:val="center"/>
              <w:rPr>
                <w:rFonts w:ascii="Garamond" w:eastAsia="Times New Roman" w:hAnsi="Garamond" w:cs="Arial"/>
                <w:b/>
                <w:bCs/>
                <w:color w:val="FFFFFF"/>
                <w:sz w:val="4"/>
                <w:szCs w:val="4"/>
              </w:rPr>
            </w:pPr>
            <w:r w:rsidRPr="00B457F5">
              <w:rPr>
                <w:rFonts w:ascii="Garamond" w:eastAsia="Times New Roman" w:hAnsi="Garamond" w:cs="Arial"/>
                <w:b/>
                <w:bCs/>
                <w:color w:val="FFFFFF"/>
                <w:sz w:val="4"/>
                <w:szCs w:val="4"/>
              </w:rPr>
              <w:t xml:space="preserve">Kostot e </w:t>
            </w:r>
            <w:r w:rsidR="0028334E" w:rsidRPr="00B457F5">
              <w:rPr>
                <w:rFonts w:ascii="Garamond" w:eastAsia="Times New Roman" w:hAnsi="Garamond" w:cs="Arial"/>
                <w:b/>
                <w:bCs/>
                <w:color w:val="FFFFFF"/>
                <w:sz w:val="4"/>
                <w:szCs w:val="4"/>
              </w:rPr>
              <w:t>p</w:t>
            </w:r>
            <w:r w:rsidRPr="00B457F5">
              <w:rPr>
                <w:rFonts w:ascii="Garamond" w:eastAsia="Times New Roman" w:hAnsi="Garamond" w:cs="Arial"/>
                <w:b/>
                <w:bCs/>
                <w:color w:val="FFFFFF"/>
                <w:sz w:val="4"/>
                <w:szCs w:val="4"/>
              </w:rPr>
              <w:t>lanifikuara</w:t>
            </w:r>
          </w:p>
        </w:tc>
        <w:tc>
          <w:tcPr>
            <w:tcW w:w="627" w:type="pct"/>
            <w:tcBorders>
              <w:top w:val="single" w:sz="8" w:space="0" w:color="auto"/>
              <w:left w:val="nil"/>
              <w:bottom w:val="nil"/>
              <w:right w:val="nil"/>
            </w:tcBorders>
            <w:shd w:val="clear" w:color="000000" w:fill="4472C4"/>
            <w:vAlign w:val="center"/>
            <w:hideMark/>
          </w:tcPr>
          <w:p w14:paraId="5FD9AAB0" w14:textId="256918EF" w:rsidR="00FC6EBE" w:rsidRPr="00B457F5" w:rsidRDefault="00FC6EBE" w:rsidP="00FC6EBE">
            <w:pPr>
              <w:spacing w:before="0" w:after="0"/>
              <w:jc w:val="center"/>
              <w:rPr>
                <w:rFonts w:ascii="Garamond" w:eastAsia="Times New Roman" w:hAnsi="Garamond" w:cs="Arial"/>
                <w:b/>
                <w:bCs/>
                <w:color w:val="FFFFFF"/>
                <w:sz w:val="4"/>
                <w:szCs w:val="4"/>
              </w:rPr>
            </w:pPr>
            <w:r w:rsidRPr="00B457F5">
              <w:rPr>
                <w:rFonts w:ascii="Garamond" w:eastAsia="Times New Roman" w:hAnsi="Garamond" w:cs="Arial"/>
                <w:b/>
                <w:bCs/>
                <w:color w:val="FFFFFF"/>
                <w:sz w:val="4"/>
                <w:szCs w:val="4"/>
              </w:rPr>
              <w:t>Kosto për t</w:t>
            </w:r>
            <w:r w:rsidR="00B95279" w:rsidRPr="00B457F5">
              <w:rPr>
                <w:rFonts w:ascii="Garamond" w:eastAsia="Times New Roman" w:hAnsi="Garamond" w:cs="Arial"/>
                <w:b/>
                <w:bCs/>
                <w:color w:val="FFFFFF"/>
                <w:sz w:val="4"/>
                <w:szCs w:val="4"/>
              </w:rPr>
              <w:t>’</w:t>
            </w:r>
            <w:r w:rsidRPr="00B457F5">
              <w:rPr>
                <w:rFonts w:ascii="Garamond" w:eastAsia="Times New Roman" w:hAnsi="Garamond" w:cs="Arial"/>
                <w:b/>
                <w:bCs/>
                <w:color w:val="FFFFFF"/>
                <w:sz w:val="4"/>
                <w:szCs w:val="4"/>
              </w:rPr>
              <w:t xml:space="preserve">u </w:t>
            </w:r>
          </w:p>
        </w:tc>
        <w:tc>
          <w:tcPr>
            <w:tcW w:w="611" w:type="pct"/>
            <w:tcBorders>
              <w:top w:val="single" w:sz="8" w:space="0" w:color="auto"/>
              <w:left w:val="nil"/>
              <w:bottom w:val="nil"/>
              <w:right w:val="single" w:sz="8" w:space="0" w:color="auto"/>
            </w:tcBorders>
            <w:shd w:val="clear" w:color="000000" w:fill="4472C4"/>
            <w:vAlign w:val="center"/>
            <w:hideMark/>
          </w:tcPr>
          <w:p w14:paraId="3C75F9FB" w14:textId="7E878A13" w:rsidR="00FC6EBE" w:rsidRPr="00B457F5" w:rsidRDefault="00FC6EBE" w:rsidP="00FC6EBE">
            <w:pPr>
              <w:spacing w:before="0" w:after="0"/>
              <w:jc w:val="center"/>
              <w:rPr>
                <w:rFonts w:ascii="Garamond" w:eastAsia="Times New Roman" w:hAnsi="Garamond" w:cs="Arial"/>
                <w:b/>
                <w:bCs/>
                <w:color w:val="FFFFFF"/>
                <w:sz w:val="4"/>
                <w:szCs w:val="4"/>
              </w:rPr>
            </w:pPr>
            <w:r w:rsidRPr="00B457F5">
              <w:rPr>
                <w:rFonts w:ascii="Garamond" w:eastAsia="Times New Roman" w:hAnsi="Garamond" w:cs="Arial"/>
                <w:b/>
                <w:bCs/>
                <w:color w:val="FFFFFF"/>
                <w:sz w:val="4"/>
                <w:szCs w:val="4"/>
              </w:rPr>
              <w:t xml:space="preserve">Hendeku </w:t>
            </w:r>
            <w:r w:rsidR="00B457F5" w:rsidRPr="00B457F5">
              <w:rPr>
                <w:rFonts w:ascii="Garamond" w:eastAsia="Times New Roman" w:hAnsi="Garamond" w:cs="Arial"/>
                <w:b/>
                <w:bCs/>
                <w:color w:val="FFFFFF"/>
                <w:sz w:val="4"/>
                <w:szCs w:val="4"/>
              </w:rPr>
              <w:t>f</w:t>
            </w:r>
            <w:r w:rsidRPr="00B457F5">
              <w:rPr>
                <w:rFonts w:ascii="Garamond" w:eastAsia="Times New Roman" w:hAnsi="Garamond" w:cs="Arial"/>
                <w:b/>
                <w:bCs/>
                <w:color w:val="FFFFFF"/>
                <w:sz w:val="4"/>
                <w:szCs w:val="4"/>
              </w:rPr>
              <w:t>inanciar</w:t>
            </w:r>
          </w:p>
        </w:tc>
      </w:tr>
      <w:tr w:rsidR="00FC6EBE" w:rsidRPr="00B457F5" w14:paraId="5927796D" w14:textId="77777777" w:rsidTr="00FC6EBE">
        <w:trPr>
          <w:trHeight w:val="20"/>
        </w:trPr>
        <w:tc>
          <w:tcPr>
            <w:tcW w:w="2045" w:type="pct"/>
            <w:vMerge/>
            <w:tcBorders>
              <w:top w:val="single" w:sz="8" w:space="0" w:color="auto"/>
              <w:left w:val="single" w:sz="8" w:space="0" w:color="auto"/>
              <w:bottom w:val="nil"/>
              <w:right w:val="nil"/>
            </w:tcBorders>
            <w:vAlign w:val="center"/>
            <w:hideMark/>
          </w:tcPr>
          <w:p w14:paraId="4F3839BE" w14:textId="77777777" w:rsidR="00FC6EBE" w:rsidRPr="00B457F5" w:rsidRDefault="00FC6EBE" w:rsidP="00FC6EBE">
            <w:pPr>
              <w:spacing w:before="0" w:after="0"/>
              <w:jc w:val="left"/>
              <w:rPr>
                <w:rFonts w:ascii="Garamond" w:eastAsia="Times New Roman" w:hAnsi="Garamond" w:cs="Arial"/>
                <w:b/>
                <w:bCs/>
                <w:color w:val="FFFFFF"/>
                <w:sz w:val="4"/>
                <w:szCs w:val="4"/>
              </w:rPr>
            </w:pPr>
          </w:p>
        </w:tc>
        <w:tc>
          <w:tcPr>
            <w:tcW w:w="494" w:type="pct"/>
            <w:vMerge/>
            <w:tcBorders>
              <w:top w:val="single" w:sz="8" w:space="0" w:color="auto"/>
              <w:left w:val="nil"/>
              <w:bottom w:val="nil"/>
              <w:right w:val="nil"/>
            </w:tcBorders>
            <w:vAlign w:val="center"/>
            <w:hideMark/>
          </w:tcPr>
          <w:p w14:paraId="3B0C199F" w14:textId="77777777" w:rsidR="00FC6EBE" w:rsidRPr="00B457F5" w:rsidRDefault="00FC6EBE" w:rsidP="00FC6EBE">
            <w:pPr>
              <w:spacing w:before="0" w:after="0"/>
              <w:jc w:val="left"/>
              <w:rPr>
                <w:rFonts w:ascii="Garamond" w:eastAsia="Times New Roman" w:hAnsi="Garamond" w:cs="Arial"/>
                <w:b/>
                <w:bCs/>
                <w:color w:val="FFFFFF"/>
                <w:sz w:val="4"/>
                <w:szCs w:val="4"/>
              </w:rPr>
            </w:pPr>
          </w:p>
        </w:tc>
        <w:tc>
          <w:tcPr>
            <w:tcW w:w="556" w:type="pct"/>
            <w:tcBorders>
              <w:top w:val="nil"/>
              <w:left w:val="nil"/>
              <w:bottom w:val="nil"/>
              <w:right w:val="nil"/>
            </w:tcBorders>
            <w:shd w:val="clear" w:color="000000" w:fill="4472C4"/>
            <w:vAlign w:val="center"/>
            <w:hideMark/>
          </w:tcPr>
          <w:p w14:paraId="5A3FBC4E" w14:textId="6FB6F5EB" w:rsidR="00FC6EBE" w:rsidRPr="00B457F5" w:rsidRDefault="00FC6EBE" w:rsidP="00FC6EBE">
            <w:pPr>
              <w:spacing w:before="0" w:after="0"/>
              <w:jc w:val="center"/>
              <w:rPr>
                <w:rFonts w:ascii="Garamond" w:eastAsia="Times New Roman" w:hAnsi="Garamond" w:cs="Arial"/>
                <w:b/>
                <w:bCs/>
                <w:color w:val="FFFFFF"/>
                <w:sz w:val="4"/>
                <w:szCs w:val="4"/>
              </w:rPr>
            </w:pPr>
            <w:r w:rsidRPr="00B457F5">
              <w:rPr>
                <w:rFonts w:ascii="Garamond" w:eastAsia="Times New Roman" w:hAnsi="Garamond" w:cs="Arial"/>
                <w:b/>
                <w:bCs/>
                <w:color w:val="FFFFFF"/>
                <w:sz w:val="4"/>
                <w:szCs w:val="4"/>
              </w:rPr>
              <w:t>2024</w:t>
            </w:r>
            <w:r w:rsidR="0028334E" w:rsidRPr="00B457F5">
              <w:rPr>
                <w:rFonts w:ascii="Garamond" w:eastAsia="Times New Roman" w:hAnsi="Garamond" w:cs="Arial"/>
                <w:b/>
                <w:bCs/>
                <w:color w:val="FFFFFF"/>
                <w:sz w:val="4"/>
                <w:szCs w:val="4"/>
              </w:rPr>
              <w:t>–</w:t>
            </w:r>
            <w:r w:rsidRPr="00B457F5">
              <w:rPr>
                <w:rFonts w:ascii="Garamond" w:eastAsia="Times New Roman" w:hAnsi="Garamond" w:cs="Arial"/>
                <w:b/>
                <w:bCs/>
                <w:color w:val="FFFFFF"/>
                <w:sz w:val="4"/>
                <w:szCs w:val="4"/>
              </w:rPr>
              <w:t>2026</w:t>
            </w:r>
          </w:p>
        </w:tc>
        <w:tc>
          <w:tcPr>
            <w:tcW w:w="666" w:type="pct"/>
            <w:tcBorders>
              <w:top w:val="nil"/>
              <w:left w:val="nil"/>
              <w:bottom w:val="nil"/>
              <w:right w:val="nil"/>
            </w:tcBorders>
            <w:shd w:val="clear" w:color="000000" w:fill="4472C4"/>
            <w:vAlign w:val="center"/>
            <w:hideMark/>
          </w:tcPr>
          <w:p w14:paraId="5A27EA7B" w14:textId="76EE95A6" w:rsidR="00FC6EBE" w:rsidRPr="00B457F5" w:rsidRDefault="00FC6EBE" w:rsidP="00FC6EBE">
            <w:pPr>
              <w:spacing w:before="0" w:after="0"/>
              <w:jc w:val="center"/>
              <w:rPr>
                <w:rFonts w:ascii="Garamond" w:eastAsia="Times New Roman" w:hAnsi="Garamond" w:cs="Arial"/>
                <w:b/>
                <w:bCs/>
                <w:color w:val="FFFFFF"/>
                <w:sz w:val="4"/>
                <w:szCs w:val="4"/>
              </w:rPr>
            </w:pPr>
            <w:r w:rsidRPr="00B457F5">
              <w:rPr>
                <w:rFonts w:ascii="Garamond" w:eastAsia="Times New Roman" w:hAnsi="Garamond" w:cs="Arial"/>
                <w:b/>
                <w:bCs/>
                <w:color w:val="FFFFFF"/>
                <w:sz w:val="4"/>
                <w:szCs w:val="4"/>
              </w:rPr>
              <w:t>PBA 2024</w:t>
            </w:r>
            <w:r w:rsidR="0028334E" w:rsidRPr="00B457F5">
              <w:rPr>
                <w:rFonts w:ascii="Garamond" w:eastAsia="Times New Roman" w:hAnsi="Garamond" w:cs="Arial"/>
                <w:b/>
                <w:bCs/>
                <w:color w:val="FFFFFF"/>
                <w:sz w:val="4"/>
                <w:szCs w:val="4"/>
              </w:rPr>
              <w:t>–</w:t>
            </w:r>
            <w:r w:rsidRPr="00B457F5">
              <w:rPr>
                <w:rFonts w:ascii="Garamond" w:eastAsia="Times New Roman" w:hAnsi="Garamond" w:cs="Arial"/>
                <w:b/>
                <w:bCs/>
                <w:color w:val="FFFFFF"/>
                <w:sz w:val="4"/>
                <w:szCs w:val="4"/>
              </w:rPr>
              <w:t>2026</w:t>
            </w:r>
          </w:p>
        </w:tc>
        <w:tc>
          <w:tcPr>
            <w:tcW w:w="627" w:type="pct"/>
            <w:tcBorders>
              <w:top w:val="nil"/>
              <w:left w:val="nil"/>
              <w:bottom w:val="nil"/>
              <w:right w:val="nil"/>
            </w:tcBorders>
            <w:shd w:val="clear" w:color="000000" w:fill="4472C4"/>
            <w:vAlign w:val="center"/>
            <w:hideMark/>
          </w:tcPr>
          <w:p w14:paraId="485B4AF9" w14:textId="17682632" w:rsidR="00FC6EBE" w:rsidRPr="00B457F5" w:rsidRDefault="00B95279" w:rsidP="00FC6EBE">
            <w:pPr>
              <w:spacing w:before="0" w:after="0"/>
              <w:jc w:val="center"/>
              <w:rPr>
                <w:rFonts w:ascii="Garamond" w:eastAsia="Times New Roman" w:hAnsi="Garamond" w:cs="Arial"/>
                <w:b/>
                <w:bCs/>
                <w:color w:val="FFFFFF"/>
                <w:sz w:val="4"/>
                <w:szCs w:val="4"/>
              </w:rPr>
            </w:pPr>
            <w:r w:rsidRPr="00B457F5">
              <w:rPr>
                <w:rFonts w:ascii="Garamond" w:eastAsia="Times New Roman" w:hAnsi="Garamond" w:cs="Arial"/>
                <w:b/>
                <w:bCs/>
                <w:color w:val="FFFFFF"/>
                <w:sz w:val="4"/>
                <w:szCs w:val="4"/>
              </w:rPr>
              <w:t>planifikuar në</w:t>
            </w:r>
          </w:p>
        </w:tc>
        <w:tc>
          <w:tcPr>
            <w:tcW w:w="611" w:type="pct"/>
            <w:tcBorders>
              <w:top w:val="nil"/>
              <w:left w:val="nil"/>
              <w:bottom w:val="nil"/>
              <w:right w:val="single" w:sz="8" w:space="0" w:color="auto"/>
            </w:tcBorders>
            <w:shd w:val="clear" w:color="000000" w:fill="4472C4"/>
            <w:vAlign w:val="center"/>
            <w:hideMark/>
          </w:tcPr>
          <w:p w14:paraId="71580793" w14:textId="4EFA72C5" w:rsidR="00FC6EBE" w:rsidRPr="00B457F5" w:rsidRDefault="00FC6EBE" w:rsidP="00FC6EBE">
            <w:pPr>
              <w:spacing w:before="0" w:after="0"/>
              <w:jc w:val="center"/>
              <w:rPr>
                <w:rFonts w:ascii="Garamond" w:eastAsia="Times New Roman" w:hAnsi="Garamond" w:cs="Arial"/>
                <w:b/>
                <w:bCs/>
                <w:color w:val="FFFFFF"/>
                <w:sz w:val="4"/>
                <w:szCs w:val="4"/>
              </w:rPr>
            </w:pPr>
            <w:r w:rsidRPr="00B457F5">
              <w:rPr>
                <w:rFonts w:ascii="Garamond" w:eastAsia="Times New Roman" w:hAnsi="Garamond" w:cs="Arial"/>
                <w:b/>
                <w:bCs/>
                <w:color w:val="FFFFFF"/>
                <w:sz w:val="4"/>
                <w:szCs w:val="4"/>
              </w:rPr>
              <w:t>2024</w:t>
            </w:r>
            <w:r w:rsidR="00B457F5" w:rsidRPr="00B457F5">
              <w:rPr>
                <w:rFonts w:ascii="Garamond" w:eastAsia="Times New Roman" w:hAnsi="Garamond" w:cs="Arial"/>
                <w:b/>
                <w:bCs/>
                <w:color w:val="FFFFFF"/>
                <w:sz w:val="4"/>
                <w:szCs w:val="4"/>
              </w:rPr>
              <w:t>–</w:t>
            </w:r>
            <w:r w:rsidRPr="00B457F5">
              <w:rPr>
                <w:rFonts w:ascii="Garamond" w:eastAsia="Times New Roman" w:hAnsi="Garamond" w:cs="Arial"/>
                <w:b/>
                <w:bCs/>
                <w:color w:val="FFFFFF"/>
                <w:sz w:val="4"/>
                <w:szCs w:val="4"/>
              </w:rPr>
              <w:t>2026</w:t>
            </w:r>
          </w:p>
        </w:tc>
      </w:tr>
      <w:tr w:rsidR="00FC6EBE" w:rsidRPr="00B457F5" w14:paraId="776ED342" w14:textId="77777777" w:rsidTr="00FC6EBE">
        <w:trPr>
          <w:trHeight w:val="20"/>
        </w:trPr>
        <w:tc>
          <w:tcPr>
            <w:tcW w:w="2045" w:type="pct"/>
            <w:vMerge/>
            <w:tcBorders>
              <w:top w:val="single" w:sz="8" w:space="0" w:color="auto"/>
              <w:left w:val="single" w:sz="8" w:space="0" w:color="auto"/>
              <w:bottom w:val="nil"/>
              <w:right w:val="nil"/>
            </w:tcBorders>
            <w:vAlign w:val="center"/>
            <w:hideMark/>
          </w:tcPr>
          <w:p w14:paraId="5A6A4182" w14:textId="77777777" w:rsidR="00FC6EBE" w:rsidRPr="00B457F5" w:rsidRDefault="00FC6EBE" w:rsidP="00FC6EBE">
            <w:pPr>
              <w:spacing w:before="0" w:after="0"/>
              <w:jc w:val="left"/>
              <w:rPr>
                <w:rFonts w:ascii="Garamond" w:eastAsia="Times New Roman" w:hAnsi="Garamond" w:cs="Arial"/>
                <w:b/>
                <w:bCs/>
                <w:color w:val="FFFFFF"/>
                <w:sz w:val="4"/>
                <w:szCs w:val="4"/>
              </w:rPr>
            </w:pPr>
          </w:p>
        </w:tc>
        <w:tc>
          <w:tcPr>
            <w:tcW w:w="494" w:type="pct"/>
            <w:vMerge/>
            <w:tcBorders>
              <w:top w:val="single" w:sz="8" w:space="0" w:color="auto"/>
              <w:left w:val="nil"/>
              <w:bottom w:val="nil"/>
              <w:right w:val="nil"/>
            </w:tcBorders>
            <w:vAlign w:val="center"/>
            <w:hideMark/>
          </w:tcPr>
          <w:p w14:paraId="395FFC2E" w14:textId="77777777" w:rsidR="00FC6EBE" w:rsidRPr="00B457F5" w:rsidRDefault="00FC6EBE" w:rsidP="00FC6EBE">
            <w:pPr>
              <w:spacing w:before="0" w:after="0"/>
              <w:jc w:val="left"/>
              <w:rPr>
                <w:rFonts w:ascii="Garamond" w:eastAsia="Times New Roman" w:hAnsi="Garamond" w:cs="Arial"/>
                <w:b/>
                <w:bCs/>
                <w:color w:val="FFFFFF"/>
                <w:sz w:val="4"/>
                <w:szCs w:val="4"/>
              </w:rPr>
            </w:pPr>
          </w:p>
        </w:tc>
        <w:tc>
          <w:tcPr>
            <w:tcW w:w="556" w:type="pct"/>
            <w:tcBorders>
              <w:top w:val="nil"/>
              <w:left w:val="nil"/>
              <w:bottom w:val="nil"/>
              <w:right w:val="nil"/>
            </w:tcBorders>
            <w:shd w:val="clear" w:color="000000" w:fill="4472C4"/>
            <w:vAlign w:val="center"/>
            <w:hideMark/>
          </w:tcPr>
          <w:p w14:paraId="325A5664" w14:textId="77777777" w:rsidR="00FC6EBE" w:rsidRPr="00B457F5" w:rsidRDefault="00FC6EBE" w:rsidP="00FC6EBE">
            <w:pPr>
              <w:spacing w:before="0" w:after="0"/>
              <w:jc w:val="left"/>
              <w:rPr>
                <w:rFonts w:ascii="Garamond" w:eastAsia="Times New Roman" w:hAnsi="Garamond" w:cs="Calibri"/>
                <w:color w:val="000000"/>
                <w:sz w:val="4"/>
                <w:szCs w:val="4"/>
              </w:rPr>
            </w:pPr>
            <w:r w:rsidRPr="00B457F5">
              <w:rPr>
                <w:rFonts w:ascii="Garamond" w:eastAsia="Times New Roman" w:hAnsi="Garamond" w:cs="Calibri"/>
                <w:color w:val="000000"/>
                <w:sz w:val="4"/>
                <w:szCs w:val="4"/>
              </w:rPr>
              <w:t> </w:t>
            </w:r>
          </w:p>
        </w:tc>
        <w:tc>
          <w:tcPr>
            <w:tcW w:w="666" w:type="pct"/>
            <w:tcBorders>
              <w:top w:val="nil"/>
              <w:left w:val="nil"/>
              <w:bottom w:val="nil"/>
              <w:right w:val="nil"/>
            </w:tcBorders>
            <w:shd w:val="clear" w:color="000000" w:fill="4472C4"/>
            <w:vAlign w:val="center"/>
            <w:hideMark/>
          </w:tcPr>
          <w:p w14:paraId="4EB10076" w14:textId="38F08A38" w:rsidR="00FC6EBE" w:rsidRPr="00B457F5" w:rsidRDefault="00FC6EBE" w:rsidP="00FC6EBE">
            <w:pPr>
              <w:spacing w:before="0" w:after="0"/>
              <w:jc w:val="center"/>
              <w:rPr>
                <w:rFonts w:ascii="Garamond" w:eastAsia="Times New Roman" w:hAnsi="Garamond" w:cs="Arial"/>
                <w:b/>
                <w:bCs/>
                <w:color w:val="FFFFFF"/>
                <w:sz w:val="4"/>
                <w:szCs w:val="4"/>
              </w:rPr>
            </w:pPr>
            <w:r w:rsidRPr="00B457F5">
              <w:rPr>
                <w:rFonts w:ascii="Garamond" w:eastAsia="Times New Roman" w:hAnsi="Garamond" w:cs="Arial"/>
                <w:b/>
                <w:bCs/>
                <w:color w:val="FFFFFF"/>
                <w:sz w:val="4"/>
                <w:szCs w:val="4"/>
              </w:rPr>
              <w:t xml:space="preserve">Buxheti </w:t>
            </w:r>
            <w:r w:rsidR="0028334E" w:rsidRPr="00B457F5">
              <w:rPr>
                <w:rFonts w:ascii="Garamond" w:eastAsia="Times New Roman" w:hAnsi="Garamond" w:cs="Arial"/>
                <w:b/>
                <w:bCs/>
                <w:color w:val="FFFFFF"/>
                <w:sz w:val="4"/>
                <w:szCs w:val="4"/>
              </w:rPr>
              <w:t>&amp; d</w:t>
            </w:r>
            <w:r w:rsidRPr="00B457F5">
              <w:rPr>
                <w:rFonts w:ascii="Garamond" w:eastAsia="Times New Roman" w:hAnsi="Garamond" w:cs="Arial"/>
                <w:b/>
                <w:bCs/>
                <w:color w:val="FFFFFF"/>
                <w:sz w:val="4"/>
                <w:szCs w:val="4"/>
              </w:rPr>
              <w:t>onator</w:t>
            </w:r>
          </w:p>
        </w:tc>
        <w:tc>
          <w:tcPr>
            <w:tcW w:w="627" w:type="pct"/>
            <w:tcBorders>
              <w:top w:val="nil"/>
              <w:left w:val="nil"/>
              <w:bottom w:val="nil"/>
              <w:right w:val="nil"/>
            </w:tcBorders>
            <w:shd w:val="clear" w:color="000000" w:fill="4472C4"/>
            <w:vAlign w:val="center"/>
            <w:hideMark/>
          </w:tcPr>
          <w:p w14:paraId="776B894D" w14:textId="12F522BA" w:rsidR="00FC6EBE" w:rsidRPr="00B457F5" w:rsidRDefault="00B95279" w:rsidP="00FC6EBE">
            <w:pPr>
              <w:spacing w:before="0" w:after="0"/>
              <w:jc w:val="center"/>
              <w:rPr>
                <w:rFonts w:ascii="Garamond" w:eastAsia="Times New Roman" w:hAnsi="Garamond" w:cs="Arial"/>
                <w:b/>
                <w:bCs/>
                <w:color w:val="FFFFFF"/>
                <w:sz w:val="4"/>
                <w:szCs w:val="4"/>
              </w:rPr>
            </w:pPr>
            <w:r w:rsidRPr="00B457F5">
              <w:rPr>
                <w:rFonts w:ascii="Garamond" w:eastAsia="Times New Roman" w:hAnsi="Garamond" w:cs="Arial"/>
                <w:b/>
                <w:bCs/>
                <w:color w:val="FFFFFF"/>
                <w:sz w:val="4"/>
                <w:szCs w:val="4"/>
              </w:rPr>
              <w:t xml:space="preserve"> buxhetin 2027–2030</w:t>
            </w:r>
          </w:p>
        </w:tc>
        <w:tc>
          <w:tcPr>
            <w:tcW w:w="611" w:type="pct"/>
            <w:tcBorders>
              <w:top w:val="nil"/>
              <w:left w:val="nil"/>
              <w:bottom w:val="single" w:sz="8" w:space="0" w:color="4472C4"/>
              <w:right w:val="single" w:sz="8" w:space="0" w:color="auto"/>
            </w:tcBorders>
            <w:shd w:val="clear" w:color="000000" w:fill="4472C4"/>
            <w:vAlign w:val="center"/>
            <w:hideMark/>
          </w:tcPr>
          <w:p w14:paraId="737F5863" w14:textId="77777777" w:rsidR="00FC6EBE" w:rsidRPr="00B457F5" w:rsidRDefault="00FC6EBE" w:rsidP="00FC6EBE">
            <w:pPr>
              <w:spacing w:before="0" w:after="0"/>
              <w:jc w:val="left"/>
              <w:rPr>
                <w:rFonts w:ascii="Garamond" w:eastAsia="Times New Roman" w:hAnsi="Garamond" w:cs="Calibri"/>
                <w:color w:val="000000"/>
                <w:sz w:val="4"/>
                <w:szCs w:val="4"/>
              </w:rPr>
            </w:pPr>
            <w:r w:rsidRPr="00B457F5">
              <w:rPr>
                <w:rFonts w:ascii="Garamond" w:eastAsia="Times New Roman" w:hAnsi="Garamond" w:cs="Calibri"/>
                <w:color w:val="000000"/>
                <w:sz w:val="4"/>
                <w:szCs w:val="4"/>
              </w:rPr>
              <w:t> </w:t>
            </w:r>
          </w:p>
        </w:tc>
      </w:tr>
      <w:tr w:rsidR="00FC6EBE" w:rsidRPr="00B457F5" w14:paraId="66F8F8EA" w14:textId="77777777" w:rsidTr="00FC6EBE">
        <w:trPr>
          <w:trHeight w:val="20"/>
        </w:trPr>
        <w:tc>
          <w:tcPr>
            <w:tcW w:w="2045" w:type="pct"/>
            <w:vMerge w:val="restart"/>
            <w:tcBorders>
              <w:top w:val="single" w:sz="4" w:space="0" w:color="auto"/>
              <w:left w:val="single" w:sz="4" w:space="0" w:color="auto"/>
              <w:bottom w:val="single" w:sz="4" w:space="0" w:color="auto"/>
              <w:right w:val="single" w:sz="4" w:space="0" w:color="auto"/>
            </w:tcBorders>
            <w:shd w:val="clear" w:color="000000" w:fill="D9E2F3"/>
            <w:vAlign w:val="center"/>
            <w:hideMark/>
          </w:tcPr>
          <w:p w14:paraId="71AB9092" w14:textId="47F72459" w:rsidR="00FC6EBE" w:rsidRPr="00B457F5" w:rsidRDefault="00FC6EBE" w:rsidP="00FC6EBE">
            <w:pPr>
              <w:spacing w:before="0" w:after="0"/>
              <w:jc w:val="left"/>
              <w:rPr>
                <w:rFonts w:ascii="Garamond" w:eastAsia="Times New Roman" w:hAnsi="Garamond" w:cs="Arial"/>
                <w:color w:val="000000"/>
                <w:sz w:val="4"/>
                <w:szCs w:val="4"/>
              </w:rPr>
            </w:pPr>
            <w:r w:rsidRPr="00B457F5">
              <w:rPr>
                <w:rFonts w:ascii="Garamond" w:eastAsia="Times New Roman" w:hAnsi="Garamond" w:cs="Arial"/>
                <w:color w:val="000000"/>
                <w:sz w:val="4"/>
                <w:szCs w:val="4"/>
              </w:rPr>
              <w:t xml:space="preserve">Qëllimi i </w:t>
            </w:r>
            <w:r w:rsidR="0028334E" w:rsidRPr="00B457F5">
              <w:rPr>
                <w:rFonts w:ascii="Garamond" w:eastAsia="Times New Roman" w:hAnsi="Garamond" w:cs="Arial"/>
                <w:color w:val="000000"/>
                <w:sz w:val="4"/>
                <w:szCs w:val="4"/>
              </w:rPr>
              <w:t>p</w:t>
            </w:r>
            <w:r w:rsidRPr="00B457F5">
              <w:rPr>
                <w:rFonts w:ascii="Garamond" w:eastAsia="Times New Roman" w:hAnsi="Garamond" w:cs="Arial"/>
                <w:color w:val="000000"/>
                <w:sz w:val="4"/>
                <w:szCs w:val="4"/>
              </w:rPr>
              <w:t>olitikës 1:</w:t>
            </w:r>
            <w:r w:rsidR="0006016F" w:rsidRPr="00B457F5">
              <w:rPr>
                <w:rFonts w:ascii="Garamond" w:eastAsia="Times New Roman" w:hAnsi="Garamond" w:cs="Arial"/>
                <w:color w:val="000000"/>
                <w:sz w:val="4"/>
                <w:szCs w:val="4"/>
              </w:rPr>
              <w:t xml:space="preserve"> </w:t>
            </w:r>
            <w:r w:rsidRPr="00B457F5">
              <w:rPr>
                <w:rFonts w:ascii="Garamond" w:eastAsia="Times New Roman" w:hAnsi="Garamond" w:cs="Arial"/>
                <w:color w:val="000000"/>
                <w:sz w:val="4"/>
                <w:szCs w:val="4"/>
              </w:rPr>
              <w:t>Garantimi i qeverisjes strategjike të migracionit në Shqipëri</w:t>
            </w:r>
          </w:p>
        </w:tc>
        <w:tc>
          <w:tcPr>
            <w:tcW w:w="494" w:type="pct"/>
            <w:tcBorders>
              <w:top w:val="single" w:sz="4" w:space="0" w:color="auto"/>
              <w:left w:val="nil"/>
              <w:bottom w:val="single" w:sz="4" w:space="0" w:color="auto"/>
              <w:right w:val="single" w:sz="4" w:space="0" w:color="auto"/>
            </w:tcBorders>
            <w:shd w:val="clear" w:color="000000" w:fill="D9E2F3"/>
            <w:vAlign w:val="center"/>
            <w:hideMark/>
          </w:tcPr>
          <w:p w14:paraId="5DD62C25" w14:textId="7EF36B7E" w:rsidR="00FC6EBE" w:rsidRPr="00B457F5" w:rsidRDefault="00FC6EBE" w:rsidP="00FC6EBE">
            <w:pPr>
              <w:spacing w:before="0" w:after="0"/>
              <w:jc w:val="center"/>
              <w:rPr>
                <w:rFonts w:ascii="Garamond" w:eastAsia="Times New Roman" w:hAnsi="Garamond" w:cs="Arial"/>
                <w:color w:val="000000"/>
                <w:sz w:val="4"/>
                <w:szCs w:val="4"/>
              </w:rPr>
            </w:pPr>
            <w:r w:rsidRPr="00B457F5">
              <w:rPr>
                <w:rFonts w:ascii="Garamond" w:eastAsia="Times New Roman" w:hAnsi="Garamond" w:cs="Arial"/>
                <w:color w:val="000000"/>
                <w:sz w:val="4"/>
                <w:szCs w:val="4"/>
              </w:rPr>
              <w:t>Kor</w:t>
            </w:r>
            <w:r w:rsidR="0028334E" w:rsidRPr="00B457F5">
              <w:rPr>
                <w:rFonts w:ascii="Garamond" w:eastAsia="Times New Roman" w:hAnsi="Garamond" w:cs="Arial"/>
                <w:color w:val="000000"/>
                <w:sz w:val="4"/>
                <w:szCs w:val="4"/>
              </w:rPr>
              <w:t>r</w:t>
            </w:r>
            <w:r w:rsidRPr="00B457F5">
              <w:rPr>
                <w:rFonts w:ascii="Garamond" w:eastAsia="Times New Roman" w:hAnsi="Garamond" w:cs="Arial"/>
                <w:color w:val="000000"/>
                <w:sz w:val="4"/>
                <w:szCs w:val="4"/>
              </w:rPr>
              <w:t>ente</w:t>
            </w:r>
          </w:p>
        </w:tc>
        <w:tc>
          <w:tcPr>
            <w:tcW w:w="556" w:type="pct"/>
            <w:tcBorders>
              <w:top w:val="single" w:sz="4" w:space="0" w:color="auto"/>
              <w:left w:val="nil"/>
              <w:bottom w:val="single" w:sz="4" w:space="0" w:color="auto"/>
              <w:right w:val="single" w:sz="4" w:space="0" w:color="auto"/>
            </w:tcBorders>
            <w:shd w:val="clear" w:color="000000" w:fill="D9E2F3"/>
            <w:vAlign w:val="center"/>
            <w:hideMark/>
          </w:tcPr>
          <w:p w14:paraId="7C687210" w14:textId="77777777" w:rsidR="00FC6EBE" w:rsidRPr="00B457F5" w:rsidRDefault="00FC6EBE" w:rsidP="00FC6EBE">
            <w:pPr>
              <w:spacing w:before="0" w:after="0"/>
              <w:jc w:val="center"/>
              <w:rPr>
                <w:rFonts w:ascii="Garamond" w:eastAsia="Times New Roman" w:hAnsi="Garamond" w:cs="Arial"/>
                <w:color w:val="000000"/>
                <w:sz w:val="4"/>
                <w:szCs w:val="4"/>
              </w:rPr>
            </w:pPr>
            <w:r w:rsidRPr="00B457F5">
              <w:rPr>
                <w:rFonts w:ascii="Garamond" w:eastAsia="Times New Roman" w:hAnsi="Garamond" w:cs="Arial"/>
                <w:color w:val="000000"/>
                <w:sz w:val="4"/>
                <w:szCs w:val="4"/>
              </w:rPr>
              <w:t>327,557,228</w:t>
            </w:r>
          </w:p>
        </w:tc>
        <w:tc>
          <w:tcPr>
            <w:tcW w:w="666" w:type="pct"/>
            <w:tcBorders>
              <w:top w:val="single" w:sz="4" w:space="0" w:color="auto"/>
              <w:left w:val="nil"/>
              <w:bottom w:val="single" w:sz="4" w:space="0" w:color="auto"/>
              <w:right w:val="single" w:sz="4" w:space="0" w:color="auto"/>
            </w:tcBorders>
            <w:shd w:val="clear" w:color="000000" w:fill="D9E2F3"/>
            <w:vAlign w:val="center"/>
            <w:hideMark/>
          </w:tcPr>
          <w:p w14:paraId="4DECBBDC" w14:textId="77777777" w:rsidR="00FC6EBE" w:rsidRPr="00B457F5" w:rsidRDefault="00FC6EBE" w:rsidP="00FC6EBE">
            <w:pPr>
              <w:spacing w:before="0" w:after="0"/>
              <w:jc w:val="center"/>
              <w:rPr>
                <w:rFonts w:ascii="Garamond" w:eastAsia="Times New Roman" w:hAnsi="Garamond" w:cs="Arial"/>
                <w:color w:val="000000"/>
                <w:sz w:val="4"/>
                <w:szCs w:val="4"/>
              </w:rPr>
            </w:pPr>
            <w:r w:rsidRPr="00B457F5">
              <w:rPr>
                <w:rFonts w:ascii="Garamond" w:eastAsia="Times New Roman" w:hAnsi="Garamond" w:cs="Arial"/>
                <w:color w:val="000000"/>
                <w:sz w:val="4"/>
                <w:szCs w:val="4"/>
              </w:rPr>
              <w:t>287,707,628</w:t>
            </w:r>
          </w:p>
        </w:tc>
        <w:tc>
          <w:tcPr>
            <w:tcW w:w="627" w:type="pct"/>
            <w:tcBorders>
              <w:top w:val="single" w:sz="4" w:space="0" w:color="auto"/>
              <w:left w:val="nil"/>
              <w:bottom w:val="single" w:sz="4" w:space="0" w:color="auto"/>
              <w:right w:val="single" w:sz="4" w:space="0" w:color="auto"/>
            </w:tcBorders>
            <w:shd w:val="clear" w:color="000000" w:fill="D9E2F3"/>
            <w:vAlign w:val="center"/>
            <w:hideMark/>
          </w:tcPr>
          <w:p w14:paraId="0DEFBE11" w14:textId="77777777" w:rsidR="00FC6EBE" w:rsidRPr="00B457F5" w:rsidRDefault="00FC6EBE" w:rsidP="00FC6EBE">
            <w:pPr>
              <w:spacing w:before="0" w:after="0"/>
              <w:jc w:val="center"/>
              <w:rPr>
                <w:rFonts w:ascii="Garamond" w:eastAsia="Times New Roman" w:hAnsi="Garamond" w:cs="Arial"/>
                <w:color w:val="000000"/>
                <w:sz w:val="4"/>
                <w:szCs w:val="4"/>
              </w:rPr>
            </w:pPr>
            <w:r w:rsidRPr="00B457F5">
              <w:rPr>
                <w:rFonts w:ascii="Garamond" w:eastAsia="Times New Roman" w:hAnsi="Garamond" w:cs="Arial"/>
                <w:color w:val="000000"/>
                <w:sz w:val="4"/>
                <w:szCs w:val="4"/>
              </w:rPr>
              <w:t>0</w:t>
            </w:r>
          </w:p>
        </w:tc>
        <w:tc>
          <w:tcPr>
            <w:tcW w:w="611" w:type="pct"/>
            <w:vMerge w:val="restart"/>
            <w:tcBorders>
              <w:top w:val="nil"/>
              <w:left w:val="nil"/>
              <w:bottom w:val="single" w:sz="8" w:space="0" w:color="4472C4"/>
              <w:right w:val="single" w:sz="8" w:space="0" w:color="auto"/>
            </w:tcBorders>
            <w:shd w:val="clear" w:color="000000" w:fill="D9E2F3"/>
            <w:vAlign w:val="center"/>
            <w:hideMark/>
          </w:tcPr>
          <w:p w14:paraId="415B4F2B" w14:textId="77777777" w:rsidR="00FC6EBE" w:rsidRPr="00B457F5" w:rsidRDefault="00FC6EBE" w:rsidP="00FC6EBE">
            <w:pPr>
              <w:spacing w:before="0" w:after="0"/>
              <w:jc w:val="center"/>
              <w:rPr>
                <w:rFonts w:ascii="Garamond" w:eastAsia="Times New Roman" w:hAnsi="Garamond" w:cs="Arial"/>
                <w:b/>
                <w:bCs/>
                <w:i/>
                <w:iCs/>
                <w:color w:val="000000"/>
                <w:sz w:val="4"/>
                <w:szCs w:val="4"/>
              </w:rPr>
            </w:pPr>
            <w:r w:rsidRPr="00B457F5">
              <w:rPr>
                <w:rFonts w:ascii="Garamond" w:eastAsia="Times New Roman" w:hAnsi="Garamond" w:cs="Arial"/>
                <w:b/>
                <w:bCs/>
                <w:i/>
                <w:iCs/>
                <w:color w:val="000000"/>
                <w:sz w:val="4"/>
                <w:szCs w:val="4"/>
              </w:rPr>
              <w:t xml:space="preserve">166,349,600 </w:t>
            </w:r>
          </w:p>
        </w:tc>
      </w:tr>
      <w:tr w:rsidR="00FC6EBE" w:rsidRPr="00B457F5" w14:paraId="17FC5226" w14:textId="77777777" w:rsidTr="00FC6EBE">
        <w:trPr>
          <w:trHeight w:val="20"/>
        </w:trPr>
        <w:tc>
          <w:tcPr>
            <w:tcW w:w="2045" w:type="pct"/>
            <w:vMerge/>
            <w:tcBorders>
              <w:top w:val="single" w:sz="4" w:space="0" w:color="auto"/>
              <w:left w:val="single" w:sz="4" w:space="0" w:color="auto"/>
              <w:bottom w:val="single" w:sz="4" w:space="0" w:color="auto"/>
              <w:right w:val="single" w:sz="4" w:space="0" w:color="auto"/>
            </w:tcBorders>
            <w:vAlign w:val="center"/>
            <w:hideMark/>
          </w:tcPr>
          <w:p w14:paraId="7872101B" w14:textId="77777777" w:rsidR="00FC6EBE" w:rsidRPr="00B457F5" w:rsidRDefault="00FC6EBE" w:rsidP="00FC6EBE">
            <w:pPr>
              <w:spacing w:before="0" w:after="0"/>
              <w:jc w:val="left"/>
              <w:rPr>
                <w:rFonts w:ascii="Garamond" w:eastAsia="Times New Roman" w:hAnsi="Garamond" w:cs="Arial"/>
                <w:color w:val="000000"/>
                <w:sz w:val="4"/>
                <w:szCs w:val="4"/>
              </w:rPr>
            </w:pPr>
          </w:p>
        </w:tc>
        <w:tc>
          <w:tcPr>
            <w:tcW w:w="494" w:type="pct"/>
            <w:tcBorders>
              <w:top w:val="nil"/>
              <w:left w:val="nil"/>
              <w:bottom w:val="single" w:sz="4" w:space="0" w:color="auto"/>
              <w:right w:val="single" w:sz="4" w:space="0" w:color="auto"/>
            </w:tcBorders>
            <w:shd w:val="clear" w:color="auto" w:fill="auto"/>
            <w:vAlign w:val="center"/>
            <w:hideMark/>
          </w:tcPr>
          <w:p w14:paraId="4AE0D99D" w14:textId="77777777" w:rsidR="00FC6EBE" w:rsidRPr="00B457F5" w:rsidRDefault="00FC6EBE" w:rsidP="00FC6EBE">
            <w:pPr>
              <w:spacing w:before="0" w:after="0"/>
              <w:jc w:val="center"/>
              <w:rPr>
                <w:rFonts w:ascii="Garamond" w:eastAsia="Times New Roman" w:hAnsi="Garamond" w:cs="Arial"/>
                <w:color w:val="000000"/>
                <w:sz w:val="4"/>
                <w:szCs w:val="4"/>
              </w:rPr>
            </w:pPr>
            <w:r w:rsidRPr="00B457F5">
              <w:rPr>
                <w:rFonts w:ascii="Garamond" w:eastAsia="Times New Roman" w:hAnsi="Garamond" w:cs="Arial"/>
                <w:color w:val="000000"/>
                <w:sz w:val="4"/>
                <w:szCs w:val="4"/>
              </w:rPr>
              <w:t>Kapitale</w:t>
            </w:r>
          </w:p>
        </w:tc>
        <w:tc>
          <w:tcPr>
            <w:tcW w:w="556" w:type="pct"/>
            <w:tcBorders>
              <w:top w:val="nil"/>
              <w:left w:val="nil"/>
              <w:bottom w:val="single" w:sz="4" w:space="0" w:color="auto"/>
              <w:right w:val="single" w:sz="4" w:space="0" w:color="auto"/>
            </w:tcBorders>
            <w:shd w:val="clear" w:color="auto" w:fill="auto"/>
            <w:vAlign w:val="center"/>
            <w:hideMark/>
          </w:tcPr>
          <w:p w14:paraId="2F0934FA" w14:textId="77777777" w:rsidR="00FC6EBE" w:rsidRPr="00B457F5" w:rsidRDefault="00FC6EBE" w:rsidP="00FC6EBE">
            <w:pPr>
              <w:spacing w:before="0" w:after="0"/>
              <w:jc w:val="center"/>
              <w:rPr>
                <w:rFonts w:ascii="Garamond" w:eastAsia="Times New Roman" w:hAnsi="Garamond" w:cs="Arial"/>
                <w:color w:val="000000"/>
                <w:sz w:val="4"/>
                <w:szCs w:val="4"/>
              </w:rPr>
            </w:pPr>
            <w:r w:rsidRPr="00B457F5">
              <w:rPr>
                <w:rFonts w:ascii="Garamond" w:eastAsia="Times New Roman" w:hAnsi="Garamond" w:cs="Arial"/>
                <w:color w:val="000000"/>
                <w:sz w:val="4"/>
                <w:szCs w:val="4"/>
              </w:rPr>
              <w:t>138,000,000</w:t>
            </w:r>
          </w:p>
        </w:tc>
        <w:tc>
          <w:tcPr>
            <w:tcW w:w="666" w:type="pct"/>
            <w:tcBorders>
              <w:top w:val="nil"/>
              <w:left w:val="nil"/>
              <w:bottom w:val="single" w:sz="4" w:space="0" w:color="auto"/>
              <w:right w:val="single" w:sz="4" w:space="0" w:color="auto"/>
            </w:tcBorders>
            <w:shd w:val="clear" w:color="auto" w:fill="auto"/>
            <w:vAlign w:val="center"/>
            <w:hideMark/>
          </w:tcPr>
          <w:p w14:paraId="0F42259A" w14:textId="77777777" w:rsidR="00FC6EBE" w:rsidRPr="00B457F5" w:rsidRDefault="00FC6EBE" w:rsidP="00FC6EBE">
            <w:pPr>
              <w:spacing w:before="0" w:after="0"/>
              <w:jc w:val="center"/>
              <w:rPr>
                <w:rFonts w:ascii="Garamond" w:eastAsia="Times New Roman" w:hAnsi="Garamond" w:cs="Arial"/>
                <w:color w:val="000000"/>
                <w:sz w:val="4"/>
                <w:szCs w:val="4"/>
              </w:rPr>
            </w:pPr>
            <w:r w:rsidRPr="00B457F5">
              <w:rPr>
                <w:rFonts w:ascii="Garamond" w:eastAsia="Times New Roman" w:hAnsi="Garamond" w:cs="Arial"/>
                <w:color w:val="000000"/>
                <w:sz w:val="4"/>
                <w:szCs w:val="4"/>
              </w:rPr>
              <w:t>11,500,000</w:t>
            </w:r>
          </w:p>
        </w:tc>
        <w:tc>
          <w:tcPr>
            <w:tcW w:w="627" w:type="pct"/>
            <w:tcBorders>
              <w:top w:val="nil"/>
              <w:left w:val="nil"/>
              <w:bottom w:val="single" w:sz="4" w:space="0" w:color="auto"/>
              <w:right w:val="single" w:sz="4" w:space="0" w:color="auto"/>
            </w:tcBorders>
            <w:shd w:val="clear" w:color="auto" w:fill="auto"/>
            <w:vAlign w:val="center"/>
            <w:hideMark/>
          </w:tcPr>
          <w:p w14:paraId="77A9430F" w14:textId="77777777" w:rsidR="00FC6EBE" w:rsidRPr="00B457F5" w:rsidRDefault="00FC6EBE" w:rsidP="00FC6EBE">
            <w:pPr>
              <w:spacing w:before="0" w:after="0"/>
              <w:jc w:val="center"/>
              <w:rPr>
                <w:rFonts w:ascii="Garamond" w:eastAsia="Times New Roman" w:hAnsi="Garamond" w:cs="Arial"/>
                <w:color w:val="000000"/>
                <w:sz w:val="4"/>
                <w:szCs w:val="4"/>
              </w:rPr>
            </w:pPr>
            <w:r w:rsidRPr="00B457F5">
              <w:rPr>
                <w:rFonts w:ascii="Garamond" w:eastAsia="Times New Roman" w:hAnsi="Garamond" w:cs="Arial"/>
                <w:color w:val="000000"/>
                <w:sz w:val="4"/>
                <w:szCs w:val="4"/>
              </w:rPr>
              <w:t>0</w:t>
            </w:r>
          </w:p>
        </w:tc>
        <w:tc>
          <w:tcPr>
            <w:tcW w:w="611" w:type="pct"/>
            <w:vMerge/>
            <w:tcBorders>
              <w:top w:val="nil"/>
              <w:left w:val="nil"/>
              <w:bottom w:val="single" w:sz="8" w:space="0" w:color="4472C4"/>
              <w:right w:val="single" w:sz="8" w:space="0" w:color="auto"/>
            </w:tcBorders>
            <w:vAlign w:val="center"/>
            <w:hideMark/>
          </w:tcPr>
          <w:p w14:paraId="337E868B" w14:textId="77777777" w:rsidR="00FC6EBE" w:rsidRPr="00B457F5" w:rsidRDefault="00FC6EBE" w:rsidP="00FC6EBE">
            <w:pPr>
              <w:spacing w:before="0" w:after="0"/>
              <w:jc w:val="left"/>
              <w:rPr>
                <w:rFonts w:ascii="Garamond" w:eastAsia="Times New Roman" w:hAnsi="Garamond" w:cs="Arial"/>
                <w:b/>
                <w:bCs/>
                <w:i/>
                <w:iCs/>
                <w:color w:val="000000"/>
                <w:sz w:val="4"/>
                <w:szCs w:val="4"/>
              </w:rPr>
            </w:pPr>
          </w:p>
        </w:tc>
      </w:tr>
      <w:tr w:rsidR="00FC6EBE" w:rsidRPr="00B457F5" w14:paraId="42D42CA9" w14:textId="77777777" w:rsidTr="00FC6EBE">
        <w:trPr>
          <w:trHeight w:val="20"/>
        </w:trPr>
        <w:tc>
          <w:tcPr>
            <w:tcW w:w="2045" w:type="pct"/>
            <w:vMerge w:val="restart"/>
            <w:tcBorders>
              <w:top w:val="nil"/>
              <w:left w:val="single" w:sz="4" w:space="0" w:color="auto"/>
              <w:bottom w:val="single" w:sz="4" w:space="0" w:color="auto"/>
              <w:right w:val="single" w:sz="4" w:space="0" w:color="auto"/>
            </w:tcBorders>
            <w:shd w:val="clear" w:color="000000" w:fill="D9E2F3"/>
            <w:vAlign w:val="center"/>
            <w:hideMark/>
          </w:tcPr>
          <w:p w14:paraId="45E83281" w14:textId="39DB92CA" w:rsidR="00FC6EBE" w:rsidRPr="00B457F5" w:rsidRDefault="00FC6EBE" w:rsidP="00FC6EBE">
            <w:pPr>
              <w:spacing w:before="0" w:after="0"/>
              <w:jc w:val="left"/>
              <w:rPr>
                <w:rFonts w:ascii="Garamond" w:eastAsia="Times New Roman" w:hAnsi="Garamond" w:cs="Arial"/>
                <w:color w:val="000000"/>
                <w:sz w:val="4"/>
                <w:szCs w:val="4"/>
              </w:rPr>
            </w:pPr>
            <w:r w:rsidRPr="00B457F5">
              <w:rPr>
                <w:rFonts w:ascii="Garamond" w:eastAsia="Times New Roman" w:hAnsi="Garamond" w:cs="Arial"/>
                <w:color w:val="000000"/>
                <w:sz w:val="4"/>
                <w:szCs w:val="4"/>
              </w:rPr>
              <w:t xml:space="preserve">Qëllimi i </w:t>
            </w:r>
            <w:r w:rsidR="0028334E" w:rsidRPr="00B457F5">
              <w:rPr>
                <w:rFonts w:ascii="Garamond" w:eastAsia="Times New Roman" w:hAnsi="Garamond" w:cs="Arial"/>
                <w:color w:val="000000"/>
                <w:sz w:val="4"/>
                <w:szCs w:val="4"/>
              </w:rPr>
              <w:t>p</w:t>
            </w:r>
            <w:r w:rsidRPr="00B457F5">
              <w:rPr>
                <w:rFonts w:ascii="Garamond" w:eastAsia="Times New Roman" w:hAnsi="Garamond" w:cs="Arial"/>
                <w:color w:val="000000"/>
                <w:sz w:val="4"/>
                <w:szCs w:val="4"/>
              </w:rPr>
              <w:t>olitikës 2: Zhvillimi i politikave të efektshme për migracionin për motive punësimi</w:t>
            </w:r>
            <w:r w:rsidR="00B457F5" w:rsidRPr="00B457F5">
              <w:rPr>
                <w:rFonts w:ascii="Garamond" w:eastAsia="Times New Roman" w:hAnsi="Garamond" w:cs="Arial"/>
                <w:color w:val="000000"/>
                <w:sz w:val="4"/>
                <w:szCs w:val="4"/>
              </w:rPr>
              <w:t>,</w:t>
            </w:r>
            <w:r w:rsidRPr="00B457F5">
              <w:rPr>
                <w:rFonts w:ascii="Garamond" w:eastAsia="Times New Roman" w:hAnsi="Garamond" w:cs="Arial"/>
                <w:color w:val="000000"/>
                <w:sz w:val="4"/>
                <w:szCs w:val="4"/>
              </w:rPr>
              <w:t xml:space="preserve"> duke rritur ndikimin pozitiv të migracionit te zhvillimi socio-ekonomik kombëtar/lokal</w:t>
            </w:r>
          </w:p>
        </w:tc>
        <w:tc>
          <w:tcPr>
            <w:tcW w:w="494" w:type="pct"/>
            <w:tcBorders>
              <w:top w:val="nil"/>
              <w:left w:val="nil"/>
              <w:bottom w:val="single" w:sz="4" w:space="0" w:color="auto"/>
              <w:right w:val="single" w:sz="4" w:space="0" w:color="auto"/>
            </w:tcBorders>
            <w:shd w:val="clear" w:color="000000" w:fill="D9E2F3"/>
            <w:vAlign w:val="center"/>
            <w:hideMark/>
          </w:tcPr>
          <w:p w14:paraId="77E64944" w14:textId="60D60301" w:rsidR="00FC6EBE" w:rsidRPr="00B457F5" w:rsidRDefault="00FC6EBE" w:rsidP="00FC6EBE">
            <w:pPr>
              <w:spacing w:before="0" w:after="0"/>
              <w:jc w:val="center"/>
              <w:rPr>
                <w:rFonts w:ascii="Garamond" w:eastAsia="Times New Roman" w:hAnsi="Garamond" w:cs="Arial"/>
                <w:color w:val="000000"/>
                <w:sz w:val="4"/>
                <w:szCs w:val="4"/>
              </w:rPr>
            </w:pPr>
            <w:r w:rsidRPr="00B457F5">
              <w:rPr>
                <w:rFonts w:ascii="Garamond" w:eastAsia="Times New Roman" w:hAnsi="Garamond" w:cs="Arial"/>
                <w:color w:val="000000"/>
                <w:sz w:val="4"/>
                <w:szCs w:val="4"/>
              </w:rPr>
              <w:t>Kor</w:t>
            </w:r>
            <w:r w:rsidR="0028334E" w:rsidRPr="00B457F5">
              <w:rPr>
                <w:rFonts w:ascii="Garamond" w:eastAsia="Times New Roman" w:hAnsi="Garamond" w:cs="Arial"/>
                <w:color w:val="000000"/>
                <w:sz w:val="4"/>
                <w:szCs w:val="4"/>
              </w:rPr>
              <w:t>r</w:t>
            </w:r>
            <w:r w:rsidRPr="00B457F5">
              <w:rPr>
                <w:rFonts w:ascii="Garamond" w:eastAsia="Times New Roman" w:hAnsi="Garamond" w:cs="Arial"/>
                <w:color w:val="000000"/>
                <w:sz w:val="4"/>
                <w:szCs w:val="4"/>
              </w:rPr>
              <w:t>ente</w:t>
            </w:r>
          </w:p>
        </w:tc>
        <w:tc>
          <w:tcPr>
            <w:tcW w:w="556" w:type="pct"/>
            <w:tcBorders>
              <w:top w:val="nil"/>
              <w:left w:val="nil"/>
              <w:bottom w:val="single" w:sz="4" w:space="0" w:color="auto"/>
              <w:right w:val="single" w:sz="4" w:space="0" w:color="auto"/>
            </w:tcBorders>
            <w:shd w:val="clear" w:color="000000" w:fill="D9E2F3"/>
            <w:vAlign w:val="center"/>
            <w:hideMark/>
          </w:tcPr>
          <w:p w14:paraId="58959DB4" w14:textId="77777777" w:rsidR="00FC6EBE" w:rsidRPr="00B457F5" w:rsidRDefault="00FC6EBE" w:rsidP="00FC6EBE">
            <w:pPr>
              <w:spacing w:before="0" w:after="0"/>
              <w:jc w:val="center"/>
              <w:rPr>
                <w:rFonts w:ascii="Garamond" w:eastAsia="Times New Roman" w:hAnsi="Garamond" w:cs="Arial"/>
                <w:color w:val="000000"/>
                <w:sz w:val="4"/>
                <w:szCs w:val="4"/>
              </w:rPr>
            </w:pPr>
            <w:r w:rsidRPr="00B457F5">
              <w:rPr>
                <w:rFonts w:ascii="Garamond" w:eastAsia="Times New Roman" w:hAnsi="Garamond" w:cs="Arial"/>
                <w:color w:val="000000"/>
                <w:sz w:val="4"/>
                <w:szCs w:val="4"/>
              </w:rPr>
              <w:t>275,253,035</w:t>
            </w:r>
          </w:p>
        </w:tc>
        <w:tc>
          <w:tcPr>
            <w:tcW w:w="666" w:type="pct"/>
            <w:tcBorders>
              <w:top w:val="nil"/>
              <w:left w:val="nil"/>
              <w:bottom w:val="single" w:sz="4" w:space="0" w:color="auto"/>
              <w:right w:val="single" w:sz="4" w:space="0" w:color="auto"/>
            </w:tcBorders>
            <w:shd w:val="clear" w:color="000000" w:fill="D9E2F3"/>
            <w:vAlign w:val="center"/>
            <w:hideMark/>
          </w:tcPr>
          <w:p w14:paraId="7ECFE0B9" w14:textId="77777777" w:rsidR="00FC6EBE" w:rsidRPr="00B457F5" w:rsidRDefault="00FC6EBE" w:rsidP="00FC6EBE">
            <w:pPr>
              <w:spacing w:before="0" w:after="0"/>
              <w:jc w:val="center"/>
              <w:rPr>
                <w:rFonts w:ascii="Garamond" w:eastAsia="Times New Roman" w:hAnsi="Garamond" w:cs="Arial"/>
                <w:color w:val="000000"/>
                <w:sz w:val="4"/>
                <w:szCs w:val="4"/>
              </w:rPr>
            </w:pPr>
            <w:r w:rsidRPr="00B457F5">
              <w:rPr>
                <w:rFonts w:ascii="Garamond" w:eastAsia="Times New Roman" w:hAnsi="Garamond" w:cs="Arial"/>
                <w:color w:val="000000"/>
                <w:sz w:val="4"/>
                <w:szCs w:val="4"/>
              </w:rPr>
              <w:t>258,604,982</w:t>
            </w:r>
          </w:p>
        </w:tc>
        <w:tc>
          <w:tcPr>
            <w:tcW w:w="627" w:type="pct"/>
            <w:tcBorders>
              <w:top w:val="nil"/>
              <w:left w:val="nil"/>
              <w:bottom w:val="single" w:sz="4" w:space="0" w:color="auto"/>
              <w:right w:val="single" w:sz="4" w:space="0" w:color="auto"/>
            </w:tcBorders>
            <w:shd w:val="clear" w:color="000000" w:fill="D9E2F3"/>
            <w:vAlign w:val="center"/>
            <w:hideMark/>
          </w:tcPr>
          <w:p w14:paraId="07ED0D5A" w14:textId="77777777" w:rsidR="00FC6EBE" w:rsidRPr="00B457F5" w:rsidRDefault="00FC6EBE" w:rsidP="00FC6EBE">
            <w:pPr>
              <w:spacing w:before="0" w:after="0"/>
              <w:jc w:val="center"/>
              <w:rPr>
                <w:rFonts w:ascii="Garamond" w:eastAsia="Times New Roman" w:hAnsi="Garamond" w:cs="Arial"/>
                <w:color w:val="000000"/>
                <w:sz w:val="4"/>
                <w:szCs w:val="4"/>
              </w:rPr>
            </w:pPr>
            <w:r w:rsidRPr="00B457F5">
              <w:rPr>
                <w:rFonts w:ascii="Garamond" w:eastAsia="Times New Roman" w:hAnsi="Garamond" w:cs="Arial"/>
                <w:color w:val="000000"/>
                <w:sz w:val="4"/>
                <w:szCs w:val="4"/>
              </w:rPr>
              <w:t>0</w:t>
            </w:r>
          </w:p>
        </w:tc>
        <w:tc>
          <w:tcPr>
            <w:tcW w:w="611" w:type="pct"/>
            <w:vMerge w:val="restart"/>
            <w:tcBorders>
              <w:top w:val="nil"/>
              <w:left w:val="single" w:sz="4" w:space="0" w:color="auto"/>
              <w:bottom w:val="single" w:sz="8" w:space="0" w:color="4472C4"/>
              <w:right w:val="single" w:sz="8" w:space="0" w:color="auto"/>
            </w:tcBorders>
            <w:shd w:val="clear" w:color="000000" w:fill="D9E2F3"/>
            <w:vAlign w:val="center"/>
            <w:hideMark/>
          </w:tcPr>
          <w:p w14:paraId="2C25D7CA" w14:textId="77777777" w:rsidR="00FC6EBE" w:rsidRPr="00B457F5" w:rsidRDefault="00FC6EBE" w:rsidP="00FC6EBE">
            <w:pPr>
              <w:spacing w:before="0" w:after="0"/>
              <w:jc w:val="center"/>
              <w:rPr>
                <w:rFonts w:ascii="Garamond" w:eastAsia="Times New Roman" w:hAnsi="Garamond" w:cs="Arial"/>
                <w:b/>
                <w:bCs/>
                <w:i/>
                <w:iCs/>
                <w:color w:val="000000"/>
                <w:sz w:val="4"/>
                <w:szCs w:val="4"/>
              </w:rPr>
            </w:pPr>
            <w:r w:rsidRPr="00B457F5">
              <w:rPr>
                <w:rFonts w:ascii="Garamond" w:eastAsia="Times New Roman" w:hAnsi="Garamond" w:cs="Arial"/>
                <w:b/>
                <w:bCs/>
                <w:i/>
                <w:iCs/>
                <w:color w:val="000000"/>
                <w:sz w:val="4"/>
                <w:szCs w:val="4"/>
              </w:rPr>
              <w:t xml:space="preserve">19,523,053 </w:t>
            </w:r>
          </w:p>
        </w:tc>
      </w:tr>
      <w:tr w:rsidR="00FC6EBE" w:rsidRPr="00B457F5" w14:paraId="7EBB47FF" w14:textId="77777777" w:rsidTr="00FC6EBE">
        <w:trPr>
          <w:trHeight w:val="20"/>
        </w:trPr>
        <w:tc>
          <w:tcPr>
            <w:tcW w:w="2045" w:type="pct"/>
            <w:vMerge/>
            <w:tcBorders>
              <w:top w:val="nil"/>
              <w:left w:val="single" w:sz="4" w:space="0" w:color="auto"/>
              <w:bottom w:val="single" w:sz="4" w:space="0" w:color="auto"/>
              <w:right w:val="single" w:sz="4" w:space="0" w:color="auto"/>
            </w:tcBorders>
            <w:vAlign w:val="center"/>
            <w:hideMark/>
          </w:tcPr>
          <w:p w14:paraId="60C225C9" w14:textId="77777777" w:rsidR="00FC6EBE" w:rsidRPr="00B457F5" w:rsidRDefault="00FC6EBE" w:rsidP="00FC6EBE">
            <w:pPr>
              <w:spacing w:before="0" w:after="0"/>
              <w:jc w:val="left"/>
              <w:rPr>
                <w:rFonts w:ascii="Garamond" w:eastAsia="Times New Roman" w:hAnsi="Garamond" w:cs="Arial"/>
                <w:color w:val="000000"/>
                <w:sz w:val="4"/>
                <w:szCs w:val="4"/>
              </w:rPr>
            </w:pPr>
          </w:p>
        </w:tc>
        <w:tc>
          <w:tcPr>
            <w:tcW w:w="494" w:type="pct"/>
            <w:tcBorders>
              <w:top w:val="nil"/>
              <w:left w:val="nil"/>
              <w:bottom w:val="single" w:sz="4" w:space="0" w:color="auto"/>
              <w:right w:val="single" w:sz="4" w:space="0" w:color="auto"/>
            </w:tcBorders>
            <w:shd w:val="clear" w:color="auto" w:fill="auto"/>
            <w:vAlign w:val="center"/>
            <w:hideMark/>
          </w:tcPr>
          <w:p w14:paraId="13307A6C" w14:textId="77777777" w:rsidR="00FC6EBE" w:rsidRPr="00B457F5" w:rsidRDefault="00FC6EBE" w:rsidP="00FC6EBE">
            <w:pPr>
              <w:spacing w:before="0" w:after="0"/>
              <w:jc w:val="center"/>
              <w:rPr>
                <w:rFonts w:ascii="Garamond" w:eastAsia="Times New Roman" w:hAnsi="Garamond" w:cs="Arial"/>
                <w:color w:val="000000"/>
                <w:sz w:val="4"/>
                <w:szCs w:val="4"/>
              </w:rPr>
            </w:pPr>
            <w:r w:rsidRPr="00B457F5">
              <w:rPr>
                <w:rFonts w:ascii="Garamond" w:eastAsia="Times New Roman" w:hAnsi="Garamond" w:cs="Arial"/>
                <w:color w:val="000000"/>
                <w:sz w:val="4"/>
                <w:szCs w:val="4"/>
              </w:rPr>
              <w:t>Kapitale</w:t>
            </w:r>
          </w:p>
        </w:tc>
        <w:tc>
          <w:tcPr>
            <w:tcW w:w="556" w:type="pct"/>
            <w:tcBorders>
              <w:top w:val="nil"/>
              <w:left w:val="nil"/>
              <w:bottom w:val="single" w:sz="4" w:space="0" w:color="auto"/>
              <w:right w:val="single" w:sz="4" w:space="0" w:color="auto"/>
            </w:tcBorders>
            <w:shd w:val="clear" w:color="auto" w:fill="auto"/>
            <w:vAlign w:val="center"/>
            <w:hideMark/>
          </w:tcPr>
          <w:p w14:paraId="45D53203" w14:textId="77777777" w:rsidR="00FC6EBE" w:rsidRPr="00B457F5" w:rsidRDefault="00FC6EBE" w:rsidP="00FC6EBE">
            <w:pPr>
              <w:spacing w:before="0" w:after="0"/>
              <w:jc w:val="center"/>
              <w:rPr>
                <w:rFonts w:ascii="Garamond" w:eastAsia="Times New Roman" w:hAnsi="Garamond" w:cs="Arial"/>
                <w:color w:val="000000"/>
                <w:sz w:val="4"/>
                <w:szCs w:val="4"/>
              </w:rPr>
            </w:pPr>
            <w:r w:rsidRPr="00B457F5">
              <w:rPr>
                <w:rFonts w:ascii="Garamond" w:eastAsia="Times New Roman" w:hAnsi="Garamond" w:cs="Arial"/>
                <w:color w:val="000000"/>
                <w:sz w:val="4"/>
                <w:szCs w:val="4"/>
              </w:rPr>
              <w:t>2,875,000</w:t>
            </w:r>
          </w:p>
        </w:tc>
        <w:tc>
          <w:tcPr>
            <w:tcW w:w="666" w:type="pct"/>
            <w:tcBorders>
              <w:top w:val="nil"/>
              <w:left w:val="nil"/>
              <w:bottom w:val="single" w:sz="4" w:space="0" w:color="auto"/>
              <w:right w:val="single" w:sz="4" w:space="0" w:color="auto"/>
            </w:tcBorders>
            <w:shd w:val="clear" w:color="auto" w:fill="auto"/>
            <w:vAlign w:val="center"/>
            <w:hideMark/>
          </w:tcPr>
          <w:p w14:paraId="1EEC8072" w14:textId="77777777" w:rsidR="00FC6EBE" w:rsidRPr="00B457F5" w:rsidRDefault="00FC6EBE" w:rsidP="00FC6EBE">
            <w:pPr>
              <w:spacing w:before="0" w:after="0"/>
              <w:jc w:val="center"/>
              <w:rPr>
                <w:rFonts w:ascii="Garamond" w:eastAsia="Times New Roman" w:hAnsi="Garamond" w:cs="Arial"/>
                <w:color w:val="000000"/>
                <w:sz w:val="4"/>
                <w:szCs w:val="4"/>
              </w:rPr>
            </w:pPr>
            <w:r w:rsidRPr="00B457F5">
              <w:rPr>
                <w:rFonts w:ascii="Garamond" w:eastAsia="Times New Roman" w:hAnsi="Garamond" w:cs="Arial"/>
                <w:color w:val="000000"/>
                <w:sz w:val="4"/>
                <w:szCs w:val="4"/>
              </w:rPr>
              <w:t>0</w:t>
            </w:r>
          </w:p>
        </w:tc>
        <w:tc>
          <w:tcPr>
            <w:tcW w:w="627" w:type="pct"/>
            <w:tcBorders>
              <w:top w:val="nil"/>
              <w:left w:val="nil"/>
              <w:bottom w:val="single" w:sz="4" w:space="0" w:color="auto"/>
              <w:right w:val="single" w:sz="4" w:space="0" w:color="auto"/>
            </w:tcBorders>
            <w:shd w:val="clear" w:color="auto" w:fill="auto"/>
            <w:vAlign w:val="center"/>
            <w:hideMark/>
          </w:tcPr>
          <w:p w14:paraId="720869B5" w14:textId="77777777" w:rsidR="00FC6EBE" w:rsidRPr="00B457F5" w:rsidRDefault="00FC6EBE" w:rsidP="00FC6EBE">
            <w:pPr>
              <w:spacing w:before="0" w:after="0"/>
              <w:jc w:val="center"/>
              <w:rPr>
                <w:rFonts w:ascii="Garamond" w:eastAsia="Times New Roman" w:hAnsi="Garamond" w:cs="Arial"/>
                <w:color w:val="000000"/>
                <w:sz w:val="4"/>
                <w:szCs w:val="4"/>
              </w:rPr>
            </w:pPr>
            <w:r w:rsidRPr="00B457F5">
              <w:rPr>
                <w:rFonts w:ascii="Garamond" w:eastAsia="Times New Roman" w:hAnsi="Garamond" w:cs="Arial"/>
                <w:color w:val="000000"/>
                <w:sz w:val="4"/>
                <w:szCs w:val="4"/>
              </w:rPr>
              <w:t>0</w:t>
            </w:r>
          </w:p>
        </w:tc>
        <w:tc>
          <w:tcPr>
            <w:tcW w:w="611" w:type="pct"/>
            <w:vMerge/>
            <w:tcBorders>
              <w:top w:val="nil"/>
              <w:left w:val="single" w:sz="4" w:space="0" w:color="auto"/>
              <w:bottom w:val="single" w:sz="8" w:space="0" w:color="4472C4"/>
              <w:right w:val="single" w:sz="8" w:space="0" w:color="auto"/>
            </w:tcBorders>
            <w:vAlign w:val="center"/>
            <w:hideMark/>
          </w:tcPr>
          <w:p w14:paraId="47CC2BDB" w14:textId="77777777" w:rsidR="00FC6EBE" w:rsidRPr="00B457F5" w:rsidRDefault="00FC6EBE" w:rsidP="00FC6EBE">
            <w:pPr>
              <w:spacing w:before="0" w:after="0"/>
              <w:jc w:val="left"/>
              <w:rPr>
                <w:rFonts w:ascii="Garamond" w:eastAsia="Times New Roman" w:hAnsi="Garamond" w:cs="Arial"/>
                <w:b/>
                <w:bCs/>
                <w:i/>
                <w:iCs/>
                <w:color w:val="000000"/>
                <w:sz w:val="4"/>
                <w:szCs w:val="4"/>
              </w:rPr>
            </w:pPr>
          </w:p>
        </w:tc>
      </w:tr>
      <w:tr w:rsidR="00FC6EBE" w:rsidRPr="00B457F5" w14:paraId="49BA816A" w14:textId="77777777" w:rsidTr="00FC6EBE">
        <w:trPr>
          <w:trHeight w:val="20"/>
        </w:trPr>
        <w:tc>
          <w:tcPr>
            <w:tcW w:w="2045" w:type="pct"/>
            <w:vMerge w:val="restart"/>
            <w:tcBorders>
              <w:top w:val="nil"/>
              <w:left w:val="single" w:sz="4" w:space="0" w:color="auto"/>
              <w:bottom w:val="single" w:sz="4" w:space="0" w:color="auto"/>
              <w:right w:val="single" w:sz="4" w:space="0" w:color="auto"/>
            </w:tcBorders>
            <w:shd w:val="clear" w:color="000000" w:fill="D9E2F3"/>
            <w:vAlign w:val="center"/>
            <w:hideMark/>
          </w:tcPr>
          <w:p w14:paraId="71C600DD" w14:textId="168C55F4" w:rsidR="00FC6EBE" w:rsidRPr="00B457F5" w:rsidRDefault="00FC6EBE" w:rsidP="00FC6EBE">
            <w:pPr>
              <w:spacing w:before="0" w:after="0"/>
              <w:jc w:val="left"/>
              <w:rPr>
                <w:rFonts w:ascii="Garamond" w:eastAsia="Times New Roman" w:hAnsi="Garamond" w:cs="Arial"/>
                <w:color w:val="000000"/>
                <w:sz w:val="4"/>
                <w:szCs w:val="4"/>
              </w:rPr>
            </w:pPr>
            <w:r w:rsidRPr="00B457F5">
              <w:rPr>
                <w:rFonts w:ascii="Garamond" w:eastAsia="Times New Roman" w:hAnsi="Garamond" w:cs="Arial"/>
                <w:color w:val="000000"/>
                <w:sz w:val="4"/>
                <w:szCs w:val="4"/>
              </w:rPr>
              <w:t xml:space="preserve">Qëllimi i </w:t>
            </w:r>
            <w:r w:rsidR="0028334E" w:rsidRPr="00B457F5">
              <w:rPr>
                <w:rFonts w:ascii="Garamond" w:eastAsia="Times New Roman" w:hAnsi="Garamond" w:cs="Arial"/>
                <w:color w:val="000000"/>
                <w:sz w:val="4"/>
                <w:szCs w:val="4"/>
              </w:rPr>
              <w:t>p</w:t>
            </w:r>
            <w:r w:rsidRPr="00B457F5">
              <w:rPr>
                <w:rFonts w:ascii="Garamond" w:eastAsia="Times New Roman" w:hAnsi="Garamond" w:cs="Arial"/>
                <w:color w:val="000000"/>
                <w:sz w:val="4"/>
                <w:szCs w:val="4"/>
              </w:rPr>
              <w:t>olitikës</w:t>
            </w:r>
            <w:r w:rsidR="0006016F" w:rsidRPr="00B457F5">
              <w:rPr>
                <w:rFonts w:ascii="Garamond" w:eastAsia="Times New Roman" w:hAnsi="Garamond" w:cs="Arial"/>
                <w:color w:val="000000"/>
                <w:sz w:val="4"/>
                <w:szCs w:val="4"/>
              </w:rPr>
              <w:t xml:space="preserve"> </w:t>
            </w:r>
            <w:r w:rsidRPr="00B457F5">
              <w:rPr>
                <w:rFonts w:ascii="Garamond" w:eastAsia="Times New Roman" w:hAnsi="Garamond" w:cs="Arial"/>
                <w:color w:val="000000"/>
                <w:sz w:val="4"/>
                <w:szCs w:val="4"/>
              </w:rPr>
              <w:t>3</w:t>
            </w:r>
            <w:r w:rsidR="0028334E" w:rsidRPr="00B457F5">
              <w:rPr>
                <w:rFonts w:ascii="Garamond" w:eastAsia="Times New Roman" w:hAnsi="Garamond" w:cs="Arial"/>
                <w:color w:val="000000"/>
                <w:sz w:val="4"/>
                <w:szCs w:val="4"/>
              </w:rPr>
              <w:t>:</w:t>
            </w:r>
            <w:r w:rsidR="0006016F" w:rsidRPr="00B457F5">
              <w:rPr>
                <w:rFonts w:ascii="Garamond" w:eastAsia="Times New Roman" w:hAnsi="Garamond" w:cs="Arial"/>
                <w:color w:val="000000"/>
                <w:sz w:val="4"/>
                <w:szCs w:val="4"/>
              </w:rPr>
              <w:t xml:space="preserve"> </w:t>
            </w:r>
            <w:r w:rsidRPr="00B457F5">
              <w:rPr>
                <w:rFonts w:ascii="Garamond" w:eastAsia="Times New Roman" w:hAnsi="Garamond" w:cs="Arial"/>
                <w:color w:val="000000"/>
                <w:sz w:val="4"/>
                <w:szCs w:val="4"/>
              </w:rPr>
              <w:t>Promovimi i migracionit t</w:t>
            </w:r>
            <w:r w:rsidR="0028334E" w:rsidRPr="00B457F5">
              <w:rPr>
                <w:rFonts w:ascii="Garamond" w:eastAsia="Times New Roman" w:hAnsi="Garamond" w:cs="Arial"/>
                <w:color w:val="000000"/>
                <w:sz w:val="4"/>
                <w:szCs w:val="4"/>
              </w:rPr>
              <w:t>ë</w:t>
            </w:r>
            <w:r w:rsidRPr="00B457F5">
              <w:rPr>
                <w:rFonts w:ascii="Garamond" w:eastAsia="Times New Roman" w:hAnsi="Garamond" w:cs="Arial"/>
                <w:color w:val="000000"/>
                <w:sz w:val="4"/>
                <w:szCs w:val="4"/>
              </w:rPr>
              <w:t xml:space="preserve"> rregullt dhe mbrojtja e të drejtave të migrantëve dhe integrimi i tyre në shoqërinë shqiptare</w:t>
            </w:r>
          </w:p>
        </w:tc>
        <w:tc>
          <w:tcPr>
            <w:tcW w:w="494" w:type="pct"/>
            <w:tcBorders>
              <w:top w:val="nil"/>
              <w:left w:val="nil"/>
              <w:bottom w:val="single" w:sz="4" w:space="0" w:color="auto"/>
              <w:right w:val="single" w:sz="4" w:space="0" w:color="auto"/>
            </w:tcBorders>
            <w:shd w:val="clear" w:color="000000" w:fill="D9E2F3"/>
            <w:vAlign w:val="center"/>
            <w:hideMark/>
          </w:tcPr>
          <w:p w14:paraId="541C089C" w14:textId="0D3E30AE" w:rsidR="00FC6EBE" w:rsidRPr="00B457F5" w:rsidRDefault="00FC6EBE" w:rsidP="00FC6EBE">
            <w:pPr>
              <w:spacing w:before="0" w:after="0"/>
              <w:jc w:val="center"/>
              <w:rPr>
                <w:rFonts w:ascii="Garamond" w:eastAsia="Times New Roman" w:hAnsi="Garamond" w:cs="Arial"/>
                <w:color w:val="000000"/>
                <w:sz w:val="4"/>
                <w:szCs w:val="4"/>
              </w:rPr>
            </w:pPr>
            <w:r w:rsidRPr="00B457F5">
              <w:rPr>
                <w:rFonts w:ascii="Garamond" w:eastAsia="Times New Roman" w:hAnsi="Garamond" w:cs="Arial"/>
                <w:color w:val="000000"/>
                <w:sz w:val="4"/>
                <w:szCs w:val="4"/>
              </w:rPr>
              <w:t>Kor</w:t>
            </w:r>
            <w:r w:rsidR="0028334E" w:rsidRPr="00B457F5">
              <w:rPr>
                <w:rFonts w:ascii="Garamond" w:eastAsia="Times New Roman" w:hAnsi="Garamond" w:cs="Arial"/>
                <w:color w:val="000000"/>
                <w:sz w:val="4"/>
                <w:szCs w:val="4"/>
              </w:rPr>
              <w:t>r</w:t>
            </w:r>
            <w:r w:rsidRPr="00B457F5">
              <w:rPr>
                <w:rFonts w:ascii="Garamond" w:eastAsia="Times New Roman" w:hAnsi="Garamond" w:cs="Arial"/>
                <w:color w:val="000000"/>
                <w:sz w:val="4"/>
                <w:szCs w:val="4"/>
              </w:rPr>
              <w:t>ente</w:t>
            </w:r>
          </w:p>
        </w:tc>
        <w:tc>
          <w:tcPr>
            <w:tcW w:w="556" w:type="pct"/>
            <w:tcBorders>
              <w:top w:val="nil"/>
              <w:left w:val="nil"/>
              <w:bottom w:val="single" w:sz="4" w:space="0" w:color="auto"/>
              <w:right w:val="single" w:sz="4" w:space="0" w:color="auto"/>
            </w:tcBorders>
            <w:shd w:val="clear" w:color="000000" w:fill="D9E2F3"/>
            <w:vAlign w:val="center"/>
            <w:hideMark/>
          </w:tcPr>
          <w:p w14:paraId="528318EB" w14:textId="77777777" w:rsidR="00FC6EBE" w:rsidRPr="00B457F5" w:rsidRDefault="00FC6EBE" w:rsidP="00FC6EBE">
            <w:pPr>
              <w:spacing w:before="0" w:after="0"/>
              <w:jc w:val="center"/>
              <w:rPr>
                <w:rFonts w:ascii="Garamond" w:eastAsia="Times New Roman" w:hAnsi="Garamond" w:cs="Arial"/>
                <w:color w:val="000000"/>
                <w:sz w:val="4"/>
                <w:szCs w:val="4"/>
              </w:rPr>
            </w:pPr>
            <w:r w:rsidRPr="00B457F5">
              <w:rPr>
                <w:rFonts w:ascii="Garamond" w:eastAsia="Times New Roman" w:hAnsi="Garamond" w:cs="Arial"/>
                <w:color w:val="000000"/>
                <w:sz w:val="4"/>
                <w:szCs w:val="4"/>
              </w:rPr>
              <w:t>97,733,683</w:t>
            </w:r>
          </w:p>
        </w:tc>
        <w:tc>
          <w:tcPr>
            <w:tcW w:w="666" w:type="pct"/>
            <w:tcBorders>
              <w:top w:val="nil"/>
              <w:left w:val="nil"/>
              <w:bottom w:val="single" w:sz="4" w:space="0" w:color="auto"/>
              <w:right w:val="single" w:sz="4" w:space="0" w:color="auto"/>
            </w:tcBorders>
            <w:shd w:val="clear" w:color="000000" w:fill="D9E2F3"/>
            <w:vAlign w:val="center"/>
            <w:hideMark/>
          </w:tcPr>
          <w:p w14:paraId="0A5FDDD2" w14:textId="77777777" w:rsidR="00FC6EBE" w:rsidRPr="00B457F5" w:rsidRDefault="00FC6EBE" w:rsidP="00FC6EBE">
            <w:pPr>
              <w:spacing w:before="0" w:after="0"/>
              <w:jc w:val="center"/>
              <w:rPr>
                <w:rFonts w:ascii="Garamond" w:eastAsia="Times New Roman" w:hAnsi="Garamond" w:cs="Arial"/>
                <w:color w:val="000000"/>
                <w:sz w:val="4"/>
                <w:szCs w:val="4"/>
              </w:rPr>
            </w:pPr>
            <w:r w:rsidRPr="00B457F5">
              <w:rPr>
                <w:rFonts w:ascii="Garamond" w:eastAsia="Times New Roman" w:hAnsi="Garamond" w:cs="Arial"/>
                <w:color w:val="000000"/>
                <w:sz w:val="4"/>
                <w:szCs w:val="4"/>
              </w:rPr>
              <w:t>95,933,683</w:t>
            </w:r>
          </w:p>
        </w:tc>
        <w:tc>
          <w:tcPr>
            <w:tcW w:w="627" w:type="pct"/>
            <w:tcBorders>
              <w:top w:val="nil"/>
              <w:left w:val="nil"/>
              <w:bottom w:val="single" w:sz="4" w:space="0" w:color="auto"/>
              <w:right w:val="single" w:sz="4" w:space="0" w:color="auto"/>
            </w:tcBorders>
            <w:shd w:val="clear" w:color="000000" w:fill="D9E2F3"/>
            <w:vAlign w:val="center"/>
            <w:hideMark/>
          </w:tcPr>
          <w:p w14:paraId="1ACD6ABA" w14:textId="77777777" w:rsidR="00FC6EBE" w:rsidRPr="00B457F5" w:rsidRDefault="00FC6EBE" w:rsidP="00FC6EBE">
            <w:pPr>
              <w:spacing w:before="0" w:after="0"/>
              <w:jc w:val="center"/>
              <w:rPr>
                <w:rFonts w:ascii="Garamond" w:eastAsia="Times New Roman" w:hAnsi="Garamond" w:cs="Arial"/>
                <w:color w:val="000000"/>
                <w:sz w:val="4"/>
                <w:szCs w:val="4"/>
              </w:rPr>
            </w:pPr>
            <w:r w:rsidRPr="00B457F5">
              <w:rPr>
                <w:rFonts w:ascii="Garamond" w:eastAsia="Times New Roman" w:hAnsi="Garamond" w:cs="Arial"/>
                <w:color w:val="000000"/>
                <w:sz w:val="4"/>
                <w:szCs w:val="4"/>
              </w:rPr>
              <w:t>0</w:t>
            </w:r>
          </w:p>
        </w:tc>
        <w:tc>
          <w:tcPr>
            <w:tcW w:w="611" w:type="pct"/>
            <w:vMerge w:val="restart"/>
            <w:tcBorders>
              <w:top w:val="nil"/>
              <w:left w:val="single" w:sz="4" w:space="0" w:color="auto"/>
              <w:bottom w:val="single" w:sz="8" w:space="0" w:color="4472C4"/>
              <w:right w:val="single" w:sz="8" w:space="0" w:color="auto"/>
            </w:tcBorders>
            <w:shd w:val="clear" w:color="000000" w:fill="D9E2F3"/>
            <w:vAlign w:val="center"/>
            <w:hideMark/>
          </w:tcPr>
          <w:p w14:paraId="55842634" w14:textId="77777777" w:rsidR="00FC6EBE" w:rsidRPr="00B457F5" w:rsidRDefault="00FC6EBE" w:rsidP="00FC6EBE">
            <w:pPr>
              <w:spacing w:before="0" w:after="0"/>
              <w:jc w:val="center"/>
              <w:rPr>
                <w:rFonts w:ascii="Garamond" w:eastAsia="Times New Roman" w:hAnsi="Garamond" w:cs="Arial"/>
                <w:b/>
                <w:bCs/>
                <w:i/>
                <w:iCs/>
                <w:color w:val="000000"/>
                <w:sz w:val="4"/>
                <w:szCs w:val="4"/>
              </w:rPr>
            </w:pPr>
            <w:r w:rsidRPr="00B457F5">
              <w:rPr>
                <w:rFonts w:ascii="Garamond" w:eastAsia="Times New Roman" w:hAnsi="Garamond" w:cs="Arial"/>
                <w:b/>
                <w:bCs/>
                <w:i/>
                <w:iCs/>
                <w:color w:val="000000"/>
                <w:sz w:val="4"/>
                <w:szCs w:val="4"/>
              </w:rPr>
              <w:t xml:space="preserve">1,800,000 </w:t>
            </w:r>
          </w:p>
        </w:tc>
      </w:tr>
      <w:tr w:rsidR="00FC6EBE" w:rsidRPr="00B457F5" w14:paraId="3823B0C0" w14:textId="77777777" w:rsidTr="00FC6EBE">
        <w:trPr>
          <w:trHeight w:val="20"/>
        </w:trPr>
        <w:tc>
          <w:tcPr>
            <w:tcW w:w="2045" w:type="pct"/>
            <w:vMerge/>
            <w:tcBorders>
              <w:top w:val="nil"/>
              <w:left w:val="single" w:sz="4" w:space="0" w:color="auto"/>
              <w:bottom w:val="single" w:sz="4" w:space="0" w:color="auto"/>
              <w:right w:val="single" w:sz="4" w:space="0" w:color="auto"/>
            </w:tcBorders>
            <w:vAlign w:val="center"/>
            <w:hideMark/>
          </w:tcPr>
          <w:p w14:paraId="1303A843" w14:textId="77777777" w:rsidR="00FC6EBE" w:rsidRPr="00B457F5" w:rsidRDefault="00FC6EBE" w:rsidP="00FC6EBE">
            <w:pPr>
              <w:spacing w:before="0" w:after="0"/>
              <w:jc w:val="left"/>
              <w:rPr>
                <w:rFonts w:ascii="Garamond" w:eastAsia="Times New Roman" w:hAnsi="Garamond" w:cs="Arial"/>
                <w:color w:val="000000"/>
                <w:sz w:val="4"/>
                <w:szCs w:val="4"/>
              </w:rPr>
            </w:pPr>
          </w:p>
        </w:tc>
        <w:tc>
          <w:tcPr>
            <w:tcW w:w="494" w:type="pct"/>
            <w:tcBorders>
              <w:top w:val="nil"/>
              <w:left w:val="nil"/>
              <w:bottom w:val="single" w:sz="4" w:space="0" w:color="auto"/>
              <w:right w:val="single" w:sz="4" w:space="0" w:color="auto"/>
            </w:tcBorders>
            <w:shd w:val="clear" w:color="auto" w:fill="auto"/>
            <w:vAlign w:val="center"/>
            <w:hideMark/>
          </w:tcPr>
          <w:p w14:paraId="0E5AC345" w14:textId="77777777" w:rsidR="00FC6EBE" w:rsidRPr="00B457F5" w:rsidRDefault="00FC6EBE" w:rsidP="00FC6EBE">
            <w:pPr>
              <w:spacing w:before="0" w:after="0"/>
              <w:jc w:val="center"/>
              <w:rPr>
                <w:rFonts w:ascii="Garamond" w:eastAsia="Times New Roman" w:hAnsi="Garamond" w:cs="Arial"/>
                <w:color w:val="000000"/>
                <w:sz w:val="4"/>
                <w:szCs w:val="4"/>
              </w:rPr>
            </w:pPr>
            <w:r w:rsidRPr="00B457F5">
              <w:rPr>
                <w:rFonts w:ascii="Garamond" w:eastAsia="Times New Roman" w:hAnsi="Garamond" w:cs="Arial"/>
                <w:color w:val="000000"/>
                <w:sz w:val="4"/>
                <w:szCs w:val="4"/>
              </w:rPr>
              <w:t>Kapitale</w:t>
            </w:r>
          </w:p>
        </w:tc>
        <w:tc>
          <w:tcPr>
            <w:tcW w:w="556" w:type="pct"/>
            <w:tcBorders>
              <w:top w:val="nil"/>
              <w:left w:val="nil"/>
              <w:bottom w:val="single" w:sz="4" w:space="0" w:color="auto"/>
              <w:right w:val="single" w:sz="4" w:space="0" w:color="auto"/>
            </w:tcBorders>
            <w:shd w:val="clear" w:color="auto" w:fill="auto"/>
            <w:vAlign w:val="center"/>
            <w:hideMark/>
          </w:tcPr>
          <w:p w14:paraId="4B01F8FF" w14:textId="77777777" w:rsidR="00FC6EBE" w:rsidRPr="00B457F5" w:rsidRDefault="00FC6EBE" w:rsidP="00FC6EBE">
            <w:pPr>
              <w:spacing w:before="0" w:after="0"/>
              <w:jc w:val="center"/>
              <w:rPr>
                <w:rFonts w:ascii="Garamond" w:eastAsia="Times New Roman" w:hAnsi="Garamond" w:cs="Arial"/>
                <w:color w:val="000000"/>
                <w:sz w:val="4"/>
                <w:szCs w:val="4"/>
              </w:rPr>
            </w:pPr>
            <w:r w:rsidRPr="00B457F5">
              <w:rPr>
                <w:rFonts w:ascii="Garamond" w:eastAsia="Times New Roman" w:hAnsi="Garamond" w:cs="Arial"/>
                <w:color w:val="000000"/>
                <w:sz w:val="4"/>
                <w:szCs w:val="4"/>
              </w:rPr>
              <w:t>0</w:t>
            </w:r>
          </w:p>
        </w:tc>
        <w:tc>
          <w:tcPr>
            <w:tcW w:w="666" w:type="pct"/>
            <w:tcBorders>
              <w:top w:val="nil"/>
              <w:left w:val="nil"/>
              <w:bottom w:val="single" w:sz="4" w:space="0" w:color="auto"/>
              <w:right w:val="single" w:sz="4" w:space="0" w:color="auto"/>
            </w:tcBorders>
            <w:shd w:val="clear" w:color="auto" w:fill="auto"/>
            <w:vAlign w:val="center"/>
            <w:hideMark/>
          </w:tcPr>
          <w:p w14:paraId="25BA1AB1" w14:textId="77777777" w:rsidR="00FC6EBE" w:rsidRPr="00B457F5" w:rsidRDefault="00FC6EBE" w:rsidP="00FC6EBE">
            <w:pPr>
              <w:spacing w:before="0" w:after="0"/>
              <w:jc w:val="center"/>
              <w:rPr>
                <w:rFonts w:ascii="Garamond" w:eastAsia="Times New Roman" w:hAnsi="Garamond" w:cs="Arial"/>
                <w:color w:val="000000"/>
                <w:sz w:val="4"/>
                <w:szCs w:val="4"/>
              </w:rPr>
            </w:pPr>
            <w:r w:rsidRPr="00B457F5">
              <w:rPr>
                <w:rFonts w:ascii="Garamond" w:eastAsia="Times New Roman" w:hAnsi="Garamond" w:cs="Arial"/>
                <w:color w:val="000000"/>
                <w:sz w:val="4"/>
                <w:szCs w:val="4"/>
              </w:rPr>
              <w:t>0</w:t>
            </w:r>
          </w:p>
        </w:tc>
        <w:tc>
          <w:tcPr>
            <w:tcW w:w="627" w:type="pct"/>
            <w:tcBorders>
              <w:top w:val="nil"/>
              <w:left w:val="nil"/>
              <w:bottom w:val="single" w:sz="4" w:space="0" w:color="auto"/>
              <w:right w:val="single" w:sz="4" w:space="0" w:color="auto"/>
            </w:tcBorders>
            <w:shd w:val="clear" w:color="auto" w:fill="auto"/>
            <w:vAlign w:val="center"/>
            <w:hideMark/>
          </w:tcPr>
          <w:p w14:paraId="6F9EB9C9" w14:textId="77777777" w:rsidR="00FC6EBE" w:rsidRPr="00B457F5" w:rsidRDefault="00FC6EBE" w:rsidP="00FC6EBE">
            <w:pPr>
              <w:spacing w:before="0" w:after="0"/>
              <w:jc w:val="center"/>
              <w:rPr>
                <w:rFonts w:ascii="Garamond" w:eastAsia="Times New Roman" w:hAnsi="Garamond" w:cs="Arial"/>
                <w:color w:val="000000"/>
                <w:sz w:val="4"/>
                <w:szCs w:val="4"/>
              </w:rPr>
            </w:pPr>
            <w:r w:rsidRPr="00B457F5">
              <w:rPr>
                <w:rFonts w:ascii="Garamond" w:eastAsia="Times New Roman" w:hAnsi="Garamond" w:cs="Arial"/>
                <w:color w:val="000000"/>
                <w:sz w:val="4"/>
                <w:szCs w:val="4"/>
              </w:rPr>
              <w:t>0</w:t>
            </w:r>
          </w:p>
        </w:tc>
        <w:tc>
          <w:tcPr>
            <w:tcW w:w="611" w:type="pct"/>
            <w:vMerge/>
            <w:tcBorders>
              <w:top w:val="nil"/>
              <w:left w:val="single" w:sz="4" w:space="0" w:color="auto"/>
              <w:bottom w:val="single" w:sz="8" w:space="0" w:color="4472C4"/>
              <w:right w:val="single" w:sz="8" w:space="0" w:color="auto"/>
            </w:tcBorders>
            <w:vAlign w:val="center"/>
            <w:hideMark/>
          </w:tcPr>
          <w:p w14:paraId="374A4AC8" w14:textId="77777777" w:rsidR="00FC6EBE" w:rsidRPr="00B457F5" w:rsidRDefault="00FC6EBE" w:rsidP="00FC6EBE">
            <w:pPr>
              <w:spacing w:before="0" w:after="0"/>
              <w:jc w:val="left"/>
              <w:rPr>
                <w:rFonts w:ascii="Garamond" w:eastAsia="Times New Roman" w:hAnsi="Garamond" w:cs="Arial"/>
                <w:b/>
                <w:bCs/>
                <w:i/>
                <w:iCs/>
                <w:color w:val="000000"/>
                <w:sz w:val="4"/>
                <w:szCs w:val="4"/>
              </w:rPr>
            </w:pPr>
          </w:p>
        </w:tc>
      </w:tr>
      <w:tr w:rsidR="00FC6EBE" w:rsidRPr="00B457F5" w14:paraId="670166AB" w14:textId="77777777" w:rsidTr="00FC6EBE">
        <w:trPr>
          <w:trHeight w:val="20"/>
        </w:trPr>
        <w:tc>
          <w:tcPr>
            <w:tcW w:w="2045" w:type="pct"/>
            <w:vMerge w:val="restart"/>
            <w:tcBorders>
              <w:top w:val="nil"/>
              <w:left w:val="single" w:sz="4" w:space="0" w:color="auto"/>
              <w:bottom w:val="single" w:sz="4" w:space="0" w:color="000000"/>
              <w:right w:val="single" w:sz="4" w:space="0" w:color="auto"/>
            </w:tcBorders>
            <w:shd w:val="clear" w:color="000000" w:fill="D9E2F3"/>
            <w:vAlign w:val="center"/>
            <w:hideMark/>
          </w:tcPr>
          <w:p w14:paraId="4C408446" w14:textId="175B6EFF" w:rsidR="00FC6EBE" w:rsidRPr="00B457F5" w:rsidRDefault="00FC6EBE" w:rsidP="00FC6EBE">
            <w:pPr>
              <w:spacing w:before="0" w:after="0"/>
              <w:jc w:val="left"/>
              <w:rPr>
                <w:rFonts w:ascii="Garamond" w:eastAsia="Times New Roman" w:hAnsi="Garamond" w:cs="Arial"/>
                <w:color w:val="000000"/>
                <w:sz w:val="4"/>
                <w:szCs w:val="4"/>
              </w:rPr>
            </w:pPr>
            <w:r w:rsidRPr="00B457F5">
              <w:rPr>
                <w:rFonts w:ascii="Garamond" w:eastAsia="Times New Roman" w:hAnsi="Garamond" w:cs="Arial"/>
                <w:color w:val="000000"/>
                <w:sz w:val="4"/>
                <w:szCs w:val="4"/>
              </w:rPr>
              <w:t xml:space="preserve">Qëllimi i </w:t>
            </w:r>
            <w:r w:rsidR="0028334E" w:rsidRPr="00B457F5">
              <w:rPr>
                <w:rFonts w:ascii="Garamond" w:eastAsia="Times New Roman" w:hAnsi="Garamond" w:cs="Arial"/>
                <w:color w:val="000000"/>
                <w:sz w:val="4"/>
                <w:szCs w:val="4"/>
              </w:rPr>
              <w:t>p</w:t>
            </w:r>
            <w:r w:rsidRPr="00B457F5">
              <w:rPr>
                <w:rFonts w:ascii="Garamond" w:eastAsia="Times New Roman" w:hAnsi="Garamond" w:cs="Arial"/>
                <w:color w:val="000000"/>
                <w:sz w:val="4"/>
                <w:szCs w:val="4"/>
              </w:rPr>
              <w:t>olitikës</w:t>
            </w:r>
            <w:r w:rsidR="0006016F" w:rsidRPr="00B457F5">
              <w:rPr>
                <w:rFonts w:ascii="Garamond" w:eastAsia="Times New Roman" w:hAnsi="Garamond" w:cs="Arial"/>
                <w:color w:val="000000"/>
                <w:sz w:val="4"/>
                <w:szCs w:val="4"/>
              </w:rPr>
              <w:t xml:space="preserve"> </w:t>
            </w:r>
            <w:r w:rsidRPr="00B457F5">
              <w:rPr>
                <w:rFonts w:ascii="Garamond" w:eastAsia="Times New Roman" w:hAnsi="Garamond" w:cs="Arial"/>
                <w:color w:val="000000"/>
                <w:sz w:val="4"/>
                <w:szCs w:val="4"/>
              </w:rPr>
              <w:t>4</w:t>
            </w:r>
            <w:r w:rsidR="0028334E" w:rsidRPr="00B457F5">
              <w:rPr>
                <w:rFonts w:ascii="Garamond" w:eastAsia="Times New Roman" w:hAnsi="Garamond" w:cs="Arial"/>
                <w:color w:val="000000"/>
                <w:sz w:val="4"/>
                <w:szCs w:val="4"/>
              </w:rPr>
              <w:t>:</w:t>
            </w:r>
            <w:r w:rsidRPr="00B457F5">
              <w:rPr>
                <w:rFonts w:ascii="Garamond" w:eastAsia="Times New Roman" w:hAnsi="Garamond" w:cs="Arial"/>
                <w:color w:val="000000"/>
                <w:sz w:val="4"/>
                <w:szCs w:val="4"/>
              </w:rPr>
              <w:t xml:space="preserve"> Forcimi i sistemit të mbrojtjes ndë</w:t>
            </w:r>
            <w:r w:rsidR="0028334E" w:rsidRPr="00B457F5">
              <w:rPr>
                <w:rFonts w:ascii="Garamond" w:eastAsia="Times New Roman" w:hAnsi="Garamond" w:cs="Arial"/>
                <w:color w:val="000000"/>
                <w:sz w:val="4"/>
                <w:szCs w:val="4"/>
              </w:rPr>
              <w:t>r</w:t>
            </w:r>
            <w:r w:rsidRPr="00B457F5">
              <w:rPr>
                <w:rFonts w:ascii="Garamond" w:eastAsia="Times New Roman" w:hAnsi="Garamond" w:cs="Arial"/>
                <w:color w:val="000000"/>
                <w:sz w:val="4"/>
                <w:szCs w:val="4"/>
              </w:rPr>
              <w:t>kombëtare, garantimi i të drejtave të azilkërkuesve dhe refugjatëve</w:t>
            </w:r>
            <w:r w:rsidR="0028334E" w:rsidRPr="00B457F5">
              <w:rPr>
                <w:rFonts w:ascii="Garamond" w:eastAsia="Times New Roman" w:hAnsi="Garamond" w:cs="Arial"/>
                <w:color w:val="000000"/>
                <w:sz w:val="4"/>
                <w:szCs w:val="4"/>
              </w:rPr>
              <w:t>,</w:t>
            </w:r>
            <w:r w:rsidR="0006016F" w:rsidRPr="00B457F5">
              <w:rPr>
                <w:rFonts w:ascii="Garamond" w:eastAsia="Times New Roman" w:hAnsi="Garamond" w:cs="Arial"/>
                <w:color w:val="000000"/>
                <w:sz w:val="4"/>
                <w:szCs w:val="4"/>
              </w:rPr>
              <w:t xml:space="preserve"> </w:t>
            </w:r>
            <w:r w:rsidRPr="00B457F5">
              <w:rPr>
                <w:rFonts w:ascii="Garamond" w:eastAsia="Times New Roman" w:hAnsi="Garamond" w:cs="Arial"/>
                <w:color w:val="000000"/>
                <w:sz w:val="4"/>
                <w:szCs w:val="4"/>
              </w:rPr>
              <w:t>dhe ofrimi i zgjidhjeve të qëndrueshme</w:t>
            </w:r>
          </w:p>
        </w:tc>
        <w:tc>
          <w:tcPr>
            <w:tcW w:w="494" w:type="pct"/>
            <w:tcBorders>
              <w:top w:val="nil"/>
              <w:left w:val="nil"/>
              <w:bottom w:val="single" w:sz="4" w:space="0" w:color="auto"/>
              <w:right w:val="single" w:sz="4" w:space="0" w:color="auto"/>
            </w:tcBorders>
            <w:shd w:val="clear" w:color="000000" w:fill="D9E1F2"/>
            <w:vAlign w:val="center"/>
            <w:hideMark/>
          </w:tcPr>
          <w:p w14:paraId="621F590E" w14:textId="25DE4B98" w:rsidR="00FC6EBE" w:rsidRPr="00B457F5" w:rsidRDefault="00FC6EBE" w:rsidP="00FC6EBE">
            <w:pPr>
              <w:spacing w:before="0" w:after="0"/>
              <w:jc w:val="center"/>
              <w:rPr>
                <w:rFonts w:ascii="Garamond" w:eastAsia="Times New Roman" w:hAnsi="Garamond" w:cs="Arial"/>
                <w:color w:val="000000"/>
                <w:sz w:val="4"/>
                <w:szCs w:val="4"/>
              </w:rPr>
            </w:pPr>
            <w:r w:rsidRPr="00B457F5">
              <w:rPr>
                <w:rFonts w:ascii="Garamond" w:eastAsia="Times New Roman" w:hAnsi="Garamond" w:cs="Arial"/>
                <w:color w:val="000000"/>
                <w:sz w:val="4"/>
                <w:szCs w:val="4"/>
              </w:rPr>
              <w:t>Ko</w:t>
            </w:r>
            <w:r w:rsidR="0028334E" w:rsidRPr="00B457F5">
              <w:rPr>
                <w:rFonts w:ascii="Garamond" w:eastAsia="Times New Roman" w:hAnsi="Garamond" w:cs="Arial"/>
                <w:color w:val="000000"/>
                <w:sz w:val="4"/>
                <w:szCs w:val="4"/>
              </w:rPr>
              <w:t>r</w:t>
            </w:r>
            <w:r w:rsidRPr="00B457F5">
              <w:rPr>
                <w:rFonts w:ascii="Garamond" w:eastAsia="Times New Roman" w:hAnsi="Garamond" w:cs="Arial"/>
                <w:color w:val="000000"/>
                <w:sz w:val="4"/>
                <w:szCs w:val="4"/>
              </w:rPr>
              <w:t>rente</w:t>
            </w:r>
          </w:p>
        </w:tc>
        <w:tc>
          <w:tcPr>
            <w:tcW w:w="556" w:type="pct"/>
            <w:tcBorders>
              <w:top w:val="nil"/>
              <w:left w:val="nil"/>
              <w:bottom w:val="single" w:sz="4" w:space="0" w:color="auto"/>
              <w:right w:val="single" w:sz="4" w:space="0" w:color="auto"/>
            </w:tcBorders>
            <w:shd w:val="clear" w:color="000000" w:fill="D9E2F3"/>
            <w:vAlign w:val="center"/>
            <w:hideMark/>
          </w:tcPr>
          <w:p w14:paraId="67A84FF1" w14:textId="77777777" w:rsidR="00FC6EBE" w:rsidRPr="00B457F5" w:rsidRDefault="00FC6EBE" w:rsidP="00FC6EBE">
            <w:pPr>
              <w:spacing w:before="0" w:after="0"/>
              <w:jc w:val="center"/>
              <w:rPr>
                <w:rFonts w:ascii="Garamond" w:eastAsia="Times New Roman" w:hAnsi="Garamond" w:cs="Arial"/>
                <w:color w:val="000000"/>
                <w:sz w:val="4"/>
                <w:szCs w:val="4"/>
              </w:rPr>
            </w:pPr>
            <w:r w:rsidRPr="00B457F5">
              <w:rPr>
                <w:rFonts w:ascii="Garamond" w:eastAsia="Times New Roman" w:hAnsi="Garamond" w:cs="Arial"/>
                <w:color w:val="000000"/>
                <w:sz w:val="4"/>
                <w:szCs w:val="4"/>
              </w:rPr>
              <w:t>109,157,899</w:t>
            </w:r>
          </w:p>
        </w:tc>
        <w:tc>
          <w:tcPr>
            <w:tcW w:w="666" w:type="pct"/>
            <w:tcBorders>
              <w:top w:val="nil"/>
              <w:left w:val="nil"/>
              <w:bottom w:val="single" w:sz="4" w:space="0" w:color="auto"/>
              <w:right w:val="single" w:sz="4" w:space="0" w:color="auto"/>
            </w:tcBorders>
            <w:shd w:val="clear" w:color="000000" w:fill="D9E2F3"/>
            <w:vAlign w:val="center"/>
            <w:hideMark/>
          </w:tcPr>
          <w:p w14:paraId="3F0FB2EF" w14:textId="77777777" w:rsidR="00FC6EBE" w:rsidRPr="00B457F5" w:rsidRDefault="00FC6EBE" w:rsidP="00FC6EBE">
            <w:pPr>
              <w:spacing w:before="0" w:after="0"/>
              <w:jc w:val="center"/>
              <w:rPr>
                <w:rFonts w:ascii="Garamond" w:eastAsia="Times New Roman" w:hAnsi="Garamond" w:cs="Arial"/>
                <w:color w:val="000000"/>
                <w:sz w:val="4"/>
                <w:szCs w:val="4"/>
              </w:rPr>
            </w:pPr>
            <w:r w:rsidRPr="00B457F5">
              <w:rPr>
                <w:rFonts w:ascii="Garamond" w:eastAsia="Times New Roman" w:hAnsi="Garamond" w:cs="Arial"/>
                <w:color w:val="000000"/>
                <w:sz w:val="4"/>
                <w:szCs w:val="4"/>
              </w:rPr>
              <w:t>109,157,899</w:t>
            </w:r>
          </w:p>
        </w:tc>
        <w:tc>
          <w:tcPr>
            <w:tcW w:w="627" w:type="pct"/>
            <w:tcBorders>
              <w:top w:val="nil"/>
              <w:left w:val="nil"/>
              <w:bottom w:val="single" w:sz="4" w:space="0" w:color="auto"/>
              <w:right w:val="single" w:sz="4" w:space="0" w:color="auto"/>
            </w:tcBorders>
            <w:shd w:val="clear" w:color="000000" w:fill="D9E2F3"/>
            <w:vAlign w:val="center"/>
            <w:hideMark/>
          </w:tcPr>
          <w:p w14:paraId="58504141" w14:textId="77777777" w:rsidR="00FC6EBE" w:rsidRPr="00B457F5" w:rsidRDefault="00FC6EBE" w:rsidP="00FC6EBE">
            <w:pPr>
              <w:spacing w:before="0" w:after="0"/>
              <w:jc w:val="center"/>
              <w:rPr>
                <w:rFonts w:ascii="Garamond" w:eastAsia="Times New Roman" w:hAnsi="Garamond" w:cs="Arial"/>
                <w:color w:val="000000"/>
                <w:sz w:val="4"/>
                <w:szCs w:val="4"/>
              </w:rPr>
            </w:pPr>
            <w:r w:rsidRPr="00B457F5">
              <w:rPr>
                <w:rFonts w:ascii="Garamond" w:eastAsia="Times New Roman" w:hAnsi="Garamond" w:cs="Arial"/>
                <w:color w:val="000000"/>
                <w:sz w:val="4"/>
                <w:szCs w:val="4"/>
              </w:rPr>
              <w:t>0</w:t>
            </w:r>
          </w:p>
        </w:tc>
        <w:tc>
          <w:tcPr>
            <w:tcW w:w="611" w:type="pct"/>
            <w:vMerge w:val="restart"/>
            <w:tcBorders>
              <w:top w:val="nil"/>
              <w:left w:val="nil"/>
              <w:bottom w:val="single" w:sz="8" w:space="0" w:color="8EAADB"/>
              <w:right w:val="single" w:sz="8" w:space="0" w:color="auto"/>
            </w:tcBorders>
            <w:shd w:val="clear" w:color="000000" w:fill="D9E2F3"/>
            <w:vAlign w:val="center"/>
            <w:hideMark/>
          </w:tcPr>
          <w:p w14:paraId="19E450ED" w14:textId="77777777" w:rsidR="00FC6EBE" w:rsidRPr="00B457F5" w:rsidRDefault="00FC6EBE" w:rsidP="00FC6EBE">
            <w:pPr>
              <w:spacing w:before="0" w:after="0"/>
              <w:jc w:val="center"/>
              <w:rPr>
                <w:rFonts w:ascii="Garamond" w:eastAsia="Times New Roman" w:hAnsi="Garamond" w:cs="Arial"/>
                <w:b/>
                <w:bCs/>
                <w:i/>
                <w:iCs/>
                <w:color w:val="000000"/>
                <w:sz w:val="4"/>
                <w:szCs w:val="4"/>
              </w:rPr>
            </w:pPr>
            <w:r w:rsidRPr="00B457F5">
              <w:rPr>
                <w:rFonts w:ascii="Garamond" w:eastAsia="Times New Roman" w:hAnsi="Garamond" w:cs="Arial"/>
                <w:b/>
                <w:bCs/>
                <w:i/>
                <w:iCs/>
                <w:color w:val="000000"/>
                <w:sz w:val="4"/>
                <w:szCs w:val="4"/>
              </w:rPr>
              <w:t xml:space="preserve">0 </w:t>
            </w:r>
          </w:p>
        </w:tc>
      </w:tr>
      <w:tr w:rsidR="00FC6EBE" w:rsidRPr="00B457F5" w14:paraId="350D9C6D" w14:textId="77777777" w:rsidTr="00FC6EBE">
        <w:trPr>
          <w:trHeight w:val="20"/>
        </w:trPr>
        <w:tc>
          <w:tcPr>
            <w:tcW w:w="2045" w:type="pct"/>
            <w:vMerge/>
            <w:tcBorders>
              <w:top w:val="nil"/>
              <w:left w:val="single" w:sz="4" w:space="0" w:color="auto"/>
              <w:bottom w:val="single" w:sz="4" w:space="0" w:color="000000"/>
              <w:right w:val="single" w:sz="4" w:space="0" w:color="auto"/>
            </w:tcBorders>
            <w:vAlign w:val="center"/>
            <w:hideMark/>
          </w:tcPr>
          <w:p w14:paraId="3BCC8E68" w14:textId="77777777" w:rsidR="00FC6EBE" w:rsidRPr="00B457F5" w:rsidRDefault="00FC6EBE" w:rsidP="00FC6EBE">
            <w:pPr>
              <w:spacing w:before="0" w:after="0"/>
              <w:jc w:val="left"/>
              <w:rPr>
                <w:rFonts w:ascii="Garamond" w:eastAsia="Times New Roman" w:hAnsi="Garamond" w:cs="Arial"/>
                <w:color w:val="000000"/>
                <w:sz w:val="4"/>
                <w:szCs w:val="4"/>
              </w:rPr>
            </w:pPr>
          </w:p>
        </w:tc>
        <w:tc>
          <w:tcPr>
            <w:tcW w:w="494" w:type="pct"/>
            <w:tcBorders>
              <w:top w:val="nil"/>
              <w:left w:val="nil"/>
              <w:bottom w:val="single" w:sz="4" w:space="0" w:color="auto"/>
              <w:right w:val="single" w:sz="4" w:space="0" w:color="auto"/>
            </w:tcBorders>
            <w:shd w:val="clear" w:color="auto" w:fill="auto"/>
            <w:vAlign w:val="center"/>
            <w:hideMark/>
          </w:tcPr>
          <w:p w14:paraId="317FEEEB" w14:textId="77777777" w:rsidR="00FC6EBE" w:rsidRPr="00B457F5" w:rsidRDefault="00FC6EBE" w:rsidP="00FC6EBE">
            <w:pPr>
              <w:spacing w:before="0" w:after="0"/>
              <w:jc w:val="center"/>
              <w:rPr>
                <w:rFonts w:ascii="Garamond" w:eastAsia="Times New Roman" w:hAnsi="Garamond" w:cs="Arial"/>
                <w:color w:val="000000"/>
                <w:sz w:val="4"/>
                <w:szCs w:val="4"/>
              </w:rPr>
            </w:pPr>
            <w:r w:rsidRPr="00B457F5">
              <w:rPr>
                <w:rFonts w:ascii="Garamond" w:eastAsia="Times New Roman" w:hAnsi="Garamond" w:cs="Arial"/>
                <w:color w:val="000000"/>
                <w:sz w:val="4"/>
                <w:szCs w:val="4"/>
              </w:rPr>
              <w:t>Kapitale</w:t>
            </w:r>
          </w:p>
        </w:tc>
        <w:tc>
          <w:tcPr>
            <w:tcW w:w="556" w:type="pct"/>
            <w:tcBorders>
              <w:top w:val="nil"/>
              <w:left w:val="nil"/>
              <w:bottom w:val="single" w:sz="4" w:space="0" w:color="auto"/>
              <w:right w:val="single" w:sz="4" w:space="0" w:color="auto"/>
            </w:tcBorders>
            <w:shd w:val="clear" w:color="auto" w:fill="auto"/>
            <w:vAlign w:val="center"/>
            <w:hideMark/>
          </w:tcPr>
          <w:p w14:paraId="13FD7D9F" w14:textId="77777777" w:rsidR="00FC6EBE" w:rsidRPr="00B457F5" w:rsidRDefault="00FC6EBE" w:rsidP="00FC6EBE">
            <w:pPr>
              <w:spacing w:before="0" w:after="0"/>
              <w:jc w:val="center"/>
              <w:rPr>
                <w:rFonts w:ascii="Garamond" w:eastAsia="Times New Roman" w:hAnsi="Garamond" w:cs="Arial"/>
                <w:color w:val="000000"/>
                <w:sz w:val="4"/>
                <w:szCs w:val="4"/>
              </w:rPr>
            </w:pPr>
            <w:r w:rsidRPr="00B457F5">
              <w:rPr>
                <w:rFonts w:ascii="Garamond" w:eastAsia="Times New Roman" w:hAnsi="Garamond" w:cs="Arial"/>
                <w:color w:val="000000"/>
                <w:sz w:val="4"/>
                <w:szCs w:val="4"/>
              </w:rPr>
              <w:t>19,550,000</w:t>
            </w:r>
          </w:p>
        </w:tc>
        <w:tc>
          <w:tcPr>
            <w:tcW w:w="666" w:type="pct"/>
            <w:tcBorders>
              <w:top w:val="nil"/>
              <w:left w:val="nil"/>
              <w:bottom w:val="single" w:sz="4" w:space="0" w:color="auto"/>
              <w:right w:val="single" w:sz="4" w:space="0" w:color="auto"/>
            </w:tcBorders>
            <w:shd w:val="clear" w:color="auto" w:fill="auto"/>
            <w:vAlign w:val="center"/>
            <w:hideMark/>
          </w:tcPr>
          <w:p w14:paraId="7EC904D7" w14:textId="77777777" w:rsidR="00FC6EBE" w:rsidRPr="00B457F5" w:rsidRDefault="00FC6EBE" w:rsidP="00FC6EBE">
            <w:pPr>
              <w:spacing w:before="0" w:after="0"/>
              <w:jc w:val="center"/>
              <w:rPr>
                <w:rFonts w:ascii="Garamond" w:eastAsia="Times New Roman" w:hAnsi="Garamond" w:cs="Arial"/>
                <w:color w:val="000000"/>
                <w:sz w:val="4"/>
                <w:szCs w:val="4"/>
              </w:rPr>
            </w:pPr>
            <w:r w:rsidRPr="00B457F5">
              <w:rPr>
                <w:rFonts w:ascii="Garamond" w:eastAsia="Times New Roman" w:hAnsi="Garamond" w:cs="Arial"/>
                <w:color w:val="000000"/>
                <w:sz w:val="4"/>
                <w:szCs w:val="4"/>
              </w:rPr>
              <w:t>19,550,000</w:t>
            </w:r>
          </w:p>
        </w:tc>
        <w:tc>
          <w:tcPr>
            <w:tcW w:w="627" w:type="pct"/>
            <w:tcBorders>
              <w:top w:val="nil"/>
              <w:left w:val="nil"/>
              <w:bottom w:val="single" w:sz="4" w:space="0" w:color="auto"/>
              <w:right w:val="single" w:sz="4" w:space="0" w:color="auto"/>
            </w:tcBorders>
            <w:shd w:val="clear" w:color="auto" w:fill="auto"/>
            <w:vAlign w:val="center"/>
            <w:hideMark/>
          </w:tcPr>
          <w:p w14:paraId="00CBA246" w14:textId="77777777" w:rsidR="00FC6EBE" w:rsidRPr="00B457F5" w:rsidRDefault="00FC6EBE" w:rsidP="00FC6EBE">
            <w:pPr>
              <w:spacing w:before="0" w:after="0"/>
              <w:jc w:val="center"/>
              <w:rPr>
                <w:rFonts w:ascii="Garamond" w:eastAsia="Times New Roman" w:hAnsi="Garamond" w:cs="Arial"/>
                <w:color w:val="000000"/>
                <w:sz w:val="4"/>
                <w:szCs w:val="4"/>
              </w:rPr>
            </w:pPr>
            <w:r w:rsidRPr="00B457F5">
              <w:rPr>
                <w:rFonts w:ascii="Garamond" w:eastAsia="Times New Roman" w:hAnsi="Garamond" w:cs="Arial"/>
                <w:color w:val="000000"/>
                <w:sz w:val="4"/>
                <w:szCs w:val="4"/>
              </w:rPr>
              <w:t>0</w:t>
            </w:r>
          </w:p>
        </w:tc>
        <w:tc>
          <w:tcPr>
            <w:tcW w:w="611" w:type="pct"/>
            <w:vMerge/>
            <w:tcBorders>
              <w:top w:val="nil"/>
              <w:left w:val="nil"/>
              <w:bottom w:val="single" w:sz="8" w:space="0" w:color="8EAADB"/>
              <w:right w:val="single" w:sz="8" w:space="0" w:color="auto"/>
            </w:tcBorders>
            <w:vAlign w:val="center"/>
            <w:hideMark/>
          </w:tcPr>
          <w:p w14:paraId="1F1CF5C7" w14:textId="77777777" w:rsidR="00FC6EBE" w:rsidRPr="00B457F5" w:rsidRDefault="00FC6EBE" w:rsidP="00FC6EBE">
            <w:pPr>
              <w:spacing w:before="0" w:after="0"/>
              <w:jc w:val="left"/>
              <w:rPr>
                <w:rFonts w:ascii="Garamond" w:eastAsia="Times New Roman" w:hAnsi="Garamond" w:cs="Arial"/>
                <w:b/>
                <w:bCs/>
                <w:i/>
                <w:iCs/>
                <w:color w:val="000000"/>
                <w:sz w:val="4"/>
                <w:szCs w:val="4"/>
              </w:rPr>
            </w:pPr>
          </w:p>
        </w:tc>
      </w:tr>
      <w:tr w:rsidR="00FC6EBE" w:rsidRPr="00B457F5" w14:paraId="5676095E" w14:textId="77777777" w:rsidTr="00FC6EBE">
        <w:trPr>
          <w:trHeight w:val="20"/>
        </w:trPr>
        <w:tc>
          <w:tcPr>
            <w:tcW w:w="2045" w:type="pct"/>
            <w:tcBorders>
              <w:top w:val="nil"/>
              <w:left w:val="single" w:sz="4" w:space="0" w:color="auto"/>
              <w:bottom w:val="single" w:sz="4" w:space="0" w:color="auto"/>
              <w:right w:val="single" w:sz="4" w:space="0" w:color="auto"/>
            </w:tcBorders>
            <w:shd w:val="clear" w:color="000000" w:fill="D9E2F3"/>
            <w:vAlign w:val="center"/>
            <w:hideMark/>
          </w:tcPr>
          <w:p w14:paraId="6636CB5D" w14:textId="7D8B2C74" w:rsidR="00FC6EBE" w:rsidRPr="00B457F5" w:rsidRDefault="00FC6EBE" w:rsidP="00FC6EBE">
            <w:pPr>
              <w:spacing w:before="0" w:after="0"/>
              <w:jc w:val="right"/>
              <w:rPr>
                <w:rFonts w:ascii="Garamond" w:eastAsia="Times New Roman" w:hAnsi="Garamond" w:cs="Arial"/>
                <w:b/>
                <w:bCs/>
                <w:color w:val="000000"/>
                <w:sz w:val="4"/>
                <w:szCs w:val="4"/>
              </w:rPr>
            </w:pPr>
            <w:r w:rsidRPr="00B457F5">
              <w:rPr>
                <w:rFonts w:ascii="Garamond" w:eastAsia="Times New Roman" w:hAnsi="Garamond" w:cs="Arial"/>
                <w:b/>
                <w:bCs/>
                <w:color w:val="000000"/>
                <w:sz w:val="4"/>
                <w:szCs w:val="4"/>
              </w:rPr>
              <w:t>TOTALI [</w:t>
            </w:r>
            <w:r w:rsidR="0028334E" w:rsidRPr="00B457F5">
              <w:rPr>
                <w:rFonts w:ascii="Garamond" w:eastAsia="Times New Roman" w:hAnsi="Garamond" w:cs="Arial"/>
                <w:b/>
                <w:bCs/>
                <w:color w:val="000000"/>
                <w:sz w:val="4"/>
                <w:szCs w:val="4"/>
              </w:rPr>
              <w:t>l</w:t>
            </w:r>
            <w:r w:rsidRPr="00B457F5">
              <w:rPr>
                <w:rFonts w:ascii="Garamond" w:eastAsia="Times New Roman" w:hAnsi="Garamond" w:cs="Arial"/>
                <w:b/>
                <w:bCs/>
                <w:color w:val="000000"/>
                <w:sz w:val="4"/>
                <w:szCs w:val="4"/>
              </w:rPr>
              <w:t>ek]</w:t>
            </w:r>
          </w:p>
        </w:tc>
        <w:tc>
          <w:tcPr>
            <w:tcW w:w="494" w:type="pct"/>
            <w:tcBorders>
              <w:top w:val="nil"/>
              <w:left w:val="nil"/>
              <w:bottom w:val="single" w:sz="4" w:space="0" w:color="auto"/>
              <w:right w:val="single" w:sz="4" w:space="0" w:color="auto"/>
            </w:tcBorders>
            <w:shd w:val="clear" w:color="000000" w:fill="D9E2F3"/>
            <w:vAlign w:val="center"/>
            <w:hideMark/>
          </w:tcPr>
          <w:p w14:paraId="5F249519" w14:textId="77777777" w:rsidR="00FC6EBE" w:rsidRPr="00B457F5" w:rsidRDefault="00FC6EBE" w:rsidP="00FC6EBE">
            <w:pPr>
              <w:spacing w:before="0" w:after="0"/>
              <w:jc w:val="center"/>
              <w:rPr>
                <w:rFonts w:ascii="Garamond" w:eastAsia="Times New Roman" w:hAnsi="Garamond" w:cs="Arial"/>
                <w:b/>
                <w:bCs/>
                <w:color w:val="000000"/>
                <w:sz w:val="4"/>
                <w:szCs w:val="4"/>
              </w:rPr>
            </w:pPr>
            <w:r w:rsidRPr="00B457F5">
              <w:rPr>
                <w:rFonts w:ascii="Garamond" w:eastAsia="Times New Roman" w:hAnsi="Garamond" w:cs="Arial"/>
                <w:b/>
                <w:bCs/>
                <w:color w:val="000000"/>
                <w:sz w:val="4"/>
                <w:szCs w:val="4"/>
              </w:rPr>
              <w:t> </w:t>
            </w:r>
          </w:p>
        </w:tc>
        <w:tc>
          <w:tcPr>
            <w:tcW w:w="556" w:type="pct"/>
            <w:tcBorders>
              <w:top w:val="nil"/>
              <w:left w:val="nil"/>
              <w:bottom w:val="single" w:sz="4" w:space="0" w:color="auto"/>
              <w:right w:val="single" w:sz="4" w:space="0" w:color="auto"/>
            </w:tcBorders>
            <w:shd w:val="clear" w:color="000000" w:fill="D9E2F3"/>
            <w:vAlign w:val="center"/>
            <w:hideMark/>
          </w:tcPr>
          <w:p w14:paraId="1978CE3B" w14:textId="77777777" w:rsidR="00FC6EBE" w:rsidRPr="00B457F5" w:rsidRDefault="00FC6EBE" w:rsidP="00FC6EBE">
            <w:pPr>
              <w:spacing w:before="0" w:after="0"/>
              <w:jc w:val="center"/>
              <w:rPr>
                <w:rFonts w:ascii="Garamond" w:eastAsia="Times New Roman" w:hAnsi="Garamond" w:cs="Arial"/>
                <w:b/>
                <w:bCs/>
                <w:color w:val="000000"/>
                <w:sz w:val="4"/>
                <w:szCs w:val="4"/>
              </w:rPr>
            </w:pPr>
            <w:r w:rsidRPr="00B457F5">
              <w:rPr>
                <w:rFonts w:ascii="Garamond" w:eastAsia="Times New Roman" w:hAnsi="Garamond" w:cs="Arial"/>
                <w:b/>
                <w:bCs/>
                <w:color w:val="000000"/>
                <w:sz w:val="4"/>
                <w:szCs w:val="4"/>
              </w:rPr>
              <w:t>970,126,845</w:t>
            </w:r>
          </w:p>
        </w:tc>
        <w:tc>
          <w:tcPr>
            <w:tcW w:w="666" w:type="pct"/>
            <w:tcBorders>
              <w:top w:val="nil"/>
              <w:left w:val="nil"/>
              <w:bottom w:val="single" w:sz="4" w:space="0" w:color="auto"/>
              <w:right w:val="single" w:sz="4" w:space="0" w:color="auto"/>
            </w:tcBorders>
            <w:shd w:val="clear" w:color="000000" w:fill="D9E2F3"/>
            <w:vAlign w:val="center"/>
            <w:hideMark/>
          </w:tcPr>
          <w:p w14:paraId="4A8C615C" w14:textId="77777777" w:rsidR="00FC6EBE" w:rsidRPr="00B457F5" w:rsidRDefault="00FC6EBE" w:rsidP="00FC6EBE">
            <w:pPr>
              <w:spacing w:before="0" w:after="0"/>
              <w:jc w:val="center"/>
              <w:rPr>
                <w:rFonts w:ascii="Garamond" w:eastAsia="Times New Roman" w:hAnsi="Garamond" w:cs="Arial"/>
                <w:b/>
                <w:bCs/>
                <w:color w:val="000000"/>
                <w:sz w:val="4"/>
                <w:szCs w:val="4"/>
              </w:rPr>
            </w:pPr>
            <w:r w:rsidRPr="00B457F5">
              <w:rPr>
                <w:rFonts w:ascii="Garamond" w:eastAsia="Times New Roman" w:hAnsi="Garamond" w:cs="Arial"/>
                <w:b/>
                <w:bCs/>
                <w:color w:val="000000"/>
                <w:sz w:val="4"/>
                <w:szCs w:val="4"/>
              </w:rPr>
              <w:t>782,454,192</w:t>
            </w:r>
          </w:p>
        </w:tc>
        <w:tc>
          <w:tcPr>
            <w:tcW w:w="627" w:type="pct"/>
            <w:tcBorders>
              <w:top w:val="nil"/>
              <w:left w:val="nil"/>
              <w:bottom w:val="single" w:sz="4" w:space="0" w:color="auto"/>
              <w:right w:val="single" w:sz="4" w:space="0" w:color="auto"/>
            </w:tcBorders>
            <w:shd w:val="clear" w:color="000000" w:fill="D9E2F3"/>
            <w:vAlign w:val="center"/>
            <w:hideMark/>
          </w:tcPr>
          <w:p w14:paraId="067FDB8B" w14:textId="77777777" w:rsidR="00FC6EBE" w:rsidRPr="00B457F5" w:rsidRDefault="00FC6EBE" w:rsidP="00FC6EBE">
            <w:pPr>
              <w:spacing w:before="0" w:after="0"/>
              <w:jc w:val="center"/>
              <w:rPr>
                <w:rFonts w:ascii="Garamond" w:eastAsia="Times New Roman" w:hAnsi="Garamond" w:cs="Arial"/>
                <w:b/>
                <w:bCs/>
                <w:color w:val="000000"/>
                <w:sz w:val="4"/>
                <w:szCs w:val="4"/>
              </w:rPr>
            </w:pPr>
            <w:r w:rsidRPr="00B457F5">
              <w:rPr>
                <w:rFonts w:ascii="Garamond" w:eastAsia="Times New Roman" w:hAnsi="Garamond" w:cs="Arial"/>
                <w:b/>
                <w:bCs/>
                <w:color w:val="000000"/>
                <w:sz w:val="4"/>
                <w:szCs w:val="4"/>
              </w:rPr>
              <w:t>0</w:t>
            </w:r>
          </w:p>
        </w:tc>
        <w:tc>
          <w:tcPr>
            <w:tcW w:w="611" w:type="pct"/>
            <w:tcBorders>
              <w:top w:val="single" w:sz="4" w:space="0" w:color="auto"/>
              <w:left w:val="nil"/>
              <w:bottom w:val="single" w:sz="4" w:space="0" w:color="auto"/>
              <w:right w:val="single" w:sz="4" w:space="0" w:color="auto"/>
            </w:tcBorders>
            <w:shd w:val="clear" w:color="000000" w:fill="D9E2F3"/>
            <w:vAlign w:val="center"/>
            <w:hideMark/>
          </w:tcPr>
          <w:p w14:paraId="72162428" w14:textId="77777777" w:rsidR="00FC6EBE" w:rsidRPr="00B457F5" w:rsidRDefault="00FC6EBE" w:rsidP="00FC6EBE">
            <w:pPr>
              <w:spacing w:before="0" w:after="0"/>
              <w:jc w:val="center"/>
              <w:rPr>
                <w:rFonts w:ascii="Garamond" w:eastAsia="Times New Roman" w:hAnsi="Garamond" w:cs="Arial"/>
                <w:b/>
                <w:bCs/>
                <w:color w:val="000000"/>
                <w:sz w:val="4"/>
                <w:szCs w:val="4"/>
              </w:rPr>
            </w:pPr>
            <w:r w:rsidRPr="00B457F5">
              <w:rPr>
                <w:rFonts w:ascii="Garamond" w:eastAsia="Times New Roman" w:hAnsi="Garamond" w:cs="Arial"/>
                <w:b/>
                <w:bCs/>
                <w:color w:val="000000"/>
                <w:sz w:val="4"/>
                <w:szCs w:val="4"/>
              </w:rPr>
              <w:t>187,672,653</w:t>
            </w:r>
          </w:p>
        </w:tc>
      </w:tr>
      <w:tr w:rsidR="00FC6EBE" w:rsidRPr="00B457F5" w14:paraId="2AE9CBC0" w14:textId="77777777" w:rsidTr="00FC6EBE">
        <w:trPr>
          <w:trHeight w:val="20"/>
        </w:trPr>
        <w:tc>
          <w:tcPr>
            <w:tcW w:w="2045" w:type="pct"/>
            <w:tcBorders>
              <w:top w:val="nil"/>
              <w:left w:val="single" w:sz="8" w:space="0" w:color="auto"/>
              <w:bottom w:val="nil"/>
              <w:right w:val="single" w:sz="8" w:space="0" w:color="8EAADB"/>
            </w:tcBorders>
            <w:shd w:val="clear" w:color="auto" w:fill="auto"/>
            <w:vAlign w:val="center"/>
            <w:hideMark/>
          </w:tcPr>
          <w:p w14:paraId="0952384A" w14:textId="1E2BFF3D" w:rsidR="00FC6EBE" w:rsidRPr="00B457F5" w:rsidRDefault="00FC6EBE" w:rsidP="00FC6EBE">
            <w:pPr>
              <w:spacing w:before="0" w:after="0"/>
              <w:jc w:val="right"/>
              <w:rPr>
                <w:rFonts w:ascii="Garamond" w:eastAsia="Times New Roman" w:hAnsi="Garamond" w:cs="Arial"/>
                <w:b/>
                <w:bCs/>
                <w:color w:val="000000"/>
                <w:sz w:val="4"/>
                <w:szCs w:val="4"/>
              </w:rPr>
            </w:pPr>
            <w:r w:rsidRPr="00B457F5">
              <w:rPr>
                <w:rFonts w:ascii="Garamond" w:eastAsia="Times New Roman" w:hAnsi="Garamond" w:cs="Arial"/>
                <w:b/>
                <w:bCs/>
                <w:color w:val="000000"/>
                <w:sz w:val="4"/>
                <w:szCs w:val="4"/>
              </w:rPr>
              <w:t>TOTALI [</w:t>
            </w:r>
            <w:r w:rsidR="0028334E" w:rsidRPr="00B457F5">
              <w:rPr>
                <w:rFonts w:ascii="Garamond" w:eastAsia="Times New Roman" w:hAnsi="Garamond" w:cs="Arial"/>
                <w:b/>
                <w:bCs/>
                <w:color w:val="000000"/>
                <w:sz w:val="4"/>
                <w:szCs w:val="4"/>
              </w:rPr>
              <w:t>e</w:t>
            </w:r>
            <w:r w:rsidRPr="00B457F5">
              <w:rPr>
                <w:rFonts w:ascii="Garamond" w:eastAsia="Times New Roman" w:hAnsi="Garamond" w:cs="Arial"/>
                <w:b/>
                <w:bCs/>
                <w:color w:val="000000"/>
                <w:sz w:val="4"/>
                <w:szCs w:val="4"/>
              </w:rPr>
              <w:t>uro]</w:t>
            </w:r>
          </w:p>
        </w:tc>
        <w:tc>
          <w:tcPr>
            <w:tcW w:w="494"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324619E5" w14:textId="77777777" w:rsidR="00FC6EBE" w:rsidRPr="00B457F5" w:rsidRDefault="00FC6EBE" w:rsidP="00FC6EBE">
            <w:pPr>
              <w:spacing w:before="0" w:after="0"/>
              <w:jc w:val="center"/>
              <w:rPr>
                <w:rFonts w:ascii="Garamond" w:eastAsia="Times New Roman" w:hAnsi="Garamond" w:cs="Arial"/>
                <w:b/>
                <w:bCs/>
                <w:color w:val="000000"/>
                <w:sz w:val="4"/>
                <w:szCs w:val="4"/>
              </w:rPr>
            </w:pPr>
            <w:r w:rsidRPr="00B457F5">
              <w:rPr>
                <w:rFonts w:ascii="Garamond" w:eastAsia="Times New Roman" w:hAnsi="Garamond" w:cs="Arial"/>
                <w:b/>
                <w:bCs/>
                <w:color w:val="000000"/>
                <w:sz w:val="4"/>
                <w:szCs w:val="4"/>
              </w:rPr>
              <w:t> </w:t>
            </w:r>
          </w:p>
        </w:tc>
        <w:tc>
          <w:tcPr>
            <w:tcW w:w="556"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465C23B5" w14:textId="77777777" w:rsidR="00FC6EBE" w:rsidRPr="00B457F5" w:rsidRDefault="00FC6EBE" w:rsidP="00FC6EBE">
            <w:pPr>
              <w:spacing w:before="0" w:after="0"/>
              <w:jc w:val="center"/>
              <w:rPr>
                <w:rFonts w:ascii="Garamond" w:eastAsia="Times New Roman" w:hAnsi="Garamond" w:cs="Arial"/>
                <w:b/>
                <w:bCs/>
                <w:color w:val="000000"/>
                <w:sz w:val="4"/>
                <w:szCs w:val="4"/>
              </w:rPr>
            </w:pPr>
            <w:bookmarkStart w:id="81" w:name="RANGE!C14"/>
            <w:r w:rsidRPr="00B457F5">
              <w:rPr>
                <w:rFonts w:ascii="Garamond" w:eastAsia="Times New Roman" w:hAnsi="Garamond" w:cs="Arial"/>
                <w:b/>
                <w:bCs/>
                <w:color w:val="000000"/>
                <w:sz w:val="4"/>
                <w:szCs w:val="4"/>
              </w:rPr>
              <w:t>8,819,335</w:t>
            </w:r>
            <w:bookmarkEnd w:id="81"/>
          </w:p>
        </w:tc>
        <w:tc>
          <w:tcPr>
            <w:tcW w:w="666"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57D2B576" w14:textId="77777777" w:rsidR="00FC6EBE" w:rsidRPr="00B457F5" w:rsidRDefault="00FC6EBE" w:rsidP="00FC6EBE">
            <w:pPr>
              <w:spacing w:before="0" w:after="0"/>
              <w:jc w:val="center"/>
              <w:rPr>
                <w:rFonts w:ascii="Garamond" w:eastAsia="Times New Roman" w:hAnsi="Garamond" w:cs="Arial"/>
                <w:b/>
                <w:bCs/>
                <w:color w:val="000000"/>
                <w:sz w:val="4"/>
                <w:szCs w:val="4"/>
              </w:rPr>
            </w:pPr>
            <w:r w:rsidRPr="00B457F5">
              <w:rPr>
                <w:rFonts w:ascii="Garamond" w:eastAsia="Times New Roman" w:hAnsi="Garamond" w:cs="Arial"/>
                <w:b/>
                <w:bCs/>
                <w:color w:val="000000"/>
                <w:sz w:val="4"/>
                <w:szCs w:val="4"/>
              </w:rPr>
              <w:t>7,113,220</w:t>
            </w:r>
          </w:p>
        </w:tc>
        <w:tc>
          <w:tcPr>
            <w:tcW w:w="627"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4988607C" w14:textId="77777777" w:rsidR="00FC6EBE" w:rsidRPr="00B457F5" w:rsidRDefault="00FC6EBE" w:rsidP="00FC6EBE">
            <w:pPr>
              <w:spacing w:before="0" w:after="0"/>
              <w:jc w:val="center"/>
              <w:rPr>
                <w:rFonts w:ascii="Garamond" w:eastAsia="Times New Roman" w:hAnsi="Garamond" w:cs="Arial"/>
                <w:b/>
                <w:bCs/>
                <w:color w:val="000000"/>
                <w:sz w:val="4"/>
                <w:szCs w:val="4"/>
              </w:rPr>
            </w:pPr>
            <w:r w:rsidRPr="00B457F5">
              <w:rPr>
                <w:rFonts w:ascii="Garamond" w:eastAsia="Times New Roman" w:hAnsi="Garamond" w:cs="Arial"/>
                <w:b/>
                <w:bCs/>
                <w:color w:val="000000"/>
                <w:sz w:val="4"/>
                <w:szCs w:val="4"/>
              </w:rPr>
              <w:t>0</w:t>
            </w:r>
          </w:p>
        </w:tc>
        <w:tc>
          <w:tcPr>
            <w:tcW w:w="611" w:type="pct"/>
            <w:vMerge w:val="restart"/>
            <w:tcBorders>
              <w:top w:val="single" w:sz="8" w:space="0" w:color="8EAADB"/>
              <w:left w:val="single" w:sz="8" w:space="0" w:color="8EAADB"/>
              <w:bottom w:val="single" w:sz="8" w:space="0" w:color="000000"/>
              <w:right w:val="single" w:sz="8" w:space="0" w:color="auto"/>
            </w:tcBorders>
            <w:shd w:val="clear" w:color="auto" w:fill="auto"/>
            <w:vAlign w:val="center"/>
            <w:hideMark/>
          </w:tcPr>
          <w:p w14:paraId="0FEA4F1D" w14:textId="77777777" w:rsidR="00FC6EBE" w:rsidRPr="00B457F5" w:rsidRDefault="00FC6EBE" w:rsidP="00FC6EBE">
            <w:pPr>
              <w:spacing w:before="0" w:after="0"/>
              <w:jc w:val="center"/>
              <w:rPr>
                <w:rFonts w:ascii="Garamond" w:eastAsia="Times New Roman" w:hAnsi="Garamond" w:cs="Arial"/>
                <w:b/>
                <w:bCs/>
                <w:i/>
                <w:iCs/>
                <w:color w:val="000000"/>
                <w:sz w:val="4"/>
                <w:szCs w:val="4"/>
              </w:rPr>
            </w:pPr>
            <w:r w:rsidRPr="00B457F5">
              <w:rPr>
                <w:rFonts w:ascii="Garamond" w:eastAsia="Times New Roman" w:hAnsi="Garamond" w:cs="Arial"/>
                <w:b/>
                <w:bCs/>
                <w:i/>
                <w:iCs/>
                <w:color w:val="000000"/>
                <w:sz w:val="4"/>
                <w:szCs w:val="4"/>
              </w:rPr>
              <w:t>1,706,115</w:t>
            </w:r>
          </w:p>
        </w:tc>
      </w:tr>
      <w:tr w:rsidR="00FC6EBE" w:rsidRPr="00B457F5" w14:paraId="55F79AA7" w14:textId="77777777" w:rsidTr="00FC6EBE">
        <w:trPr>
          <w:trHeight w:val="20"/>
        </w:trPr>
        <w:tc>
          <w:tcPr>
            <w:tcW w:w="2045" w:type="pct"/>
            <w:tcBorders>
              <w:top w:val="nil"/>
              <w:left w:val="single" w:sz="8" w:space="0" w:color="auto"/>
              <w:bottom w:val="single" w:sz="8" w:space="0" w:color="auto"/>
              <w:right w:val="single" w:sz="8" w:space="0" w:color="8EAADB"/>
            </w:tcBorders>
            <w:shd w:val="clear" w:color="auto" w:fill="auto"/>
            <w:vAlign w:val="center"/>
            <w:hideMark/>
          </w:tcPr>
          <w:p w14:paraId="663A51C6" w14:textId="2D3439CF" w:rsidR="00FC6EBE" w:rsidRPr="00B457F5" w:rsidRDefault="00FC6EBE" w:rsidP="00FC6EBE">
            <w:pPr>
              <w:spacing w:before="0" w:after="0"/>
              <w:jc w:val="right"/>
              <w:rPr>
                <w:rFonts w:ascii="Garamond" w:eastAsia="Times New Roman" w:hAnsi="Garamond" w:cs="Arial"/>
                <w:b/>
                <w:bCs/>
                <w:i/>
                <w:iCs/>
                <w:color w:val="FF0000"/>
                <w:sz w:val="4"/>
                <w:szCs w:val="4"/>
              </w:rPr>
            </w:pPr>
            <w:r w:rsidRPr="00B457F5">
              <w:rPr>
                <w:rFonts w:ascii="Garamond" w:eastAsia="Times New Roman" w:hAnsi="Garamond" w:cs="Arial"/>
                <w:b/>
                <w:bCs/>
                <w:i/>
                <w:iCs/>
                <w:color w:val="FF0000"/>
                <w:sz w:val="4"/>
                <w:szCs w:val="4"/>
              </w:rPr>
              <w:t xml:space="preserve">1 euro </w:t>
            </w:r>
            <w:r w:rsidR="0028334E" w:rsidRPr="00B457F5">
              <w:rPr>
                <w:rFonts w:ascii="Garamond" w:eastAsia="Times New Roman" w:hAnsi="Garamond" w:cs="Arial"/>
                <w:b/>
                <w:bCs/>
                <w:i/>
                <w:iCs/>
                <w:color w:val="FF0000"/>
                <w:sz w:val="4"/>
                <w:szCs w:val="4"/>
              </w:rPr>
              <w:t xml:space="preserve">– </w:t>
            </w:r>
            <w:r w:rsidRPr="00B457F5">
              <w:rPr>
                <w:rFonts w:ascii="Garamond" w:eastAsia="Times New Roman" w:hAnsi="Garamond" w:cs="Arial"/>
                <w:b/>
                <w:bCs/>
                <w:i/>
                <w:iCs/>
                <w:color w:val="FF0000"/>
                <w:sz w:val="4"/>
                <w:szCs w:val="4"/>
              </w:rPr>
              <w:t xml:space="preserve">110 </w:t>
            </w:r>
            <w:r w:rsidR="0028334E" w:rsidRPr="00B457F5">
              <w:rPr>
                <w:rFonts w:ascii="Garamond" w:eastAsia="Times New Roman" w:hAnsi="Garamond" w:cs="Arial"/>
                <w:b/>
                <w:bCs/>
                <w:i/>
                <w:iCs/>
                <w:color w:val="FF0000"/>
                <w:sz w:val="4"/>
                <w:szCs w:val="4"/>
              </w:rPr>
              <w:t>l</w:t>
            </w:r>
            <w:r w:rsidRPr="00B457F5">
              <w:rPr>
                <w:rFonts w:ascii="Garamond" w:eastAsia="Times New Roman" w:hAnsi="Garamond" w:cs="Arial"/>
                <w:b/>
                <w:bCs/>
                <w:i/>
                <w:iCs/>
                <w:color w:val="FF0000"/>
                <w:sz w:val="4"/>
                <w:szCs w:val="4"/>
              </w:rPr>
              <w:t>ek</w:t>
            </w:r>
            <w:r w:rsidR="0028334E" w:rsidRPr="00B457F5">
              <w:rPr>
                <w:rFonts w:ascii="Garamond" w:eastAsia="Times New Roman" w:hAnsi="Garamond" w:cs="Arial"/>
                <w:b/>
                <w:bCs/>
                <w:i/>
                <w:iCs/>
                <w:color w:val="FF0000"/>
                <w:sz w:val="4"/>
                <w:szCs w:val="4"/>
              </w:rPr>
              <w:t>ë</w:t>
            </w:r>
          </w:p>
        </w:tc>
        <w:tc>
          <w:tcPr>
            <w:tcW w:w="494" w:type="pct"/>
            <w:vMerge/>
            <w:tcBorders>
              <w:top w:val="nil"/>
              <w:left w:val="single" w:sz="8" w:space="0" w:color="8EAADB"/>
              <w:bottom w:val="single" w:sz="8" w:space="0" w:color="000000"/>
              <w:right w:val="single" w:sz="8" w:space="0" w:color="8EAADB"/>
            </w:tcBorders>
            <w:vAlign w:val="center"/>
            <w:hideMark/>
          </w:tcPr>
          <w:p w14:paraId="66600EA4" w14:textId="77777777" w:rsidR="00FC6EBE" w:rsidRPr="00B457F5" w:rsidRDefault="00FC6EBE" w:rsidP="00FC6EBE">
            <w:pPr>
              <w:spacing w:before="0" w:after="0"/>
              <w:jc w:val="left"/>
              <w:rPr>
                <w:rFonts w:ascii="Garamond" w:eastAsia="Times New Roman" w:hAnsi="Garamond" w:cs="Arial"/>
                <w:b/>
                <w:bCs/>
                <w:color w:val="000000"/>
                <w:sz w:val="4"/>
                <w:szCs w:val="4"/>
              </w:rPr>
            </w:pPr>
          </w:p>
        </w:tc>
        <w:tc>
          <w:tcPr>
            <w:tcW w:w="556" w:type="pct"/>
            <w:vMerge/>
            <w:tcBorders>
              <w:top w:val="nil"/>
              <w:left w:val="single" w:sz="8" w:space="0" w:color="8EAADB"/>
              <w:bottom w:val="single" w:sz="8" w:space="0" w:color="000000"/>
              <w:right w:val="single" w:sz="8" w:space="0" w:color="8EAADB"/>
            </w:tcBorders>
            <w:vAlign w:val="center"/>
            <w:hideMark/>
          </w:tcPr>
          <w:p w14:paraId="0E1E9122" w14:textId="77777777" w:rsidR="00FC6EBE" w:rsidRPr="00B457F5" w:rsidRDefault="00FC6EBE" w:rsidP="00FC6EBE">
            <w:pPr>
              <w:spacing w:before="0" w:after="0"/>
              <w:jc w:val="left"/>
              <w:rPr>
                <w:rFonts w:ascii="Garamond" w:eastAsia="Times New Roman" w:hAnsi="Garamond" w:cs="Arial"/>
                <w:b/>
                <w:bCs/>
                <w:color w:val="000000"/>
                <w:sz w:val="4"/>
                <w:szCs w:val="4"/>
              </w:rPr>
            </w:pPr>
          </w:p>
        </w:tc>
        <w:tc>
          <w:tcPr>
            <w:tcW w:w="666" w:type="pct"/>
            <w:vMerge/>
            <w:tcBorders>
              <w:top w:val="nil"/>
              <w:left w:val="single" w:sz="8" w:space="0" w:color="8EAADB"/>
              <w:bottom w:val="single" w:sz="8" w:space="0" w:color="000000"/>
              <w:right w:val="single" w:sz="8" w:space="0" w:color="8EAADB"/>
            </w:tcBorders>
            <w:vAlign w:val="center"/>
            <w:hideMark/>
          </w:tcPr>
          <w:p w14:paraId="45B279E0" w14:textId="77777777" w:rsidR="00FC6EBE" w:rsidRPr="00B457F5" w:rsidRDefault="00FC6EBE" w:rsidP="00FC6EBE">
            <w:pPr>
              <w:spacing w:before="0" w:after="0"/>
              <w:jc w:val="left"/>
              <w:rPr>
                <w:rFonts w:ascii="Garamond" w:eastAsia="Times New Roman" w:hAnsi="Garamond" w:cs="Arial"/>
                <w:b/>
                <w:bCs/>
                <w:color w:val="000000"/>
                <w:sz w:val="4"/>
                <w:szCs w:val="4"/>
              </w:rPr>
            </w:pPr>
          </w:p>
        </w:tc>
        <w:tc>
          <w:tcPr>
            <w:tcW w:w="627" w:type="pct"/>
            <w:vMerge/>
            <w:tcBorders>
              <w:top w:val="nil"/>
              <w:left w:val="single" w:sz="8" w:space="0" w:color="8EAADB"/>
              <w:bottom w:val="single" w:sz="8" w:space="0" w:color="000000"/>
              <w:right w:val="single" w:sz="8" w:space="0" w:color="8EAADB"/>
            </w:tcBorders>
            <w:vAlign w:val="center"/>
            <w:hideMark/>
          </w:tcPr>
          <w:p w14:paraId="6AFA6CE0" w14:textId="77777777" w:rsidR="00FC6EBE" w:rsidRPr="00B457F5" w:rsidRDefault="00FC6EBE" w:rsidP="00FC6EBE">
            <w:pPr>
              <w:spacing w:before="0" w:after="0"/>
              <w:jc w:val="left"/>
              <w:rPr>
                <w:rFonts w:ascii="Garamond" w:eastAsia="Times New Roman" w:hAnsi="Garamond" w:cs="Arial"/>
                <w:b/>
                <w:bCs/>
                <w:color w:val="000000"/>
                <w:sz w:val="4"/>
                <w:szCs w:val="4"/>
              </w:rPr>
            </w:pPr>
          </w:p>
        </w:tc>
        <w:tc>
          <w:tcPr>
            <w:tcW w:w="611" w:type="pct"/>
            <w:vMerge/>
            <w:tcBorders>
              <w:top w:val="single" w:sz="8" w:space="0" w:color="8EAADB"/>
              <w:left w:val="single" w:sz="8" w:space="0" w:color="8EAADB"/>
              <w:bottom w:val="single" w:sz="8" w:space="0" w:color="000000"/>
              <w:right w:val="single" w:sz="8" w:space="0" w:color="auto"/>
            </w:tcBorders>
            <w:vAlign w:val="center"/>
            <w:hideMark/>
          </w:tcPr>
          <w:p w14:paraId="242FB9CC" w14:textId="77777777" w:rsidR="00FC6EBE" w:rsidRPr="00B457F5" w:rsidRDefault="00FC6EBE" w:rsidP="00FC6EBE">
            <w:pPr>
              <w:spacing w:before="0" w:after="0"/>
              <w:jc w:val="left"/>
              <w:rPr>
                <w:rFonts w:ascii="Garamond" w:eastAsia="Times New Roman" w:hAnsi="Garamond" w:cs="Arial"/>
                <w:b/>
                <w:bCs/>
                <w:i/>
                <w:iCs/>
                <w:color w:val="000000"/>
                <w:sz w:val="4"/>
                <w:szCs w:val="4"/>
              </w:rPr>
            </w:pPr>
          </w:p>
        </w:tc>
      </w:tr>
    </w:tbl>
    <w:p w14:paraId="22527DDD" w14:textId="77777777" w:rsidR="00151C91" w:rsidRPr="00B457F5" w:rsidRDefault="00151C91" w:rsidP="002E693B">
      <w:pPr>
        <w:tabs>
          <w:tab w:val="left" w:pos="540"/>
        </w:tabs>
        <w:spacing w:before="0" w:after="0"/>
        <w:ind w:firstLine="284"/>
        <w:rPr>
          <w:rFonts w:ascii="Garamond" w:hAnsi="Garamond" w:cs="Times New Roman"/>
          <w:szCs w:val="24"/>
        </w:rPr>
      </w:pPr>
    </w:p>
    <w:p w14:paraId="688826F8" w14:textId="5FAA6AD4" w:rsidR="00151C91" w:rsidRPr="00B457F5" w:rsidRDefault="00E85DAF" w:rsidP="00E85DAF">
      <w:pPr>
        <w:tabs>
          <w:tab w:val="left" w:pos="540"/>
        </w:tabs>
        <w:spacing w:before="0" w:after="0"/>
        <w:ind w:firstLine="284"/>
        <w:jc w:val="center"/>
        <w:rPr>
          <w:rFonts w:ascii="Garamond" w:hAnsi="Garamond" w:cs="Times New Roman"/>
          <w:szCs w:val="24"/>
        </w:rPr>
      </w:pPr>
      <w:r w:rsidRPr="00B457F5">
        <w:rPr>
          <w:rFonts w:ascii="Garamond" w:hAnsi="Garamond" w:cs="Times New Roman"/>
          <w:noProof/>
          <w:szCs w:val="24"/>
        </w:rPr>
        <w:drawing>
          <wp:inline distT="0" distB="0" distL="0" distR="0" wp14:anchorId="292C4D02" wp14:editId="3B3B53D4">
            <wp:extent cx="6031865" cy="3590520"/>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38657" cy="3594563"/>
                    </a:xfrm>
                    <a:prstGeom prst="rect">
                      <a:avLst/>
                    </a:prstGeom>
                    <a:noFill/>
                  </pic:spPr>
                </pic:pic>
              </a:graphicData>
            </a:graphic>
          </wp:inline>
        </w:drawing>
      </w:r>
    </w:p>
    <w:p w14:paraId="7693720B" w14:textId="6C5D41D7" w:rsidR="003F42F9" w:rsidRPr="00B457F5" w:rsidRDefault="003F42F9" w:rsidP="002E693B">
      <w:pPr>
        <w:tabs>
          <w:tab w:val="left" w:pos="2301"/>
        </w:tabs>
        <w:spacing w:before="0" w:after="0"/>
        <w:ind w:firstLine="284"/>
      </w:pPr>
      <w:bookmarkStart w:id="82" w:name="_bookmark17"/>
      <w:bookmarkEnd w:id="82"/>
    </w:p>
    <w:p w14:paraId="76349EC4" w14:textId="77777777" w:rsidR="00AF7FA1" w:rsidRPr="00B457F5" w:rsidRDefault="00AF7FA1" w:rsidP="002E693B">
      <w:pPr>
        <w:spacing w:before="0" w:after="0"/>
        <w:ind w:firstLine="284"/>
        <w:rPr>
          <w:rFonts w:ascii="Garamond" w:hAnsi="Garamond" w:cs="Times New Roman"/>
          <w:szCs w:val="24"/>
        </w:rPr>
      </w:pPr>
    </w:p>
    <w:p w14:paraId="4963A8A3" w14:textId="77777777" w:rsidR="00AF7FA1" w:rsidRPr="00B457F5" w:rsidRDefault="00AF7FA1" w:rsidP="002E693B">
      <w:pPr>
        <w:spacing w:before="0" w:after="0"/>
        <w:ind w:firstLine="284"/>
        <w:rPr>
          <w:rFonts w:ascii="Garamond" w:hAnsi="Garamond" w:cs="Times New Roman"/>
          <w:szCs w:val="24"/>
        </w:rPr>
      </w:pPr>
    </w:p>
    <w:p w14:paraId="0B2B3519" w14:textId="2C7E2889" w:rsidR="00AF7FA1" w:rsidRPr="00B457F5" w:rsidRDefault="00E85DAF" w:rsidP="00E85DAF">
      <w:pPr>
        <w:tabs>
          <w:tab w:val="left" w:pos="8370"/>
        </w:tabs>
        <w:spacing w:before="0" w:after="0"/>
        <w:ind w:firstLine="284"/>
        <w:jc w:val="center"/>
        <w:rPr>
          <w:rFonts w:ascii="Garamond" w:hAnsi="Garamond" w:cs="Times New Roman"/>
          <w:szCs w:val="24"/>
        </w:rPr>
      </w:pPr>
      <w:r w:rsidRPr="00B457F5">
        <w:rPr>
          <w:rFonts w:ascii="Garamond" w:hAnsi="Garamond" w:cs="Times New Roman"/>
          <w:noProof/>
          <w:szCs w:val="24"/>
        </w:rPr>
        <w:drawing>
          <wp:inline distT="0" distB="0" distL="0" distR="0" wp14:anchorId="67159702" wp14:editId="0A0B326D">
            <wp:extent cx="6774886" cy="4915814"/>
            <wp:effectExtent l="0" t="0" r="698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774886" cy="4915814"/>
                    </a:xfrm>
                    <a:prstGeom prst="rect">
                      <a:avLst/>
                    </a:prstGeom>
                    <a:noFill/>
                  </pic:spPr>
                </pic:pic>
              </a:graphicData>
            </a:graphic>
          </wp:inline>
        </w:drawing>
      </w:r>
    </w:p>
    <w:p w14:paraId="7EE5CC02" w14:textId="29BDF2D7" w:rsidR="00E85DAF" w:rsidRPr="00B457F5" w:rsidRDefault="00E85DAF" w:rsidP="00E85DAF">
      <w:pPr>
        <w:tabs>
          <w:tab w:val="left" w:pos="8370"/>
        </w:tabs>
        <w:spacing w:before="0" w:after="0"/>
        <w:ind w:firstLine="284"/>
        <w:jc w:val="center"/>
        <w:rPr>
          <w:rFonts w:ascii="Garamond" w:hAnsi="Garamond" w:cs="Times New Roman"/>
          <w:szCs w:val="24"/>
        </w:rPr>
      </w:pPr>
    </w:p>
    <w:p w14:paraId="7719ED7B" w14:textId="3280E563" w:rsidR="009F614E" w:rsidRPr="00B457F5" w:rsidRDefault="009F614E" w:rsidP="00E85DAF">
      <w:pPr>
        <w:tabs>
          <w:tab w:val="left" w:pos="8370"/>
        </w:tabs>
        <w:spacing w:before="0" w:after="0"/>
        <w:ind w:firstLine="284"/>
        <w:jc w:val="center"/>
        <w:rPr>
          <w:rFonts w:ascii="Garamond" w:hAnsi="Garamond" w:cs="Times New Roman"/>
          <w:szCs w:val="24"/>
        </w:rPr>
      </w:pPr>
      <w:r w:rsidRPr="00B457F5">
        <w:rPr>
          <w:rFonts w:ascii="Garamond" w:hAnsi="Garamond" w:cs="Times New Roman"/>
          <w:noProof/>
          <w:szCs w:val="24"/>
        </w:rPr>
        <w:lastRenderedPageBreak/>
        <w:drawing>
          <wp:inline distT="0" distB="0" distL="0" distR="0" wp14:anchorId="18B53310" wp14:editId="60610DFC">
            <wp:extent cx="7601803" cy="5524333"/>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601803" cy="5524333"/>
                    </a:xfrm>
                    <a:prstGeom prst="rect">
                      <a:avLst/>
                    </a:prstGeom>
                    <a:noFill/>
                  </pic:spPr>
                </pic:pic>
              </a:graphicData>
            </a:graphic>
          </wp:inline>
        </w:drawing>
      </w:r>
    </w:p>
    <w:p w14:paraId="15ECD558" w14:textId="73A55F07" w:rsidR="009F614E" w:rsidRPr="00B457F5" w:rsidRDefault="009F614E" w:rsidP="00E85DAF">
      <w:pPr>
        <w:tabs>
          <w:tab w:val="left" w:pos="8370"/>
        </w:tabs>
        <w:spacing w:before="0" w:after="0"/>
        <w:ind w:firstLine="284"/>
        <w:jc w:val="center"/>
        <w:rPr>
          <w:rFonts w:ascii="Garamond" w:hAnsi="Garamond" w:cs="Times New Roman"/>
          <w:szCs w:val="24"/>
        </w:rPr>
      </w:pPr>
    </w:p>
    <w:p w14:paraId="044B9243" w14:textId="77777777" w:rsidR="00417F2C" w:rsidRDefault="00417F2C" w:rsidP="009D2573">
      <w:pPr>
        <w:spacing w:before="0" w:after="0"/>
        <w:rPr>
          <w:rFonts w:ascii="Garamond" w:hAnsi="Garamond"/>
          <w:sz w:val="16"/>
          <w:szCs w:val="16"/>
        </w:rPr>
      </w:pPr>
    </w:p>
    <w:p w14:paraId="179D1A0B" w14:textId="7C69DCE1" w:rsidR="009D2573" w:rsidRPr="00B457F5" w:rsidRDefault="009D2573" w:rsidP="009D2573">
      <w:pPr>
        <w:spacing w:before="0" w:after="0"/>
        <w:rPr>
          <w:rFonts w:ascii="Garamond" w:hAnsi="Garamond"/>
          <w:sz w:val="16"/>
          <w:szCs w:val="16"/>
        </w:rPr>
      </w:pPr>
      <w:r w:rsidRPr="00B457F5">
        <w:rPr>
          <w:rFonts w:ascii="Garamond" w:hAnsi="Garamond"/>
          <w:sz w:val="16"/>
          <w:szCs w:val="16"/>
        </w:rPr>
        <w:lastRenderedPageBreak/>
        <w:t>ANEKS 3: FORMATET E PASAPORTAVE TË INDIKATORËVE</w:t>
      </w:r>
    </w:p>
    <w:p w14:paraId="00FCC6C1" w14:textId="3447AF7E" w:rsidR="009D2573" w:rsidRPr="00B457F5" w:rsidRDefault="009D2573" w:rsidP="009D2573">
      <w:pPr>
        <w:spacing w:before="0" w:after="0"/>
        <w:rPr>
          <w:rFonts w:ascii="Garamond" w:hAnsi="Garamond" w:cs="Times New Roman"/>
          <w:b/>
          <w:sz w:val="16"/>
          <w:szCs w:val="16"/>
        </w:rPr>
      </w:pPr>
      <w:r w:rsidRPr="00B457F5">
        <w:rPr>
          <w:rFonts w:ascii="Garamond" w:hAnsi="Garamond" w:cs="Times New Roman"/>
          <w:b/>
          <w:sz w:val="16"/>
          <w:szCs w:val="16"/>
        </w:rPr>
        <w:t xml:space="preserve">Treguesit e </w:t>
      </w:r>
      <w:r w:rsidR="0028334E" w:rsidRPr="00B457F5">
        <w:rPr>
          <w:rFonts w:ascii="Garamond" w:hAnsi="Garamond" w:cs="Times New Roman"/>
          <w:b/>
          <w:sz w:val="16"/>
          <w:szCs w:val="16"/>
        </w:rPr>
        <w:t xml:space="preserve">performancës së strategjisë </w:t>
      </w:r>
      <w:r w:rsidRPr="00B457F5">
        <w:rPr>
          <w:rFonts w:ascii="Garamond" w:hAnsi="Garamond" w:cs="Times New Roman"/>
          <w:b/>
          <w:sz w:val="16"/>
          <w:szCs w:val="16"/>
        </w:rPr>
        <w:t>SKM 2030</w:t>
      </w:r>
    </w:p>
    <w:p w14:paraId="79FF84F4" w14:textId="77777777" w:rsidR="00F53AA3" w:rsidRPr="00B457F5" w:rsidRDefault="00F53AA3" w:rsidP="009D2573">
      <w:pPr>
        <w:spacing w:before="0" w:after="0"/>
        <w:rPr>
          <w:rFonts w:ascii="Garamond" w:hAnsi="Garamond" w:cs="Times New Roman"/>
          <w:b/>
          <w:sz w:val="16"/>
          <w:szCs w:val="16"/>
        </w:rPr>
      </w:pPr>
    </w:p>
    <w:tbl>
      <w:tblPr>
        <w:tblStyle w:val="TableGrid"/>
        <w:tblW w:w="5000" w:type="pct"/>
        <w:tblLook w:val="04A0" w:firstRow="1" w:lastRow="0" w:firstColumn="1" w:lastColumn="0" w:noHBand="0" w:noVBand="1"/>
      </w:tblPr>
      <w:tblGrid>
        <w:gridCol w:w="997"/>
        <w:gridCol w:w="2849"/>
        <w:gridCol w:w="2373"/>
        <w:gridCol w:w="2278"/>
        <w:gridCol w:w="1220"/>
        <w:gridCol w:w="1195"/>
        <w:gridCol w:w="1621"/>
        <w:gridCol w:w="1461"/>
      </w:tblGrid>
      <w:tr w:rsidR="009D2573" w:rsidRPr="00B457F5" w14:paraId="0FC82938" w14:textId="77777777" w:rsidTr="00F53AA3">
        <w:trPr>
          <w:trHeight w:val="20"/>
          <w:tblHeader/>
        </w:trPr>
        <w:tc>
          <w:tcPr>
            <w:tcW w:w="356" w:type="pct"/>
            <w:shd w:val="clear" w:color="auto" w:fill="DBE5F1" w:themeFill="accent1" w:themeFillTint="33"/>
          </w:tcPr>
          <w:p w14:paraId="477B94C4" w14:textId="77777777" w:rsidR="009D2573" w:rsidRPr="00B457F5" w:rsidRDefault="009D2573" w:rsidP="009D2573">
            <w:pPr>
              <w:widowControl w:val="0"/>
              <w:spacing w:before="0" w:after="0"/>
              <w:rPr>
                <w:rFonts w:ascii="Garamond" w:hAnsi="Garamond" w:cs="Times New Roman"/>
                <w:sz w:val="12"/>
                <w:szCs w:val="16"/>
              </w:rPr>
            </w:pPr>
            <w:bookmarkStart w:id="83" w:name="_Hlk141690170"/>
          </w:p>
        </w:tc>
        <w:tc>
          <w:tcPr>
            <w:tcW w:w="1018" w:type="pct"/>
            <w:shd w:val="clear" w:color="auto" w:fill="DBE5F1" w:themeFill="accent1" w:themeFillTint="33"/>
            <w:vAlign w:val="center"/>
          </w:tcPr>
          <w:p w14:paraId="6B070BBA" w14:textId="77777777" w:rsidR="009D2573" w:rsidRPr="00B457F5" w:rsidRDefault="009D2573" w:rsidP="009D2573">
            <w:pPr>
              <w:widowControl w:val="0"/>
              <w:tabs>
                <w:tab w:val="center" w:pos="1394"/>
              </w:tabs>
              <w:spacing w:before="0" w:after="0"/>
              <w:jc w:val="center"/>
              <w:rPr>
                <w:rFonts w:ascii="Garamond" w:hAnsi="Garamond" w:cs="Times New Roman"/>
                <w:sz w:val="12"/>
                <w:szCs w:val="16"/>
              </w:rPr>
            </w:pPr>
            <w:r w:rsidRPr="00B457F5">
              <w:rPr>
                <w:rFonts w:ascii="Garamond" w:hAnsi="Garamond" w:cs="Times New Roman"/>
                <w:b/>
                <w:sz w:val="12"/>
                <w:szCs w:val="16"/>
              </w:rPr>
              <w:t>Objektivat</w:t>
            </w:r>
          </w:p>
        </w:tc>
        <w:tc>
          <w:tcPr>
            <w:tcW w:w="848" w:type="pct"/>
            <w:shd w:val="clear" w:color="auto" w:fill="DBE5F1" w:themeFill="accent1" w:themeFillTint="33"/>
            <w:vAlign w:val="center"/>
          </w:tcPr>
          <w:p w14:paraId="0859C753" w14:textId="77777777" w:rsidR="009D2573" w:rsidRPr="00B457F5" w:rsidRDefault="009D2573" w:rsidP="009D2573">
            <w:pPr>
              <w:widowControl w:val="0"/>
              <w:spacing w:before="0" w:after="0"/>
              <w:jc w:val="center"/>
              <w:rPr>
                <w:rFonts w:ascii="Garamond" w:hAnsi="Garamond" w:cs="Times New Roman"/>
                <w:sz w:val="12"/>
                <w:szCs w:val="16"/>
              </w:rPr>
            </w:pPr>
            <w:r w:rsidRPr="00B457F5">
              <w:rPr>
                <w:rFonts w:ascii="Garamond" w:hAnsi="Garamond" w:cs="Times New Roman"/>
                <w:b/>
                <w:sz w:val="12"/>
                <w:szCs w:val="16"/>
              </w:rPr>
              <w:t>Treguesi</w:t>
            </w:r>
          </w:p>
        </w:tc>
        <w:tc>
          <w:tcPr>
            <w:tcW w:w="814" w:type="pct"/>
            <w:shd w:val="clear" w:color="auto" w:fill="DBE5F1" w:themeFill="accent1" w:themeFillTint="33"/>
            <w:vAlign w:val="center"/>
          </w:tcPr>
          <w:p w14:paraId="77406C3A" w14:textId="77777777" w:rsidR="009D2573" w:rsidRPr="00B457F5" w:rsidRDefault="009D2573" w:rsidP="009D2573">
            <w:pPr>
              <w:widowControl w:val="0"/>
              <w:spacing w:before="0" w:after="0"/>
              <w:jc w:val="center"/>
              <w:rPr>
                <w:rFonts w:ascii="Garamond" w:hAnsi="Garamond" w:cs="Times New Roman"/>
                <w:sz w:val="12"/>
                <w:szCs w:val="16"/>
              </w:rPr>
            </w:pPr>
            <w:r w:rsidRPr="00B457F5">
              <w:rPr>
                <w:rFonts w:ascii="Garamond" w:hAnsi="Garamond" w:cs="Times New Roman"/>
                <w:b/>
                <w:sz w:val="12"/>
                <w:szCs w:val="16"/>
              </w:rPr>
              <w:t>Vlera bazë</w:t>
            </w:r>
          </w:p>
        </w:tc>
        <w:tc>
          <w:tcPr>
            <w:tcW w:w="436" w:type="pct"/>
            <w:shd w:val="clear" w:color="auto" w:fill="DBE5F1" w:themeFill="accent1" w:themeFillTint="33"/>
            <w:vAlign w:val="center"/>
          </w:tcPr>
          <w:p w14:paraId="7D84EC4C" w14:textId="77777777" w:rsidR="009D2573" w:rsidRPr="00B457F5" w:rsidRDefault="009D2573" w:rsidP="009D2573">
            <w:pPr>
              <w:widowControl w:val="0"/>
              <w:spacing w:before="0" w:after="0"/>
              <w:jc w:val="center"/>
              <w:rPr>
                <w:rFonts w:ascii="Garamond" w:hAnsi="Garamond" w:cs="Times New Roman"/>
                <w:sz w:val="12"/>
                <w:szCs w:val="16"/>
              </w:rPr>
            </w:pPr>
            <w:r w:rsidRPr="00B457F5">
              <w:rPr>
                <w:rFonts w:ascii="Garamond" w:hAnsi="Garamond" w:cs="Times New Roman"/>
                <w:b/>
                <w:sz w:val="12"/>
                <w:szCs w:val="16"/>
              </w:rPr>
              <w:t>Synimi 2026</w:t>
            </w:r>
          </w:p>
        </w:tc>
        <w:tc>
          <w:tcPr>
            <w:tcW w:w="427" w:type="pct"/>
            <w:shd w:val="clear" w:color="auto" w:fill="DBE5F1" w:themeFill="accent1" w:themeFillTint="33"/>
            <w:vAlign w:val="center"/>
          </w:tcPr>
          <w:p w14:paraId="6F6A09EE" w14:textId="77777777" w:rsidR="009D2573" w:rsidRPr="00B457F5" w:rsidRDefault="009D2573" w:rsidP="009D2573">
            <w:pPr>
              <w:widowControl w:val="0"/>
              <w:spacing w:before="0" w:after="0"/>
              <w:jc w:val="center"/>
              <w:rPr>
                <w:rFonts w:ascii="Garamond" w:hAnsi="Garamond" w:cs="Times New Roman"/>
                <w:sz w:val="12"/>
                <w:szCs w:val="16"/>
              </w:rPr>
            </w:pPr>
            <w:r w:rsidRPr="00B457F5">
              <w:rPr>
                <w:rFonts w:ascii="Garamond" w:hAnsi="Garamond" w:cs="Times New Roman"/>
                <w:b/>
                <w:sz w:val="12"/>
                <w:szCs w:val="16"/>
              </w:rPr>
              <w:t>Synimi 2030</w:t>
            </w:r>
          </w:p>
        </w:tc>
        <w:tc>
          <w:tcPr>
            <w:tcW w:w="579" w:type="pct"/>
            <w:shd w:val="clear" w:color="auto" w:fill="DBE5F1" w:themeFill="accent1" w:themeFillTint="33"/>
            <w:vAlign w:val="center"/>
          </w:tcPr>
          <w:p w14:paraId="520BE612" w14:textId="77777777" w:rsidR="009D2573" w:rsidRPr="00B457F5" w:rsidRDefault="009D2573" w:rsidP="009D2573">
            <w:pPr>
              <w:widowControl w:val="0"/>
              <w:spacing w:before="0" w:after="0"/>
              <w:jc w:val="center"/>
              <w:rPr>
                <w:rFonts w:ascii="Garamond" w:hAnsi="Garamond" w:cs="Times New Roman"/>
                <w:sz w:val="12"/>
                <w:szCs w:val="16"/>
              </w:rPr>
            </w:pPr>
            <w:r w:rsidRPr="00B457F5">
              <w:rPr>
                <w:rFonts w:ascii="Garamond" w:hAnsi="Garamond" w:cs="Times New Roman"/>
                <w:b/>
                <w:sz w:val="12"/>
                <w:szCs w:val="16"/>
              </w:rPr>
              <w:t>Burimet dhe mjetet e verifikimit</w:t>
            </w:r>
          </w:p>
        </w:tc>
        <w:tc>
          <w:tcPr>
            <w:tcW w:w="522" w:type="pct"/>
            <w:shd w:val="clear" w:color="auto" w:fill="DBE5F1" w:themeFill="accent1" w:themeFillTint="33"/>
            <w:vAlign w:val="center"/>
          </w:tcPr>
          <w:p w14:paraId="2D862F0F" w14:textId="77777777" w:rsidR="009D2573" w:rsidRPr="00B457F5" w:rsidRDefault="009D2573" w:rsidP="009D2573">
            <w:pPr>
              <w:widowControl w:val="0"/>
              <w:spacing w:before="0" w:after="0"/>
              <w:jc w:val="center"/>
              <w:rPr>
                <w:rFonts w:ascii="Garamond" w:hAnsi="Garamond" w:cs="Times New Roman"/>
                <w:sz w:val="12"/>
                <w:szCs w:val="16"/>
              </w:rPr>
            </w:pPr>
            <w:r w:rsidRPr="00B457F5">
              <w:rPr>
                <w:rFonts w:ascii="Garamond" w:hAnsi="Garamond" w:cs="Times New Roman"/>
                <w:b/>
                <w:sz w:val="12"/>
                <w:szCs w:val="16"/>
              </w:rPr>
              <w:t>Referenca në dok. të tjera</w:t>
            </w:r>
          </w:p>
        </w:tc>
      </w:tr>
      <w:tr w:rsidR="009D2573" w:rsidRPr="00B457F5" w14:paraId="65B81BDA" w14:textId="77777777" w:rsidTr="00F53AA3">
        <w:trPr>
          <w:trHeight w:val="20"/>
        </w:trPr>
        <w:tc>
          <w:tcPr>
            <w:tcW w:w="356" w:type="pct"/>
            <w:shd w:val="clear" w:color="auto" w:fill="auto"/>
            <w:vAlign w:val="center"/>
          </w:tcPr>
          <w:p w14:paraId="0CE209DC" w14:textId="311FFA4B" w:rsidR="009D2573" w:rsidRPr="00B457F5" w:rsidRDefault="009D2573" w:rsidP="00F53AA3">
            <w:pPr>
              <w:widowControl w:val="0"/>
              <w:spacing w:before="0" w:after="0"/>
              <w:jc w:val="left"/>
              <w:rPr>
                <w:rFonts w:ascii="Garamond" w:hAnsi="Garamond" w:cs="Times New Roman"/>
                <w:b/>
                <w:sz w:val="12"/>
                <w:szCs w:val="16"/>
              </w:rPr>
            </w:pPr>
            <w:r w:rsidRPr="00B457F5">
              <w:rPr>
                <w:rFonts w:ascii="Garamond" w:hAnsi="Garamond" w:cs="Times New Roman"/>
                <w:b/>
                <w:sz w:val="12"/>
                <w:szCs w:val="16"/>
              </w:rPr>
              <w:t>Qëllimi i politikës (</w:t>
            </w:r>
            <w:r w:rsidR="0028334E" w:rsidRPr="00B457F5">
              <w:rPr>
                <w:rFonts w:ascii="Garamond" w:hAnsi="Garamond" w:cs="Times New Roman"/>
                <w:b/>
                <w:sz w:val="12"/>
                <w:szCs w:val="16"/>
              </w:rPr>
              <w:t>ndikimi</w:t>
            </w:r>
            <w:r w:rsidRPr="00B457F5">
              <w:rPr>
                <w:rFonts w:ascii="Garamond" w:hAnsi="Garamond" w:cs="Times New Roman"/>
                <w:b/>
                <w:sz w:val="12"/>
                <w:szCs w:val="16"/>
              </w:rPr>
              <w:t>)</w:t>
            </w:r>
          </w:p>
        </w:tc>
        <w:tc>
          <w:tcPr>
            <w:tcW w:w="1018" w:type="pct"/>
            <w:shd w:val="clear" w:color="auto" w:fill="auto"/>
          </w:tcPr>
          <w:p w14:paraId="56A0FF75" w14:textId="77777777" w:rsidR="009D2573" w:rsidRPr="00B457F5" w:rsidRDefault="009D2573" w:rsidP="00F53AA3">
            <w:pPr>
              <w:widowControl w:val="0"/>
              <w:spacing w:before="0" w:after="0"/>
              <w:jc w:val="left"/>
              <w:rPr>
                <w:rFonts w:ascii="Garamond" w:hAnsi="Garamond" w:cs="Times New Roman"/>
                <w:b/>
                <w:sz w:val="12"/>
                <w:szCs w:val="16"/>
              </w:rPr>
            </w:pPr>
            <w:r w:rsidRPr="00B457F5">
              <w:rPr>
                <w:rFonts w:ascii="Garamond" w:hAnsi="Garamond" w:cs="Times New Roman"/>
                <w:b/>
                <w:sz w:val="12"/>
                <w:szCs w:val="16"/>
              </w:rPr>
              <w:t>Qëllimi i politikës 1: Garantimi i qeverisjes strategjike të migracionit në Shqipëri</w:t>
            </w:r>
          </w:p>
        </w:tc>
        <w:tc>
          <w:tcPr>
            <w:tcW w:w="848" w:type="pct"/>
            <w:shd w:val="clear" w:color="auto" w:fill="auto"/>
          </w:tcPr>
          <w:p w14:paraId="797510BB"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Shkalla e përfshirjes së institucioneve publike, organizatave ndërkombëtare dhe organizatave të shoqërisë civile, në çështjet e migracionit </w:t>
            </w:r>
          </w:p>
          <w:p w14:paraId="1B0FBEFC" w14:textId="77777777" w:rsidR="009D2573" w:rsidRPr="00B457F5" w:rsidRDefault="009D2573" w:rsidP="00F53AA3">
            <w:pPr>
              <w:widowControl w:val="0"/>
              <w:spacing w:before="0" w:after="0"/>
              <w:jc w:val="left"/>
              <w:rPr>
                <w:rFonts w:ascii="Garamond" w:hAnsi="Garamond" w:cs="Times New Roman"/>
                <w:sz w:val="12"/>
                <w:szCs w:val="16"/>
              </w:rPr>
            </w:pPr>
          </w:p>
        </w:tc>
        <w:tc>
          <w:tcPr>
            <w:tcW w:w="814" w:type="pct"/>
            <w:shd w:val="clear" w:color="auto" w:fill="auto"/>
          </w:tcPr>
          <w:p w14:paraId="461E9680" w14:textId="07193D58"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29 institucione udhëheqëse dhe mbështetëse (2022)</w:t>
            </w:r>
            <w:r w:rsidR="00B457F5">
              <w:rPr>
                <w:rFonts w:ascii="Garamond" w:hAnsi="Garamond" w:cs="Times New Roman"/>
                <w:sz w:val="12"/>
                <w:szCs w:val="16"/>
              </w:rPr>
              <w:t>;</w:t>
            </w:r>
          </w:p>
          <w:p w14:paraId="1E8074E2" w14:textId="77777777" w:rsidR="009D2573" w:rsidRPr="00B457F5" w:rsidRDefault="009D2573" w:rsidP="00F53AA3">
            <w:pPr>
              <w:widowControl w:val="0"/>
              <w:spacing w:before="0" w:after="0"/>
              <w:jc w:val="left"/>
              <w:rPr>
                <w:rFonts w:ascii="Garamond" w:hAnsi="Garamond" w:cs="Times New Roman"/>
                <w:sz w:val="12"/>
                <w:szCs w:val="16"/>
              </w:rPr>
            </w:pPr>
          </w:p>
          <w:p w14:paraId="4110C769" w14:textId="6E52FEE1"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8 organizata ndërkombëtare dhe organizata të shoqërisë civile (2022)</w:t>
            </w:r>
            <w:r w:rsidR="00B457F5">
              <w:rPr>
                <w:rFonts w:ascii="Garamond" w:hAnsi="Garamond" w:cs="Times New Roman"/>
                <w:sz w:val="12"/>
                <w:szCs w:val="16"/>
              </w:rPr>
              <w:t>.</w:t>
            </w:r>
          </w:p>
        </w:tc>
        <w:tc>
          <w:tcPr>
            <w:tcW w:w="436" w:type="pct"/>
            <w:shd w:val="clear" w:color="auto" w:fill="auto"/>
          </w:tcPr>
          <w:p w14:paraId="3BBEE1A9"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Rritje me 10 %</w:t>
            </w:r>
          </w:p>
        </w:tc>
        <w:tc>
          <w:tcPr>
            <w:tcW w:w="427" w:type="pct"/>
            <w:shd w:val="clear" w:color="auto" w:fill="auto"/>
          </w:tcPr>
          <w:p w14:paraId="24E3D40F"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Rritje me 10%</w:t>
            </w:r>
          </w:p>
        </w:tc>
        <w:tc>
          <w:tcPr>
            <w:tcW w:w="579" w:type="pct"/>
            <w:shd w:val="clear" w:color="auto" w:fill="auto"/>
          </w:tcPr>
          <w:p w14:paraId="534AF7C0" w14:textId="2EACC320"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MB - Raportet periodike të monitorimit të zbatimit të SKM dhe PV 2019</w:t>
            </w:r>
            <w:r w:rsidR="00FD1ECB" w:rsidRPr="00B457F5">
              <w:rPr>
                <w:rFonts w:ascii="Garamond" w:hAnsi="Garamond" w:cs="Times New Roman"/>
                <w:sz w:val="12"/>
                <w:szCs w:val="16"/>
              </w:rPr>
              <w:t>–</w:t>
            </w:r>
            <w:r w:rsidRPr="00B457F5">
              <w:rPr>
                <w:rFonts w:ascii="Garamond" w:hAnsi="Garamond" w:cs="Times New Roman"/>
                <w:sz w:val="12"/>
                <w:szCs w:val="16"/>
              </w:rPr>
              <w:t xml:space="preserve">2022 </w:t>
            </w:r>
          </w:p>
          <w:p w14:paraId="7E0F5258" w14:textId="77777777" w:rsidR="009D2573" w:rsidRPr="00B457F5" w:rsidRDefault="009D2573" w:rsidP="00F53AA3">
            <w:pPr>
              <w:widowControl w:val="0"/>
              <w:spacing w:before="0" w:after="0"/>
              <w:jc w:val="left"/>
              <w:rPr>
                <w:rFonts w:ascii="Garamond" w:hAnsi="Garamond" w:cs="Times New Roman"/>
                <w:sz w:val="12"/>
                <w:szCs w:val="16"/>
              </w:rPr>
            </w:pPr>
          </w:p>
          <w:p w14:paraId="2CD6F2C1"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Urdhër KM për KTM dhe GDM.</w:t>
            </w:r>
          </w:p>
        </w:tc>
        <w:tc>
          <w:tcPr>
            <w:tcW w:w="522" w:type="pct"/>
            <w:shd w:val="clear" w:color="auto" w:fill="auto"/>
          </w:tcPr>
          <w:p w14:paraId="4D2BA876"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GCM gjithë objektivat </w:t>
            </w:r>
            <w:r w:rsidR="00A313AE" w:rsidRPr="00B457F5">
              <w:rPr>
                <w:rFonts w:ascii="Garamond" w:hAnsi="Garamond" w:cs="Times New Roman"/>
                <w:i/>
                <w:sz w:val="12"/>
                <w:szCs w:val="16"/>
              </w:rPr>
              <w:t>“</w:t>
            </w:r>
            <w:r w:rsidRPr="00B457F5">
              <w:rPr>
                <w:rFonts w:ascii="Garamond" w:hAnsi="Garamond" w:cs="Times New Roman"/>
                <w:i/>
                <w:sz w:val="12"/>
                <w:szCs w:val="16"/>
              </w:rPr>
              <w:t>the whole government approach</w:t>
            </w:r>
            <w:r w:rsidR="00A313AE" w:rsidRPr="00B457F5">
              <w:rPr>
                <w:rFonts w:ascii="Garamond" w:hAnsi="Garamond" w:cs="Times New Roman"/>
                <w:i/>
                <w:sz w:val="12"/>
                <w:szCs w:val="16"/>
              </w:rPr>
              <w:t>”</w:t>
            </w:r>
          </w:p>
          <w:p w14:paraId="25937A63"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SDG</w:t>
            </w:r>
          </w:p>
          <w:p w14:paraId="25CAF717" w14:textId="6CE44333"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Strategjia e BE</w:t>
            </w:r>
            <w:r w:rsidR="00B457F5" w:rsidRPr="00B457F5">
              <w:rPr>
                <w:rFonts w:ascii="Garamond" w:hAnsi="Garamond" w:cs="Times New Roman"/>
                <w:sz w:val="12"/>
                <w:szCs w:val="16"/>
              </w:rPr>
              <w:t>-së</w:t>
            </w:r>
            <w:r w:rsidRPr="00B457F5">
              <w:rPr>
                <w:rFonts w:ascii="Garamond" w:hAnsi="Garamond" w:cs="Times New Roman"/>
                <w:sz w:val="12"/>
                <w:szCs w:val="16"/>
              </w:rPr>
              <w:t xml:space="preserve"> për Kthimin Vullnetar dhe Riintegrimin</w:t>
            </w:r>
          </w:p>
          <w:p w14:paraId="27EAE741"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Action Plan For Sustainable Migration Governance In</w:t>
            </w:r>
          </w:p>
          <w:p w14:paraId="79B667C6"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The Western Balkans 2023-2025</w:t>
            </w:r>
          </w:p>
        </w:tc>
      </w:tr>
      <w:bookmarkEnd w:id="83"/>
      <w:tr w:rsidR="009D2573" w:rsidRPr="00B457F5" w14:paraId="7005A82E" w14:textId="77777777" w:rsidTr="00F53AA3">
        <w:trPr>
          <w:trHeight w:val="20"/>
        </w:trPr>
        <w:tc>
          <w:tcPr>
            <w:tcW w:w="356" w:type="pct"/>
            <w:vMerge w:val="restart"/>
            <w:shd w:val="clear" w:color="auto" w:fill="auto"/>
            <w:vAlign w:val="center"/>
          </w:tcPr>
          <w:p w14:paraId="63115D06" w14:textId="77777777" w:rsidR="009D2573" w:rsidRPr="00B457F5" w:rsidRDefault="009D2573" w:rsidP="00F53AA3">
            <w:pPr>
              <w:widowControl w:val="0"/>
              <w:spacing w:before="0" w:after="0"/>
              <w:jc w:val="left"/>
              <w:rPr>
                <w:rFonts w:ascii="Garamond" w:hAnsi="Garamond" w:cs="Times New Roman"/>
                <w:b/>
                <w:sz w:val="12"/>
                <w:szCs w:val="16"/>
              </w:rPr>
            </w:pPr>
            <w:r w:rsidRPr="00B457F5">
              <w:rPr>
                <w:rFonts w:ascii="Garamond" w:hAnsi="Garamond" w:cs="Times New Roman"/>
                <w:b/>
                <w:sz w:val="12"/>
                <w:szCs w:val="16"/>
              </w:rPr>
              <w:t>Objektivi specifik/ strategjik</w:t>
            </w:r>
          </w:p>
        </w:tc>
        <w:tc>
          <w:tcPr>
            <w:tcW w:w="1018" w:type="pct"/>
            <w:vMerge w:val="restart"/>
            <w:shd w:val="clear" w:color="auto" w:fill="auto"/>
          </w:tcPr>
          <w:p w14:paraId="2C2A9F6C" w14:textId="08B99E33" w:rsidR="009D2573" w:rsidRPr="00B457F5" w:rsidRDefault="00E815B0" w:rsidP="00E815B0">
            <w:pPr>
              <w:pStyle w:val="ListParagraph"/>
              <w:widowControl w:val="0"/>
              <w:spacing w:before="0" w:after="0"/>
              <w:ind w:left="0" w:firstLine="0"/>
              <w:jc w:val="left"/>
              <w:rPr>
                <w:rFonts w:ascii="Garamond" w:hAnsi="Garamond" w:cs="Times New Roman"/>
                <w:sz w:val="12"/>
                <w:szCs w:val="16"/>
              </w:rPr>
            </w:pPr>
            <w:r w:rsidRPr="00B457F5">
              <w:rPr>
                <w:rFonts w:ascii="Garamond" w:hAnsi="Garamond" w:cs="Times New Roman"/>
                <w:sz w:val="12"/>
                <w:szCs w:val="16"/>
              </w:rPr>
              <w:t xml:space="preserve">1.1 </w:t>
            </w:r>
            <w:r w:rsidR="009D2573" w:rsidRPr="00B457F5">
              <w:rPr>
                <w:rFonts w:ascii="Garamond" w:hAnsi="Garamond" w:cs="Times New Roman"/>
                <w:sz w:val="12"/>
                <w:szCs w:val="16"/>
              </w:rPr>
              <w:t>Menaxhimi i migracionit nëpërmjet përmirësimit të kuadrit ligjor dhe institucional</w:t>
            </w:r>
          </w:p>
          <w:p w14:paraId="7A32CFD1" w14:textId="77777777" w:rsidR="009D2573" w:rsidRPr="00B457F5" w:rsidRDefault="009D2573" w:rsidP="00F53AA3">
            <w:pPr>
              <w:widowControl w:val="0"/>
              <w:spacing w:before="0" w:after="0"/>
              <w:jc w:val="left"/>
              <w:rPr>
                <w:rFonts w:ascii="Garamond" w:hAnsi="Garamond" w:cs="Times New Roman"/>
                <w:sz w:val="12"/>
                <w:szCs w:val="16"/>
              </w:rPr>
            </w:pPr>
          </w:p>
          <w:p w14:paraId="0A5B801D" w14:textId="77777777" w:rsidR="009D2573" w:rsidRPr="00B457F5" w:rsidRDefault="009D2573" w:rsidP="00F53AA3">
            <w:pPr>
              <w:widowControl w:val="0"/>
              <w:spacing w:before="0" w:after="0"/>
              <w:jc w:val="left"/>
              <w:rPr>
                <w:rFonts w:ascii="Garamond" w:hAnsi="Garamond" w:cs="Times New Roman"/>
                <w:sz w:val="12"/>
                <w:szCs w:val="16"/>
              </w:rPr>
            </w:pPr>
          </w:p>
          <w:p w14:paraId="734E7D52" w14:textId="77777777" w:rsidR="009D2573" w:rsidRPr="00B457F5" w:rsidRDefault="009D2573" w:rsidP="00F53AA3">
            <w:pPr>
              <w:widowControl w:val="0"/>
              <w:spacing w:before="0" w:after="0"/>
              <w:jc w:val="left"/>
              <w:rPr>
                <w:rFonts w:ascii="Garamond" w:hAnsi="Garamond" w:cs="Times New Roman"/>
                <w:sz w:val="12"/>
                <w:szCs w:val="16"/>
              </w:rPr>
            </w:pPr>
          </w:p>
          <w:p w14:paraId="252ABA1D" w14:textId="77777777" w:rsidR="009D2573" w:rsidRPr="00B457F5" w:rsidRDefault="009D2573" w:rsidP="00F53AA3">
            <w:pPr>
              <w:widowControl w:val="0"/>
              <w:spacing w:before="0" w:after="0"/>
              <w:jc w:val="left"/>
              <w:rPr>
                <w:rFonts w:ascii="Garamond" w:hAnsi="Garamond" w:cs="Times New Roman"/>
                <w:sz w:val="12"/>
                <w:szCs w:val="16"/>
              </w:rPr>
            </w:pPr>
          </w:p>
          <w:p w14:paraId="73329FCE" w14:textId="77777777" w:rsidR="009D2573" w:rsidRPr="00B457F5" w:rsidRDefault="009D2573" w:rsidP="00F53AA3">
            <w:pPr>
              <w:widowControl w:val="0"/>
              <w:spacing w:before="0" w:after="0"/>
              <w:jc w:val="left"/>
              <w:rPr>
                <w:rFonts w:ascii="Garamond" w:hAnsi="Garamond" w:cs="Times New Roman"/>
                <w:sz w:val="12"/>
                <w:szCs w:val="16"/>
              </w:rPr>
            </w:pPr>
          </w:p>
          <w:p w14:paraId="7829A7A8" w14:textId="77777777" w:rsidR="009D2573" w:rsidRPr="00B457F5" w:rsidRDefault="009D2573" w:rsidP="00F53AA3">
            <w:pPr>
              <w:widowControl w:val="0"/>
              <w:spacing w:before="0" w:after="0"/>
              <w:jc w:val="left"/>
              <w:rPr>
                <w:rFonts w:ascii="Garamond" w:hAnsi="Garamond" w:cs="Times New Roman"/>
                <w:sz w:val="12"/>
                <w:szCs w:val="16"/>
              </w:rPr>
            </w:pPr>
          </w:p>
          <w:p w14:paraId="7111C1C1" w14:textId="77777777" w:rsidR="009D2573" w:rsidRPr="00B457F5" w:rsidRDefault="009D2573" w:rsidP="00F53AA3">
            <w:pPr>
              <w:widowControl w:val="0"/>
              <w:spacing w:before="0" w:after="0"/>
              <w:jc w:val="left"/>
              <w:rPr>
                <w:rFonts w:ascii="Garamond" w:hAnsi="Garamond" w:cs="Times New Roman"/>
                <w:sz w:val="12"/>
                <w:szCs w:val="16"/>
              </w:rPr>
            </w:pPr>
          </w:p>
          <w:p w14:paraId="5142EE57" w14:textId="77777777" w:rsidR="009D2573" w:rsidRPr="00B457F5" w:rsidRDefault="009D2573" w:rsidP="00F53AA3">
            <w:pPr>
              <w:widowControl w:val="0"/>
              <w:spacing w:before="0" w:after="0"/>
              <w:jc w:val="left"/>
              <w:rPr>
                <w:rFonts w:ascii="Garamond" w:hAnsi="Garamond" w:cs="Times New Roman"/>
                <w:sz w:val="12"/>
                <w:szCs w:val="16"/>
              </w:rPr>
            </w:pPr>
          </w:p>
          <w:p w14:paraId="0FBE68BC" w14:textId="77777777" w:rsidR="009D2573" w:rsidRPr="00B457F5" w:rsidRDefault="009D2573" w:rsidP="00F53AA3">
            <w:pPr>
              <w:widowControl w:val="0"/>
              <w:spacing w:before="0" w:after="0"/>
              <w:jc w:val="left"/>
              <w:rPr>
                <w:rFonts w:ascii="Garamond" w:hAnsi="Garamond" w:cs="Times New Roman"/>
                <w:sz w:val="12"/>
                <w:szCs w:val="16"/>
              </w:rPr>
            </w:pPr>
          </w:p>
          <w:p w14:paraId="16C4A1B5" w14:textId="77777777" w:rsidR="009D2573" w:rsidRPr="00B457F5" w:rsidRDefault="009D2573" w:rsidP="00F53AA3">
            <w:pPr>
              <w:widowControl w:val="0"/>
              <w:spacing w:before="0" w:after="0"/>
              <w:jc w:val="left"/>
              <w:rPr>
                <w:rFonts w:ascii="Garamond" w:hAnsi="Garamond" w:cs="Times New Roman"/>
                <w:sz w:val="12"/>
                <w:szCs w:val="16"/>
              </w:rPr>
            </w:pPr>
          </w:p>
          <w:p w14:paraId="107C5315" w14:textId="77777777" w:rsidR="009D2573" w:rsidRPr="00B457F5" w:rsidRDefault="009D2573" w:rsidP="00F53AA3">
            <w:pPr>
              <w:widowControl w:val="0"/>
              <w:spacing w:before="0" w:after="0"/>
              <w:jc w:val="left"/>
              <w:rPr>
                <w:rFonts w:ascii="Garamond" w:hAnsi="Garamond" w:cs="Times New Roman"/>
                <w:sz w:val="12"/>
                <w:szCs w:val="16"/>
              </w:rPr>
            </w:pPr>
          </w:p>
        </w:tc>
        <w:tc>
          <w:tcPr>
            <w:tcW w:w="848" w:type="pct"/>
            <w:shd w:val="clear" w:color="auto" w:fill="auto"/>
          </w:tcPr>
          <w:p w14:paraId="0C8BF432" w14:textId="77777777" w:rsidR="009D2573" w:rsidRPr="00B457F5" w:rsidRDefault="009D2573" w:rsidP="00F53AA3">
            <w:pPr>
              <w:widowControl w:val="0"/>
              <w:spacing w:before="0" w:after="0"/>
              <w:jc w:val="left"/>
              <w:rPr>
                <w:rFonts w:ascii="Garamond" w:hAnsi="Garamond" w:cs="Times New Roman"/>
                <w:bCs/>
                <w:sz w:val="12"/>
                <w:szCs w:val="16"/>
              </w:rPr>
            </w:pPr>
            <w:r w:rsidRPr="00B457F5">
              <w:rPr>
                <w:rFonts w:ascii="Garamond" w:hAnsi="Garamond" w:cs="Times New Roman"/>
                <w:bCs/>
                <w:sz w:val="12"/>
                <w:szCs w:val="16"/>
              </w:rPr>
              <w:t>Numri i strukturave dhe nënpunësve të ngarkuar me detyra funksionale për migracionin</w:t>
            </w:r>
          </w:p>
          <w:p w14:paraId="7023D20A" w14:textId="77777777" w:rsidR="009D2573" w:rsidRPr="00B457F5" w:rsidRDefault="009D2573" w:rsidP="00F53AA3">
            <w:pPr>
              <w:widowControl w:val="0"/>
              <w:spacing w:before="0" w:after="0"/>
              <w:jc w:val="left"/>
              <w:rPr>
                <w:rFonts w:ascii="Garamond" w:hAnsi="Garamond" w:cs="Times New Roman"/>
                <w:sz w:val="12"/>
                <w:szCs w:val="16"/>
              </w:rPr>
            </w:pPr>
          </w:p>
        </w:tc>
        <w:tc>
          <w:tcPr>
            <w:tcW w:w="814" w:type="pct"/>
            <w:shd w:val="clear" w:color="auto" w:fill="auto"/>
          </w:tcPr>
          <w:p w14:paraId="293DCC76" w14:textId="77777777" w:rsidR="009D2573" w:rsidRPr="00B457F5" w:rsidRDefault="009D2573" w:rsidP="00F53AA3">
            <w:pPr>
              <w:widowControl w:val="0"/>
              <w:spacing w:before="0" w:after="0"/>
              <w:jc w:val="left"/>
              <w:rPr>
                <w:rFonts w:ascii="Garamond" w:hAnsi="Garamond" w:cs="Times New Roman"/>
                <w:sz w:val="12"/>
                <w:szCs w:val="16"/>
              </w:rPr>
            </w:pPr>
          </w:p>
        </w:tc>
        <w:tc>
          <w:tcPr>
            <w:tcW w:w="436" w:type="pct"/>
            <w:shd w:val="clear" w:color="auto" w:fill="auto"/>
          </w:tcPr>
          <w:p w14:paraId="42D9840A"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Rritës </w:t>
            </w:r>
          </w:p>
        </w:tc>
        <w:tc>
          <w:tcPr>
            <w:tcW w:w="427" w:type="pct"/>
            <w:shd w:val="clear" w:color="auto" w:fill="auto"/>
          </w:tcPr>
          <w:p w14:paraId="2DAB3DD0"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Rritës </w:t>
            </w:r>
          </w:p>
        </w:tc>
        <w:tc>
          <w:tcPr>
            <w:tcW w:w="579" w:type="pct"/>
            <w:shd w:val="clear" w:color="auto" w:fill="auto"/>
          </w:tcPr>
          <w:p w14:paraId="1D6F27A9"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ASPA – Raporte vjetore mbi trajnimet </w:t>
            </w:r>
          </w:p>
        </w:tc>
        <w:tc>
          <w:tcPr>
            <w:tcW w:w="522" w:type="pct"/>
            <w:vMerge w:val="restart"/>
            <w:shd w:val="clear" w:color="auto" w:fill="auto"/>
          </w:tcPr>
          <w:p w14:paraId="6479CC95"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GCM 12</w:t>
            </w:r>
          </w:p>
          <w:p w14:paraId="2FAA695D"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SDG10.7: </w:t>
            </w:r>
          </w:p>
          <w:p w14:paraId="3798EA94"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SDG16.6: </w:t>
            </w:r>
          </w:p>
          <w:p w14:paraId="006C08C9"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SDG16.9: </w:t>
            </w:r>
          </w:p>
          <w:p w14:paraId="4B99B267"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SDG 17.18</w:t>
            </w:r>
          </w:p>
          <w:p w14:paraId="4A441CDC"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EC.V.B</w:t>
            </w:r>
          </w:p>
          <w:p w14:paraId="32140E65"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EC.V.D; </w:t>
            </w:r>
          </w:p>
          <w:p w14:paraId="467916CD"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EC.V.E3; </w:t>
            </w:r>
          </w:p>
          <w:p w14:paraId="2E6C95B5"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EC.VI.A; EC.VII.C.A1.</w:t>
            </w:r>
          </w:p>
          <w:p w14:paraId="16B8156D"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EC.VII.C.A2;</w:t>
            </w:r>
          </w:p>
          <w:p w14:paraId="2F1AB3D1"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EC. VII.B.1</w:t>
            </w:r>
          </w:p>
          <w:p w14:paraId="2E711BC3"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EC.VII.C.A2;</w:t>
            </w:r>
          </w:p>
          <w:p w14:paraId="4442E294"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EC.V.C.5; EC.VI.C.B5</w:t>
            </w:r>
          </w:p>
          <w:p w14:paraId="54FB2054"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EC.V.C.6/10; EC.VI.B1</w:t>
            </w:r>
          </w:p>
          <w:p w14:paraId="3DC9566F" w14:textId="513AF4EB"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EC.V.C.9</w:t>
            </w:r>
          </w:p>
        </w:tc>
      </w:tr>
      <w:tr w:rsidR="009D2573" w:rsidRPr="00B457F5" w14:paraId="6D0810C9" w14:textId="77777777" w:rsidTr="00F53AA3">
        <w:trPr>
          <w:trHeight w:val="20"/>
        </w:trPr>
        <w:tc>
          <w:tcPr>
            <w:tcW w:w="356" w:type="pct"/>
            <w:vMerge/>
            <w:shd w:val="clear" w:color="auto" w:fill="auto"/>
          </w:tcPr>
          <w:p w14:paraId="2411CDF8" w14:textId="77777777" w:rsidR="009D2573" w:rsidRPr="00B457F5" w:rsidRDefault="009D2573" w:rsidP="00F53AA3">
            <w:pPr>
              <w:widowControl w:val="0"/>
              <w:spacing w:before="0" w:after="0"/>
              <w:jc w:val="left"/>
              <w:rPr>
                <w:rFonts w:ascii="Garamond" w:hAnsi="Garamond" w:cs="Times New Roman"/>
                <w:sz w:val="12"/>
                <w:szCs w:val="16"/>
              </w:rPr>
            </w:pPr>
          </w:p>
        </w:tc>
        <w:tc>
          <w:tcPr>
            <w:tcW w:w="1018" w:type="pct"/>
            <w:vMerge/>
            <w:shd w:val="clear" w:color="auto" w:fill="auto"/>
          </w:tcPr>
          <w:p w14:paraId="5A17743D" w14:textId="77777777" w:rsidR="009D2573" w:rsidRPr="00B457F5" w:rsidRDefault="009D2573" w:rsidP="00F53AA3">
            <w:pPr>
              <w:widowControl w:val="0"/>
              <w:spacing w:before="0" w:after="0"/>
              <w:jc w:val="left"/>
              <w:rPr>
                <w:rFonts w:ascii="Garamond" w:hAnsi="Garamond" w:cs="Times New Roman"/>
                <w:sz w:val="12"/>
                <w:szCs w:val="16"/>
              </w:rPr>
            </w:pPr>
          </w:p>
        </w:tc>
        <w:tc>
          <w:tcPr>
            <w:tcW w:w="848" w:type="pct"/>
            <w:shd w:val="clear" w:color="auto" w:fill="auto"/>
          </w:tcPr>
          <w:p w14:paraId="50D33D7F" w14:textId="15223FD9" w:rsidR="009D2573" w:rsidRPr="00B457F5" w:rsidRDefault="009D2573" w:rsidP="00F53AA3">
            <w:pPr>
              <w:widowControl w:val="0"/>
              <w:spacing w:before="0" w:after="0"/>
              <w:jc w:val="left"/>
              <w:rPr>
                <w:rFonts w:ascii="Garamond" w:hAnsi="Garamond" w:cs="Times New Roman"/>
                <w:bCs/>
                <w:sz w:val="12"/>
                <w:szCs w:val="16"/>
              </w:rPr>
            </w:pPr>
            <w:r w:rsidRPr="00B457F5">
              <w:rPr>
                <w:rFonts w:ascii="Garamond" w:hAnsi="Garamond" w:cs="Times New Roman"/>
                <w:bCs/>
                <w:sz w:val="12"/>
                <w:szCs w:val="16"/>
              </w:rPr>
              <w:t>Numri i akteve (vendime, direktiva, rregullore) të BE</w:t>
            </w:r>
            <w:r w:rsidR="00B457F5" w:rsidRPr="00B457F5">
              <w:rPr>
                <w:rFonts w:ascii="Garamond" w:hAnsi="Garamond" w:cs="Times New Roman"/>
                <w:sz w:val="12"/>
                <w:szCs w:val="16"/>
              </w:rPr>
              <w:t>-së</w:t>
            </w:r>
            <w:r w:rsidRPr="00B457F5">
              <w:rPr>
                <w:rFonts w:ascii="Garamond" w:hAnsi="Garamond" w:cs="Times New Roman"/>
                <w:bCs/>
                <w:sz w:val="12"/>
                <w:szCs w:val="16"/>
              </w:rPr>
              <w:t xml:space="preserve"> të transpozuara në legjislacionin për migracionin </w:t>
            </w:r>
          </w:p>
          <w:p w14:paraId="52EB1C35" w14:textId="77777777" w:rsidR="009D2573" w:rsidRPr="00B457F5" w:rsidRDefault="009D2573" w:rsidP="00F53AA3">
            <w:pPr>
              <w:widowControl w:val="0"/>
              <w:spacing w:before="0" w:after="0"/>
              <w:jc w:val="left"/>
              <w:rPr>
                <w:rFonts w:ascii="Garamond" w:hAnsi="Garamond" w:cs="Times New Roman"/>
                <w:bCs/>
                <w:sz w:val="12"/>
                <w:szCs w:val="16"/>
              </w:rPr>
            </w:pPr>
          </w:p>
          <w:p w14:paraId="20A60CC0" w14:textId="5DF83515" w:rsidR="009D2573" w:rsidRPr="00B457F5" w:rsidRDefault="009D2573" w:rsidP="00F53AA3">
            <w:pPr>
              <w:widowControl w:val="0"/>
              <w:spacing w:before="0" w:after="0"/>
              <w:jc w:val="left"/>
              <w:rPr>
                <w:rFonts w:ascii="Garamond" w:hAnsi="Garamond" w:cs="Times New Roman"/>
                <w:bCs/>
                <w:sz w:val="12"/>
                <w:szCs w:val="16"/>
              </w:rPr>
            </w:pPr>
            <w:r w:rsidRPr="00B457F5">
              <w:rPr>
                <w:rFonts w:ascii="Garamond" w:hAnsi="Garamond" w:cs="Times New Roman"/>
                <w:bCs/>
                <w:sz w:val="12"/>
                <w:szCs w:val="16"/>
              </w:rPr>
              <w:t>Shkalla e përafrimit me aktet e BE</w:t>
            </w:r>
            <w:r w:rsidR="00B457F5" w:rsidRPr="00B457F5">
              <w:rPr>
                <w:rFonts w:ascii="Garamond" w:hAnsi="Garamond" w:cs="Times New Roman"/>
                <w:sz w:val="12"/>
                <w:szCs w:val="16"/>
              </w:rPr>
              <w:t>-së</w:t>
            </w:r>
            <w:r w:rsidRPr="00B457F5">
              <w:rPr>
                <w:rFonts w:ascii="Garamond" w:hAnsi="Garamond" w:cs="Times New Roman"/>
                <w:bCs/>
                <w:sz w:val="12"/>
                <w:szCs w:val="16"/>
              </w:rPr>
              <w:t xml:space="preserve"> </w:t>
            </w:r>
          </w:p>
        </w:tc>
        <w:tc>
          <w:tcPr>
            <w:tcW w:w="814" w:type="pct"/>
            <w:shd w:val="clear" w:color="auto" w:fill="auto"/>
          </w:tcPr>
          <w:p w14:paraId="1D43E005" w14:textId="360A7033"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23 </w:t>
            </w:r>
            <w:r w:rsidR="00FD1ECB" w:rsidRPr="00B457F5">
              <w:rPr>
                <w:rFonts w:ascii="Garamond" w:hAnsi="Garamond" w:cs="Times New Roman"/>
                <w:sz w:val="12"/>
                <w:szCs w:val="16"/>
              </w:rPr>
              <w:t>a</w:t>
            </w:r>
            <w:r w:rsidRPr="00B457F5">
              <w:rPr>
                <w:rFonts w:ascii="Garamond" w:hAnsi="Garamond" w:cs="Times New Roman"/>
                <w:sz w:val="12"/>
                <w:szCs w:val="16"/>
              </w:rPr>
              <w:t>kte të transpozuara nga MB</w:t>
            </w:r>
          </w:p>
          <w:p w14:paraId="4FF5D11E" w14:textId="77777777" w:rsidR="009D2573" w:rsidRPr="00B457F5" w:rsidRDefault="009D2573" w:rsidP="00F53AA3">
            <w:pPr>
              <w:widowControl w:val="0"/>
              <w:spacing w:before="0" w:after="0"/>
              <w:jc w:val="left"/>
              <w:rPr>
                <w:rFonts w:ascii="Garamond" w:hAnsi="Garamond" w:cs="Times New Roman"/>
                <w:sz w:val="12"/>
                <w:szCs w:val="16"/>
              </w:rPr>
            </w:pPr>
          </w:p>
        </w:tc>
        <w:tc>
          <w:tcPr>
            <w:tcW w:w="436" w:type="pct"/>
            <w:shd w:val="clear" w:color="auto" w:fill="auto"/>
          </w:tcPr>
          <w:p w14:paraId="246459AC"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Rritës </w:t>
            </w:r>
          </w:p>
        </w:tc>
        <w:tc>
          <w:tcPr>
            <w:tcW w:w="427" w:type="pct"/>
            <w:shd w:val="clear" w:color="auto" w:fill="auto"/>
          </w:tcPr>
          <w:p w14:paraId="38D0D2EF"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Rritës </w:t>
            </w:r>
          </w:p>
        </w:tc>
        <w:tc>
          <w:tcPr>
            <w:tcW w:w="579" w:type="pct"/>
            <w:shd w:val="clear" w:color="auto" w:fill="auto"/>
          </w:tcPr>
          <w:p w14:paraId="3E38DE2F"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PKIE/LGA</w:t>
            </w:r>
          </w:p>
          <w:p w14:paraId="26B0963B" w14:textId="77777777" w:rsidR="009D2573" w:rsidRPr="00B457F5" w:rsidRDefault="009D2573" w:rsidP="00F53AA3">
            <w:pPr>
              <w:widowControl w:val="0"/>
              <w:spacing w:before="0" w:after="0"/>
              <w:jc w:val="left"/>
              <w:rPr>
                <w:rFonts w:ascii="Garamond" w:hAnsi="Garamond" w:cs="Times New Roman"/>
                <w:sz w:val="12"/>
                <w:szCs w:val="16"/>
              </w:rPr>
            </w:pPr>
          </w:p>
          <w:p w14:paraId="5F801126"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Tabelat e përputhshmërisë së akteve </w:t>
            </w:r>
          </w:p>
        </w:tc>
        <w:tc>
          <w:tcPr>
            <w:tcW w:w="522" w:type="pct"/>
            <w:vMerge/>
            <w:shd w:val="clear" w:color="auto" w:fill="auto"/>
          </w:tcPr>
          <w:p w14:paraId="4F1ED617" w14:textId="77777777" w:rsidR="009D2573" w:rsidRPr="00B457F5" w:rsidRDefault="009D2573" w:rsidP="00F53AA3">
            <w:pPr>
              <w:widowControl w:val="0"/>
              <w:spacing w:before="0" w:after="0"/>
              <w:jc w:val="left"/>
              <w:rPr>
                <w:rFonts w:ascii="Garamond" w:hAnsi="Garamond" w:cs="Times New Roman"/>
                <w:sz w:val="12"/>
                <w:szCs w:val="16"/>
              </w:rPr>
            </w:pPr>
          </w:p>
        </w:tc>
      </w:tr>
      <w:tr w:rsidR="009D2573" w:rsidRPr="00B457F5" w14:paraId="4BA3B24E" w14:textId="77777777" w:rsidTr="00F53AA3">
        <w:trPr>
          <w:trHeight w:val="20"/>
        </w:trPr>
        <w:tc>
          <w:tcPr>
            <w:tcW w:w="356" w:type="pct"/>
            <w:vMerge/>
            <w:shd w:val="clear" w:color="auto" w:fill="auto"/>
          </w:tcPr>
          <w:p w14:paraId="6978E674" w14:textId="77777777" w:rsidR="009D2573" w:rsidRPr="00B457F5" w:rsidRDefault="009D2573" w:rsidP="00F53AA3">
            <w:pPr>
              <w:widowControl w:val="0"/>
              <w:spacing w:before="0" w:after="0"/>
              <w:jc w:val="left"/>
              <w:rPr>
                <w:rFonts w:ascii="Garamond" w:hAnsi="Garamond" w:cs="Times New Roman"/>
                <w:sz w:val="12"/>
                <w:szCs w:val="16"/>
              </w:rPr>
            </w:pPr>
          </w:p>
        </w:tc>
        <w:tc>
          <w:tcPr>
            <w:tcW w:w="1018" w:type="pct"/>
            <w:shd w:val="clear" w:color="auto" w:fill="auto"/>
          </w:tcPr>
          <w:p w14:paraId="5E2DDEA9" w14:textId="5C3D9CE3"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1.2 Hartimi dhe rishikimi i </w:t>
            </w:r>
            <w:r w:rsidR="0006016F" w:rsidRPr="00B457F5">
              <w:rPr>
                <w:rFonts w:ascii="Garamond" w:hAnsi="Garamond" w:cs="Times New Roman"/>
                <w:sz w:val="12"/>
                <w:szCs w:val="16"/>
              </w:rPr>
              <w:t>politikave</w:t>
            </w:r>
            <w:r w:rsidRPr="00B457F5">
              <w:rPr>
                <w:rFonts w:ascii="Garamond" w:hAnsi="Garamond" w:cs="Times New Roman"/>
                <w:sz w:val="12"/>
                <w:szCs w:val="16"/>
              </w:rPr>
              <w:t xml:space="preserve"> </w:t>
            </w:r>
            <w:r w:rsidR="004C5C0C" w:rsidRPr="00B457F5">
              <w:rPr>
                <w:rFonts w:ascii="Garamond" w:hAnsi="Garamond" w:cs="Times New Roman"/>
                <w:sz w:val="12"/>
                <w:szCs w:val="16"/>
              </w:rPr>
              <w:t>të</w:t>
            </w:r>
            <w:r w:rsidRPr="00B457F5">
              <w:rPr>
                <w:rFonts w:ascii="Garamond" w:hAnsi="Garamond" w:cs="Times New Roman"/>
                <w:sz w:val="12"/>
                <w:szCs w:val="16"/>
              </w:rPr>
              <w:t xml:space="preserve"> migracionit bazuar në të dhëna të sakta dhe të koordinuara </w:t>
            </w:r>
          </w:p>
        </w:tc>
        <w:tc>
          <w:tcPr>
            <w:tcW w:w="848" w:type="pct"/>
            <w:shd w:val="clear" w:color="auto" w:fill="auto"/>
          </w:tcPr>
          <w:p w14:paraId="20C3D02A" w14:textId="2FF16F0A"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Disponueshmëria e të dhënave për migracionin</w:t>
            </w:r>
            <w:r w:rsidR="00B457F5" w:rsidRPr="00B457F5">
              <w:rPr>
                <w:rFonts w:ascii="Garamond" w:hAnsi="Garamond" w:cs="Times New Roman"/>
                <w:sz w:val="12"/>
                <w:szCs w:val="16"/>
              </w:rPr>
              <w:t>,</w:t>
            </w:r>
            <w:r w:rsidRPr="00B457F5">
              <w:rPr>
                <w:rFonts w:ascii="Garamond" w:hAnsi="Garamond" w:cs="Times New Roman"/>
                <w:sz w:val="12"/>
                <w:szCs w:val="16"/>
              </w:rPr>
              <w:t xml:space="preserve"> të ndara sipas të ardhurave, gjinisë, moshës, racës, përkatësisë etnike, statusit të migrimit, aftësisë së kufizuar, vendi</w:t>
            </w:r>
            <w:r w:rsidR="00B457F5" w:rsidRPr="00B457F5">
              <w:rPr>
                <w:rFonts w:ascii="Garamond" w:hAnsi="Garamond" w:cs="Times New Roman"/>
                <w:sz w:val="12"/>
                <w:szCs w:val="16"/>
              </w:rPr>
              <w:t>t</w:t>
            </w:r>
            <w:r w:rsidRPr="00B457F5">
              <w:rPr>
                <w:rFonts w:ascii="Garamond" w:hAnsi="Garamond" w:cs="Times New Roman"/>
                <w:sz w:val="12"/>
                <w:szCs w:val="16"/>
              </w:rPr>
              <w:t xml:space="preserve"> </w:t>
            </w:r>
            <w:r w:rsidR="00B457F5" w:rsidRPr="00B457F5">
              <w:rPr>
                <w:rFonts w:ascii="Garamond" w:hAnsi="Garamond" w:cs="Times New Roman"/>
                <w:sz w:val="12"/>
                <w:szCs w:val="16"/>
              </w:rPr>
              <w:t>të</w:t>
            </w:r>
            <w:r w:rsidRPr="00B457F5">
              <w:rPr>
                <w:rFonts w:ascii="Garamond" w:hAnsi="Garamond" w:cs="Times New Roman"/>
                <w:sz w:val="12"/>
                <w:szCs w:val="16"/>
              </w:rPr>
              <w:t xml:space="preserve"> </w:t>
            </w:r>
            <w:r w:rsidR="0006016F" w:rsidRPr="00B457F5">
              <w:rPr>
                <w:rFonts w:ascii="Garamond" w:hAnsi="Garamond" w:cs="Times New Roman"/>
                <w:sz w:val="12"/>
                <w:szCs w:val="16"/>
              </w:rPr>
              <w:t>origjinës</w:t>
            </w:r>
            <w:r w:rsidRPr="00B457F5">
              <w:rPr>
                <w:rFonts w:ascii="Garamond" w:hAnsi="Garamond" w:cs="Times New Roman"/>
                <w:sz w:val="12"/>
                <w:szCs w:val="16"/>
              </w:rPr>
              <w:t xml:space="preserve"> et</w:t>
            </w:r>
            <w:r w:rsidR="00B457F5" w:rsidRPr="00B457F5">
              <w:rPr>
                <w:rFonts w:ascii="Garamond" w:hAnsi="Garamond" w:cs="Times New Roman"/>
                <w:sz w:val="12"/>
                <w:szCs w:val="16"/>
              </w:rPr>
              <w:t>j</w:t>
            </w:r>
            <w:r w:rsidRPr="00B457F5">
              <w:rPr>
                <w:rFonts w:ascii="Garamond" w:hAnsi="Garamond" w:cs="Times New Roman"/>
                <w:sz w:val="12"/>
                <w:szCs w:val="16"/>
              </w:rPr>
              <w:t>.</w:t>
            </w:r>
          </w:p>
        </w:tc>
        <w:tc>
          <w:tcPr>
            <w:tcW w:w="814" w:type="pct"/>
            <w:shd w:val="clear" w:color="auto" w:fill="auto"/>
          </w:tcPr>
          <w:p w14:paraId="13159BC6"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0</w:t>
            </w:r>
          </w:p>
        </w:tc>
        <w:tc>
          <w:tcPr>
            <w:tcW w:w="436" w:type="pct"/>
            <w:shd w:val="clear" w:color="auto" w:fill="auto"/>
          </w:tcPr>
          <w:p w14:paraId="3F05BD77"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w:t>
            </w:r>
          </w:p>
        </w:tc>
        <w:tc>
          <w:tcPr>
            <w:tcW w:w="427" w:type="pct"/>
            <w:shd w:val="clear" w:color="auto" w:fill="auto"/>
          </w:tcPr>
          <w:p w14:paraId="5A426375"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w:t>
            </w:r>
          </w:p>
        </w:tc>
        <w:tc>
          <w:tcPr>
            <w:tcW w:w="579" w:type="pct"/>
            <w:shd w:val="clear" w:color="auto" w:fill="auto"/>
          </w:tcPr>
          <w:p w14:paraId="3FEE688E" w14:textId="3A23BB20"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Raporte nga </w:t>
            </w:r>
            <w:r w:rsidR="00FD1ECB" w:rsidRPr="00B457F5">
              <w:rPr>
                <w:rFonts w:ascii="Garamond" w:hAnsi="Garamond" w:cs="Times New Roman"/>
                <w:sz w:val="12"/>
                <w:szCs w:val="16"/>
              </w:rPr>
              <w:t xml:space="preserve">ministritë </w:t>
            </w:r>
            <w:r w:rsidRPr="00B457F5">
              <w:rPr>
                <w:rFonts w:ascii="Garamond" w:hAnsi="Garamond" w:cs="Times New Roman"/>
                <w:sz w:val="12"/>
                <w:szCs w:val="16"/>
              </w:rPr>
              <w:t>si hartuese politikash</w:t>
            </w:r>
          </w:p>
        </w:tc>
        <w:tc>
          <w:tcPr>
            <w:tcW w:w="522" w:type="pct"/>
            <w:shd w:val="clear" w:color="auto" w:fill="auto"/>
          </w:tcPr>
          <w:p w14:paraId="382DDC63"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GCM 1</w:t>
            </w:r>
          </w:p>
          <w:p w14:paraId="526CA2C5"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SDG10.7: </w:t>
            </w:r>
          </w:p>
          <w:p w14:paraId="2CAD537B"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SDG 17.18 </w:t>
            </w:r>
          </w:p>
          <w:p w14:paraId="10686F73"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Action Plan For Sustainable Migration Governance In</w:t>
            </w:r>
          </w:p>
          <w:p w14:paraId="1188597C"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The Western Balkans 2023-2025 (1) </w:t>
            </w:r>
          </w:p>
          <w:p w14:paraId="6F7DC903"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EC.VI.C.B6</w:t>
            </w:r>
          </w:p>
          <w:p w14:paraId="3768D442" w14:textId="52C221E8"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EC.III.C</w:t>
            </w:r>
          </w:p>
        </w:tc>
      </w:tr>
      <w:tr w:rsidR="009D2573" w:rsidRPr="00B457F5" w14:paraId="738085E8" w14:textId="77777777" w:rsidTr="00F53AA3">
        <w:trPr>
          <w:trHeight w:val="20"/>
        </w:trPr>
        <w:tc>
          <w:tcPr>
            <w:tcW w:w="356" w:type="pct"/>
            <w:shd w:val="clear" w:color="auto" w:fill="auto"/>
            <w:vAlign w:val="center"/>
          </w:tcPr>
          <w:p w14:paraId="61FC3B5E" w14:textId="77777777" w:rsidR="009D2573" w:rsidRPr="00B457F5" w:rsidRDefault="009D2573" w:rsidP="00F53AA3">
            <w:pPr>
              <w:widowControl w:val="0"/>
              <w:spacing w:before="0" w:after="0"/>
              <w:jc w:val="left"/>
              <w:rPr>
                <w:rFonts w:ascii="Garamond" w:hAnsi="Garamond" w:cs="Times New Roman"/>
                <w:sz w:val="12"/>
                <w:szCs w:val="16"/>
              </w:rPr>
            </w:pPr>
          </w:p>
        </w:tc>
        <w:tc>
          <w:tcPr>
            <w:tcW w:w="1018" w:type="pct"/>
            <w:shd w:val="clear" w:color="auto" w:fill="auto"/>
          </w:tcPr>
          <w:p w14:paraId="247E679B" w14:textId="279BF91A"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1.3</w:t>
            </w:r>
            <w:r w:rsidR="0006016F" w:rsidRPr="00B457F5">
              <w:rPr>
                <w:rFonts w:ascii="Garamond" w:hAnsi="Garamond" w:cs="Times New Roman"/>
                <w:sz w:val="12"/>
                <w:szCs w:val="16"/>
              </w:rPr>
              <w:t xml:space="preserve"> </w:t>
            </w:r>
            <w:r w:rsidRPr="00B457F5">
              <w:rPr>
                <w:rFonts w:ascii="Garamond" w:hAnsi="Garamond" w:cs="Times New Roman"/>
                <w:sz w:val="12"/>
                <w:szCs w:val="16"/>
              </w:rPr>
              <w:t>Forcimi i bashkëpunimit ndërkombëtar dhe partneriteteve për migrim të sigurt dhe të rregullt</w:t>
            </w:r>
            <w:r w:rsidR="0006016F" w:rsidRPr="00B457F5">
              <w:rPr>
                <w:rFonts w:ascii="Garamond" w:hAnsi="Garamond" w:cs="Times New Roman"/>
                <w:sz w:val="12"/>
                <w:szCs w:val="16"/>
              </w:rPr>
              <w:t xml:space="preserve"> </w:t>
            </w:r>
          </w:p>
        </w:tc>
        <w:tc>
          <w:tcPr>
            <w:tcW w:w="848" w:type="pct"/>
            <w:shd w:val="clear" w:color="auto" w:fill="auto"/>
          </w:tcPr>
          <w:p w14:paraId="205972B6" w14:textId="3E736B44"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Numri i </w:t>
            </w:r>
            <w:r w:rsidR="0006016F" w:rsidRPr="00B457F5">
              <w:rPr>
                <w:rFonts w:ascii="Garamond" w:hAnsi="Garamond" w:cs="Times New Roman"/>
                <w:sz w:val="12"/>
                <w:szCs w:val="16"/>
              </w:rPr>
              <w:t>partneriteteve</w:t>
            </w:r>
            <w:r w:rsidRPr="00B457F5">
              <w:rPr>
                <w:rFonts w:ascii="Garamond" w:hAnsi="Garamond" w:cs="Times New Roman"/>
                <w:sz w:val="12"/>
                <w:szCs w:val="16"/>
              </w:rPr>
              <w:t xml:space="preserve"> të reja për qeverisjen e migracionit</w:t>
            </w:r>
          </w:p>
        </w:tc>
        <w:tc>
          <w:tcPr>
            <w:tcW w:w="814" w:type="pct"/>
            <w:shd w:val="clear" w:color="auto" w:fill="auto"/>
          </w:tcPr>
          <w:p w14:paraId="22927BF2"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10</w:t>
            </w:r>
          </w:p>
        </w:tc>
        <w:tc>
          <w:tcPr>
            <w:tcW w:w="436" w:type="pct"/>
            <w:shd w:val="clear" w:color="auto" w:fill="auto"/>
          </w:tcPr>
          <w:p w14:paraId="68A9C5DC"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Rritës me 50%</w:t>
            </w:r>
          </w:p>
        </w:tc>
        <w:tc>
          <w:tcPr>
            <w:tcW w:w="427" w:type="pct"/>
            <w:shd w:val="clear" w:color="auto" w:fill="auto"/>
          </w:tcPr>
          <w:p w14:paraId="541865AF"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Rritës me 50%</w:t>
            </w:r>
          </w:p>
        </w:tc>
        <w:tc>
          <w:tcPr>
            <w:tcW w:w="579" w:type="pct"/>
            <w:shd w:val="clear" w:color="auto" w:fill="auto"/>
          </w:tcPr>
          <w:p w14:paraId="4701BF78" w14:textId="0003CFBC"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MB</w:t>
            </w:r>
            <w:r w:rsidR="005C6C49" w:rsidRPr="00B457F5">
              <w:rPr>
                <w:rFonts w:ascii="Garamond" w:hAnsi="Garamond" w:cs="Times New Roman"/>
                <w:sz w:val="12"/>
                <w:szCs w:val="16"/>
              </w:rPr>
              <w:t>/r</w:t>
            </w:r>
            <w:r w:rsidRPr="00B457F5">
              <w:rPr>
                <w:rFonts w:ascii="Garamond" w:hAnsi="Garamond" w:cs="Times New Roman"/>
                <w:sz w:val="12"/>
                <w:szCs w:val="16"/>
              </w:rPr>
              <w:t>aporte periodike mbi partneritet</w:t>
            </w:r>
            <w:r w:rsidR="00B457F5" w:rsidRPr="00B457F5">
              <w:rPr>
                <w:rFonts w:ascii="Garamond" w:hAnsi="Garamond" w:cs="Times New Roman"/>
                <w:sz w:val="12"/>
                <w:szCs w:val="16"/>
              </w:rPr>
              <w:t>et</w:t>
            </w:r>
          </w:p>
        </w:tc>
        <w:tc>
          <w:tcPr>
            <w:tcW w:w="522" w:type="pct"/>
            <w:shd w:val="clear" w:color="auto" w:fill="auto"/>
          </w:tcPr>
          <w:p w14:paraId="291B30B8"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SDGs</w:t>
            </w:r>
          </w:p>
          <w:p w14:paraId="1328B952"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23 GCM </w:t>
            </w:r>
          </w:p>
          <w:p w14:paraId="1C5A344A"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SKZHI</w:t>
            </w:r>
          </w:p>
          <w:p w14:paraId="4B94C8E2"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MIK </w:t>
            </w:r>
          </w:p>
          <w:p w14:paraId="25EB6350" w14:textId="77777777" w:rsidR="009D2573" w:rsidRPr="00B457F5" w:rsidRDefault="009D2573" w:rsidP="00F53AA3">
            <w:pPr>
              <w:widowControl w:val="0"/>
              <w:spacing w:before="0" w:after="0"/>
              <w:jc w:val="left"/>
              <w:rPr>
                <w:rFonts w:ascii="Garamond" w:hAnsi="Garamond" w:cs="Times New Roman"/>
                <w:sz w:val="12"/>
                <w:szCs w:val="16"/>
              </w:rPr>
            </w:pPr>
          </w:p>
          <w:p w14:paraId="524DCC67"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CE V.A; </w:t>
            </w:r>
          </w:p>
          <w:p w14:paraId="0DA76B2E"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EC. V.C.11;</w:t>
            </w:r>
          </w:p>
          <w:p w14:paraId="6AC77C6E"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EC.VI.C.B7;</w:t>
            </w:r>
          </w:p>
          <w:p w14:paraId="01FD7510"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EC.V.E2.2;</w:t>
            </w:r>
          </w:p>
        </w:tc>
      </w:tr>
      <w:tr w:rsidR="009D2573" w:rsidRPr="00B457F5" w14:paraId="7FA37579" w14:textId="77777777" w:rsidTr="00F53AA3">
        <w:trPr>
          <w:trHeight w:val="20"/>
        </w:trPr>
        <w:tc>
          <w:tcPr>
            <w:tcW w:w="356" w:type="pct"/>
            <w:shd w:val="clear" w:color="auto" w:fill="auto"/>
            <w:vAlign w:val="center"/>
          </w:tcPr>
          <w:p w14:paraId="249DFDBC" w14:textId="77777777" w:rsidR="009D2573" w:rsidRPr="00B457F5" w:rsidRDefault="009D2573" w:rsidP="00F53AA3">
            <w:pPr>
              <w:widowControl w:val="0"/>
              <w:spacing w:before="0" w:after="0"/>
              <w:jc w:val="left"/>
              <w:rPr>
                <w:rFonts w:ascii="Garamond" w:hAnsi="Garamond" w:cs="Times New Roman"/>
                <w:sz w:val="12"/>
                <w:szCs w:val="16"/>
              </w:rPr>
            </w:pPr>
          </w:p>
        </w:tc>
        <w:tc>
          <w:tcPr>
            <w:tcW w:w="1018" w:type="pct"/>
            <w:shd w:val="clear" w:color="auto" w:fill="auto"/>
          </w:tcPr>
          <w:p w14:paraId="5C1BE7CB" w14:textId="2D452090"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1.4 Parandalimi i migracionit të parregullt, në dhe nga Shqipëria </w:t>
            </w:r>
          </w:p>
        </w:tc>
        <w:tc>
          <w:tcPr>
            <w:tcW w:w="848" w:type="pct"/>
            <w:shd w:val="clear" w:color="auto" w:fill="auto"/>
          </w:tcPr>
          <w:p w14:paraId="35983010" w14:textId="2204DD5A"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Numri i të huajve të parregullt të identifikuar dhe të </w:t>
            </w:r>
            <w:r w:rsidR="00B457F5">
              <w:rPr>
                <w:rFonts w:ascii="Garamond" w:hAnsi="Garamond" w:cs="Times New Roman"/>
                <w:sz w:val="12"/>
                <w:szCs w:val="16"/>
              </w:rPr>
              <w:t>depërtuar.</w:t>
            </w:r>
          </w:p>
          <w:p w14:paraId="2A789D12" w14:textId="77777777" w:rsidR="009D2573" w:rsidRPr="00B457F5" w:rsidRDefault="009D2573" w:rsidP="00F53AA3">
            <w:pPr>
              <w:widowControl w:val="0"/>
              <w:spacing w:before="0" w:after="0"/>
              <w:jc w:val="left"/>
              <w:rPr>
                <w:rFonts w:ascii="Garamond" w:hAnsi="Garamond" w:cs="Times New Roman"/>
                <w:sz w:val="12"/>
                <w:szCs w:val="16"/>
              </w:rPr>
            </w:pPr>
          </w:p>
          <w:p w14:paraId="702E8B69" w14:textId="77777777" w:rsidR="009D2573" w:rsidRPr="00B457F5" w:rsidRDefault="009D2573" w:rsidP="00F53AA3">
            <w:pPr>
              <w:widowControl w:val="0"/>
              <w:spacing w:before="0" w:after="0"/>
              <w:jc w:val="left"/>
              <w:rPr>
                <w:rFonts w:ascii="Garamond" w:hAnsi="Garamond" w:cs="Times New Roman"/>
                <w:sz w:val="12"/>
                <w:szCs w:val="16"/>
              </w:rPr>
            </w:pPr>
          </w:p>
          <w:p w14:paraId="44A72D1C" w14:textId="3239A53E"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Numri i shqiptarëve të parregullt në BE dhe </w:t>
            </w:r>
            <w:r w:rsidR="00B457F5">
              <w:rPr>
                <w:rFonts w:ascii="Garamond" w:hAnsi="Garamond" w:cs="Times New Roman"/>
                <w:sz w:val="12"/>
                <w:szCs w:val="16"/>
              </w:rPr>
              <w:t>në</w:t>
            </w:r>
            <w:r w:rsidR="00B457F5" w:rsidRPr="00B457F5">
              <w:rPr>
                <w:rFonts w:ascii="Garamond" w:hAnsi="Garamond" w:cs="Times New Roman"/>
                <w:sz w:val="12"/>
                <w:szCs w:val="16"/>
              </w:rPr>
              <w:t xml:space="preserve"> </w:t>
            </w:r>
            <w:r w:rsidRPr="00B457F5">
              <w:rPr>
                <w:rFonts w:ascii="Garamond" w:hAnsi="Garamond" w:cs="Times New Roman"/>
                <w:sz w:val="12"/>
                <w:szCs w:val="16"/>
              </w:rPr>
              <w:t>bot</w:t>
            </w:r>
            <w:r w:rsidR="00B457F5">
              <w:rPr>
                <w:rFonts w:ascii="Garamond" w:hAnsi="Garamond" w:cs="Times New Roman"/>
                <w:sz w:val="12"/>
                <w:szCs w:val="16"/>
              </w:rPr>
              <w:t>ë.</w:t>
            </w:r>
          </w:p>
          <w:p w14:paraId="5C7A6FA6" w14:textId="77777777" w:rsidR="009D2573" w:rsidRPr="00B457F5" w:rsidRDefault="009D2573" w:rsidP="00F53AA3">
            <w:pPr>
              <w:widowControl w:val="0"/>
              <w:spacing w:before="0" w:after="0"/>
              <w:jc w:val="left"/>
              <w:rPr>
                <w:rFonts w:ascii="Garamond" w:hAnsi="Garamond" w:cs="Times New Roman"/>
                <w:sz w:val="12"/>
                <w:szCs w:val="16"/>
              </w:rPr>
            </w:pPr>
          </w:p>
          <w:p w14:paraId="601A2365" w14:textId="77777777" w:rsidR="009D2573" w:rsidRPr="00B457F5" w:rsidRDefault="009D2573" w:rsidP="00F53AA3">
            <w:pPr>
              <w:widowControl w:val="0"/>
              <w:spacing w:before="0" w:after="0"/>
              <w:jc w:val="left"/>
              <w:rPr>
                <w:rFonts w:ascii="Garamond" w:hAnsi="Garamond" w:cs="Times New Roman"/>
                <w:sz w:val="12"/>
                <w:szCs w:val="16"/>
              </w:rPr>
            </w:pPr>
          </w:p>
        </w:tc>
        <w:tc>
          <w:tcPr>
            <w:tcW w:w="814" w:type="pct"/>
            <w:shd w:val="clear" w:color="auto" w:fill="auto"/>
          </w:tcPr>
          <w:p w14:paraId="65CCCFB4" w14:textId="6BF4CD4D"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8 335 imigrantë të kapur në situatë të parregullt, për herë të parë (viti 2022)</w:t>
            </w:r>
            <w:r w:rsidR="00B457F5">
              <w:rPr>
                <w:rFonts w:ascii="Garamond" w:hAnsi="Garamond" w:cs="Times New Roman"/>
                <w:sz w:val="12"/>
                <w:szCs w:val="16"/>
              </w:rPr>
              <w:t>.</w:t>
            </w:r>
          </w:p>
          <w:p w14:paraId="7D490973" w14:textId="77777777" w:rsidR="009D2573" w:rsidRPr="00B457F5" w:rsidRDefault="009D2573" w:rsidP="00F53AA3">
            <w:pPr>
              <w:widowControl w:val="0"/>
              <w:spacing w:before="0" w:after="0"/>
              <w:jc w:val="left"/>
              <w:rPr>
                <w:rFonts w:ascii="Garamond" w:hAnsi="Garamond" w:cs="Times New Roman"/>
                <w:sz w:val="12"/>
                <w:szCs w:val="16"/>
              </w:rPr>
            </w:pPr>
          </w:p>
          <w:p w14:paraId="709CC992" w14:textId="2974F64A"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Kërkesa për azil nga shtetasit shqiptarë në vendet anëtare të BE-së dhe ato të Schengen-it, përkatësisht, 10 735 në vitin 2022</w:t>
            </w:r>
            <w:r w:rsidR="00B457F5">
              <w:rPr>
                <w:rFonts w:ascii="Garamond" w:hAnsi="Garamond" w:cs="Times New Roman"/>
                <w:sz w:val="12"/>
                <w:szCs w:val="16"/>
              </w:rPr>
              <w:t>.</w:t>
            </w:r>
          </w:p>
        </w:tc>
        <w:tc>
          <w:tcPr>
            <w:tcW w:w="436" w:type="pct"/>
            <w:shd w:val="clear" w:color="auto" w:fill="auto"/>
          </w:tcPr>
          <w:p w14:paraId="49EDCB6B" w14:textId="3F5261C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Rritje me 40% </w:t>
            </w:r>
            <w:r w:rsidR="00B457F5">
              <w:rPr>
                <w:rFonts w:ascii="Garamond" w:hAnsi="Garamond" w:cs="Times New Roman"/>
                <w:sz w:val="12"/>
                <w:szCs w:val="16"/>
              </w:rPr>
              <w:t>të</w:t>
            </w:r>
            <w:r w:rsidRPr="00B457F5">
              <w:rPr>
                <w:rFonts w:ascii="Garamond" w:hAnsi="Garamond" w:cs="Times New Roman"/>
                <w:sz w:val="12"/>
                <w:szCs w:val="16"/>
              </w:rPr>
              <w:t xml:space="preserve"> imigrantëve të kapur në situatë të parregullt</w:t>
            </w:r>
            <w:r w:rsidR="00B457F5">
              <w:rPr>
                <w:rFonts w:ascii="Garamond" w:hAnsi="Garamond" w:cs="Times New Roman"/>
                <w:sz w:val="12"/>
                <w:szCs w:val="16"/>
              </w:rPr>
              <w:t>.</w:t>
            </w:r>
          </w:p>
          <w:p w14:paraId="42A19892" w14:textId="567DE4A3"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Rritje e shkallës së zbulimit në mënyrë që të eliminohet emigrimi i parregullt deri në 60%</w:t>
            </w:r>
            <w:r w:rsidR="00B457F5">
              <w:rPr>
                <w:rFonts w:ascii="Garamond" w:hAnsi="Garamond" w:cs="Times New Roman"/>
                <w:sz w:val="12"/>
                <w:szCs w:val="16"/>
              </w:rPr>
              <w:t>.</w:t>
            </w:r>
          </w:p>
        </w:tc>
        <w:tc>
          <w:tcPr>
            <w:tcW w:w="427" w:type="pct"/>
            <w:shd w:val="clear" w:color="auto" w:fill="auto"/>
          </w:tcPr>
          <w:p w14:paraId="4C66E491" w14:textId="06461319"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Rritje me 60% </w:t>
            </w:r>
            <w:r w:rsidR="00B457F5">
              <w:rPr>
                <w:rFonts w:ascii="Garamond" w:hAnsi="Garamond" w:cs="Times New Roman"/>
                <w:sz w:val="12"/>
                <w:szCs w:val="16"/>
              </w:rPr>
              <w:t>të</w:t>
            </w:r>
            <w:r w:rsidRPr="00B457F5">
              <w:rPr>
                <w:rFonts w:ascii="Garamond" w:hAnsi="Garamond" w:cs="Times New Roman"/>
                <w:sz w:val="12"/>
                <w:szCs w:val="16"/>
              </w:rPr>
              <w:t xml:space="preserve"> imigrantëve të kapur në situatë të parregullt</w:t>
            </w:r>
            <w:r w:rsidR="00B457F5">
              <w:rPr>
                <w:rFonts w:ascii="Garamond" w:hAnsi="Garamond" w:cs="Times New Roman"/>
                <w:sz w:val="12"/>
                <w:szCs w:val="16"/>
              </w:rPr>
              <w:t>.</w:t>
            </w:r>
          </w:p>
          <w:p w14:paraId="225B6C1D" w14:textId="4957634C"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Rritje e shkallës së zbulimit në mënyrë që të eliminohet emigrimi i parregullt deri në 80%</w:t>
            </w:r>
            <w:r w:rsidR="00B457F5">
              <w:rPr>
                <w:rFonts w:ascii="Garamond" w:hAnsi="Garamond" w:cs="Times New Roman"/>
                <w:sz w:val="12"/>
                <w:szCs w:val="16"/>
              </w:rPr>
              <w:t>.</w:t>
            </w:r>
          </w:p>
        </w:tc>
        <w:tc>
          <w:tcPr>
            <w:tcW w:w="579" w:type="pct"/>
            <w:shd w:val="clear" w:color="auto" w:fill="auto"/>
          </w:tcPr>
          <w:p w14:paraId="284F5B6B" w14:textId="04FB36F1"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DKM/</w:t>
            </w:r>
            <w:r w:rsidR="00B457F5">
              <w:rPr>
                <w:rFonts w:ascii="Garamond" w:hAnsi="Garamond" w:cs="Times New Roman"/>
                <w:sz w:val="12"/>
                <w:szCs w:val="16"/>
              </w:rPr>
              <w:t>t</w:t>
            </w:r>
            <w:r w:rsidRPr="00B457F5">
              <w:rPr>
                <w:rFonts w:ascii="Garamond" w:hAnsi="Garamond" w:cs="Times New Roman"/>
                <w:sz w:val="12"/>
                <w:szCs w:val="16"/>
              </w:rPr>
              <w:t xml:space="preserve">ë dhëna administrative </w:t>
            </w:r>
          </w:p>
          <w:p w14:paraId="0772EB45"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FER TIMS</w:t>
            </w:r>
          </w:p>
          <w:p w14:paraId="5EB86FE9"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EUROSTAT</w:t>
            </w:r>
          </w:p>
        </w:tc>
        <w:tc>
          <w:tcPr>
            <w:tcW w:w="522" w:type="pct"/>
            <w:shd w:val="clear" w:color="auto" w:fill="auto"/>
          </w:tcPr>
          <w:p w14:paraId="64AA202C"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3 GCM</w:t>
            </w:r>
          </w:p>
          <w:p w14:paraId="6DA132B7"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10.7 SDG</w:t>
            </w:r>
          </w:p>
          <w:p w14:paraId="5C23848C"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17.18 SDG</w:t>
            </w:r>
          </w:p>
          <w:p w14:paraId="59A0E89E" w14:textId="146E7114"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Strategjia e BE</w:t>
            </w:r>
            <w:r w:rsidR="00B457F5">
              <w:rPr>
                <w:rFonts w:ascii="Garamond" w:hAnsi="Garamond" w:cs="Times New Roman"/>
                <w:sz w:val="12"/>
                <w:szCs w:val="16"/>
              </w:rPr>
              <w:t>-së</w:t>
            </w:r>
            <w:r w:rsidRPr="00B457F5">
              <w:rPr>
                <w:rFonts w:ascii="Garamond" w:hAnsi="Garamond" w:cs="Times New Roman"/>
                <w:sz w:val="12"/>
                <w:szCs w:val="16"/>
              </w:rPr>
              <w:t xml:space="preserve"> për Kthimin Vullnetar dhe Riintegrimin</w:t>
            </w:r>
          </w:p>
          <w:p w14:paraId="0D08D59C" w14:textId="77777777" w:rsidR="009D2573" w:rsidRPr="00B457F5" w:rsidRDefault="009D2573" w:rsidP="00F53AA3">
            <w:pPr>
              <w:widowControl w:val="0"/>
              <w:spacing w:before="0" w:after="0"/>
              <w:jc w:val="left"/>
              <w:rPr>
                <w:rFonts w:ascii="Garamond" w:hAnsi="Garamond" w:cs="Times New Roman"/>
                <w:sz w:val="12"/>
                <w:szCs w:val="16"/>
              </w:rPr>
            </w:pPr>
          </w:p>
          <w:p w14:paraId="26F77DD7"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EC.7B.5</w:t>
            </w:r>
          </w:p>
        </w:tc>
      </w:tr>
      <w:tr w:rsidR="009D2573" w:rsidRPr="00B457F5" w14:paraId="66F98DDC" w14:textId="77777777" w:rsidTr="00F53AA3">
        <w:trPr>
          <w:trHeight w:val="20"/>
        </w:trPr>
        <w:tc>
          <w:tcPr>
            <w:tcW w:w="356" w:type="pct"/>
            <w:vMerge w:val="restart"/>
            <w:vAlign w:val="center"/>
          </w:tcPr>
          <w:p w14:paraId="3CDE9107" w14:textId="77777777" w:rsidR="009D2573" w:rsidRPr="00B457F5" w:rsidRDefault="009D2573" w:rsidP="00F53AA3">
            <w:pPr>
              <w:widowControl w:val="0"/>
              <w:spacing w:before="0" w:after="0"/>
              <w:jc w:val="left"/>
              <w:rPr>
                <w:rFonts w:ascii="Garamond" w:hAnsi="Garamond" w:cs="Times New Roman"/>
                <w:b/>
                <w:sz w:val="12"/>
                <w:szCs w:val="16"/>
              </w:rPr>
            </w:pPr>
            <w:r w:rsidRPr="00B457F5">
              <w:rPr>
                <w:rFonts w:ascii="Garamond" w:hAnsi="Garamond" w:cs="Times New Roman"/>
                <w:b/>
                <w:sz w:val="12"/>
                <w:szCs w:val="16"/>
              </w:rPr>
              <w:t>Masat prioritare</w:t>
            </w:r>
          </w:p>
        </w:tc>
        <w:tc>
          <w:tcPr>
            <w:tcW w:w="1018" w:type="pct"/>
          </w:tcPr>
          <w:p w14:paraId="416E8CF0" w14:textId="57EA942A"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1.1.1</w:t>
            </w:r>
            <w:r w:rsidR="00E815B0" w:rsidRPr="00B457F5">
              <w:rPr>
                <w:rFonts w:ascii="Garamond" w:hAnsi="Garamond" w:cs="Times New Roman"/>
                <w:sz w:val="12"/>
                <w:szCs w:val="16"/>
              </w:rPr>
              <w:t xml:space="preserve"> </w:t>
            </w:r>
            <w:r w:rsidRPr="00B457F5">
              <w:rPr>
                <w:rFonts w:ascii="Garamond" w:hAnsi="Garamond" w:cs="Times New Roman"/>
                <w:sz w:val="12"/>
                <w:szCs w:val="16"/>
              </w:rPr>
              <w:t xml:space="preserve">Përafrimi i kuadrit ligjor kombëtar për migracionin me kuadrin ligjor të BE-së </w:t>
            </w:r>
          </w:p>
        </w:tc>
        <w:tc>
          <w:tcPr>
            <w:tcW w:w="848" w:type="pct"/>
          </w:tcPr>
          <w:p w14:paraId="4921B365" w14:textId="0108FA80"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Numri i ndryshimeve ligjore</w:t>
            </w:r>
            <w:r w:rsidR="00B457F5">
              <w:rPr>
                <w:rFonts w:ascii="Garamond" w:hAnsi="Garamond" w:cs="Times New Roman"/>
                <w:sz w:val="12"/>
                <w:szCs w:val="16"/>
              </w:rPr>
              <w:t>.</w:t>
            </w:r>
          </w:p>
          <w:p w14:paraId="2CEC0C39" w14:textId="77777777" w:rsidR="009D2573" w:rsidRPr="00B457F5" w:rsidRDefault="009D2573" w:rsidP="00F53AA3">
            <w:pPr>
              <w:widowControl w:val="0"/>
              <w:spacing w:before="0" w:after="0"/>
              <w:jc w:val="left"/>
              <w:rPr>
                <w:rFonts w:ascii="Garamond" w:hAnsi="Garamond" w:cs="Times New Roman"/>
                <w:sz w:val="12"/>
                <w:szCs w:val="16"/>
              </w:rPr>
            </w:pPr>
          </w:p>
          <w:p w14:paraId="769DBB13" w14:textId="43A96AEA"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Niveli i përafrimit me </w:t>
            </w:r>
            <w:r w:rsidRPr="00B457F5">
              <w:rPr>
                <w:rFonts w:ascii="Garamond" w:hAnsi="Garamond" w:cs="Times New Roman"/>
                <w:i/>
                <w:iCs/>
                <w:sz w:val="12"/>
                <w:szCs w:val="16"/>
              </w:rPr>
              <w:t>acquis</w:t>
            </w:r>
            <w:r w:rsidRPr="00B457F5">
              <w:rPr>
                <w:rFonts w:ascii="Garamond" w:hAnsi="Garamond" w:cs="Times New Roman"/>
                <w:sz w:val="12"/>
                <w:szCs w:val="16"/>
              </w:rPr>
              <w:t xml:space="preserve"> të BE</w:t>
            </w:r>
            <w:r w:rsidR="00B457F5">
              <w:rPr>
                <w:rFonts w:ascii="Garamond" w:hAnsi="Garamond" w:cs="Times New Roman"/>
                <w:sz w:val="12"/>
                <w:szCs w:val="16"/>
              </w:rPr>
              <w:t>-së.</w:t>
            </w:r>
          </w:p>
        </w:tc>
        <w:tc>
          <w:tcPr>
            <w:tcW w:w="814" w:type="pct"/>
          </w:tcPr>
          <w:p w14:paraId="1C1EB5F9"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70%</w:t>
            </w:r>
          </w:p>
        </w:tc>
        <w:tc>
          <w:tcPr>
            <w:tcW w:w="436" w:type="pct"/>
          </w:tcPr>
          <w:p w14:paraId="6137E4DA"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Vlerë në rritje me 25%</w:t>
            </w:r>
          </w:p>
        </w:tc>
        <w:tc>
          <w:tcPr>
            <w:tcW w:w="427" w:type="pct"/>
          </w:tcPr>
          <w:p w14:paraId="38535F67"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Përafrimi 100%</w:t>
            </w:r>
          </w:p>
        </w:tc>
        <w:tc>
          <w:tcPr>
            <w:tcW w:w="579" w:type="pct"/>
          </w:tcPr>
          <w:p w14:paraId="717FD4F2"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LGA</w:t>
            </w:r>
          </w:p>
          <w:p w14:paraId="501942A5" w14:textId="77777777" w:rsidR="009D2573" w:rsidRPr="00B457F5" w:rsidRDefault="009D2573" w:rsidP="00F53AA3">
            <w:pPr>
              <w:widowControl w:val="0"/>
              <w:spacing w:before="0" w:after="0"/>
              <w:jc w:val="left"/>
              <w:rPr>
                <w:rFonts w:ascii="Garamond" w:hAnsi="Garamond" w:cs="Times New Roman"/>
                <w:sz w:val="12"/>
                <w:szCs w:val="16"/>
              </w:rPr>
            </w:pPr>
          </w:p>
          <w:p w14:paraId="741EA228" w14:textId="77777777" w:rsidR="009D2573" w:rsidRPr="00B457F5" w:rsidRDefault="009D2573" w:rsidP="00F53AA3">
            <w:pPr>
              <w:widowControl w:val="0"/>
              <w:spacing w:before="0" w:after="0"/>
              <w:jc w:val="left"/>
              <w:rPr>
                <w:rFonts w:ascii="Garamond" w:hAnsi="Garamond" w:cs="Times New Roman"/>
                <w:sz w:val="12"/>
                <w:szCs w:val="16"/>
              </w:rPr>
            </w:pPr>
          </w:p>
        </w:tc>
        <w:tc>
          <w:tcPr>
            <w:tcW w:w="522" w:type="pct"/>
          </w:tcPr>
          <w:p w14:paraId="563FE027"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GCM</w:t>
            </w:r>
          </w:p>
          <w:p w14:paraId="6B870950"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16.3 SDG</w:t>
            </w:r>
          </w:p>
          <w:p w14:paraId="367D3767"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16.6 SDG</w:t>
            </w:r>
          </w:p>
          <w:p w14:paraId="7CC32F46" w14:textId="7ECF0D8B"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Strategjia e BE</w:t>
            </w:r>
            <w:r w:rsidR="009A6304">
              <w:rPr>
                <w:rFonts w:ascii="Garamond" w:hAnsi="Garamond" w:cs="Times New Roman"/>
                <w:sz w:val="12"/>
                <w:szCs w:val="16"/>
              </w:rPr>
              <w:t>-së</w:t>
            </w:r>
            <w:r w:rsidRPr="00B457F5">
              <w:rPr>
                <w:rFonts w:ascii="Garamond" w:hAnsi="Garamond" w:cs="Times New Roman"/>
                <w:sz w:val="12"/>
                <w:szCs w:val="16"/>
              </w:rPr>
              <w:t xml:space="preserve"> për Kthimin Vullnetar dhe Riintegrimin</w:t>
            </w:r>
          </w:p>
        </w:tc>
      </w:tr>
      <w:tr w:rsidR="009D2573" w:rsidRPr="00B457F5" w14:paraId="283B5FA3" w14:textId="77777777" w:rsidTr="00F53AA3">
        <w:trPr>
          <w:trHeight w:val="20"/>
        </w:trPr>
        <w:tc>
          <w:tcPr>
            <w:tcW w:w="356" w:type="pct"/>
            <w:vMerge/>
          </w:tcPr>
          <w:p w14:paraId="0EC40D76" w14:textId="77777777" w:rsidR="009D2573" w:rsidRPr="00B457F5" w:rsidRDefault="009D2573" w:rsidP="00F53AA3">
            <w:pPr>
              <w:widowControl w:val="0"/>
              <w:spacing w:before="0" w:after="0"/>
              <w:jc w:val="left"/>
              <w:rPr>
                <w:rFonts w:ascii="Garamond" w:hAnsi="Garamond" w:cs="Times New Roman"/>
                <w:sz w:val="12"/>
                <w:szCs w:val="16"/>
              </w:rPr>
            </w:pPr>
          </w:p>
        </w:tc>
        <w:tc>
          <w:tcPr>
            <w:tcW w:w="1018" w:type="pct"/>
            <w:vMerge w:val="restart"/>
          </w:tcPr>
          <w:p w14:paraId="124527DC"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1.1.2 Rritja e kapaciteteve institucionale dhe rishikimi i </w:t>
            </w:r>
            <w:r w:rsidRPr="00B457F5">
              <w:rPr>
                <w:rFonts w:ascii="Garamond" w:hAnsi="Garamond" w:cs="Times New Roman"/>
                <w:sz w:val="12"/>
                <w:szCs w:val="16"/>
              </w:rPr>
              <w:lastRenderedPageBreak/>
              <w:t>strukturave në institucionet në nivel qendror dhe vendor për qeverisjen efektive të migracionit</w:t>
            </w:r>
          </w:p>
        </w:tc>
        <w:tc>
          <w:tcPr>
            <w:tcW w:w="848" w:type="pct"/>
          </w:tcPr>
          <w:p w14:paraId="0216DB0C" w14:textId="1D7E6EDC" w:rsidR="009D2573" w:rsidRPr="00B457F5" w:rsidRDefault="009D2573" w:rsidP="00F53AA3">
            <w:pPr>
              <w:widowControl w:val="0"/>
              <w:spacing w:before="0" w:after="0"/>
              <w:jc w:val="left"/>
              <w:rPr>
                <w:rFonts w:ascii="Garamond" w:hAnsi="Garamond" w:cs="Times New Roman"/>
                <w:sz w:val="12"/>
                <w:szCs w:val="16"/>
              </w:rPr>
            </w:pPr>
            <w:r w:rsidRPr="00B457F5">
              <w:rPr>
                <w:rFonts w:ascii="Garamond" w:eastAsia="Arial" w:hAnsi="Garamond" w:cs="Times New Roman"/>
                <w:sz w:val="12"/>
                <w:szCs w:val="16"/>
              </w:rPr>
              <w:lastRenderedPageBreak/>
              <w:t xml:space="preserve">Numri i </w:t>
            </w:r>
            <w:r w:rsidR="009A6304" w:rsidRPr="00B457F5">
              <w:rPr>
                <w:rFonts w:ascii="Garamond" w:eastAsia="Arial" w:hAnsi="Garamond" w:cs="Times New Roman"/>
                <w:sz w:val="12"/>
                <w:szCs w:val="16"/>
              </w:rPr>
              <w:t>nëpunësve</w:t>
            </w:r>
            <w:r w:rsidRPr="00B457F5">
              <w:rPr>
                <w:rFonts w:ascii="Garamond" w:eastAsia="Arial" w:hAnsi="Garamond" w:cs="Times New Roman"/>
                <w:sz w:val="12"/>
                <w:szCs w:val="16"/>
              </w:rPr>
              <w:t xml:space="preserve"> civile të trajnuar për </w:t>
            </w:r>
            <w:r w:rsidRPr="00B457F5">
              <w:rPr>
                <w:rFonts w:ascii="Garamond" w:eastAsia="Arial" w:hAnsi="Garamond" w:cs="Times New Roman"/>
                <w:sz w:val="12"/>
                <w:szCs w:val="16"/>
              </w:rPr>
              <w:lastRenderedPageBreak/>
              <w:t>çështje migracioni</w:t>
            </w:r>
          </w:p>
        </w:tc>
        <w:tc>
          <w:tcPr>
            <w:tcW w:w="814" w:type="pct"/>
          </w:tcPr>
          <w:p w14:paraId="41DE10B5"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lastRenderedPageBreak/>
              <w:t>45 punonjës në vitin 2021</w:t>
            </w:r>
          </w:p>
        </w:tc>
        <w:tc>
          <w:tcPr>
            <w:tcW w:w="436" w:type="pct"/>
            <w:shd w:val="clear" w:color="auto" w:fill="auto"/>
          </w:tcPr>
          <w:p w14:paraId="7F33D62E"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60 Punonjës në 2026</w:t>
            </w:r>
          </w:p>
        </w:tc>
        <w:tc>
          <w:tcPr>
            <w:tcW w:w="427" w:type="pct"/>
            <w:shd w:val="clear" w:color="auto" w:fill="auto"/>
          </w:tcPr>
          <w:p w14:paraId="02AC9F2C"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70 punonjës në 2030 </w:t>
            </w:r>
          </w:p>
        </w:tc>
        <w:tc>
          <w:tcPr>
            <w:tcW w:w="579" w:type="pct"/>
            <w:shd w:val="clear" w:color="auto" w:fill="auto"/>
          </w:tcPr>
          <w:p w14:paraId="33630339"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ASPA/ të dhëna </w:t>
            </w:r>
            <w:r w:rsidRPr="00B457F5">
              <w:rPr>
                <w:rFonts w:ascii="Garamond" w:hAnsi="Garamond" w:cs="Times New Roman"/>
                <w:sz w:val="12"/>
                <w:szCs w:val="16"/>
              </w:rPr>
              <w:lastRenderedPageBreak/>
              <w:t xml:space="preserve">administrative </w:t>
            </w:r>
          </w:p>
        </w:tc>
        <w:tc>
          <w:tcPr>
            <w:tcW w:w="522" w:type="pct"/>
            <w:vMerge w:val="restart"/>
            <w:shd w:val="clear" w:color="auto" w:fill="auto"/>
          </w:tcPr>
          <w:p w14:paraId="787F69F0" w14:textId="77777777" w:rsidR="009D2573" w:rsidRPr="00B457F5" w:rsidRDefault="009D2573" w:rsidP="00F53AA3">
            <w:pPr>
              <w:widowControl w:val="0"/>
              <w:spacing w:before="0" w:after="0"/>
              <w:jc w:val="left"/>
              <w:rPr>
                <w:rFonts w:ascii="Garamond" w:hAnsi="Garamond" w:cs="Times New Roman"/>
                <w:b/>
                <w:bCs/>
                <w:sz w:val="12"/>
                <w:szCs w:val="16"/>
              </w:rPr>
            </w:pPr>
          </w:p>
          <w:p w14:paraId="4B1010ED" w14:textId="77777777" w:rsidR="009D2573" w:rsidRPr="00B457F5" w:rsidRDefault="009D2573" w:rsidP="00F53AA3">
            <w:pPr>
              <w:widowControl w:val="0"/>
              <w:spacing w:before="0" w:after="0"/>
              <w:jc w:val="left"/>
              <w:rPr>
                <w:rFonts w:ascii="Garamond" w:hAnsi="Garamond" w:cs="Times New Roman"/>
                <w:bCs/>
                <w:sz w:val="12"/>
                <w:szCs w:val="16"/>
              </w:rPr>
            </w:pPr>
            <w:r w:rsidRPr="00B457F5">
              <w:rPr>
                <w:rFonts w:ascii="Garamond" w:hAnsi="Garamond" w:cs="Times New Roman"/>
                <w:bCs/>
                <w:sz w:val="12"/>
                <w:szCs w:val="16"/>
              </w:rPr>
              <w:lastRenderedPageBreak/>
              <w:t>GCM</w:t>
            </w:r>
          </w:p>
          <w:p w14:paraId="42662DF0" w14:textId="77777777" w:rsidR="009D2573" w:rsidRPr="00B457F5" w:rsidRDefault="009D2573" w:rsidP="00F53AA3">
            <w:pPr>
              <w:widowControl w:val="0"/>
              <w:spacing w:before="0" w:after="0"/>
              <w:jc w:val="left"/>
              <w:rPr>
                <w:rFonts w:ascii="Garamond" w:hAnsi="Garamond" w:cs="Times New Roman"/>
                <w:bCs/>
                <w:sz w:val="12"/>
                <w:szCs w:val="16"/>
              </w:rPr>
            </w:pPr>
            <w:r w:rsidRPr="00B457F5">
              <w:rPr>
                <w:rFonts w:ascii="Garamond" w:hAnsi="Garamond" w:cs="Times New Roman"/>
                <w:bCs/>
                <w:sz w:val="12"/>
                <w:szCs w:val="16"/>
              </w:rPr>
              <w:t>MGI</w:t>
            </w:r>
          </w:p>
          <w:p w14:paraId="64FD21DB" w14:textId="77777777" w:rsidR="009D2573" w:rsidRPr="00B457F5" w:rsidRDefault="009D2573" w:rsidP="00F53AA3">
            <w:pPr>
              <w:widowControl w:val="0"/>
              <w:spacing w:before="0" w:after="0"/>
              <w:jc w:val="left"/>
              <w:rPr>
                <w:rFonts w:ascii="Garamond" w:hAnsi="Garamond" w:cs="Times New Roman"/>
                <w:bCs/>
                <w:sz w:val="12"/>
                <w:szCs w:val="16"/>
              </w:rPr>
            </w:pPr>
            <w:r w:rsidRPr="00B457F5">
              <w:rPr>
                <w:rFonts w:ascii="Garamond" w:hAnsi="Garamond" w:cs="Times New Roman"/>
                <w:bCs/>
                <w:sz w:val="12"/>
                <w:szCs w:val="16"/>
              </w:rPr>
              <w:t>SDG 10.7</w:t>
            </w:r>
          </w:p>
          <w:p w14:paraId="5E08CE4F" w14:textId="77777777" w:rsidR="009D2573" w:rsidRPr="00B457F5" w:rsidRDefault="009D2573" w:rsidP="00F53AA3">
            <w:pPr>
              <w:widowControl w:val="0"/>
              <w:spacing w:before="0" w:after="0"/>
              <w:jc w:val="left"/>
              <w:rPr>
                <w:rFonts w:ascii="Garamond" w:hAnsi="Garamond" w:cs="Times New Roman"/>
                <w:bCs/>
                <w:sz w:val="12"/>
                <w:szCs w:val="16"/>
              </w:rPr>
            </w:pPr>
            <w:r w:rsidRPr="00B457F5">
              <w:rPr>
                <w:rFonts w:ascii="Garamond" w:hAnsi="Garamond" w:cs="Times New Roman"/>
                <w:bCs/>
                <w:sz w:val="12"/>
                <w:szCs w:val="16"/>
              </w:rPr>
              <w:t>SDG 16.6</w:t>
            </w:r>
          </w:p>
          <w:p w14:paraId="12DFA14A" w14:textId="77777777" w:rsidR="009D2573" w:rsidRPr="00B457F5" w:rsidRDefault="009D2573" w:rsidP="00F53AA3">
            <w:pPr>
              <w:widowControl w:val="0"/>
              <w:spacing w:before="0" w:after="0"/>
              <w:jc w:val="left"/>
              <w:rPr>
                <w:rFonts w:ascii="Garamond" w:hAnsi="Garamond" w:cs="Times New Roman"/>
                <w:b/>
                <w:bCs/>
                <w:sz w:val="12"/>
                <w:szCs w:val="16"/>
              </w:rPr>
            </w:pPr>
            <w:r w:rsidRPr="00B457F5">
              <w:rPr>
                <w:rFonts w:ascii="Garamond" w:hAnsi="Garamond" w:cs="Times New Roman"/>
                <w:bCs/>
                <w:sz w:val="12"/>
                <w:szCs w:val="16"/>
              </w:rPr>
              <w:t>Strategjia e BE për Kthimin Vullnetar dhe Riintegrimin</w:t>
            </w:r>
          </w:p>
        </w:tc>
      </w:tr>
      <w:tr w:rsidR="009D2573" w:rsidRPr="00B457F5" w14:paraId="310F6B1D" w14:textId="77777777" w:rsidTr="00F53AA3">
        <w:trPr>
          <w:trHeight w:val="20"/>
        </w:trPr>
        <w:tc>
          <w:tcPr>
            <w:tcW w:w="356" w:type="pct"/>
            <w:vMerge/>
          </w:tcPr>
          <w:p w14:paraId="08D0BC32" w14:textId="77777777" w:rsidR="009D2573" w:rsidRPr="00B457F5" w:rsidRDefault="009D2573" w:rsidP="00F53AA3">
            <w:pPr>
              <w:widowControl w:val="0"/>
              <w:spacing w:before="0" w:after="0"/>
              <w:jc w:val="left"/>
              <w:rPr>
                <w:rFonts w:ascii="Garamond" w:hAnsi="Garamond" w:cs="Times New Roman"/>
                <w:sz w:val="12"/>
                <w:szCs w:val="16"/>
              </w:rPr>
            </w:pPr>
          </w:p>
        </w:tc>
        <w:tc>
          <w:tcPr>
            <w:tcW w:w="1018" w:type="pct"/>
            <w:vMerge/>
          </w:tcPr>
          <w:p w14:paraId="4AD084AF" w14:textId="77777777" w:rsidR="009D2573" w:rsidRPr="00B457F5" w:rsidRDefault="009D2573" w:rsidP="00F53AA3">
            <w:pPr>
              <w:widowControl w:val="0"/>
              <w:spacing w:before="0" w:after="0"/>
              <w:jc w:val="left"/>
              <w:rPr>
                <w:rFonts w:ascii="Garamond" w:hAnsi="Garamond" w:cs="Times New Roman"/>
                <w:sz w:val="12"/>
                <w:szCs w:val="16"/>
              </w:rPr>
            </w:pPr>
          </w:p>
        </w:tc>
        <w:tc>
          <w:tcPr>
            <w:tcW w:w="848" w:type="pct"/>
          </w:tcPr>
          <w:p w14:paraId="3C7F0218" w14:textId="77777777" w:rsidR="009D2573" w:rsidRPr="00B457F5" w:rsidRDefault="009D2573" w:rsidP="00F53AA3">
            <w:pPr>
              <w:widowControl w:val="0"/>
              <w:spacing w:before="0" w:after="0"/>
              <w:jc w:val="left"/>
              <w:rPr>
                <w:rFonts w:ascii="Garamond" w:eastAsia="Arial" w:hAnsi="Garamond" w:cs="Times New Roman"/>
                <w:sz w:val="12"/>
                <w:szCs w:val="16"/>
              </w:rPr>
            </w:pPr>
            <w:r w:rsidRPr="00B457F5">
              <w:rPr>
                <w:rFonts w:ascii="Garamond" w:eastAsia="Arial" w:hAnsi="Garamond" w:cs="Times New Roman"/>
                <w:sz w:val="12"/>
                <w:szCs w:val="16"/>
              </w:rPr>
              <w:t>Numri i zyrave të migracionit në nivel vendor</w:t>
            </w:r>
          </w:p>
        </w:tc>
        <w:tc>
          <w:tcPr>
            <w:tcW w:w="814" w:type="pct"/>
          </w:tcPr>
          <w:p w14:paraId="6F80285C" w14:textId="52DD5FBE"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17 struktura të krijuara për migracionin dhe diasporën</w:t>
            </w:r>
            <w:r w:rsidR="009A6304">
              <w:rPr>
                <w:rFonts w:ascii="Garamond" w:hAnsi="Garamond" w:cs="Times New Roman"/>
                <w:sz w:val="12"/>
                <w:szCs w:val="16"/>
              </w:rPr>
              <w:t>.</w:t>
            </w:r>
          </w:p>
          <w:p w14:paraId="229942DE" w14:textId="77777777" w:rsidR="009D2573" w:rsidRPr="00B457F5" w:rsidRDefault="009D2573" w:rsidP="00F53AA3">
            <w:pPr>
              <w:widowControl w:val="0"/>
              <w:spacing w:before="0" w:after="0"/>
              <w:jc w:val="left"/>
              <w:rPr>
                <w:rFonts w:ascii="Garamond" w:hAnsi="Garamond" w:cs="Times New Roman"/>
                <w:sz w:val="12"/>
                <w:szCs w:val="16"/>
              </w:rPr>
            </w:pPr>
          </w:p>
          <w:p w14:paraId="6CA6F26C" w14:textId="11AEEEBE"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8 struktura me kompetenca të caktuara për migracionin dhe diasporën</w:t>
            </w:r>
            <w:r w:rsidR="009A6304">
              <w:rPr>
                <w:rFonts w:ascii="Garamond" w:hAnsi="Garamond" w:cs="Times New Roman"/>
                <w:sz w:val="12"/>
                <w:szCs w:val="16"/>
              </w:rPr>
              <w:t>.</w:t>
            </w:r>
          </w:p>
        </w:tc>
        <w:tc>
          <w:tcPr>
            <w:tcW w:w="436" w:type="pct"/>
            <w:shd w:val="clear" w:color="auto" w:fill="auto"/>
          </w:tcPr>
          <w:p w14:paraId="5BAF06C7" w14:textId="2DCB1450"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31 struktura për migracionin dhe diasporën </w:t>
            </w:r>
            <w:r w:rsidR="009A6304" w:rsidRPr="00B457F5">
              <w:rPr>
                <w:rFonts w:ascii="Garamond" w:hAnsi="Garamond" w:cs="Times New Roman"/>
                <w:sz w:val="12"/>
                <w:szCs w:val="16"/>
              </w:rPr>
              <w:t>funksionale</w:t>
            </w:r>
            <w:r w:rsidRPr="00B457F5">
              <w:rPr>
                <w:rFonts w:ascii="Garamond" w:hAnsi="Garamond" w:cs="Times New Roman"/>
                <w:sz w:val="12"/>
                <w:szCs w:val="16"/>
              </w:rPr>
              <w:t xml:space="preserve"> </w:t>
            </w:r>
          </w:p>
        </w:tc>
        <w:tc>
          <w:tcPr>
            <w:tcW w:w="427" w:type="pct"/>
            <w:shd w:val="clear" w:color="auto" w:fill="auto"/>
          </w:tcPr>
          <w:p w14:paraId="64A3EFB6"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61 struktura për migracionin dhe diasporën funksionale </w:t>
            </w:r>
          </w:p>
        </w:tc>
        <w:tc>
          <w:tcPr>
            <w:tcW w:w="579" w:type="pct"/>
            <w:shd w:val="clear" w:color="auto" w:fill="auto"/>
          </w:tcPr>
          <w:p w14:paraId="002FF6C8"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AMVV - Raportet periodike nga strukturat</w:t>
            </w:r>
          </w:p>
          <w:p w14:paraId="4B1B0C14"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MSHPV</w:t>
            </w:r>
          </w:p>
        </w:tc>
        <w:tc>
          <w:tcPr>
            <w:tcW w:w="522" w:type="pct"/>
            <w:vMerge/>
            <w:shd w:val="clear" w:color="auto" w:fill="auto"/>
          </w:tcPr>
          <w:p w14:paraId="67AB48A9" w14:textId="77777777" w:rsidR="009D2573" w:rsidRPr="00B457F5" w:rsidRDefault="009D2573" w:rsidP="00F53AA3">
            <w:pPr>
              <w:widowControl w:val="0"/>
              <w:spacing w:before="0" w:after="0"/>
              <w:jc w:val="left"/>
              <w:rPr>
                <w:rFonts w:ascii="Garamond" w:hAnsi="Garamond" w:cs="Times New Roman"/>
                <w:bCs/>
                <w:sz w:val="12"/>
                <w:szCs w:val="16"/>
              </w:rPr>
            </w:pPr>
          </w:p>
        </w:tc>
      </w:tr>
      <w:tr w:rsidR="009D2573" w:rsidRPr="00B457F5" w14:paraId="5B9FA8DB" w14:textId="77777777" w:rsidTr="00F53AA3">
        <w:trPr>
          <w:trHeight w:val="20"/>
        </w:trPr>
        <w:tc>
          <w:tcPr>
            <w:tcW w:w="356" w:type="pct"/>
            <w:vMerge/>
          </w:tcPr>
          <w:p w14:paraId="378D0AB5" w14:textId="77777777" w:rsidR="009D2573" w:rsidRPr="00B457F5" w:rsidRDefault="009D2573" w:rsidP="00F53AA3">
            <w:pPr>
              <w:widowControl w:val="0"/>
              <w:spacing w:before="0" w:after="0"/>
              <w:jc w:val="left"/>
              <w:rPr>
                <w:rFonts w:ascii="Garamond" w:hAnsi="Garamond" w:cs="Times New Roman"/>
                <w:sz w:val="12"/>
                <w:szCs w:val="16"/>
              </w:rPr>
            </w:pPr>
          </w:p>
        </w:tc>
        <w:tc>
          <w:tcPr>
            <w:tcW w:w="1018" w:type="pct"/>
            <w:vMerge w:val="restart"/>
          </w:tcPr>
          <w:p w14:paraId="38E08D0F" w14:textId="651706A2"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1.1.3 Përmirësimi i mekanizmave të koordinimit për qeverisjen e migracionit</w:t>
            </w:r>
          </w:p>
        </w:tc>
        <w:tc>
          <w:tcPr>
            <w:tcW w:w="848" w:type="pct"/>
          </w:tcPr>
          <w:p w14:paraId="199040FC"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Përqindja e pjesëmarrjes institucionale në mbledhjet e KTM dhe GDM</w:t>
            </w:r>
          </w:p>
        </w:tc>
        <w:tc>
          <w:tcPr>
            <w:tcW w:w="814" w:type="pct"/>
          </w:tcPr>
          <w:p w14:paraId="4E19B06E" w14:textId="77777777" w:rsidR="009D2573" w:rsidRPr="00B457F5" w:rsidRDefault="009D2573" w:rsidP="00F53AA3">
            <w:pPr>
              <w:widowControl w:val="0"/>
              <w:spacing w:before="0" w:after="0"/>
              <w:jc w:val="left"/>
              <w:rPr>
                <w:rFonts w:ascii="Garamond" w:hAnsi="Garamond" w:cs="Times New Roman"/>
                <w:sz w:val="12"/>
                <w:szCs w:val="16"/>
              </w:rPr>
            </w:pPr>
          </w:p>
          <w:p w14:paraId="4A923E3B"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55%</w:t>
            </w:r>
          </w:p>
        </w:tc>
        <w:tc>
          <w:tcPr>
            <w:tcW w:w="436" w:type="pct"/>
          </w:tcPr>
          <w:p w14:paraId="676A4834" w14:textId="77777777" w:rsidR="009D2573" w:rsidRPr="00B457F5" w:rsidRDefault="009D2573" w:rsidP="00F53AA3">
            <w:pPr>
              <w:widowControl w:val="0"/>
              <w:spacing w:before="0" w:after="0"/>
              <w:jc w:val="left"/>
              <w:rPr>
                <w:rFonts w:ascii="Garamond" w:hAnsi="Garamond" w:cs="Times New Roman"/>
                <w:sz w:val="12"/>
                <w:szCs w:val="16"/>
              </w:rPr>
            </w:pPr>
          </w:p>
          <w:p w14:paraId="7360ECDF"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100%</w:t>
            </w:r>
          </w:p>
        </w:tc>
        <w:tc>
          <w:tcPr>
            <w:tcW w:w="427" w:type="pct"/>
          </w:tcPr>
          <w:p w14:paraId="686C1C1F" w14:textId="77777777" w:rsidR="009D2573" w:rsidRPr="00B457F5" w:rsidRDefault="009D2573" w:rsidP="00F53AA3">
            <w:pPr>
              <w:widowControl w:val="0"/>
              <w:spacing w:before="0" w:after="0"/>
              <w:jc w:val="left"/>
              <w:rPr>
                <w:rFonts w:ascii="Garamond" w:hAnsi="Garamond" w:cs="Times New Roman"/>
                <w:sz w:val="12"/>
                <w:szCs w:val="16"/>
              </w:rPr>
            </w:pPr>
          </w:p>
          <w:p w14:paraId="167FCDDF"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100%</w:t>
            </w:r>
          </w:p>
        </w:tc>
        <w:tc>
          <w:tcPr>
            <w:tcW w:w="579" w:type="pct"/>
          </w:tcPr>
          <w:p w14:paraId="40099A1C" w14:textId="46104063"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MB/raportet e monitorimit të SKM/raportet e takimeve KTM dhe GDM</w:t>
            </w:r>
          </w:p>
        </w:tc>
        <w:tc>
          <w:tcPr>
            <w:tcW w:w="522" w:type="pct"/>
            <w:vMerge w:val="restart"/>
          </w:tcPr>
          <w:p w14:paraId="4B6A038E"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GCM</w:t>
            </w:r>
          </w:p>
          <w:p w14:paraId="3D174131"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MGI</w:t>
            </w:r>
          </w:p>
          <w:p w14:paraId="402CD024"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SDG 10.7</w:t>
            </w:r>
          </w:p>
          <w:p w14:paraId="1239B8AB"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Action 4 </w:t>
            </w:r>
            <w:r w:rsidRPr="00B457F5">
              <w:rPr>
                <w:rFonts w:ascii="Garamond" w:hAnsi="Garamond" w:cs="Times New Roman"/>
                <w:i/>
                <w:sz w:val="12"/>
                <w:szCs w:val="16"/>
              </w:rPr>
              <w:t xml:space="preserve">Sarajevo </w:t>
            </w:r>
          </w:p>
          <w:p w14:paraId="4B6E2574" w14:textId="77777777" w:rsidR="009D2573" w:rsidRPr="00B457F5" w:rsidRDefault="009D2573" w:rsidP="00F53AA3">
            <w:pPr>
              <w:widowControl w:val="0"/>
              <w:spacing w:before="0" w:after="0"/>
              <w:jc w:val="left"/>
              <w:rPr>
                <w:rFonts w:ascii="Garamond" w:hAnsi="Garamond" w:cs="Times New Roman"/>
                <w:sz w:val="12"/>
                <w:szCs w:val="16"/>
              </w:rPr>
            </w:pPr>
          </w:p>
        </w:tc>
      </w:tr>
      <w:tr w:rsidR="009D2573" w:rsidRPr="00B457F5" w14:paraId="549D1704" w14:textId="77777777" w:rsidTr="00F53AA3">
        <w:trPr>
          <w:trHeight w:val="20"/>
        </w:trPr>
        <w:tc>
          <w:tcPr>
            <w:tcW w:w="356" w:type="pct"/>
            <w:vMerge/>
          </w:tcPr>
          <w:p w14:paraId="171DD1F9" w14:textId="77777777" w:rsidR="009D2573" w:rsidRPr="00B457F5" w:rsidRDefault="009D2573" w:rsidP="00F53AA3">
            <w:pPr>
              <w:widowControl w:val="0"/>
              <w:spacing w:before="0" w:after="0"/>
              <w:jc w:val="left"/>
              <w:rPr>
                <w:rFonts w:ascii="Garamond" w:hAnsi="Garamond" w:cs="Times New Roman"/>
                <w:sz w:val="12"/>
                <w:szCs w:val="16"/>
              </w:rPr>
            </w:pPr>
          </w:p>
        </w:tc>
        <w:tc>
          <w:tcPr>
            <w:tcW w:w="1018" w:type="pct"/>
            <w:vMerge/>
          </w:tcPr>
          <w:p w14:paraId="6E0CECF6" w14:textId="77777777" w:rsidR="009D2573" w:rsidRPr="00B457F5" w:rsidRDefault="009D2573" w:rsidP="00F53AA3">
            <w:pPr>
              <w:widowControl w:val="0"/>
              <w:spacing w:before="0" w:after="0"/>
              <w:jc w:val="left"/>
              <w:rPr>
                <w:rFonts w:ascii="Garamond" w:hAnsi="Garamond" w:cs="Times New Roman"/>
                <w:sz w:val="12"/>
                <w:szCs w:val="16"/>
              </w:rPr>
            </w:pPr>
          </w:p>
        </w:tc>
        <w:tc>
          <w:tcPr>
            <w:tcW w:w="848" w:type="pct"/>
          </w:tcPr>
          <w:p w14:paraId="00EB795B"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Niveli i pjesëmarrjes së njësive të vetëqeverisjes vendore</w:t>
            </w:r>
          </w:p>
        </w:tc>
        <w:tc>
          <w:tcPr>
            <w:tcW w:w="814" w:type="pct"/>
          </w:tcPr>
          <w:p w14:paraId="649B3F65"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0</w:t>
            </w:r>
          </w:p>
        </w:tc>
        <w:tc>
          <w:tcPr>
            <w:tcW w:w="436" w:type="pct"/>
          </w:tcPr>
          <w:p w14:paraId="32DBED65"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100%</w:t>
            </w:r>
          </w:p>
        </w:tc>
        <w:tc>
          <w:tcPr>
            <w:tcW w:w="427" w:type="pct"/>
          </w:tcPr>
          <w:p w14:paraId="3A2F099E"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100%</w:t>
            </w:r>
          </w:p>
        </w:tc>
        <w:tc>
          <w:tcPr>
            <w:tcW w:w="579" w:type="pct"/>
          </w:tcPr>
          <w:p w14:paraId="3990C8A4" w14:textId="7882E922"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MB/raportet e monitorimit të SKM/raportet e takimeve</w:t>
            </w:r>
          </w:p>
        </w:tc>
        <w:tc>
          <w:tcPr>
            <w:tcW w:w="522" w:type="pct"/>
            <w:vMerge/>
          </w:tcPr>
          <w:p w14:paraId="026E180B" w14:textId="77777777" w:rsidR="009D2573" w:rsidRPr="00B457F5" w:rsidRDefault="009D2573" w:rsidP="00F53AA3">
            <w:pPr>
              <w:widowControl w:val="0"/>
              <w:spacing w:before="0" w:after="0"/>
              <w:jc w:val="left"/>
              <w:rPr>
                <w:rFonts w:ascii="Garamond" w:hAnsi="Garamond" w:cs="Times New Roman"/>
                <w:sz w:val="12"/>
                <w:szCs w:val="16"/>
              </w:rPr>
            </w:pPr>
          </w:p>
        </w:tc>
      </w:tr>
      <w:tr w:rsidR="009D2573" w:rsidRPr="00B457F5" w14:paraId="7FE31321" w14:textId="77777777" w:rsidTr="00F53AA3">
        <w:trPr>
          <w:trHeight w:val="20"/>
        </w:trPr>
        <w:tc>
          <w:tcPr>
            <w:tcW w:w="356" w:type="pct"/>
            <w:vMerge/>
          </w:tcPr>
          <w:p w14:paraId="2988D710" w14:textId="77777777" w:rsidR="009D2573" w:rsidRPr="00B457F5" w:rsidRDefault="009D2573" w:rsidP="00F53AA3">
            <w:pPr>
              <w:widowControl w:val="0"/>
              <w:spacing w:before="0" w:after="0"/>
              <w:jc w:val="left"/>
              <w:rPr>
                <w:rFonts w:ascii="Garamond" w:hAnsi="Garamond" w:cs="Times New Roman"/>
                <w:sz w:val="12"/>
                <w:szCs w:val="16"/>
              </w:rPr>
            </w:pPr>
          </w:p>
        </w:tc>
        <w:tc>
          <w:tcPr>
            <w:tcW w:w="1018" w:type="pct"/>
          </w:tcPr>
          <w:p w14:paraId="01AF4CCB"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1.2.1 Krijimi i një metodologjie të koordinuar për mbledhjen e të dhënave (sipas planit të statistikave)</w:t>
            </w:r>
          </w:p>
        </w:tc>
        <w:tc>
          <w:tcPr>
            <w:tcW w:w="848" w:type="pct"/>
          </w:tcPr>
          <w:p w14:paraId="3D21C244"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Praktikë e unifikuar për mbledhjen, analizimin e të dhënave për migracionin</w:t>
            </w:r>
          </w:p>
        </w:tc>
        <w:tc>
          <w:tcPr>
            <w:tcW w:w="814" w:type="pct"/>
          </w:tcPr>
          <w:p w14:paraId="53267F39"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0</w:t>
            </w:r>
          </w:p>
        </w:tc>
        <w:tc>
          <w:tcPr>
            <w:tcW w:w="436" w:type="pct"/>
          </w:tcPr>
          <w:p w14:paraId="06EB9A5B"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w:t>
            </w:r>
          </w:p>
        </w:tc>
        <w:tc>
          <w:tcPr>
            <w:tcW w:w="427" w:type="pct"/>
          </w:tcPr>
          <w:p w14:paraId="178D5713"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w:t>
            </w:r>
          </w:p>
        </w:tc>
        <w:tc>
          <w:tcPr>
            <w:tcW w:w="579" w:type="pct"/>
          </w:tcPr>
          <w:p w14:paraId="2452285B" w14:textId="6D616D6E"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MB/INSTAT </w:t>
            </w:r>
            <w:r w:rsidR="009A6304">
              <w:rPr>
                <w:rFonts w:ascii="Garamond" w:hAnsi="Garamond" w:cs="Times New Roman"/>
                <w:sz w:val="12"/>
                <w:szCs w:val="16"/>
              </w:rPr>
              <w:t>m</w:t>
            </w:r>
            <w:r w:rsidRPr="00B457F5">
              <w:rPr>
                <w:rFonts w:ascii="Garamond" w:hAnsi="Garamond" w:cs="Times New Roman"/>
                <w:sz w:val="12"/>
                <w:szCs w:val="16"/>
              </w:rPr>
              <w:t xml:space="preserve">etodologji e miratuar </w:t>
            </w:r>
          </w:p>
        </w:tc>
        <w:tc>
          <w:tcPr>
            <w:tcW w:w="522" w:type="pct"/>
          </w:tcPr>
          <w:p w14:paraId="7EE2E43A"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GCM 1</w:t>
            </w:r>
          </w:p>
          <w:p w14:paraId="615A759C"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SDG10.7: </w:t>
            </w:r>
          </w:p>
          <w:p w14:paraId="665EDB47"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SDG 17.18 </w:t>
            </w:r>
          </w:p>
          <w:p w14:paraId="600F2B6D"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Action Plan For Sustainable Migration Governance In</w:t>
            </w:r>
          </w:p>
          <w:p w14:paraId="4101DF5F"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The Western Balkans 2023-2025 (1)</w:t>
            </w:r>
          </w:p>
        </w:tc>
      </w:tr>
      <w:tr w:rsidR="009D2573" w:rsidRPr="00B457F5" w14:paraId="2F83DA0B" w14:textId="77777777" w:rsidTr="00F53AA3">
        <w:trPr>
          <w:trHeight w:val="20"/>
        </w:trPr>
        <w:tc>
          <w:tcPr>
            <w:tcW w:w="356" w:type="pct"/>
            <w:vMerge/>
          </w:tcPr>
          <w:p w14:paraId="4561CE1A" w14:textId="77777777" w:rsidR="009D2573" w:rsidRPr="00B457F5" w:rsidRDefault="009D2573" w:rsidP="00F53AA3">
            <w:pPr>
              <w:widowControl w:val="0"/>
              <w:spacing w:before="0" w:after="0"/>
              <w:jc w:val="left"/>
              <w:rPr>
                <w:rFonts w:ascii="Garamond" w:hAnsi="Garamond" w:cs="Times New Roman"/>
                <w:sz w:val="12"/>
                <w:szCs w:val="16"/>
              </w:rPr>
            </w:pPr>
          </w:p>
        </w:tc>
        <w:tc>
          <w:tcPr>
            <w:tcW w:w="1018" w:type="pct"/>
          </w:tcPr>
          <w:p w14:paraId="542C91B0"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1.2.2 Shkëmbimi dhe ndërveprimi efektiv për të dhënat e migracionit</w:t>
            </w:r>
          </w:p>
        </w:tc>
        <w:tc>
          <w:tcPr>
            <w:tcW w:w="848" w:type="pct"/>
          </w:tcPr>
          <w:p w14:paraId="4CDDE966"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Numri i shkëmbimeve periodike të të dhënave për migracionin </w:t>
            </w:r>
          </w:p>
        </w:tc>
        <w:tc>
          <w:tcPr>
            <w:tcW w:w="814" w:type="pct"/>
          </w:tcPr>
          <w:p w14:paraId="784FCD6F"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2</w:t>
            </w:r>
          </w:p>
        </w:tc>
        <w:tc>
          <w:tcPr>
            <w:tcW w:w="436" w:type="pct"/>
          </w:tcPr>
          <w:p w14:paraId="2889244B"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12</w:t>
            </w:r>
          </w:p>
        </w:tc>
        <w:tc>
          <w:tcPr>
            <w:tcW w:w="427" w:type="pct"/>
          </w:tcPr>
          <w:p w14:paraId="30422C96"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12</w:t>
            </w:r>
          </w:p>
        </w:tc>
        <w:tc>
          <w:tcPr>
            <w:tcW w:w="579" w:type="pct"/>
          </w:tcPr>
          <w:p w14:paraId="75B53A13"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MB/INSTAT</w:t>
            </w:r>
          </w:p>
        </w:tc>
        <w:tc>
          <w:tcPr>
            <w:tcW w:w="522" w:type="pct"/>
          </w:tcPr>
          <w:p w14:paraId="4481E4F6"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GCM 1</w:t>
            </w:r>
          </w:p>
          <w:p w14:paraId="46398729"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SDG10.7: </w:t>
            </w:r>
          </w:p>
          <w:p w14:paraId="280308E9"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SDG 17.18 </w:t>
            </w:r>
          </w:p>
          <w:p w14:paraId="1779A465"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Action Plan For Sustainable Migration Governance In</w:t>
            </w:r>
          </w:p>
          <w:p w14:paraId="30A470B0"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The Western Balkans 2023-2025 (1)</w:t>
            </w:r>
          </w:p>
        </w:tc>
      </w:tr>
      <w:tr w:rsidR="009D2573" w:rsidRPr="00B457F5" w14:paraId="767E2DF2" w14:textId="77777777" w:rsidTr="00F53AA3">
        <w:trPr>
          <w:trHeight w:val="20"/>
        </w:trPr>
        <w:tc>
          <w:tcPr>
            <w:tcW w:w="356" w:type="pct"/>
            <w:vMerge/>
          </w:tcPr>
          <w:p w14:paraId="7050A41F" w14:textId="77777777" w:rsidR="009D2573" w:rsidRPr="00B457F5" w:rsidRDefault="009D2573" w:rsidP="00F53AA3">
            <w:pPr>
              <w:widowControl w:val="0"/>
              <w:spacing w:before="0" w:after="0"/>
              <w:jc w:val="left"/>
              <w:rPr>
                <w:rFonts w:ascii="Garamond" w:hAnsi="Garamond" w:cs="Times New Roman"/>
                <w:sz w:val="12"/>
                <w:szCs w:val="16"/>
              </w:rPr>
            </w:pPr>
          </w:p>
        </w:tc>
        <w:tc>
          <w:tcPr>
            <w:tcW w:w="1018" w:type="pct"/>
          </w:tcPr>
          <w:p w14:paraId="60B52814" w14:textId="731B79D6"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1.2.3 Studimi dhe vlerësimi i të dhënave të migracionit për të hartuar politika/</w:t>
            </w:r>
            <w:r w:rsidR="0006016F" w:rsidRPr="00B457F5">
              <w:rPr>
                <w:rFonts w:ascii="Garamond" w:hAnsi="Garamond" w:cs="Times New Roman"/>
                <w:sz w:val="12"/>
                <w:szCs w:val="16"/>
              </w:rPr>
              <w:t>dokumente</w:t>
            </w:r>
          </w:p>
        </w:tc>
        <w:tc>
          <w:tcPr>
            <w:tcW w:w="848" w:type="pct"/>
          </w:tcPr>
          <w:p w14:paraId="20CF79FC"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Numri i studimeve të hartuara dhe validuara nga institucionet </w:t>
            </w:r>
          </w:p>
        </w:tc>
        <w:tc>
          <w:tcPr>
            <w:tcW w:w="814" w:type="pct"/>
          </w:tcPr>
          <w:p w14:paraId="52876F8B"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4</w:t>
            </w:r>
          </w:p>
        </w:tc>
        <w:tc>
          <w:tcPr>
            <w:tcW w:w="436" w:type="pct"/>
          </w:tcPr>
          <w:p w14:paraId="30CF0DC6"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8</w:t>
            </w:r>
          </w:p>
        </w:tc>
        <w:tc>
          <w:tcPr>
            <w:tcW w:w="427" w:type="pct"/>
          </w:tcPr>
          <w:p w14:paraId="12503C73"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8</w:t>
            </w:r>
          </w:p>
        </w:tc>
        <w:tc>
          <w:tcPr>
            <w:tcW w:w="579" w:type="pct"/>
          </w:tcPr>
          <w:p w14:paraId="2B2BC140"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Raporte periodike ministrite e linjes </w:t>
            </w:r>
          </w:p>
        </w:tc>
        <w:tc>
          <w:tcPr>
            <w:tcW w:w="522" w:type="pct"/>
          </w:tcPr>
          <w:p w14:paraId="48A173F0"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GCM 1</w:t>
            </w:r>
          </w:p>
          <w:p w14:paraId="74E9A729"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SDG10.7: </w:t>
            </w:r>
          </w:p>
          <w:p w14:paraId="42BEBC17"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SDG 17.18 </w:t>
            </w:r>
          </w:p>
          <w:p w14:paraId="2A42A349"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Action Plan For Sustainable Migration Governance In</w:t>
            </w:r>
          </w:p>
          <w:p w14:paraId="597EF4B2"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The Western Balkans 2023-2025 (1)</w:t>
            </w:r>
          </w:p>
        </w:tc>
      </w:tr>
      <w:tr w:rsidR="009D2573" w:rsidRPr="00B457F5" w14:paraId="19901060" w14:textId="77777777" w:rsidTr="00F53AA3">
        <w:trPr>
          <w:trHeight w:val="20"/>
        </w:trPr>
        <w:tc>
          <w:tcPr>
            <w:tcW w:w="356" w:type="pct"/>
            <w:vMerge/>
          </w:tcPr>
          <w:p w14:paraId="61B5A296" w14:textId="77777777" w:rsidR="009D2573" w:rsidRPr="00B457F5" w:rsidRDefault="009D2573" w:rsidP="00F53AA3">
            <w:pPr>
              <w:widowControl w:val="0"/>
              <w:spacing w:before="0" w:after="0"/>
              <w:jc w:val="left"/>
              <w:rPr>
                <w:rFonts w:ascii="Garamond" w:hAnsi="Garamond" w:cs="Times New Roman"/>
                <w:sz w:val="12"/>
                <w:szCs w:val="16"/>
              </w:rPr>
            </w:pPr>
          </w:p>
        </w:tc>
        <w:tc>
          <w:tcPr>
            <w:tcW w:w="1018" w:type="pct"/>
            <w:shd w:val="clear" w:color="auto" w:fill="auto"/>
          </w:tcPr>
          <w:p w14:paraId="102B3022" w14:textId="32EA644F"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1.3.1 Ndjekja e proceseve rajonale dhe ndërkombëtare</w:t>
            </w:r>
          </w:p>
        </w:tc>
        <w:tc>
          <w:tcPr>
            <w:tcW w:w="848" w:type="pct"/>
            <w:shd w:val="clear" w:color="auto" w:fill="auto"/>
          </w:tcPr>
          <w:p w14:paraId="63E24172" w14:textId="73BC0585"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Procese ndërkombëtare dhe rajonale dhe partneritete me organizatat </w:t>
            </w:r>
            <w:r w:rsidR="0006016F" w:rsidRPr="00B457F5">
              <w:rPr>
                <w:rFonts w:ascii="Garamond" w:hAnsi="Garamond" w:cs="Times New Roman"/>
                <w:sz w:val="12"/>
                <w:szCs w:val="16"/>
              </w:rPr>
              <w:t>ndërkombëtare</w:t>
            </w:r>
            <w:r w:rsidRPr="00B457F5">
              <w:rPr>
                <w:rFonts w:ascii="Garamond" w:hAnsi="Garamond" w:cs="Times New Roman"/>
                <w:sz w:val="12"/>
                <w:szCs w:val="16"/>
              </w:rPr>
              <w:t xml:space="preserve"> </w:t>
            </w:r>
          </w:p>
          <w:p w14:paraId="79F59BFC" w14:textId="77777777" w:rsidR="009D2573" w:rsidRPr="00B457F5" w:rsidRDefault="009D2573" w:rsidP="00F53AA3">
            <w:pPr>
              <w:widowControl w:val="0"/>
              <w:spacing w:before="0" w:after="0"/>
              <w:jc w:val="left"/>
              <w:rPr>
                <w:rFonts w:ascii="Garamond" w:hAnsi="Garamond" w:cs="Times New Roman"/>
                <w:sz w:val="12"/>
                <w:szCs w:val="16"/>
              </w:rPr>
            </w:pPr>
          </w:p>
          <w:p w14:paraId="5E6E1020" w14:textId="77777777" w:rsidR="009D2573" w:rsidRPr="00B457F5" w:rsidRDefault="009D2573" w:rsidP="00F53AA3">
            <w:pPr>
              <w:widowControl w:val="0"/>
              <w:spacing w:before="0" w:after="0"/>
              <w:jc w:val="left"/>
              <w:rPr>
                <w:rFonts w:ascii="Garamond" w:hAnsi="Garamond" w:cs="Times New Roman"/>
                <w:sz w:val="12"/>
                <w:szCs w:val="16"/>
              </w:rPr>
            </w:pPr>
          </w:p>
        </w:tc>
        <w:tc>
          <w:tcPr>
            <w:tcW w:w="814" w:type="pct"/>
            <w:shd w:val="clear" w:color="auto" w:fill="auto"/>
          </w:tcPr>
          <w:p w14:paraId="3F6D85F3"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9 procese/protokolle</w:t>
            </w:r>
          </w:p>
        </w:tc>
        <w:tc>
          <w:tcPr>
            <w:tcW w:w="436" w:type="pct"/>
            <w:shd w:val="clear" w:color="auto" w:fill="auto"/>
          </w:tcPr>
          <w:p w14:paraId="67B88B73"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Rritës 20%</w:t>
            </w:r>
          </w:p>
        </w:tc>
        <w:tc>
          <w:tcPr>
            <w:tcW w:w="427" w:type="pct"/>
            <w:shd w:val="clear" w:color="auto" w:fill="auto"/>
          </w:tcPr>
          <w:p w14:paraId="2DCAA241"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Rritës 20%</w:t>
            </w:r>
          </w:p>
        </w:tc>
        <w:tc>
          <w:tcPr>
            <w:tcW w:w="579" w:type="pct"/>
            <w:shd w:val="clear" w:color="auto" w:fill="auto"/>
          </w:tcPr>
          <w:p w14:paraId="51BF6B88" w14:textId="3DB57075"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Raporte periodike </w:t>
            </w:r>
            <w:r w:rsidR="009A6304">
              <w:rPr>
                <w:rFonts w:ascii="Garamond" w:hAnsi="Garamond" w:cs="Times New Roman"/>
                <w:sz w:val="12"/>
                <w:szCs w:val="16"/>
              </w:rPr>
              <w:t xml:space="preserve">me </w:t>
            </w:r>
            <w:r w:rsidRPr="00B457F5">
              <w:rPr>
                <w:rFonts w:ascii="Garamond" w:hAnsi="Garamond" w:cs="Times New Roman"/>
                <w:sz w:val="12"/>
                <w:szCs w:val="16"/>
              </w:rPr>
              <w:t xml:space="preserve">ministritë e </w:t>
            </w:r>
            <w:r w:rsidR="009A6304" w:rsidRPr="00B457F5">
              <w:rPr>
                <w:rFonts w:ascii="Garamond" w:hAnsi="Garamond" w:cs="Times New Roman"/>
                <w:sz w:val="12"/>
                <w:szCs w:val="16"/>
              </w:rPr>
              <w:t>linjës</w:t>
            </w:r>
          </w:p>
        </w:tc>
        <w:tc>
          <w:tcPr>
            <w:tcW w:w="522" w:type="pct"/>
            <w:shd w:val="clear" w:color="auto" w:fill="auto"/>
          </w:tcPr>
          <w:p w14:paraId="378D2B08"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SDGs</w:t>
            </w:r>
          </w:p>
          <w:p w14:paraId="3DB89797"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23 GCM </w:t>
            </w:r>
          </w:p>
          <w:p w14:paraId="6D9C52D8"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SKZHI</w:t>
            </w:r>
          </w:p>
          <w:p w14:paraId="21232441"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MIK</w:t>
            </w:r>
          </w:p>
          <w:p w14:paraId="5C3287C9"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SKPA</w:t>
            </w:r>
          </w:p>
        </w:tc>
      </w:tr>
      <w:tr w:rsidR="009D2573" w:rsidRPr="00B457F5" w14:paraId="2936EF98" w14:textId="77777777" w:rsidTr="00F53AA3">
        <w:trPr>
          <w:trHeight w:val="20"/>
        </w:trPr>
        <w:tc>
          <w:tcPr>
            <w:tcW w:w="356" w:type="pct"/>
            <w:vMerge/>
          </w:tcPr>
          <w:p w14:paraId="46D0EAFF" w14:textId="77777777" w:rsidR="009D2573" w:rsidRPr="00B457F5" w:rsidRDefault="009D2573" w:rsidP="00F53AA3">
            <w:pPr>
              <w:widowControl w:val="0"/>
              <w:spacing w:before="0" w:after="0"/>
              <w:jc w:val="left"/>
              <w:rPr>
                <w:rFonts w:ascii="Garamond" w:hAnsi="Garamond" w:cs="Times New Roman"/>
                <w:sz w:val="12"/>
                <w:szCs w:val="16"/>
              </w:rPr>
            </w:pPr>
          </w:p>
        </w:tc>
        <w:tc>
          <w:tcPr>
            <w:tcW w:w="1018" w:type="pct"/>
          </w:tcPr>
          <w:p w14:paraId="57D41459"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1.3.2 Krijimi i partneriteteve të reja për migracionin e punës</w:t>
            </w:r>
          </w:p>
        </w:tc>
        <w:tc>
          <w:tcPr>
            <w:tcW w:w="848" w:type="pct"/>
          </w:tcPr>
          <w:p w14:paraId="7E1D80C1"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Numri i marrëveshje të reja për migracionin e punës </w:t>
            </w:r>
          </w:p>
        </w:tc>
        <w:tc>
          <w:tcPr>
            <w:tcW w:w="814" w:type="pct"/>
          </w:tcPr>
          <w:p w14:paraId="4CE177EE"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3</w:t>
            </w:r>
          </w:p>
        </w:tc>
        <w:tc>
          <w:tcPr>
            <w:tcW w:w="436" w:type="pct"/>
          </w:tcPr>
          <w:p w14:paraId="00C2BD35"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Rritës </w:t>
            </w:r>
          </w:p>
        </w:tc>
        <w:tc>
          <w:tcPr>
            <w:tcW w:w="427" w:type="pct"/>
          </w:tcPr>
          <w:p w14:paraId="49E14244"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Rritës </w:t>
            </w:r>
          </w:p>
        </w:tc>
        <w:tc>
          <w:tcPr>
            <w:tcW w:w="579" w:type="pct"/>
          </w:tcPr>
          <w:p w14:paraId="61B80464" w14:textId="74A80959"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MEKI</w:t>
            </w:r>
            <w:r w:rsidR="009A6304">
              <w:rPr>
                <w:rFonts w:ascii="Garamond" w:hAnsi="Garamond" w:cs="Times New Roman"/>
                <w:sz w:val="12"/>
                <w:szCs w:val="16"/>
              </w:rPr>
              <w:t>;</w:t>
            </w:r>
          </w:p>
          <w:p w14:paraId="6B8D65E3" w14:textId="6D7B9B28"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MEPJ</w:t>
            </w:r>
            <w:r w:rsidR="009A6304">
              <w:rPr>
                <w:rFonts w:ascii="Garamond" w:hAnsi="Garamond" w:cs="Times New Roman"/>
                <w:sz w:val="12"/>
                <w:szCs w:val="16"/>
              </w:rPr>
              <w:t>.</w:t>
            </w:r>
          </w:p>
        </w:tc>
        <w:tc>
          <w:tcPr>
            <w:tcW w:w="522" w:type="pct"/>
          </w:tcPr>
          <w:p w14:paraId="2A8AB572" w14:textId="77777777" w:rsidR="009D2573" w:rsidRPr="00B457F5" w:rsidRDefault="009D2573" w:rsidP="00F53AA3">
            <w:pPr>
              <w:widowControl w:val="0"/>
              <w:spacing w:before="0" w:after="0"/>
              <w:jc w:val="left"/>
              <w:rPr>
                <w:rFonts w:ascii="Garamond" w:hAnsi="Garamond" w:cs="Times New Roman"/>
                <w:bCs/>
                <w:sz w:val="12"/>
                <w:szCs w:val="16"/>
              </w:rPr>
            </w:pPr>
            <w:r w:rsidRPr="00B457F5">
              <w:rPr>
                <w:rFonts w:ascii="Garamond" w:hAnsi="Garamond" w:cs="Times New Roman"/>
                <w:bCs/>
                <w:sz w:val="12"/>
                <w:szCs w:val="16"/>
              </w:rPr>
              <w:t>SDGs</w:t>
            </w:r>
          </w:p>
          <w:p w14:paraId="265F932F" w14:textId="77777777" w:rsidR="009D2573" w:rsidRPr="00B457F5" w:rsidRDefault="009D2573" w:rsidP="00F53AA3">
            <w:pPr>
              <w:widowControl w:val="0"/>
              <w:spacing w:before="0" w:after="0"/>
              <w:jc w:val="left"/>
              <w:rPr>
                <w:rFonts w:ascii="Garamond" w:hAnsi="Garamond" w:cs="Times New Roman"/>
                <w:bCs/>
                <w:sz w:val="12"/>
                <w:szCs w:val="16"/>
              </w:rPr>
            </w:pPr>
            <w:r w:rsidRPr="00B457F5">
              <w:rPr>
                <w:rFonts w:ascii="Garamond" w:hAnsi="Garamond" w:cs="Times New Roman"/>
                <w:bCs/>
                <w:sz w:val="12"/>
                <w:szCs w:val="16"/>
              </w:rPr>
              <w:t xml:space="preserve">23 GCM </w:t>
            </w:r>
          </w:p>
          <w:p w14:paraId="3B9E3177" w14:textId="77777777" w:rsidR="009D2573" w:rsidRPr="00B457F5" w:rsidRDefault="009D2573" w:rsidP="00F53AA3">
            <w:pPr>
              <w:widowControl w:val="0"/>
              <w:spacing w:before="0" w:after="0"/>
              <w:jc w:val="left"/>
              <w:rPr>
                <w:rFonts w:ascii="Garamond" w:hAnsi="Garamond" w:cs="Times New Roman"/>
                <w:bCs/>
                <w:sz w:val="12"/>
                <w:szCs w:val="16"/>
              </w:rPr>
            </w:pPr>
            <w:r w:rsidRPr="00B457F5">
              <w:rPr>
                <w:rFonts w:ascii="Garamond" w:hAnsi="Garamond" w:cs="Times New Roman"/>
                <w:bCs/>
                <w:sz w:val="12"/>
                <w:szCs w:val="16"/>
              </w:rPr>
              <w:t>SKZHI</w:t>
            </w:r>
          </w:p>
          <w:p w14:paraId="3EDC6F55" w14:textId="77777777" w:rsidR="009D2573" w:rsidRPr="00B457F5" w:rsidRDefault="009D2573" w:rsidP="00F53AA3">
            <w:pPr>
              <w:widowControl w:val="0"/>
              <w:spacing w:before="0" w:after="0"/>
              <w:jc w:val="left"/>
              <w:rPr>
                <w:rFonts w:ascii="Garamond" w:hAnsi="Garamond" w:cs="Times New Roman"/>
                <w:bCs/>
                <w:sz w:val="12"/>
                <w:szCs w:val="16"/>
              </w:rPr>
            </w:pPr>
            <w:r w:rsidRPr="00B457F5">
              <w:rPr>
                <w:rFonts w:ascii="Garamond" w:hAnsi="Garamond" w:cs="Times New Roman"/>
                <w:bCs/>
                <w:sz w:val="12"/>
                <w:szCs w:val="16"/>
              </w:rPr>
              <w:t>MIK</w:t>
            </w:r>
          </w:p>
          <w:p w14:paraId="29A7E633" w14:textId="77777777" w:rsidR="009D2573" w:rsidRPr="00B457F5" w:rsidRDefault="009D2573" w:rsidP="00F53AA3">
            <w:pPr>
              <w:widowControl w:val="0"/>
              <w:spacing w:before="0" w:after="0"/>
              <w:jc w:val="left"/>
              <w:rPr>
                <w:rFonts w:ascii="Garamond" w:hAnsi="Garamond" w:cs="Times New Roman"/>
                <w:b/>
                <w:bCs/>
                <w:sz w:val="12"/>
                <w:szCs w:val="16"/>
              </w:rPr>
            </w:pPr>
            <w:r w:rsidRPr="00B457F5">
              <w:rPr>
                <w:rFonts w:ascii="Garamond" w:hAnsi="Garamond" w:cs="Times New Roman"/>
                <w:bCs/>
                <w:sz w:val="12"/>
                <w:szCs w:val="16"/>
              </w:rPr>
              <w:t>SKPA</w:t>
            </w:r>
          </w:p>
        </w:tc>
      </w:tr>
      <w:tr w:rsidR="009D2573" w:rsidRPr="00B457F5" w14:paraId="57C33F06" w14:textId="77777777" w:rsidTr="00F53AA3">
        <w:trPr>
          <w:trHeight w:val="20"/>
        </w:trPr>
        <w:tc>
          <w:tcPr>
            <w:tcW w:w="356" w:type="pct"/>
            <w:vMerge/>
            <w:tcBorders>
              <w:bottom w:val="single" w:sz="4" w:space="0" w:color="auto"/>
            </w:tcBorders>
          </w:tcPr>
          <w:p w14:paraId="3B92757B" w14:textId="77777777" w:rsidR="009D2573" w:rsidRPr="00B457F5" w:rsidRDefault="009D2573" w:rsidP="00F53AA3">
            <w:pPr>
              <w:widowControl w:val="0"/>
              <w:spacing w:before="0" w:after="0"/>
              <w:jc w:val="left"/>
              <w:rPr>
                <w:rFonts w:ascii="Garamond" w:hAnsi="Garamond" w:cs="Times New Roman"/>
                <w:sz w:val="12"/>
                <w:szCs w:val="16"/>
              </w:rPr>
            </w:pPr>
          </w:p>
        </w:tc>
        <w:tc>
          <w:tcPr>
            <w:tcW w:w="1018" w:type="pct"/>
            <w:tcBorders>
              <w:bottom w:val="single" w:sz="4" w:space="0" w:color="auto"/>
            </w:tcBorders>
            <w:shd w:val="clear" w:color="auto" w:fill="auto"/>
          </w:tcPr>
          <w:p w14:paraId="7CB1D2A9"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1.4.1 Informimi dhe ndërgjegjësimi </w:t>
            </w:r>
          </w:p>
        </w:tc>
        <w:tc>
          <w:tcPr>
            <w:tcW w:w="848" w:type="pct"/>
            <w:tcBorders>
              <w:bottom w:val="single" w:sz="4" w:space="0" w:color="auto"/>
            </w:tcBorders>
            <w:shd w:val="clear" w:color="auto" w:fill="auto"/>
          </w:tcPr>
          <w:p w14:paraId="4CEB9B93" w14:textId="1E927ECE"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Fushata periodike informimi në terren</w:t>
            </w:r>
            <w:r w:rsidR="009A6304">
              <w:rPr>
                <w:rFonts w:ascii="Garamond" w:hAnsi="Garamond" w:cs="Times New Roman"/>
                <w:sz w:val="12"/>
                <w:szCs w:val="16"/>
              </w:rPr>
              <w:t>.</w:t>
            </w:r>
          </w:p>
          <w:p w14:paraId="05BC2BC0" w14:textId="77777777" w:rsidR="009D2573" w:rsidRPr="00B457F5" w:rsidRDefault="009D2573" w:rsidP="00F53AA3">
            <w:pPr>
              <w:widowControl w:val="0"/>
              <w:spacing w:before="0" w:after="0"/>
              <w:jc w:val="left"/>
              <w:rPr>
                <w:rFonts w:ascii="Garamond" w:hAnsi="Garamond" w:cs="Times New Roman"/>
                <w:sz w:val="12"/>
                <w:szCs w:val="16"/>
              </w:rPr>
            </w:pPr>
          </w:p>
          <w:p w14:paraId="1EE713F5" w14:textId="75176FE9"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Numri i personave të informuar</w:t>
            </w:r>
            <w:r w:rsidR="009A6304">
              <w:rPr>
                <w:rFonts w:ascii="Garamond" w:hAnsi="Garamond" w:cs="Times New Roman"/>
                <w:sz w:val="12"/>
                <w:szCs w:val="16"/>
              </w:rPr>
              <w:t>.</w:t>
            </w:r>
            <w:r w:rsidRPr="00B457F5">
              <w:rPr>
                <w:rFonts w:ascii="Garamond" w:hAnsi="Garamond" w:cs="Times New Roman"/>
                <w:sz w:val="12"/>
                <w:szCs w:val="16"/>
              </w:rPr>
              <w:tab/>
            </w:r>
          </w:p>
        </w:tc>
        <w:tc>
          <w:tcPr>
            <w:tcW w:w="814" w:type="pct"/>
            <w:tcBorders>
              <w:bottom w:val="single" w:sz="4" w:space="0" w:color="auto"/>
            </w:tcBorders>
            <w:shd w:val="clear" w:color="auto" w:fill="auto"/>
          </w:tcPr>
          <w:p w14:paraId="21F5621E"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 4</w:t>
            </w:r>
          </w:p>
          <w:p w14:paraId="25B03F52" w14:textId="77777777" w:rsidR="009A6304" w:rsidRDefault="009A6304" w:rsidP="00F53AA3">
            <w:pPr>
              <w:widowControl w:val="0"/>
              <w:spacing w:before="0" w:after="0"/>
              <w:jc w:val="left"/>
              <w:rPr>
                <w:rFonts w:ascii="Garamond" w:hAnsi="Garamond" w:cs="Times New Roman"/>
                <w:sz w:val="12"/>
                <w:szCs w:val="16"/>
              </w:rPr>
            </w:pPr>
          </w:p>
          <w:p w14:paraId="5DC1D0A5" w14:textId="1F2D3E00"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Referencë fushata </w:t>
            </w:r>
            <w:r w:rsidR="00A313AE" w:rsidRPr="00B457F5">
              <w:rPr>
                <w:rFonts w:ascii="Garamond" w:hAnsi="Garamond" w:cs="Times New Roman"/>
                <w:sz w:val="12"/>
                <w:szCs w:val="16"/>
              </w:rPr>
              <w:t>“</w:t>
            </w:r>
            <w:r w:rsidRPr="00B457F5">
              <w:rPr>
                <w:rFonts w:ascii="Garamond" w:hAnsi="Garamond" w:cs="Times New Roman"/>
                <w:sz w:val="12"/>
                <w:szCs w:val="16"/>
              </w:rPr>
              <w:t>Arise All</w:t>
            </w:r>
            <w:r w:rsidR="00A313AE" w:rsidRPr="00B457F5">
              <w:rPr>
                <w:rFonts w:ascii="Garamond" w:hAnsi="Garamond" w:cs="Times New Roman"/>
                <w:sz w:val="12"/>
                <w:szCs w:val="16"/>
              </w:rPr>
              <w:t>”</w:t>
            </w:r>
            <w:r w:rsidRPr="00B457F5">
              <w:rPr>
                <w:rFonts w:ascii="Garamond" w:hAnsi="Garamond" w:cs="Times New Roman"/>
                <w:sz w:val="12"/>
                <w:szCs w:val="16"/>
              </w:rPr>
              <w:t xml:space="preserve"> </w:t>
            </w:r>
          </w:p>
          <w:p w14:paraId="6F6E292C"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100,000 kopje broshurash</w:t>
            </w:r>
          </w:p>
        </w:tc>
        <w:tc>
          <w:tcPr>
            <w:tcW w:w="436" w:type="pct"/>
            <w:tcBorders>
              <w:bottom w:val="single" w:sz="4" w:space="0" w:color="auto"/>
            </w:tcBorders>
            <w:shd w:val="clear" w:color="auto" w:fill="auto"/>
          </w:tcPr>
          <w:p w14:paraId="702E7804"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Periodike çdo 6 muaj</w:t>
            </w:r>
          </w:p>
          <w:p w14:paraId="41BF152F" w14:textId="77777777" w:rsidR="009D2573" w:rsidRPr="00B457F5" w:rsidRDefault="009D2573" w:rsidP="00F53AA3">
            <w:pPr>
              <w:widowControl w:val="0"/>
              <w:spacing w:before="0" w:after="0"/>
              <w:jc w:val="left"/>
              <w:rPr>
                <w:rFonts w:ascii="Garamond" w:hAnsi="Garamond" w:cs="Times New Roman"/>
                <w:sz w:val="12"/>
                <w:szCs w:val="16"/>
              </w:rPr>
            </w:pPr>
          </w:p>
          <w:p w14:paraId="5A9C7CEC" w14:textId="77777777" w:rsidR="009D2573" w:rsidRPr="00B457F5" w:rsidRDefault="009D2573" w:rsidP="00F53AA3">
            <w:pPr>
              <w:widowControl w:val="0"/>
              <w:spacing w:before="0" w:after="0"/>
              <w:jc w:val="left"/>
              <w:rPr>
                <w:rFonts w:ascii="Garamond" w:hAnsi="Garamond" w:cs="Times New Roman"/>
                <w:sz w:val="12"/>
                <w:szCs w:val="16"/>
              </w:rPr>
            </w:pPr>
          </w:p>
          <w:p w14:paraId="40714333"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Rritës 20%</w:t>
            </w:r>
          </w:p>
        </w:tc>
        <w:tc>
          <w:tcPr>
            <w:tcW w:w="427" w:type="pct"/>
            <w:tcBorders>
              <w:bottom w:val="single" w:sz="4" w:space="0" w:color="auto"/>
            </w:tcBorders>
            <w:shd w:val="clear" w:color="auto" w:fill="auto"/>
          </w:tcPr>
          <w:p w14:paraId="542BD0B8"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Periodike çdo 6 muaj</w:t>
            </w:r>
          </w:p>
          <w:p w14:paraId="2FF310D7" w14:textId="77777777" w:rsidR="009D2573" w:rsidRPr="00B457F5" w:rsidRDefault="009D2573" w:rsidP="00F53AA3">
            <w:pPr>
              <w:widowControl w:val="0"/>
              <w:spacing w:before="0" w:after="0"/>
              <w:jc w:val="left"/>
              <w:rPr>
                <w:rFonts w:ascii="Garamond" w:hAnsi="Garamond" w:cs="Times New Roman"/>
                <w:sz w:val="12"/>
                <w:szCs w:val="16"/>
              </w:rPr>
            </w:pPr>
          </w:p>
          <w:p w14:paraId="31B869DE"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Rritës 20%</w:t>
            </w:r>
          </w:p>
        </w:tc>
        <w:tc>
          <w:tcPr>
            <w:tcW w:w="579" w:type="pct"/>
            <w:tcBorders>
              <w:bottom w:val="single" w:sz="4" w:space="0" w:color="auto"/>
            </w:tcBorders>
            <w:shd w:val="clear" w:color="auto" w:fill="auto"/>
          </w:tcPr>
          <w:p w14:paraId="0AC22991"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Raporti i vlerësimit të fushatës</w:t>
            </w:r>
          </w:p>
          <w:p w14:paraId="55C150D4" w14:textId="77777777" w:rsidR="009D2573" w:rsidRPr="00B457F5" w:rsidRDefault="009D2573" w:rsidP="00F53AA3">
            <w:pPr>
              <w:widowControl w:val="0"/>
              <w:spacing w:before="0" w:after="0"/>
              <w:jc w:val="left"/>
              <w:rPr>
                <w:rFonts w:ascii="Garamond" w:hAnsi="Garamond" w:cs="Times New Roman"/>
                <w:sz w:val="12"/>
                <w:szCs w:val="16"/>
              </w:rPr>
            </w:pPr>
          </w:p>
          <w:p w14:paraId="7446B4D9" w14:textId="77777777" w:rsidR="009D2573" w:rsidRPr="00B457F5" w:rsidRDefault="009D2573" w:rsidP="00F53AA3">
            <w:pPr>
              <w:widowControl w:val="0"/>
              <w:spacing w:before="0" w:after="0"/>
              <w:jc w:val="left"/>
              <w:rPr>
                <w:rFonts w:ascii="Garamond" w:hAnsi="Garamond" w:cs="Times New Roman"/>
                <w:sz w:val="12"/>
                <w:szCs w:val="16"/>
              </w:rPr>
            </w:pPr>
          </w:p>
        </w:tc>
        <w:tc>
          <w:tcPr>
            <w:tcW w:w="522" w:type="pct"/>
            <w:tcBorders>
              <w:bottom w:val="single" w:sz="4" w:space="0" w:color="auto"/>
            </w:tcBorders>
            <w:shd w:val="clear" w:color="auto" w:fill="auto"/>
          </w:tcPr>
          <w:p w14:paraId="5794CEE2"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GCM 2</w:t>
            </w:r>
          </w:p>
          <w:p w14:paraId="02D19D3B"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SDG</w:t>
            </w:r>
          </w:p>
          <w:p w14:paraId="3E898DD7"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GCM 3</w:t>
            </w:r>
          </w:p>
          <w:p w14:paraId="3E134DCB" w14:textId="39601A06"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10.7</w:t>
            </w:r>
            <w:r w:rsidR="0006016F" w:rsidRPr="00B457F5">
              <w:rPr>
                <w:rFonts w:ascii="Garamond" w:hAnsi="Garamond" w:cs="Times New Roman"/>
                <w:sz w:val="12"/>
                <w:szCs w:val="16"/>
              </w:rPr>
              <w:t xml:space="preserve"> </w:t>
            </w:r>
            <w:r w:rsidRPr="00B457F5">
              <w:rPr>
                <w:rFonts w:ascii="Garamond" w:hAnsi="Garamond" w:cs="Times New Roman"/>
                <w:sz w:val="12"/>
                <w:szCs w:val="16"/>
              </w:rPr>
              <w:t>SDG</w:t>
            </w:r>
          </w:p>
          <w:p w14:paraId="059C49AE"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17.18 SDG</w:t>
            </w:r>
          </w:p>
        </w:tc>
      </w:tr>
      <w:tr w:rsidR="009D2573" w:rsidRPr="00B457F5" w14:paraId="5A54F88F" w14:textId="77777777" w:rsidTr="00F53AA3">
        <w:trPr>
          <w:trHeight w:val="20"/>
        </w:trPr>
        <w:tc>
          <w:tcPr>
            <w:tcW w:w="356" w:type="pct"/>
            <w:vMerge/>
          </w:tcPr>
          <w:p w14:paraId="7855A676" w14:textId="77777777" w:rsidR="009D2573" w:rsidRPr="00B457F5" w:rsidRDefault="009D2573" w:rsidP="00F53AA3">
            <w:pPr>
              <w:widowControl w:val="0"/>
              <w:spacing w:before="0" w:after="0"/>
              <w:jc w:val="left"/>
              <w:rPr>
                <w:rFonts w:ascii="Garamond" w:hAnsi="Garamond" w:cs="Times New Roman"/>
                <w:sz w:val="12"/>
                <w:szCs w:val="16"/>
              </w:rPr>
            </w:pPr>
          </w:p>
        </w:tc>
        <w:tc>
          <w:tcPr>
            <w:tcW w:w="1018" w:type="pct"/>
            <w:shd w:val="clear" w:color="auto" w:fill="auto"/>
          </w:tcPr>
          <w:p w14:paraId="08E0028B"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1.4.2 Forcimi i kontrollit në kufi dhe në territor </w:t>
            </w:r>
          </w:p>
        </w:tc>
        <w:tc>
          <w:tcPr>
            <w:tcW w:w="848" w:type="pct"/>
            <w:shd w:val="clear" w:color="auto" w:fill="auto"/>
          </w:tcPr>
          <w:p w14:paraId="14CE43C6"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Të huajve të informuar në PKK</w:t>
            </w:r>
          </w:p>
        </w:tc>
        <w:tc>
          <w:tcPr>
            <w:tcW w:w="814" w:type="pct"/>
            <w:shd w:val="clear" w:color="auto" w:fill="auto"/>
          </w:tcPr>
          <w:p w14:paraId="480ABC06"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8 335 imigrantë në situatë të parregullt (viti 2022)</w:t>
            </w:r>
          </w:p>
        </w:tc>
        <w:tc>
          <w:tcPr>
            <w:tcW w:w="436" w:type="pct"/>
            <w:shd w:val="clear" w:color="auto" w:fill="auto"/>
          </w:tcPr>
          <w:p w14:paraId="5EDC1BC1"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100%</w:t>
            </w:r>
          </w:p>
        </w:tc>
        <w:tc>
          <w:tcPr>
            <w:tcW w:w="427" w:type="pct"/>
            <w:shd w:val="clear" w:color="auto" w:fill="auto"/>
          </w:tcPr>
          <w:p w14:paraId="3D219255"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100%</w:t>
            </w:r>
          </w:p>
        </w:tc>
        <w:tc>
          <w:tcPr>
            <w:tcW w:w="579" w:type="pct"/>
            <w:shd w:val="clear" w:color="auto" w:fill="auto"/>
          </w:tcPr>
          <w:p w14:paraId="4BF78AD7"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DKM/të dhënat administrative</w:t>
            </w:r>
          </w:p>
          <w:p w14:paraId="72962A47" w14:textId="77777777" w:rsidR="009D2573" w:rsidRPr="00B457F5" w:rsidRDefault="009D2573" w:rsidP="00F53AA3">
            <w:pPr>
              <w:widowControl w:val="0"/>
              <w:spacing w:before="0" w:after="0"/>
              <w:jc w:val="left"/>
              <w:rPr>
                <w:rFonts w:ascii="Garamond" w:hAnsi="Garamond" w:cs="Times New Roman"/>
                <w:sz w:val="12"/>
                <w:szCs w:val="16"/>
              </w:rPr>
            </w:pPr>
          </w:p>
        </w:tc>
        <w:tc>
          <w:tcPr>
            <w:tcW w:w="522" w:type="pct"/>
            <w:shd w:val="clear" w:color="auto" w:fill="auto"/>
          </w:tcPr>
          <w:p w14:paraId="05E0CD46"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GCM 3</w:t>
            </w:r>
          </w:p>
          <w:p w14:paraId="1C2FA410" w14:textId="5CFF54D6"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10.7</w:t>
            </w:r>
            <w:r w:rsidR="0006016F" w:rsidRPr="00B457F5">
              <w:rPr>
                <w:rFonts w:ascii="Garamond" w:hAnsi="Garamond" w:cs="Times New Roman"/>
                <w:sz w:val="12"/>
                <w:szCs w:val="16"/>
              </w:rPr>
              <w:t xml:space="preserve"> </w:t>
            </w:r>
            <w:r w:rsidRPr="00B457F5">
              <w:rPr>
                <w:rFonts w:ascii="Garamond" w:hAnsi="Garamond" w:cs="Times New Roman"/>
                <w:sz w:val="12"/>
                <w:szCs w:val="16"/>
              </w:rPr>
              <w:t>SDG</w:t>
            </w:r>
          </w:p>
          <w:p w14:paraId="6AB5C50A"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17.18 SDG</w:t>
            </w:r>
          </w:p>
        </w:tc>
      </w:tr>
      <w:tr w:rsidR="009D2573" w:rsidRPr="00B457F5" w14:paraId="5AAE40D8" w14:textId="77777777" w:rsidTr="00F53AA3">
        <w:trPr>
          <w:trHeight w:val="20"/>
        </w:trPr>
        <w:tc>
          <w:tcPr>
            <w:tcW w:w="356" w:type="pct"/>
            <w:shd w:val="clear" w:color="auto" w:fill="auto"/>
            <w:vAlign w:val="center"/>
          </w:tcPr>
          <w:p w14:paraId="4DE3DCFD" w14:textId="77777777" w:rsidR="005C6C49" w:rsidRPr="00B457F5" w:rsidRDefault="009D2573" w:rsidP="00F53AA3">
            <w:pPr>
              <w:widowControl w:val="0"/>
              <w:spacing w:before="0" w:after="0"/>
              <w:jc w:val="left"/>
              <w:rPr>
                <w:rFonts w:ascii="Garamond" w:hAnsi="Garamond" w:cs="Times New Roman"/>
                <w:b/>
                <w:sz w:val="12"/>
                <w:szCs w:val="16"/>
              </w:rPr>
            </w:pPr>
            <w:r w:rsidRPr="00B457F5">
              <w:rPr>
                <w:rFonts w:ascii="Garamond" w:hAnsi="Garamond" w:cs="Times New Roman"/>
                <w:b/>
                <w:sz w:val="12"/>
                <w:szCs w:val="16"/>
              </w:rPr>
              <w:t>Qëllimi i politikës/</w:t>
            </w:r>
          </w:p>
          <w:p w14:paraId="08D05D52" w14:textId="3A724C3F" w:rsidR="009D2573" w:rsidRPr="00B457F5" w:rsidRDefault="00E815B0" w:rsidP="00F53AA3">
            <w:pPr>
              <w:widowControl w:val="0"/>
              <w:spacing w:before="0" w:after="0"/>
              <w:jc w:val="left"/>
              <w:rPr>
                <w:rFonts w:ascii="Garamond" w:hAnsi="Garamond" w:cs="Times New Roman"/>
                <w:b/>
                <w:sz w:val="12"/>
                <w:szCs w:val="16"/>
              </w:rPr>
            </w:pPr>
            <w:r w:rsidRPr="00B457F5">
              <w:rPr>
                <w:rFonts w:ascii="Garamond" w:hAnsi="Garamond" w:cs="Times New Roman"/>
                <w:b/>
                <w:sz w:val="12"/>
                <w:szCs w:val="16"/>
              </w:rPr>
              <w:t>n</w:t>
            </w:r>
            <w:r w:rsidR="009D2573" w:rsidRPr="00B457F5">
              <w:rPr>
                <w:rFonts w:ascii="Garamond" w:hAnsi="Garamond" w:cs="Times New Roman"/>
                <w:b/>
                <w:sz w:val="12"/>
                <w:szCs w:val="16"/>
              </w:rPr>
              <w:t>dikimi</w:t>
            </w:r>
          </w:p>
        </w:tc>
        <w:tc>
          <w:tcPr>
            <w:tcW w:w="1018" w:type="pct"/>
            <w:shd w:val="clear" w:color="auto" w:fill="auto"/>
          </w:tcPr>
          <w:p w14:paraId="3C98BE53" w14:textId="757A04E7" w:rsidR="009D2573" w:rsidRPr="00B457F5" w:rsidRDefault="009D2573" w:rsidP="00F53AA3">
            <w:pPr>
              <w:widowControl w:val="0"/>
              <w:spacing w:before="0" w:after="0"/>
              <w:jc w:val="left"/>
              <w:rPr>
                <w:rFonts w:ascii="Garamond" w:hAnsi="Garamond" w:cs="Times New Roman"/>
                <w:b/>
                <w:sz w:val="12"/>
                <w:szCs w:val="16"/>
              </w:rPr>
            </w:pPr>
            <w:r w:rsidRPr="00B457F5">
              <w:rPr>
                <w:rFonts w:ascii="Garamond" w:hAnsi="Garamond" w:cs="Times New Roman"/>
                <w:b/>
                <w:sz w:val="12"/>
                <w:szCs w:val="16"/>
              </w:rPr>
              <w:t>Qëllimi i politikës 2: Zhvillimi i politikave të efektshme për migracionin për motive punësimi</w:t>
            </w:r>
            <w:r w:rsidR="009A6304">
              <w:rPr>
                <w:rFonts w:ascii="Garamond" w:hAnsi="Garamond" w:cs="Times New Roman"/>
                <w:b/>
                <w:sz w:val="12"/>
                <w:szCs w:val="16"/>
              </w:rPr>
              <w:t>,</w:t>
            </w:r>
            <w:r w:rsidRPr="00B457F5">
              <w:rPr>
                <w:rFonts w:ascii="Garamond" w:hAnsi="Garamond" w:cs="Times New Roman"/>
                <w:b/>
                <w:sz w:val="12"/>
                <w:szCs w:val="16"/>
              </w:rPr>
              <w:t xml:space="preserve"> duke rritur ndikimin pozitiv të migracionit tek zhvillimi socio-ekonomik kombëtar/lokal</w:t>
            </w:r>
          </w:p>
        </w:tc>
        <w:tc>
          <w:tcPr>
            <w:tcW w:w="848" w:type="pct"/>
            <w:shd w:val="clear" w:color="auto" w:fill="auto"/>
          </w:tcPr>
          <w:p w14:paraId="4ACA3E15" w14:textId="77777777" w:rsidR="009D2573" w:rsidRPr="00B457F5" w:rsidRDefault="009D2573" w:rsidP="00F53AA3">
            <w:pPr>
              <w:widowControl w:val="0"/>
              <w:spacing w:before="0" w:after="0"/>
              <w:jc w:val="left"/>
              <w:rPr>
                <w:rFonts w:ascii="Garamond" w:hAnsi="Garamond" w:cs="Times New Roman"/>
                <w:bCs/>
                <w:sz w:val="12"/>
                <w:szCs w:val="16"/>
              </w:rPr>
            </w:pPr>
            <w:r w:rsidRPr="00B457F5">
              <w:rPr>
                <w:rFonts w:ascii="Garamond" w:hAnsi="Garamond" w:cs="Times New Roman"/>
                <w:bCs/>
                <w:sz w:val="12"/>
                <w:szCs w:val="16"/>
              </w:rPr>
              <w:t>Ndikimi i migracionit në GDP</w:t>
            </w:r>
          </w:p>
          <w:p w14:paraId="4BBC93DB" w14:textId="77777777" w:rsidR="009D2573" w:rsidRPr="00B457F5" w:rsidRDefault="009D2573" w:rsidP="00F53AA3">
            <w:pPr>
              <w:widowControl w:val="0"/>
              <w:spacing w:before="0" w:after="0"/>
              <w:jc w:val="left"/>
              <w:rPr>
                <w:rFonts w:ascii="Garamond" w:hAnsi="Garamond" w:cs="Times New Roman"/>
                <w:bCs/>
                <w:sz w:val="12"/>
                <w:szCs w:val="16"/>
              </w:rPr>
            </w:pPr>
          </w:p>
          <w:p w14:paraId="1C810570" w14:textId="77777777" w:rsidR="009D2573" w:rsidRPr="00B457F5" w:rsidRDefault="009D2573" w:rsidP="00F53AA3">
            <w:pPr>
              <w:widowControl w:val="0"/>
              <w:spacing w:before="0" w:after="0"/>
              <w:jc w:val="left"/>
              <w:rPr>
                <w:rFonts w:ascii="Garamond" w:hAnsi="Garamond" w:cs="Times New Roman"/>
                <w:bCs/>
                <w:sz w:val="12"/>
                <w:szCs w:val="16"/>
              </w:rPr>
            </w:pPr>
          </w:p>
          <w:p w14:paraId="1CBA5B1A" w14:textId="77777777" w:rsidR="009D2573" w:rsidRPr="00B457F5" w:rsidRDefault="009D2573" w:rsidP="00F53AA3">
            <w:pPr>
              <w:widowControl w:val="0"/>
              <w:spacing w:before="0" w:after="0"/>
              <w:jc w:val="left"/>
              <w:rPr>
                <w:rFonts w:ascii="Garamond" w:hAnsi="Garamond" w:cs="Times New Roman"/>
                <w:bCs/>
                <w:sz w:val="12"/>
                <w:szCs w:val="16"/>
              </w:rPr>
            </w:pPr>
          </w:p>
        </w:tc>
        <w:tc>
          <w:tcPr>
            <w:tcW w:w="814" w:type="pct"/>
            <w:shd w:val="clear" w:color="auto" w:fill="auto"/>
          </w:tcPr>
          <w:p w14:paraId="3445BDE0"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I paidentifikuar </w:t>
            </w:r>
          </w:p>
        </w:tc>
        <w:tc>
          <w:tcPr>
            <w:tcW w:w="436" w:type="pct"/>
            <w:shd w:val="clear" w:color="auto" w:fill="auto"/>
          </w:tcPr>
          <w:p w14:paraId="72921483"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Studim vlerësues nga BSH</w:t>
            </w:r>
          </w:p>
        </w:tc>
        <w:tc>
          <w:tcPr>
            <w:tcW w:w="427" w:type="pct"/>
            <w:shd w:val="clear" w:color="auto" w:fill="auto"/>
          </w:tcPr>
          <w:p w14:paraId="6929D322"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Studim vlerësues nga BSH</w:t>
            </w:r>
          </w:p>
        </w:tc>
        <w:tc>
          <w:tcPr>
            <w:tcW w:w="579" w:type="pct"/>
            <w:shd w:val="clear" w:color="auto" w:fill="auto"/>
          </w:tcPr>
          <w:p w14:paraId="0495AEC6"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MEKI</w:t>
            </w:r>
            <w:r w:rsidRPr="00B457F5">
              <w:rPr>
                <w:rFonts w:ascii="Garamond" w:hAnsi="Garamond" w:cs="Times New Roman"/>
                <w:sz w:val="12"/>
                <w:szCs w:val="16"/>
              </w:rPr>
              <w:br/>
              <w:t xml:space="preserve">Banka e Shqipërisë </w:t>
            </w:r>
          </w:p>
        </w:tc>
        <w:tc>
          <w:tcPr>
            <w:tcW w:w="522" w:type="pct"/>
            <w:shd w:val="clear" w:color="auto" w:fill="auto"/>
          </w:tcPr>
          <w:p w14:paraId="7D5E9939"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Action 6, 7, 8, 9 - Action Plan For Sustainable Migration Governance In</w:t>
            </w:r>
          </w:p>
          <w:p w14:paraId="1204BC08" w14:textId="17AA32DE"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The Western Balkans 2023</w:t>
            </w:r>
            <w:r w:rsidR="00FD1ECB" w:rsidRPr="00B457F5">
              <w:rPr>
                <w:rFonts w:ascii="Garamond" w:hAnsi="Garamond" w:cs="Times New Roman"/>
                <w:sz w:val="12"/>
                <w:szCs w:val="16"/>
              </w:rPr>
              <w:t>–</w:t>
            </w:r>
            <w:r w:rsidRPr="00B457F5">
              <w:rPr>
                <w:rFonts w:ascii="Garamond" w:hAnsi="Garamond" w:cs="Times New Roman"/>
                <w:sz w:val="12"/>
                <w:szCs w:val="16"/>
              </w:rPr>
              <w:t>2025</w:t>
            </w:r>
          </w:p>
        </w:tc>
      </w:tr>
      <w:tr w:rsidR="009D2573" w:rsidRPr="00B457F5" w14:paraId="7A4B2187" w14:textId="77777777" w:rsidTr="00F53AA3">
        <w:trPr>
          <w:trHeight w:val="20"/>
        </w:trPr>
        <w:tc>
          <w:tcPr>
            <w:tcW w:w="356" w:type="pct"/>
            <w:vMerge w:val="restart"/>
            <w:shd w:val="clear" w:color="auto" w:fill="auto"/>
            <w:vAlign w:val="center"/>
          </w:tcPr>
          <w:p w14:paraId="69FA7250" w14:textId="77777777" w:rsidR="009D2573" w:rsidRPr="00B457F5" w:rsidRDefault="009D2573" w:rsidP="00F53AA3">
            <w:pPr>
              <w:widowControl w:val="0"/>
              <w:spacing w:before="0" w:after="0"/>
              <w:jc w:val="left"/>
              <w:rPr>
                <w:rFonts w:ascii="Garamond" w:hAnsi="Garamond" w:cs="Times New Roman"/>
                <w:b/>
                <w:sz w:val="12"/>
                <w:szCs w:val="16"/>
              </w:rPr>
            </w:pPr>
            <w:r w:rsidRPr="00B457F5">
              <w:rPr>
                <w:rFonts w:ascii="Garamond" w:hAnsi="Garamond" w:cs="Times New Roman"/>
                <w:b/>
                <w:sz w:val="12"/>
                <w:szCs w:val="16"/>
              </w:rPr>
              <w:t>Objektivi specifik/ strategjik</w:t>
            </w:r>
          </w:p>
        </w:tc>
        <w:tc>
          <w:tcPr>
            <w:tcW w:w="1018" w:type="pct"/>
            <w:shd w:val="clear" w:color="auto" w:fill="auto"/>
          </w:tcPr>
          <w:p w14:paraId="48004AB8" w14:textId="5712B5F4"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2.1: Krijimi i mundësive ligjore dhe institucionale për migracionin e punës në dhe nga Shqipëria</w:t>
            </w:r>
            <w:r w:rsidR="0006016F" w:rsidRPr="00B457F5">
              <w:rPr>
                <w:rFonts w:ascii="Garamond" w:hAnsi="Garamond" w:cs="Times New Roman"/>
                <w:sz w:val="12"/>
                <w:szCs w:val="16"/>
              </w:rPr>
              <w:t xml:space="preserve"> </w:t>
            </w:r>
          </w:p>
        </w:tc>
        <w:tc>
          <w:tcPr>
            <w:tcW w:w="848" w:type="pct"/>
            <w:shd w:val="clear" w:color="auto" w:fill="auto"/>
          </w:tcPr>
          <w:p w14:paraId="4E3F3EA6"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bCs/>
                <w:sz w:val="12"/>
                <w:szCs w:val="16"/>
              </w:rPr>
              <w:t>Numri i shtetasve të huajt të punësuar dhe vetëpunësuar në Shqipëri</w:t>
            </w:r>
          </w:p>
        </w:tc>
        <w:tc>
          <w:tcPr>
            <w:tcW w:w="814" w:type="pct"/>
            <w:shd w:val="clear" w:color="auto" w:fill="auto"/>
          </w:tcPr>
          <w:p w14:paraId="6B533CEB"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Në total: 12 434</w:t>
            </w:r>
          </w:p>
          <w:p w14:paraId="735502AC"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Punëmarrës: 6819</w:t>
            </w:r>
          </w:p>
          <w:p w14:paraId="1F5471B4"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Të vetëpunësuar: 653</w:t>
            </w:r>
          </w:p>
        </w:tc>
        <w:tc>
          <w:tcPr>
            <w:tcW w:w="436" w:type="pct"/>
            <w:shd w:val="clear" w:color="auto" w:fill="auto"/>
          </w:tcPr>
          <w:p w14:paraId="059ACB8E"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Rritës 5%</w:t>
            </w:r>
          </w:p>
        </w:tc>
        <w:tc>
          <w:tcPr>
            <w:tcW w:w="427" w:type="pct"/>
            <w:shd w:val="clear" w:color="auto" w:fill="auto"/>
          </w:tcPr>
          <w:p w14:paraId="1E7FACCD"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Rritës 5%</w:t>
            </w:r>
          </w:p>
        </w:tc>
        <w:tc>
          <w:tcPr>
            <w:tcW w:w="579" w:type="pct"/>
            <w:shd w:val="clear" w:color="auto" w:fill="auto"/>
          </w:tcPr>
          <w:p w14:paraId="23150061"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MEKI</w:t>
            </w:r>
          </w:p>
          <w:p w14:paraId="77BC3CC9"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AKPA</w:t>
            </w:r>
          </w:p>
          <w:p w14:paraId="0B74EA07" w14:textId="77777777" w:rsidR="009D2573" w:rsidRPr="00B457F5" w:rsidRDefault="009D2573" w:rsidP="00F53AA3">
            <w:pPr>
              <w:widowControl w:val="0"/>
              <w:spacing w:before="0" w:after="0"/>
              <w:jc w:val="left"/>
              <w:rPr>
                <w:rFonts w:ascii="Garamond" w:hAnsi="Garamond" w:cs="Times New Roman"/>
                <w:sz w:val="12"/>
                <w:szCs w:val="16"/>
              </w:rPr>
            </w:pPr>
          </w:p>
        </w:tc>
        <w:tc>
          <w:tcPr>
            <w:tcW w:w="522" w:type="pct"/>
            <w:shd w:val="clear" w:color="auto" w:fill="auto"/>
          </w:tcPr>
          <w:p w14:paraId="1F42BD86"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19 GCM </w:t>
            </w:r>
          </w:p>
          <w:p w14:paraId="2CB6C25C" w14:textId="7BFEDEE0"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All 17 SDGs are relevant to this objective SDG</w:t>
            </w:r>
          </w:p>
        </w:tc>
      </w:tr>
      <w:tr w:rsidR="009D2573" w:rsidRPr="00B457F5" w14:paraId="3EF3E2D9" w14:textId="77777777" w:rsidTr="00F53AA3">
        <w:trPr>
          <w:trHeight w:val="20"/>
        </w:trPr>
        <w:tc>
          <w:tcPr>
            <w:tcW w:w="356" w:type="pct"/>
            <w:vMerge/>
            <w:shd w:val="clear" w:color="auto" w:fill="auto"/>
            <w:vAlign w:val="center"/>
          </w:tcPr>
          <w:p w14:paraId="2F523DA4" w14:textId="77777777" w:rsidR="009D2573" w:rsidRPr="00B457F5" w:rsidRDefault="009D2573" w:rsidP="00F53AA3">
            <w:pPr>
              <w:widowControl w:val="0"/>
              <w:spacing w:before="0" w:after="0"/>
              <w:jc w:val="left"/>
              <w:rPr>
                <w:rFonts w:ascii="Garamond" w:hAnsi="Garamond" w:cs="Times New Roman"/>
                <w:sz w:val="12"/>
                <w:szCs w:val="16"/>
              </w:rPr>
            </w:pPr>
          </w:p>
        </w:tc>
        <w:tc>
          <w:tcPr>
            <w:tcW w:w="1018" w:type="pct"/>
            <w:shd w:val="clear" w:color="auto" w:fill="auto"/>
          </w:tcPr>
          <w:p w14:paraId="01139154" w14:textId="0DB7B5F9"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2.2</w:t>
            </w:r>
            <w:r w:rsidR="0006016F" w:rsidRPr="00B457F5">
              <w:rPr>
                <w:rFonts w:ascii="Garamond" w:hAnsi="Garamond" w:cs="Times New Roman"/>
                <w:sz w:val="12"/>
                <w:szCs w:val="16"/>
              </w:rPr>
              <w:t xml:space="preserve"> </w:t>
            </w:r>
            <w:r w:rsidRPr="00B457F5">
              <w:rPr>
                <w:rFonts w:ascii="Garamond" w:hAnsi="Garamond" w:cs="Times New Roman"/>
                <w:sz w:val="12"/>
                <w:szCs w:val="16"/>
              </w:rPr>
              <w:t xml:space="preserve">Krijimi i mundësive dhe stimujve për emigrantët që të kontribuojnë në zhvillimin e qëndrueshëm </w:t>
            </w:r>
          </w:p>
        </w:tc>
        <w:tc>
          <w:tcPr>
            <w:tcW w:w="848" w:type="pct"/>
            <w:shd w:val="clear" w:color="auto" w:fill="auto"/>
          </w:tcPr>
          <w:p w14:paraId="66BAE156" w14:textId="2D97CFF4"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Informacion dhe </w:t>
            </w:r>
            <w:r w:rsidR="009A6304">
              <w:rPr>
                <w:rFonts w:ascii="Garamond" w:hAnsi="Garamond" w:cs="Times New Roman"/>
                <w:sz w:val="12"/>
                <w:szCs w:val="16"/>
              </w:rPr>
              <w:t>s</w:t>
            </w:r>
            <w:r w:rsidRPr="00B457F5">
              <w:rPr>
                <w:rFonts w:ascii="Garamond" w:hAnsi="Garamond" w:cs="Times New Roman"/>
                <w:sz w:val="12"/>
                <w:szCs w:val="16"/>
              </w:rPr>
              <w:t>hërbimeve të thjeshtuara</w:t>
            </w:r>
            <w:r w:rsidR="009A6304">
              <w:rPr>
                <w:rFonts w:ascii="Garamond" w:hAnsi="Garamond" w:cs="Times New Roman"/>
                <w:sz w:val="12"/>
                <w:szCs w:val="16"/>
              </w:rPr>
              <w:t>,</w:t>
            </w:r>
            <w:r w:rsidRPr="00B457F5">
              <w:rPr>
                <w:rFonts w:ascii="Garamond" w:hAnsi="Garamond" w:cs="Times New Roman"/>
                <w:sz w:val="12"/>
                <w:szCs w:val="16"/>
              </w:rPr>
              <w:t xml:space="preserve"> dhe </w:t>
            </w:r>
            <w:r w:rsidR="0006016F" w:rsidRPr="00B457F5">
              <w:rPr>
                <w:rFonts w:ascii="Garamond" w:hAnsi="Garamond" w:cs="Times New Roman"/>
                <w:sz w:val="12"/>
                <w:szCs w:val="16"/>
              </w:rPr>
              <w:t>digjitalizuar</w:t>
            </w:r>
            <w:r w:rsidRPr="00B457F5">
              <w:rPr>
                <w:rFonts w:ascii="Garamond" w:hAnsi="Garamond" w:cs="Times New Roman"/>
                <w:sz w:val="12"/>
                <w:szCs w:val="16"/>
              </w:rPr>
              <w:t xml:space="preserve"> </w:t>
            </w:r>
          </w:p>
          <w:p w14:paraId="2A638553" w14:textId="77777777" w:rsidR="009D2573" w:rsidRPr="00B457F5" w:rsidRDefault="009D2573" w:rsidP="00F53AA3">
            <w:pPr>
              <w:widowControl w:val="0"/>
              <w:spacing w:before="0" w:after="0"/>
              <w:jc w:val="left"/>
              <w:rPr>
                <w:rFonts w:ascii="Garamond" w:hAnsi="Garamond" w:cs="Times New Roman"/>
                <w:sz w:val="12"/>
                <w:szCs w:val="16"/>
              </w:rPr>
            </w:pPr>
          </w:p>
        </w:tc>
        <w:tc>
          <w:tcPr>
            <w:tcW w:w="814" w:type="pct"/>
            <w:shd w:val="clear" w:color="auto" w:fill="auto"/>
          </w:tcPr>
          <w:p w14:paraId="46FE815E" w14:textId="77777777" w:rsidR="009D2573" w:rsidRPr="00B457F5" w:rsidRDefault="009D2573" w:rsidP="00F53AA3">
            <w:pPr>
              <w:widowControl w:val="0"/>
              <w:spacing w:before="0" w:after="0"/>
              <w:jc w:val="left"/>
              <w:rPr>
                <w:rFonts w:ascii="Garamond" w:hAnsi="Garamond" w:cs="Times New Roman"/>
                <w:sz w:val="12"/>
                <w:szCs w:val="16"/>
              </w:rPr>
            </w:pPr>
          </w:p>
        </w:tc>
        <w:tc>
          <w:tcPr>
            <w:tcW w:w="436" w:type="pct"/>
            <w:shd w:val="clear" w:color="auto" w:fill="auto"/>
          </w:tcPr>
          <w:p w14:paraId="2CB5C02D" w14:textId="5D326DE3"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Rritës</w:t>
            </w:r>
            <w:r w:rsidR="0006016F" w:rsidRPr="00B457F5">
              <w:rPr>
                <w:rFonts w:ascii="Garamond" w:hAnsi="Garamond" w:cs="Times New Roman"/>
                <w:sz w:val="12"/>
                <w:szCs w:val="16"/>
              </w:rPr>
              <w:t xml:space="preserve"> </w:t>
            </w:r>
          </w:p>
        </w:tc>
        <w:tc>
          <w:tcPr>
            <w:tcW w:w="427" w:type="pct"/>
            <w:shd w:val="clear" w:color="auto" w:fill="auto"/>
          </w:tcPr>
          <w:p w14:paraId="539A4DB2" w14:textId="77777777" w:rsidR="009D2573" w:rsidRPr="00B457F5" w:rsidRDefault="009D2573" w:rsidP="00F53AA3">
            <w:pPr>
              <w:widowControl w:val="0"/>
              <w:spacing w:before="0" w:after="0"/>
              <w:jc w:val="left"/>
              <w:rPr>
                <w:rFonts w:ascii="Garamond" w:hAnsi="Garamond" w:cs="Times New Roman"/>
                <w:sz w:val="12"/>
                <w:szCs w:val="16"/>
              </w:rPr>
            </w:pPr>
          </w:p>
        </w:tc>
        <w:tc>
          <w:tcPr>
            <w:tcW w:w="579" w:type="pct"/>
            <w:shd w:val="clear" w:color="auto" w:fill="auto"/>
          </w:tcPr>
          <w:p w14:paraId="61A38D37"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AKSHI</w:t>
            </w:r>
          </w:p>
          <w:p w14:paraId="5A6D51DE"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ADISA</w:t>
            </w:r>
          </w:p>
          <w:p w14:paraId="2EEA9827"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lastRenderedPageBreak/>
              <w:t>MEKI</w:t>
            </w:r>
          </w:p>
          <w:p w14:paraId="78DBD639"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MB</w:t>
            </w:r>
          </w:p>
          <w:p w14:paraId="24B6428B"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NJVV</w:t>
            </w:r>
          </w:p>
        </w:tc>
        <w:tc>
          <w:tcPr>
            <w:tcW w:w="522" w:type="pct"/>
            <w:shd w:val="clear" w:color="auto" w:fill="auto"/>
          </w:tcPr>
          <w:p w14:paraId="7F238F75"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lastRenderedPageBreak/>
              <w:t xml:space="preserve">19 GCM </w:t>
            </w:r>
          </w:p>
          <w:p w14:paraId="124367DA"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All 17 SDGs are relevant </w:t>
            </w:r>
            <w:r w:rsidRPr="00B457F5">
              <w:rPr>
                <w:rFonts w:ascii="Garamond" w:hAnsi="Garamond" w:cs="Times New Roman"/>
                <w:sz w:val="12"/>
                <w:szCs w:val="16"/>
              </w:rPr>
              <w:lastRenderedPageBreak/>
              <w:t>to this objective SDG</w:t>
            </w:r>
          </w:p>
        </w:tc>
      </w:tr>
      <w:tr w:rsidR="009D2573" w:rsidRPr="00B457F5" w14:paraId="2FEAF4DE" w14:textId="77777777" w:rsidTr="00F53AA3">
        <w:trPr>
          <w:trHeight w:val="20"/>
        </w:trPr>
        <w:tc>
          <w:tcPr>
            <w:tcW w:w="356" w:type="pct"/>
            <w:vMerge/>
            <w:shd w:val="clear" w:color="auto" w:fill="auto"/>
          </w:tcPr>
          <w:p w14:paraId="2D5271B4" w14:textId="77777777" w:rsidR="009D2573" w:rsidRPr="00B457F5" w:rsidRDefault="009D2573" w:rsidP="00F53AA3">
            <w:pPr>
              <w:widowControl w:val="0"/>
              <w:spacing w:before="0" w:after="0"/>
              <w:jc w:val="left"/>
              <w:rPr>
                <w:rFonts w:ascii="Garamond" w:hAnsi="Garamond" w:cs="Times New Roman"/>
                <w:sz w:val="12"/>
                <w:szCs w:val="16"/>
              </w:rPr>
            </w:pPr>
          </w:p>
        </w:tc>
        <w:tc>
          <w:tcPr>
            <w:tcW w:w="1018" w:type="pct"/>
            <w:shd w:val="clear" w:color="auto" w:fill="auto"/>
          </w:tcPr>
          <w:p w14:paraId="4EE0DC2F"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2.3 Garantimi i integrimit të qëndrueshëm të shtetasve shqiptarë të rikthyer nga emigracioni </w:t>
            </w:r>
          </w:p>
        </w:tc>
        <w:tc>
          <w:tcPr>
            <w:tcW w:w="848" w:type="pct"/>
            <w:shd w:val="clear" w:color="auto" w:fill="auto"/>
          </w:tcPr>
          <w:p w14:paraId="236BD017" w14:textId="7C9F1F94"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bCs/>
                <w:sz w:val="12"/>
                <w:szCs w:val="16"/>
              </w:rPr>
              <w:t>Shqiptarë të rikthyer nga emigracioni, të integruar në jetën social</w:t>
            </w:r>
            <w:r w:rsidR="000209B5">
              <w:rPr>
                <w:rFonts w:ascii="Garamond" w:hAnsi="Garamond" w:cs="Times New Roman"/>
                <w:bCs/>
                <w:sz w:val="12"/>
                <w:szCs w:val="16"/>
              </w:rPr>
              <w:t>-</w:t>
            </w:r>
            <w:r w:rsidRPr="00B457F5">
              <w:rPr>
                <w:rFonts w:ascii="Garamond" w:hAnsi="Garamond" w:cs="Times New Roman"/>
                <w:bCs/>
                <w:sz w:val="12"/>
                <w:szCs w:val="16"/>
              </w:rPr>
              <w:t>ekonomike</w:t>
            </w:r>
          </w:p>
        </w:tc>
        <w:tc>
          <w:tcPr>
            <w:tcW w:w="814" w:type="pct"/>
            <w:shd w:val="clear" w:color="auto" w:fill="auto"/>
          </w:tcPr>
          <w:p w14:paraId="7A1AD419"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32 të rikthyer, të regjistruar në SM viti 2022</w:t>
            </w:r>
          </w:p>
        </w:tc>
        <w:tc>
          <w:tcPr>
            <w:tcW w:w="436" w:type="pct"/>
            <w:shd w:val="clear" w:color="auto" w:fill="auto"/>
          </w:tcPr>
          <w:p w14:paraId="7247C9CD"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Rritës 50% </w:t>
            </w:r>
          </w:p>
        </w:tc>
        <w:tc>
          <w:tcPr>
            <w:tcW w:w="427" w:type="pct"/>
            <w:shd w:val="clear" w:color="auto" w:fill="auto"/>
          </w:tcPr>
          <w:p w14:paraId="4715AE17"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100%</w:t>
            </w:r>
          </w:p>
        </w:tc>
        <w:tc>
          <w:tcPr>
            <w:tcW w:w="579" w:type="pct"/>
            <w:shd w:val="clear" w:color="auto" w:fill="auto"/>
          </w:tcPr>
          <w:p w14:paraId="25C4827F"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AKPA</w:t>
            </w:r>
          </w:p>
          <w:p w14:paraId="7ECF0951"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NJVV/ZVMD</w:t>
            </w:r>
          </w:p>
        </w:tc>
        <w:tc>
          <w:tcPr>
            <w:tcW w:w="522" w:type="pct"/>
            <w:shd w:val="clear" w:color="auto" w:fill="auto"/>
          </w:tcPr>
          <w:p w14:paraId="67A557B1"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21 GCM </w:t>
            </w:r>
          </w:p>
          <w:p w14:paraId="4D221776"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10.7 SDG</w:t>
            </w:r>
          </w:p>
        </w:tc>
      </w:tr>
      <w:tr w:rsidR="009D2573" w:rsidRPr="00B457F5" w14:paraId="66387C70" w14:textId="77777777" w:rsidTr="00F53AA3">
        <w:trPr>
          <w:trHeight w:val="20"/>
        </w:trPr>
        <w:tc>
          <w:tcPr>
            <w:tcW w:w="356" w:type="pct"/>
            <w:vMerge w:val="restart"/>
            <w:vAlign w:val="center"/>
          </w:tcPr>
          <w:p w14:paraId="63C0AACF" w14:textId="77777777" w:rsidR="009D2573" w:rsidRPr="00B457F5" w:rsidRDefault="009D2573" w:rsidP="00F53AA3">
            <w:pPr>
              <w:widowControl w:val="0"/>
              <w:spacing w:before="0" w:after="0"/>
              <w:jc w:val="left"/>
              <w:rPr>
                <w:rFonts w:ascii="Garamond" w:hAnsi="Garamond" w:cs="Times New Roman"/>
                <w:b/>
                <w:sz w:val="12"/>
                <w:szCs w:val="16"/>
              </w:rPr>
            </w:pPr>
            <w:r w:rsidRPr="00B457F5">
              <w:rPr>
                <w:rFonts w:ascii="Garamond" w:hAnsi="Garamond" w:cs="Times New Roman"/>
                <w:b/>
                <w:sz w:val="12"/>
                <w:szCs w:val="16"/>
              </w:rPr>
              <w:t>Masat prioritare</w:t>
            </w:r>
          </w:p>
          <w:p w14:paraId="7165AFF2" w14:textId="77777777" w:rsidR="009D2573" w:rsidRPr="00B457F5" w:rsidRDefault="009D2573" w:rsidP="00F53AA3">
            <w:pPr>
              <w:widowControl w:val="0"/>
              <w:spacing w:before="0" w:after="0"/>
              <w:jc w:val="left"/>
              <w:rPr>
                <w:rFonts w:ascii="Garamond" w:hAnsi="Garamond" w:cs="Times New Roman"/>
                <w:b/>
                <w:sz w:val="12"/>
                <w:szCs w:val="16"/>
              </w:rPr>
            </w:pPr>
          </w:p>
        </w:tc>
        <w:tc>
          <w:tcPr>
            <w:tcW w:w="1018" w:type="pct"/>
          </w:tcPr>
          <w:p w14:paraId="651BD491"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2.1.1 Përmirësimi i kuadrit ligjor për migracionin e punës</w:t>
            </w:r>
          </w:p>
        </w:tc>
        <w:tc>
          <w:tcPr>
            <w:tcW w:w="848" w:type="pct"/>
          </w:tcPr>
          <w:p w14:paraId="77B6B00A"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Numri i akteve/ligjeve/marrëveshjeve të rishikuara/ndryshuara</w:t>
            </w:r>
          </w:p>
          <w:p w14:paraId="368C6904" w14:textId="77777777" w:rsidR="009D2573" w:rsidRPr="00B457F5" w:rsidRDefault="009D2573" w:rsidP="00F53AA3">
            <w:pPr>
              <w:widowControl w:val="0"/>
              <w:spacing w:before="0" w:after="0"/>
              <w:jc w:val="left"/>
              <w:rPr>
                <w:rFonts w:ascii="Garamond" w:hAnsi="Garamond" w:cs="Times New Roman"/>
                <w:sz w:val="12"/>
                <w:szCs w:val="16"/>
              </w:rPr>
            </w:pPr>
          </w:p>
          <w:p w14:paraId="43A5A22F"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Numri i raporteve periodike të mangësive ligjore (LGA, TOC) dhe institucionale (IAGA)</w:t>
            </w:r>
          </w:p>
        </w:tc>
        <w:tc>
          <w:tcPr>
            <w:tcW w:w="814" w:type="pct"/>
          </w:tcPr>
          <w:p w14:paraId="444BB5D9" w14:textId="77777777" w:rsidR="009D2573" w:rsidRPr="00B457F5" w:rsidRDefault="009D2573" w:rsidP="00F53AA3">
            <w:pPr>
              <w:widowControl w:val="0"/>
              <w:spacing w:before="0" w:after="0"/>
              <w:jc w:val="left"/>
              <w:rPr>
                <w:rFonts w:ascii="Garamond" w:hAnsi="Garamond" w:cs="Times New Roman"/>
                <w:sz w:val="12"/>
                <w:szCs w:val="16"/>
              </w:rPr>
            </w:pPr>
          </w:p>
        </w:tc>
        <w:tc>
          <w:tcPr>
            <w:tcW w:w="436" w:type="pct"/>
          </w:tcPr>
          <w:p w14:paraId="278C1854" w14:textId="77777777" w:rsidR="009D2573" w:rsidRPr="00B457F5" w:rsidRDefault="009D2573" w:rsidP="00F53AA3">
            <w:pPr>
              <w:widowControl w:val="0"/>
              <w:spacing w:before="0" w:after="0"/>
              <w:jc w:val="left"/>
              <w:rPr>
                <w:rFonts w:ascii="Garamond" w:hAnsi="Garamond" w:cs="Times New Roman"/>
                <w:sz w:val="12"/>
                <w:szCs w:val="16"/>
              </w:rPr>
            </w:pPr>
          </w:p>
        </w:tc>
        <w:tc>
          <w:tcPr>
            <w:tcW w:w="427" w:type="pct"/>
          </w:tcPr>
          <w:p w14:paraId="448E27D5" w14:textId="77777777" w:rsidR="009D2573" w:rsidRPr="00B457F5" w:rsidRDefault="009D2573" w:rsidP="00F53AA3">
            <w:pPr>
              <w:widowControl w:val="0"/>
              <w:spacing w:before="0" w:after="0"/>
              <w:jc w:val="left"/>
              <w:rPr>
                <w:rFonts w:ascii="Garamond" w:hAnsi="Garamond" w:cs="Times New Roman"/>
                <w:sz w:val="12"/>
                <w:szCs w:val="16"/>
              </w:rPr>
            </w:pPr>
          </w:p>
        </w:tc>
        <w:tc>
          <w:tcPr>
            <w:tcW w:w="579" w:type="pct"/>
            <w:vMerge w:val="restart"/>
          </w:tcPr>
          <w:p w14:paraId="1C9ADDA3"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MEKI</w:t>
            </w:r>
          </w:p>
          <w:p w14:paraId="7C358616"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AKPA</w:t>
            </w:r>
          </w:p>
          <w:p w14:paraId="2C65EBF6"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MB</w:t>
            </w:r>
          </w:p>
        </w:tc>
        <w:tc>
          <w:tcPr>
            <w:tcW w:w="522" w:type="pct"/>
          </w:tcPr>
          <w:p w14:paraId="5D19FA7B"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GCM</w:t>
            </w:r>
          </w:p>
          <w:p w14:paraId="48AB30C7"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16.3 SDG</w:t>
            </w:r>
          </w:p>
          <w:p w14:paraId="6A7B11F1"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16.6 SDG</w:t>
            </w:r>
          </w:p>
          <w:p w14:paraId="0E6C279D" w14:textId="6190556C"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bCs/>
                <w:sz w:val="12"/>
                <w:szCs w:val="16"/>
              </w:rPr>
              <w:t>Strategjia e BE</w:t>
            </w:r>
            <w:r w:rsidR="000209B5">
              <w:rPr>
                <w:rFonts w:ascii="Garamond" w:hAnsi="Garamond" w:cs="Times New Roman"/>
                <w:bCs/>
                <w:sz w:val="12"/>
                <w:szCs w:val="16"/>
              </w:rPr>
              <w:t>-s</w:t>
            </w:r>
            <w:r w:rsidR="000209B5">
              <w:rPr>
                <w:rFonts w:ascii="Garamond" w:hAnsi="Garamond" w:cs="Times New Roman"/>
                <w:sz w:val="12"/>
                <w:szCs w:val="16"/>
              </w:rPr>
              <w:t>ë</w:t>
            </w:r>
            <w:r w:rsidRPr="00B457F5">
              <w:rPr>
                <w:rFonts w:ascii="Garamond" w:hAnsi="Garamond" w:cs="Times New Roman"/>
                <w:bCs/>
                <w:sz w:val="12"/>
                <w:szCs w:val="16"/>
              </w:rPr>
              <w:t xml:space="preserve"> për Kthimin Vullnetar dhe Riintegrimin</w:t>
            </w:r>
          </w:p>
        </w:tc>
      </w:tr>
      <w:tr w:rsidR="009D2573" w:rsidRPr="00B457F5" w14:paraId="5296BE94" w14:textId="77777777" w:rsidTr="00F53AA3">
        <w:trPr>
          <w:trHeight w:val="20"/>
        </w:trPr>
        <w:tc>
          <w:tcPr>
            <w:tcW w:w="356" w:type="pct"/>
            <w:vMerge/>
            <w:vAlign w:val="center"/>
          </w:tcPr>
          <w:p w14:paraId="200ABCB1" w14:textId="77777777" w:rsidR="009D2573" w:rsidRPr="00B457F5" w:rsidRDefault="009D2573" w:rsidP="00F53AA3">
            <w:pPr>
              <w:widowControl w:val="0"/>
              <w:spacing w:before="0" w:after="0"/>
              <w:jc w:val="left"/>
              <w:rPr>
                <w:rFonts w:ascii="Garamond" w:hAnsi="Garamond" w:cs="Times New Roman"/>
                <w:b/>
                <w:sz w:val="12"/>
                <w:szCs w:val="16"/>
              </w:rPr>
            </w:pPr>
          </w:p>
        </w:tc>
        <w:tc>
          <w:tcPr>
            <w:tcW w:w="1018" w:type="pct"/>
          </w:tcPr>
          <w:p w14:paraId="56F58A45" w14:textId="30C0E876"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2.1.2</w:t>
            </w:r>
            <w:r w:rsidR="00E815B0" w:rsidRPr="00B457F5">
              <w:rPr>
                <w:rFonts w:ascii="Garamond" w:hAnsi="Garamond" w:cs="Times New Roman"/>
                <w:sz w:val="12"/>
                <w:szCs w:val="16"/>
              </w:rPr>
              <w:t xml:space="preserve"> </w:t>
            </w:r>
            <w:r w:rsidRPr="00B457F5">
              <w:rPr>
                <w:rFonts w:ascii="Garamond" w:hAnsi="Garamond" w:cs="Times New Roman"/>
                <w:sz w:val="12"/>
                <w:szCs w:val="16"/>
              </w:rPr>
              <w:t>Informimi me format, mundësitë dhe procedurat e migrimit për arsye pune në/nga RSH</w:t>
            </w:r>
            <w:r w:rsidR="000209B5">
              <w:rPr>
                <w:rFonts w:ascii="Garamond" w:hAnsi="Garamond" w:cs="Times New Roman"/>
                <w:sz w:val="12"/>
                <w:szCs w:val="16"/>
              </w:rPr>
              <w:t>-ja</w:t>
            </w:r>
          </w:p>
        </w:tc>
        <w:tc>
          <w:tcPr>
            <w:tcW w:w="848" w:type="pct"/>
          </w:tcPr>
          <w:p w14:paraId="24C66D35"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Numri i materialeve të prodhuara për informim</w:t>
            </w:r>
          </w:p>
          <w:p w14:paraId="6B58528F" w14:textId="77777777" w:rsidR="009D2573" w:rsidRPr="00B457F5" w:rsidRDefault="009D2573" w:rsidP="00F53AA3">
            <w:pPr>
              <w:widowControl w:val="0"/>
              <w:spacing w:before="0" w:after="0"/>
              <w:jc w:val="left"/>
              <w:rPr>
                <w:rFonts w:ascii="Garamond" w:hAnsi="Garamond" w:cs="Times New Roman"/>
                <w:sz w:val="12"/>
                <w:szCs w:val="16"/>
              </w:rPr>
            </w:pPr>
          </w:p>
          <w:p w14:paraId="36641CA7" w14:textId="77777777" w:rsidR="009D2573" w:rsidRPr="00B457F5" w:rsidRDefault="009D2573" w:rsidP="00F53AA3">
            <w:pPr>
              <w:widowControl w:val="0"/>
              <w:spacing w:before="0" w:after="0"/>
              <w:jc w:val="left"/>
              <w:rPr>
                <w:rFonts w:ascii="Garamond" w:hAnsi="Garamond" w:cs="Times New Roman"/>
                <w:sz w:val="12"/>
                <w:szCs w:val="16"/>
              </w:rPr>
            </w:pPr>
          </w:p>
        </w:tc>
        <w:tc>
          <w:tcPr>
            <w:tcW w:w="814" w:type="pct"/>
          </w:tcPr>
          <w:p w14:paraId="39AC114E"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 26 udhëzues për migracion të rregullt</w:t>
            </w:r>
          </w:p>
        </w:tc>
        <w:tc>
          <w:tcPr>
            <w:tcW w:w="436" w:type="pct"/>
          </w:tcPr>
          <w:p w14:paraId="1920A0A0"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Rritës 50%</w:t>
            </w:r>
          </w:p>
        </w:tc>
        <w:tc>
          <w:tcPr>
            <w:tcW w:w="427" w:type="pct"/>
          </w:tcPr>
          <w:p w14:paraId="13BED1F3"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Rritës me 50%</w:t>
            </w:r>
          </w:p>
        </w:tc>
        <w:tc>
          <w:tcPr>
            <w:tcW w:w="579" w:type="pct"/>
            <w:vMerge/>
          </w:tcPr>
          <w:p w14:paraId="1A89171E" w14:textId="77777777" w:rsidR="009D2573" w:rsidRPr="00B457F5" w:rsidRDefault="009D2573" w:rsidP="00F53AA3">
            <w:pPr>
              <w:widowControl w:val="0"/>
              <w:spacing w:before="0" w:after="0"/>
              <w:jc w:val="left"/>
              <w:rPr>
                <w:rFonts w:ascii="Garamond" w:hAnsi="Garamond" w:cs="Times New Roman"/>
                <w:sz w:val="12"/>
                <w:szCs w:val="16"/>
              </w:rPr>
            </w:pPr>
          </w:p>
        </w:tc>
        <w:tc>
          <w:tcPr>
            <w:tcW w:w="522" w:type="pct"/>
          </w:tcPr>
          <w:p w14:paraId="1848AA73" w14:textId="77777777" w:rsidR="009D2573" w:rsidRPr="00B457F5" w:rsidRDefault="009D2573" w:rsidP="00F53AA3">
            <w:pPr>
              <w:widowControl w:val="0"/>
              <w:spacing w:before="0" w:after="0"/>
              <w:jc w:val="left"/>
              <w:rPr>
                <w:rFonts w:ascii="Garamond" w:hAnsi="Garamond" w:cs="Times New Roman"/>
                <w:bCs/>
                <w:sz w:val="12"/>
                <w:szCs w:val="16"/>
              </w:rPr>
            </w:pPr>
            <w:r w:rsidRPr="00B457F5">
              <w:rPr>
                <w:rFonts w:ascii="Garamond" w:hAnsi="Garamond" w:cs="Times New Roman"/>
                <w:bCs/>
                <w:sz w:val="12"/>
                <w:szCs w:val="16"/>
              </w:rPr>
              <w:t>GCM</w:t>
            </w:r>
          </w:p>
          <w:p w14:paraId="36BFBB5F" w14:textId="77777777" w:rsidR="009D2573" w:rsidRPr="00B457F5" w:rsidRDefault="009D2573" w:rsidP="00F53AA3">
            <w:pPr>
              <w:widowControl w:val="0"/>
              <w:spacing w:before="0" w:after="0"/>
              <w:jc w:val="left"/>
              <w:rPr>
                <w:rFonts w:ascii="Garamond" w:hAnsi="Garamond" w:cs="Times New Roman"/>
                <w:bCs/>
                <w:sz w:val="12"/>
                <w:szCs w:val="16"/>
              </w:rPr>
            </w:pPr>
            <w:r w:rsidRPr="00B457F5">
              <w:rPr>
                <w:rFonts w:ascii="Garamond" w:hAnsi="Garamond" w:cs="Times New Roman"/>
                <w:bCs/>
                <w:sz w:val="12"/>
                <w:szCs w:val="16"/>
              </w:rPr>
              <w:t>MGI</w:t>
            </w:r>
          </w:p>
          <w:p w14:paraId="7483EAD3" w14:textId="77777777" w:rsidR="009D2573" w:rsidRPr="00B457F5" w:rsidRDefault="009D2573" w:rsidP="00F53AA3">
            <w:pPr>
              <w:widowControl w:val="0"/>
              <w:spacing w:before="0" w:after="0"/>
              <w:jc w:val="left"/>
              <w:rPr>
                <w:rFonts w:ascii="Garamond" w:hAnsi="Garamond" w:cs="Times New Roman"/>
                <w:bCs/>
                <w:sz w:val="12"/>
                <w:szCs w:val="16"/>
              </w:rPr>
            </w:pPr>
            <w:r w:rsidRPr="00B457F5">
              <w:rPr>
                <w:rFonts w:ascii="Garamond" w:hAnsi="Garamond" w:cs="Times New Roman"/>
                <w:bCs/>
                <w:sz w:val="12"/>
                <w:szCs w:val="16"/>
              </w:rPr>
              <w:t>SDG 10.7</w:t>
            </w:r>
          </w:p>
          <w:p w14:paraId="03D48D27" w14:textId="77777777" w:rsidR="009D2573" w:rsidRPr="00B457F5" w:rsidRDefault="009D2573" w:rsidP="00F53AA3">
            <w:pPr>
              <w:widowControl w:val="0"/>
              <w:spacing w:before="0" w:after="0"/>
              <w:jc w:val="left"/>
              <w:rPr>
                <w:rFonts w:ascii="Garamond" w:hAnsi="Garamond" w:cs="Times New Roman"/>
                <w:bCs/>
                <w:sz w:val="12"/>
                <w:szCs w:val="16"/>
              </w:rPr>
            </w:pPr>
            <w:r w:rsidRPr="00B457F5">
              <w:rPr>
                <w:rFonts w:ascii="Garamond" w:hAnsi="Garamond" w:cs="Times New Roman"/>
                <w:bCs/>
                <w:sz w:val="12"/>
                <w:szCs w:val="16"/>
              </w:rPr>
              <w:t>SDG 16.6</w:t>
            </w:r>
          </w:p>
          <w:p w14:paraId="0C37C53F"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bCs/>
                <w:sz w:val="12"/>
                <w:szCs w:val="16"/>
              </w:rPr>
              <w:t>Strategjia e BE për Kthimin Vullnetar dhe Riintegrimin</w:t>
            </w:r>
          </w:p>
        </w:tc>
      </w:tr>
      <w:tr w:rsidR="009D2573" w:rsidRPr="00B457F5" w14:paraId="077B4482" w14:textId="77777777" w:rsidTr="00F53AA3">
        <w:trPr>
          <w:trHeight w:val="20"/>
        </w:trPr>
        <w:tc>
          <w:tcPr>
            <w:tcW w:w="356" w:type="pct"/>
            <w:vMerge/>
            <w:vAlign w:val="center"/>
          </w:tcPr>
          <w:p w14:paraId="7C1A128C" w14:textId="77777777" w:rsidR="009D2573" w:rsidRPr="00B457F5" w:rsidRDefault="009D2573" w:rsidP="00F53AA3">
            <w:pPr>
              <w:widowControl w:val="0"/>
              <w:spacing w:before="0" w:after="0"/>
              <w:jc w:val="left"/>
              <w:rPr>
                <w:rFonts w:ascii="Garamond" w:hAnsi="Garamond" w:cs="Times New Roman"/>
                <w:b/>
                <w:sz w:val="12"/>
                <w:szCs w:val="16"/>
              </w:rPr>
            </w:pPr>
          </w:p>
        </w:tc>
        <w:tc>
          <w:tcPr>
            <w:tcW w:w="1018" w:type="pct"/>
            <w:shd w:val="clear" w:color="auto" w:fill="auto"/>
          </w:tcPr>
          <w:p w14:paraId="0F467C73" w14:textId="7D871E5F"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2.1.3 Përmirësimi i veprimtarisë të </w:t>
            </w:r>
            <w:r w:rsidR="0006016F" w:rsidRPr="00B457F5">
              <w:rPr>
                <w:rFonts w:ascii="Garamond" w:hAnsi="Garamond" w:cs="Times New Roman"/>
                <w:sz w:val="12"/>
                <w:szCs w:val="16"/>
              </w:rPr>
              <w:t>agjencive</w:t>
            </w:r>
            <w:r w:rsidRPr="00B457F5">
              <w:rPr>
                <w:rFonts w:ascii="Garamond" w:hAnsi="Garamond" w:cs="Times New Roman"/>
                <w:sz w:val="12"/>
                <w:szCs w:val="16"/>
              </w:rPr>
              <w:t xml:space="preserve"> private të punësimit </w:t>
            </w:r>
          </w:p>
        </w:tc>
        <w:tc>
          <w:tcPr>
            <w:tcW w:w="848" w:type="pct"/>
            <w:shd w:val="clear" w:color="auto" w:fill="auto"/>
          </w:tcPr>
          <w:p w14:paraId="1E20F75C" w14:textId="73A2C70A"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Numri i agjencive aktive private të punësimit</w:t>
            </w:r>
            <w:r w:rsidR="000209B5">
              <w:rPr>
                <w:rFonts w:ascii="Garamond" w:hAnsi="Garamond" w:cs="Times New Roman"/>
                <w:sz w:val="12"/>
                <w:szCs w:val="16"/>
              </w:rPr>
              <w:t>,</w:t>
            </w:r>
            <w:r w:rsidRPr="00B457F5">
              <w:rPr>
                <w:rFonts w:ascii="Garamond" w:hAnsi="Garamond" w:cs="Times New Roman"/>
                <w:sz w:val="12"/>
                <w:szCs w:val="16"/>
              </w:rPr>
              <w:t xml:space="preserve"> të identifikuara dhe të këshilluara</w:t>
            </w:r>
          </w:p>
        </w:tc>
        <w:tc>
          <w:tcPr>
            <w:tcW w:w="814" w:type="pct"/>
            <w:shd w:val="clear" w:color="auto" w:fill="auto"/>
          </w:tcPr>
          <w:p w14:paraId="71BE4502" w14:textId="77777777" w:rsidR="009D2573" w:rsidRPr="00B457F5" w:rsidRDefault="009D2573" w:rsidP="00F53AA3">
            <w:pPr>
              <w:widowControl w:val="0"/>
              <w:spacing w:before="0" w:after="0"/>
              <w:jc w:val="left"/>
              <w:rPr>
                <w:rFonts w:ascii="Garamond" w:hAnsi="Garamond" w:cs="Times New Roman"/>
                <w:sz w:val="12"/>
                <w:szCs w:val="16"/>
              </w:rPr>
            </w:pPr>
          </w:p>
        </w:tc>
        <w:tc>
          <w:tcPr>
            <w:tcW w:w="436" w:type="pct"/>
            <w:shd w:val="clear" w:color="auto" w:fill="auto"/>
          </w:tcPr>
          <w:p w14:paraId="2B6A4D99" w14:textId="77777777" w:rsidR="009D2573" w:rsidRPr="00B457F5" w:rsidRDefault="009D2573" w:rsidP="00F53AA3">
            <w:pPr>
              <w:widowControl w:val="0"/>
              <w:spacing w:before="0" w:after="0"/>
              <w:jc w:val="left"/>
              <w:rPr>
                <w:rFonts w:ascii="Garamond" w:hAnsi="Garamond" w:cs="Times New Roman"/>
                <w:sz w:val="12"/>
                <w:szCs w:val="16"/>
              </w:rPr>
            </w:pPr>
          </w:p>
        </w:tc>
        <w:tc>
          <w:tcPr>
            <w:tcW w:w="427" w:type="pct"/>
            <w:shd w:val="clear" w:color="auto" w:fill="auto"/>
          </w:tcPr>
          <w:p w14:paraId="282FA167" w14:textId="77777777" w:rsidR="009D2573" w:rsidRPr="00B457F5" w:rsidRDefault="009D2573" w:rsidP="00F53AA3">
            <w:pPr>
              <w:widowControl w:val="0"/>
              <w:spacing w:before="0" w:after="0"/>
              <w:jc w:val="left"/>
              <w:rPr>
                <w:rFonts w:ascii="Garamond" w:hAnsi="Garamond" w:cs="Times New Roman"/>
                <w:sz w:val="12"/>
                <w:szCs w:val="16"/>
              </w:rPr>
            </w:pPr>
          </w:p>
        </w:tc>
        <w:tc>
          <w:tcPr>
            <w:tcW w:w="579" w:type="pct"/>
            <w:shd w:val="clear" w:color="auto" w:fill="auto"/>
          </w:tcPr>
          <w:p w14:paraId="464FB672"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MEKI</w:t>
            </w:r>
          </w:p>
          <w:p w14:paraId="7B171EEF"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AKPA</w:t>
            </w:r>
          </w:p>
        </w:tc>
        <w:tc>
          <w:tcPr>
            <w:tcW w:w="522" w:type="pct"/>
            <w:shd w:val="clear" w:color="auto" w:fill="auto"/>
          </w:tcPr>
          <w:p w14:paraId="410AA9C4"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GCM 6</w:t>
            </w:r>
          </w:p>
          <w:p w14:paraId="511F9041"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10.7 SDG</w:t>
            </w:r>
          </w:p>
          <w:p w14:paraId="42EDF577"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16.2 SDG</w:t>
            </w:r>
          </w:p>
          <w:p w14:paraId="3DEEA6A1"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17.18 SDG</w:t>
            </w:r>
          </w:p>
        </w:tc>
      </w:tr>
      <w:tr w:rsidR="009D2573" w:rsidRPr="00B457F5" w14:paraId="48695076" w14:textId="77777777" w:rsidTr="00F53AA3">
        <w:trPr>
          <w:trHeight w:val="20"/>
        </w:trPr>
        <w:tc>
          <w:tcPr>
            <w:tcW w:w="356" w:type="pct"/>
            <w:vMerge/>
          </w:tcPr>
          <w:p w14:paraId="1EFFF6C9" w14:textId="77777777" w:rsidR="009D2573" w:rsidRPr="00B457F5" w:rsidRDefault="009D2573" w:rsidP="00F53AA3">
            <w:pPr>
              <w:widowControl w:val="0"/>
              <w:spacing w:before="0" w:after="0"/>
              <w:jc w:val="left"/>
              <w:rPr>
                <w:rFonts w:ascii="Garamond" w:hAnsi="Garamond" w:cs="Times New Roman"/>
                <w:b/>
                <w:sz w:val="12"/>
                <w:szCs w:val="16"/>
              </w:rPr>
            </w:pPr>
          </w:p>
        </w:tc>
        <w:tc>
          <w:tcPr>
            <w:tcW w:w="1018" w:type="pct"/>
          </w:tcPr>
          <w:p w14:paraId="5CAB4267" w14:textId="6EF3F5A9"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2.2.1 Identifikimi dhe regjistrimi i adresave të shtetasve shqiptarë rezidentë të përhershëm jashtë territorit të RSH</w:t>
            </w:r>
            <w:r w:rsidR="000209B5">
              <w:rPr>
                <w:rFonts w:ascii="Garamond" w:hAnsi="Garamond" w:cs="Times New Roman"/>
                <w:sz w:val="12"/>
                <w:szCs w:val="16"/>
              </w:rPr>
              <w:t>-së</w:t>
            </w:r>
          </w:p>
        </w:tc>
        <w:tc>
          <w:tcPr>
            <w:tcW w:w="848" w:type="pct"/>
          </w:tcPr>
          <w:p w14:paraId="311F4AE7"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Numri i shtetasve shqiptarë që kanë regjistruar vendbanimin </w:t>
            </w:r>
          </w:p>
        </w:tc>
        <w:tc>
          <w:tcPr>
            <w:tcW w:w="814" w:type="pct"/>
          </w:tcPr>
          <w:p w14:paraId="18893F76"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për gra</w:t>
            </w:r>
          </w:p>
          <w:p w14:paraId="6454468A"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për burra</w:t>
            </w:r>
          </w:p>
        </w:tc>
        <w:tc>
          <w:tcPr>
            <w:tcW w:w="436" w:type="pct"/>
          </w:tcPr>
          <w:p w14:paraId="10231093" w14:textId="77777777" w:rsidR="009D2573" w:rsidRPr="00B457F5" w:rsidRDefault="009D2573" w:rsidP="00F53AA3">
            <w:pPr>
              <w:widowControl w:val="0"/>
              <w:spacing w:before="0" w:after="0"/>
              <w:jc w:val="left"/>
              <w:rPr>
                <w:rFonts w:ascii="Garamond" w:hAnsi="Garamond" w:cs="Times New Roman"/>
                <w:sz w:val="12"/>
                <w:szCs w:val="16"/>
              </w:rPr>
            </w:pPr>
          </w:p>
        </w:tc>
        <w:tc>
          <w:tcPr>
            <w:tcW w:w="427" w:type="pct"/>
          </w:tcPr>
          <w:p w14:paraId="2C3F9538" w14:textId="77777777" w:rsidR="009D2573" w:rsidRPr="00B457F5" w:rsidRDefault="009D2573" w:rsidP="00F53AA3">
            <w:pPr>
              <w:widowControl w:val="0"/>
              <w:spacing w:before="0" w:after="0"/>
              <w:jc w:val="left"/>
              <w:rPr>
                <w:rFonts w:ascii="Garamond" w:hAnsi="Garamond" w:cs="Times New Roman"/>
                <w:sz w:val="12"/>
                <w:szCs w:val="16"/>
              </w:rPr>
            </w:pPr>
          </w:p>
        </w:tc>
        <w:tc>
          <w:tcPr>
            <w:tcW w:w="579" w:type="pct"/>
          </w:tcPr>
          <w:p w14:paraId="1E4C5991"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MEPJ</w:t>
            </w:r>
          </w:p>
          <w:p w14:paraId="7214C971"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AKSHI</w:t>
            </w:r>
            <w:r w:rsidRPr="00B457F5">
              <w:rPr>
                <w:rFonts w:ascii="Garamond" w:hAnsi="Garamond" w:cs="Times New Roman"/>
                <w:sz w:val="12"/>
                <w:szCs w:val="16"/>
              </w:rPr>
              <w:br/>
              <w:t>MB</w:t>
            </w:r>
          </w:p>
        </w:tc>
        <w:tc>
          <w:tcPr>
            <w:tcW w:w="522" w:type="pct"/>
            <w:shd w:val="clear" w:color="auto" w:fill="auto"/>
          </w:tcPr>
          <w:p w14:paraId="2280F5FB" w14:textId="77777777" w:rsidR="009D2573" w:rsidRPr="00B457F5" w:rsidRDefault="009D2573" w:rsidP="00F53AA3">
            <w:pPr>
              <w:widowControl w:val="0"/>
              <w:spacing w:before="0" w:after="0"/>
              <w:jc w:val="left"/>
              <w:rPr>
                <w:rFonts w:ascii="Garamond" w:hAnsi="Garamond" w:cs="Times New Roman"/>
                <w:sz w:val="12"/>
                <w:szCs w:val="16"/>
              </w:rPr>
            </w:pPr>
          </w:p>
        </w:tc>
      </w:tr>
      <w:tr w:rsidR="009D2573" w:rsidRPr="00B457F5" w14:paraId="6170278D" w14:textId="77777777" w:rsidTr="00F53AA3">
        <w:trPr>
          <w:trHeight w:val="20"/>
        </w:trPr>
        <w:tc>
          <w:tcPr>
            <w:tcW w:w="356" w:type="pct"/>
            <w:vMerge/>
          </w:tcPr>
          <w:p w14:paraId="0B409424" w14:textId="77777777" w:rsidR="009D2573" w:rsidRPr="00B457F5" w:rsidRDefault="009D2573" w:rsidP="00F53AA3">
            <w:pPr>
              <w:widowControl w:val="0"/>
              <w:spacing w:before="0" w:after="0"/>
              <w:jc w:val="left"/>
              <w:rPr>
                <w:rFonts w:ascii="Garamond" w:hAnsi="Garamond" w:cs="Times New Roman"/>
                <w:b/>
                <w:sz w:val="12"/>
                <w:szCs w:val="16"/>
              </w:rPr>
            </w:pPr>
          </w:p>
        </w:tc>
        <w:tc>
          <w:tcPr>
            <w:tcW w:w="1018" w:type="pct"/>
            <w:vMerge w:val="restart"/>
          </w:tcPr>
          <w:p w14:paraId="477FD151" w14:textId="358D20E3"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2.2.2 Promovimi i transferimit më të shpejtë, më të sigurt dhe më të lirë të remitancave dhe nxitja e përfshirjes financiare të migrantëve </w:t>
            </w:r>
          </w:p>
        </w:tc>
        <w:tc>
          <w:tcPr>
            <w:tcW w:w="848" w:type="pct"/>
          </w:tcPr>
          <w:p w14:paraId="0D8DD8A9"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Përqindja e remitancave të dërguara përmes kanaleve formale në raport me totalin e përllogaritur të remitancave</w:t>
            </w:r>
          </w:p>
        </w:tc>
        <w:tc>
          <w:tcPr>
            <w:tcW w:w="814" w:type="pct"/>
          </w:tcPr>
          <w:p w14:paraId="15BD82C5" w14:textId="77777777" w:rsidR="009D2573" w:rsidRPr="00B457F5" w:rsidRDefault="009D2573" w:rsidP="00F53AA3">
            <w:pPr>
              <w:widowControl w:val="0"/>
              <w:spacing w:before="0" w:after="0"/>
              <w:jc w:val="left"/>
              <w:rPr>
                <w:rFonts w:ascii="Garamond" w:hAnsi="Garamond" w:cs="Times New Roman"/>
                <w:sz w:val="12"/>
                <w:szCs w:val="16"/>
              </w:rPr>
            </w:pPr>
          </w:p>
        </w:tc>
        <w:tc>
          <w:tcPr>
            <w:tcW w:w="436" w:type="pct"/>
          </w:tcPr>
          <w:p w14:paraId="224E7BF6"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Rritës 10%</w:t>
            </w:r>
          </w:p>
        </w:tc>
        <w:tc>
          <w:tcPr>
            <w:tcW w:w="427" w:type="pct"/>
          </w:tcPr>
          <w:p w14:paraId="37F64F47"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Rritës 10%</w:t>
            </w:r>
          </w:p>
        </w:tc>
        <w:tc>
          <w:tcPr>
            <w:tcW w:w="579" w:type="pct"/>
          </w:tcPr>
          <w:p w14:paraId="7F4C387F"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Banka e Shqipërisë/Raporti vjetor </w:t>
            </w:r>
          </w:p>
          <w:p w14:paraId="2A205AF2" w14:textId="77777777" w:rsidR="009D2573" w:rsidRPr="00B457F5" w:rsidRDefault="009D2573" w:rsidP="00F53AA3">
            <w:pPr>
              <w:widowControl w:val="0"/>
              <w:spacing w:before="0" w:after="0"/>
              <w:jc w:val="left"/>
              <w:rPr>
                <w:rFonts w:ascii="Garamond" w:hAnsi="Garamond" w:cs="Times New Roman"/>
                <w:sz w:val="12"/>
                <w:szCs w:val="16"/>
              </w:rPr>
            </w:pPr>
          </w:p>
          <w:p w14:paraId="364DC4AA"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MEKI</w:t>
            </w:r>
          </w:p>
        </w:tc>
        <w:tc>
          <w:tcPr>
            <w:tcW w:w="522" w:type="pct"/>
            <w:vMerge w:val="restart"/>
          </w:tcPr>
          <w:p w14:paraId="607E83EC"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GCM 20</w:t>
            </w:r>
          </w:p>
          <w:p w14:paraId="7097F097"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1.4 SDG</w:t>
            </w:r>
          </w:p>
          <w:p w14:paraId="0FF5B45D"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8.10 SDG</w:t>
            </w:r>
          </w:p>
          <w:p w14:paraId="60150FA7"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10.7 SDG</w:t>
            </w:r>
          </w:p>
          <w:p w14:paraId="23065887"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10.C SDG</w:t>
            </w:r>
          </w:p>
          <w:p w14:paraId="457F0B3C"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17.3 SDG</w:t>
            </w:r>
          </w:p>
          <w:p w14:paraId="35DECE9F"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17.17 SDG</w:t>
            </w:r>
          </w:p>
          <w:p w14:paraId="3FA96ABA"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17.18 SDG</w:t>
            </w:r>
          </w:p>
        </w:tc>
      </w:tr>
      <w:tr w:rsidR="009D2573" w:rsidRPr="00B457F5" w14:paraId="0224741A" w14:textId="77777777" w:rsidTr="00F53AA3">
        <w:trPr>
          <w:trHeight w:val="20"/>
        </w:trPr>
        <w:tc>
          <w:tcPr>
            <w:tcW w:w="356" w:type="pct"/>
            <w:vMerge/>
          </w:tcPr>
          <w:p w14:paraId="26AA3F17" w14:textId="77777777" w:rsidR="009D2573" w:rsidRPr="00B457F5" w:rsidRDefault="009D2573" w:rsidP="00F53AA3">
            <w:pPr>
              <w:widowControl w:val="0"/>
              <w:spacing w:before="0" w:after="0"/>
              <w:jc w:val="left"/>
              <w:rPr>
                <w:rFonts w:ascii="Garamond" w:hAnsi="Garamond" w:cs="Times New Roman"/>
                <w:b/>
                <w:sz w:val="12"/>
                <w:szCs w:val="16"/>
              </w:rPr>
            </w:pPr>
          </w:p>
        </w:tc>
        <w:tc>
          <w:tcPr>
            <w:tcW w:w="1018" w:type="pct"/>
            <w:vMerge/>
          </w:tcPr>
          <w:p w14:paraId="6C431A4A" w14:textId="77777777" w:rsidR="009D2573" w:rsidRPr="00B457F5" w:rsidRDefault="009D2573" w:rsidP="00F53AA3">
            <w:pPr>
              <w:widowControl w:val="0"/>
              <w:spacing w:before="0" w:after="0"/>
              <w:jc w:val="left"/>
              <w:rPr>
                <w:rFonts w:ascii="Garamond" w:hAnsi="Garamond" w:cs="Times New Roman"/>
                <w:sz w:val="12"/>
                <w:szCs w:val="16"/>
              </w:rPr>
            </w:pPr>
          </w:p>
        </w:tc>
        <w:tc>
          <w:tcPr>
            <w:tcW w:w="848" w:type="pct"/>
          </w:tcPr>
          <w:p w14:paraId="655466EA" w14:textId="31B0128A"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Numri i migrantëve që aksesojnë </w:t>
            </w:r>
            <w:r w:rsidR="0006016F" w:rsidRPr="00B457F5">
              <w:rPr>
                <w:rFonts w:ascii="Garamond" w:hAnsi="Garamond" w:cs="Times New Roman"/>
                <w:sz w:val="12"/>
                <w:szCs w:val="16"/>
              </w:rPr>
              <w:t>instrumentet</w:t>
            </w:r>
            <w:r w:rsidRPr="00B457F5">
              <w:rPr>
                <w:rFonts w:ascii="Garamond" w:hAnsi="Garamond" w:cs="Times New Roman"/>
                <w:sz w:val="12"/>
                <w:szCs w:val="16"/>
              </w:rPr>
              <w:t xml:space="preserve"> financiare (si llogaritë bankare që lejojnë depozitat direkte nga punëdhënësit, llogaritë e kursimit, kreditë)</w:t>
            </w:r>
          </w:p>
          <w:p w14:paraId="71FD1DB5" w14:textId="77777777" w:rsidR="009D2573" w:rsidRPr="00B457F5" w:rsidRDefault="009D2573" w:rsidP="00F53AA3">
            <w:pPr>
              <w:widowControl w:val="0"/>
              <w:spacing w:before="0" w:after="0"/>
              <w:jc w:val="left"/>
              <w:rPr>
                <w:rFonts w:ascii="Garamond" w:hAnsi="Garamond" w:cs="Times New Roman"/>
                <w:sz w:val="12"/>
                <w:szCs w:val="16"/>
              </w:rPr>
            </w:pPr>
          </w:p>
        </w:tc>
        <w:tc>
          <w:tcPr>
            <w:tcW w:w="814" w:type="pct"/>
          </w:tcPr>
          <w:p w14:paraId="1669AEE1" w14:textId="77777777" w:rsidR="009D2573" w:rsidRPr="00B457F5" w:rsidRDefault="009D2573" w:rsidP="00F53AA3">
            <w:pPr>
              <w:widowControl w:val="0"/>
              <w:spacing w:before="0" w:after="0"/>
              <w:jc w:val="left"/>
              <w:rPr>
                <w:rFonts w:ascii="Garamond" w:hAnsi="Garamond" w:cs="Times New Roman"/>
                <w:sz w:val="12"/>
                <w:szCs w:val="16"/>
              </w:rPr>
            </w:pPr>
          </w:p>
        </w:tc>
        <w:tc>
          <w:tcPr>
            <w:tcW w:w="436" w:type="pct"/>
          </w:tcPr>
          <w:p w14:paraId="6F66A69B"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Rritës 10%</w:t>
            </w:r>
          </w:p>
        </w:tc>
        <w:tc>
          <w:tcPr>
            <w:tcW w:w="427" w:type="pct"/>
          </w:tcPr>
          <w:p w14:paraId="50128357"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Rritës 10%</w:t>
            </w:r>
          </w:p>
        </w:tc>
        <w:tc>
          <w:tcPr>
            <w:tcW w:w="579" w:type="pct"/>
          </w:tcPr>
          <w:p w14:paraId="71458455"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Banka e Shqipërisë/raporti vjetor </w:t>
            </w:r>
          </w:p>
        </w:tc>
        <w:tc>
          <w:tcPr>
            <w:tcW w:w="522" w:type="pct"/>
            <w:vMerge/>
          </w:tcPr>
          <w:p w14:paraId="12F2A805" w14:textId="77777777" w:rsidR="009D2573" w:rsidRPr="00B457F5" w:rsidRDefault="009D2573" w:rsidP="00F53AA3">
            <w:pPr>
              <w:widowControl w:val="0"/>
              <w:spacing w:before="0" w:after="0"/>
              <w:jc w:val="left"/>
              <w:rPr>
                <w:rFonts w:ascii="Garamond" w:hAnsi="Garamond" w:cs="Times New Roman"/>
                <w:sz w:val="12"/>
                <w:szCs w:val="16"/>
              </w:rPr>
            </w:pPr>
          </w:p>
        </w:tc>
      </w:tr>
      <w:tr w:rsidR="009D2573" w:rsidRPr="00B457F5" w14:paraId="2C845485" w14:textId="77777777" w:rsidTr="00F53AA3">
        <w:trPr>
          <w:trHeight w:val="20"/>
        </w:trPr>
        <w:tc>
          <w:tcPr>
            <w:tcW w:w="356" w:type="pct"/>
            <w:vMerge/>
          </w:tcPr>
          <w:p w14:paraId="4B86CA55" w14:textId="77777777" w:rsidR="009D2573" w:rsidRPr="00B457F5" w:rsidRDefault="009D2573" w:rsidP="00F53AA3">
            <w:pPr>
              <w:widowControl w:val="0"/>
              <w:spacing w:before="0" w:after="0"/>
              <w:jc w:val="left"/>
              <w:rPr>
                <w:rFonts w:ascii="Garamond" w:hAnsi="Garamond" w:cs="Times New Roman"/>
                <w:b/>
                <w:sz w:val="12"/>
                <w:szCs w:val="16"/>
              </w:rPr>
            </w:pPr>
          </w:p>
        </w:tc>
        <w:tc>
          <w:tcPr>
            <w:tcW w:w="1018" w:type="pct"/>
            <w:shd w:val="clear" w:color="auto" w:fill="auto"/>
          </w:tcPr>
          <w:p w14:paraId="0D0D0443" w14:textId="2A3EE0D1"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2.2.3 Informimi i emigrantëve</w:t>
            </w:r>
            <w:r w:rsidR="000209B5">
              <w:rPr>
                <w:rFonts w:ascii="Garamond" w:hAnsi="Garamond" w:cs="Times New Roman"/>
                <w:sz w:val="12"/>
                <w:szCs w:val="16"/>
              </w:rPr>
              <w:t>,</w:t>
            </w:r>
            <w:r w:rsidRPr="00B457F5">
              <w:rPr>
                <w:rFonts w:ascii="Garamond" w:hAnsi="Garamond" w:cs="Times New Roman"/>
                <w:sz w:val="12"/>
                <w:szCs w:val="16"/>
              </w:rPr>
              <w:t xml:space="preserve"> mundësitë e punësimit dhe </w:t>
            </w:r>
            <w:r w:rsidR="000209B5">
              <w:rPr>
                <w:rFonts w:ascii="Garamond" w:hAnsi="Garamond" w:cs="Times New Roman"/>
                <w:sz w:val="12"/>
                <w:szCs w:val="16"/>
              </w:rPr>
              <w:t>të</w:t>
            </w:r>
            <w:r w:rsidR="000209B5" w:rsidRPr="00B457F5">
              <w:rPr>
                <w:rFonts w:ascii="Garamond" w:hAnsi="Garamond" w:cs="Times New Roman"/>
                <w:sz w:val="12"/>
                <w:szCs w:val="16"/>
              </w:rPr>
              <w:t xml:space="preserve"> </w:t>
            </w:r>
            <w:r w:rsidRPr="00B457F5">
              <w:rPr>
                <w:rFonts w:ascii="Garamond" w:hAnsi="Garamond" w:cs="Times New Roman"/>
                <w:sz w:val="12"/>
                <w:szCs w:val="16"/>
              </w:rPr>
              <w:t>tregut të punës në vend</w:t>
            </w:r>
          </w:p>
          <w:p w14:paraId="47693F9A" w14:textId="77777777" w:rsidR="009D2573" w:rsidRPr="00B457F5" w:rsidRDefault="009D2573" w:rsidP="00F53AA3">
            <w:pPr>
              <w:widowControl w:val="0"/>
              <w:spacing w:before="0" w:after="0"/>
              <w:jc w:val="left"/>
              <w:rPr>
                <w:rFonts w:ascii="Garamond" w:hAnsi="Garamond" w:cs="Times New Roman"/>
                <w:sz w:val="12"/>
                <w:szCs w:val="16"/>
              </w:rPr>
            </w:pPr>
          </w:p>
        </w:tc>
        <w:tc>
          <w:tcPr>
            <w:tcW w:w="848" w:type="pct"/>
            <w:shd w:val="clear" w:color="auto" w:fill="auto"/>
          </w:tcPr>
          <w:p w14:paraId="2BB9D8CE"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Numri i konsultimeve me organizatat e punëdhënësve dhe të punëtorëve, si dhe me fokus grupet</w:t>
            </w:r>
          </w:p>
        </w:tc>
        <w:tc>
          <w:tcPr>
            <w:tcW w:w="814" w:type="pct"/>
            <w:shd w:val="clear" w:color="auto" w:fill="auto"/>
          </w:tcPr>
          <w:p w14:paraId="13BF12DB"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0</w:t>
            </w:r>
          </w:p>
        </w:tc>
        <w:tc>
          <w:tcPr>
            <w:tcW w:w="436" w:type="pct"/>
            <w:shd w:val="clear" w:color="auto" w:fill="auto"/>
          </w:tcPr>
          <w:p w14:paraId="244321FE"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3</w:t>
            </w:r>
          </w:p>
        </w:tc>
        <w:tc>
          <w:tcPr>
            <w:tcW w:w="427" w:type="pct"/>
            <w:shd w:val="clear" w:color="auto" w:fill="auto"/>
          </w:tcPr>
          <w:p w14:paraId="3E7BDD39"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Çdo vit deri në vitin 2030</w:t>
            </w:r>
          </w:p>
        </w:tc>
        <w:tc>
          <w:tcPr>
            <w:tcW w:w="579" w:type="pct"/>
            <w:shd w:val="clear" w:color="auto" w:fill="auto"/>
          </w:tcPr>
          <w:p w14:paraId="30E2A647"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MEKI</w:t>
            </w:r>
          </w:p>
          <w:p w14:paraId="0211D214"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AKPA</w:t>
            </w:r>
          </w:p>
          <w:p w14:paraId="00B50C68"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MEPJ</w:t>
            </w:r>
          </w:p>
        </w:tc>
        <w:tc>
          <w:tcPr>
            <w:tcW w:w="522" w:type="pct"/>
            <w:shd w:val="clear" w:color="auto" w:fill="auto"/>
          </w:tcPr>
          <w:p w14:paraId="3CA99BAB" w14:textId="550F5631"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LH 79/2021 </w:t>
            </w:r>
            <w:r w:rsidR="004C5C0C" w:rsidRPr="00B457F5">
              <w:rPr>
                <w:rFonts w:ascii="Garamond" w:hAnsi="Garamond" w:cs="Times New Roman"/>
                <w:sz w:val="12"/>
                <w:szCs w:val="16"/>
              </w:rPr>
              <w:t>Për</w:t>
            </w:r>
            <w:r w:rsidRPr="00B457F5">
              <w:rPr>
                <w:rFonts w:ascii="Garamond" w:hAnsi="Garamond" w:cs="Times New Roman"/>
                <w:sz w:val="12"/>
                <w:szCs w:val="16"/>
              </w:rPr>
              <w:t xml:space="preserve"> t</w:t>
            </w:r>
            <w:r w:rsidR="004C5C0C" w:rsidRPr="00B457F5">
              <w:rPr>
                <w:rFonts w:ascii="Garamond" w:hAnsi="Garamond" w:cs="Times New Roman"/>
                <w:sz w:val="12"/>
                <w:szCs w:val="16"/>
              </w:rPr>
              <w:t>ë</w:t>
            </w:r>
            <w:r w:rsidRPr="00B457F5">
              <w:rPr>
                <w:rFonts w:ascii="Garamond" w:hAnsi="Garamond" w:cs="Times New Roman"/>
                <w:sz w:val="12"/>
                <w:szCs w:val="16"/>
              </w:rPr>
              <w:t xml:space="preserve"> huajt</w:t>
            </w:r>
          </w:p>
          <w:p w14:paraId="51C5CE33"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GCM 5</w:t>
            </w:r>
          </w:p>
        </w:tc>
      </w:tr>
      <w:tr w:rsidR="009D2573" w:rsidRPr="00B457F5" w14:paraId="146EAF58" w14:textId="77777777" w:rsidTr="00F53AA3">
        <w:trPr>
          <w:trHeight w:val="20"/>
        </w:trPr>
        <w:tc>
          <w:tcPr>
            <w:tcW w:w="356" w:type="pct"/>
            <w:vMerge/>
          </w:tcPr>
          <w:p w14:paraId="6BAB2B8F" w14:textId="77777777" w:rsidR="009D2573" w:rsidRPr="00B457F5" w:rsidRDefault="009D2573" w:rsidP="00F53AA3">
            <w:pPr>
              <w:widowControl w:val="0"/>
              <w:spacing w:before="0" w:after="0"/>
              <w:jc w:val="left"/>
              <w:rPr>
                <w:rFonts w:ascii="Garamond" w:hAnsi="Garamond" w:cs="Times New Roman"/>
                <w:b/>
                <w:sz w:val="12"/>
                <w:szCs w:val="16"/>
              </w:rPr>
            </w:pPr>
          </w:p>
        </w:tc>
        <w:tc>
          <w:tcPr>
            <w:tcW w:w="1018" w:type="pct"/>
            <w:shd w:val="clear" w:color="auto" w:fill="auto"/>
          </w:tcPr>
          <w:p w14:paraId="20B30476" w14:textId="2B9F2BF0"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2.2.4</w:t>
            </w:r>
            <w:r w:rsidR="0006016F" w:rsidRPr="00B457F5">
              <w:rPr>
                <w:rFonts w:ascii="Garamond" w:hAnsi="Garamond" w:cs="Times New Roman"/>
                <w:sz w:val="12"/>
                <w:szCs w:val="16"/>
              </w:rPr>
              <w:t xml:space="preserve"> </w:t>
            </w:r>
            <w:r w:rsidRPr="00B457F5">
              <w:rPr>
                <w:rFonts w:ascii="Garamond" w:hAnsi="Garamond" w:cs="Times New Roman"/>
                <w:sz w:val="12"/>
                <w:szCs w:val="16"/>
              </w:rPr>
              <w:t>Promovimi i investimeve</w:t>
            </w:r>
          </w:p>
        </w:tc>
        <w:tc>
          <w:tcPr>
            <w:tcW w:w="848" w:type="pct"/>
            <w:shd w:val="clear" w:color="auto" w:fill="auto"/>
          </w:tcPr>
          <w:p w14:paraId="0EBEF1EB"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Numri i investimeve të bëra nga emigrantët në nivel kombëtar dhe vendor </w:t>
            </w:r>
          </w:p>
        </w:tc>
        <w:tc>
          <w:tcPr>
            <w:tcW w:w="814" w:type="pct"/>
            <w:shd w:val="clear" w:color="auto" w:fill="auto"/>
          </w:tcPr>
          <w:p w14:paraId="4E53900C" w14:textId="77777777" w:rsidR="009D2573" w:rsidRPr="00B457F5" w:rsidRDefault="009D2573" w:rsidP="00F53AA3">
            <w:pPr>
              <w:widowControl w:val="0"/>
              <w:spacing w:before="0" w:after="0"/>
              <w:jc w:val="left"/>
              <w:rPr>
                <w:rFonts w:ascii="Garamond" w:hAnsi="Garamond" w:cs="Times New Roman"/>
                <w:sz w:val="12"/>
                <w:szCs w:val="16"/>
              </w:rPr>
            </w:pPr>
          </w:p>
        </w:tc>
        <w:tc>
          <w:tcPr>
            <w:tcW w:w="436" w:type="pct"/>
            <w:shd w:val="clear" w:color="auto" w:fill="auto"/>
          </w:tcPr>
          <w:p w14:paraId="76CA07BB"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Rritës </w:t>
            </w:r>
          </w:p>
        </w:tc>
        <w:tc>
          <w:tcPr>
            <w:tcW w:w="427" w:type="pct"/>
            <w:shd w:val="clear" w:color="auto" w:fill="auto"/>
          </w:tcPr>
          <w:p w14:paraId="3F9775F0"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Rritës </w:t>
            </w:r>
          </w:p>
        </w:tc>
        <w:tc>
          <w:tcPr>
            <w:tcW w:w="579" w:type="pct"/>
            <w:shd w:val="clear" w:color="auto" w:fill="auto"/>
          </w:tcPr>
          <w:p w14:paraId="30944C55"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AIDA </w:t>
            </w:r>
          </w:p>
          <w:p w14:paraId="4441320B"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MEKI</w:t>
            </w:r>
          </w:p>
          <w:p w14:paraId="1E457E54" w14:textId="7BB92631"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MEPJ</w:t>
            </w:r>
          </w:p>
        </w:tc>
        <w:tc>
          <w:tcPr>
            <w:tcW w:w="522" w:type="pct"/>
            <w:shd w:val="clear" w:color="auto" w:fill="auto"/>
          </w:tcPr>
          <w:p w14:paraId="6B0C275E"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GCM 19</w:t>
            </w:r>
          </w:p>
          <w:p w14:paraId="4C4F2C98"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SDG</w:t>
            </w:r>
          </w:p>
        </w:tc>
      </w:tr>
      <w:tr w:rsidR="009D2573" w:rsidRPr="00B457F5" w14:paraId="18CFA436" w14:textId="77777777" w:rsidTr="00F53AA3">
        <w:trPr>
          <w:trHeight w:val="20"/>
        </w:trPr>
        <w:tc>
          <w:tcPr>
            <w:tcW w:w="356" w:type="pct"/>
            <w:vMerge/>
          </w:tcPr>
          <w:p w14:paraId="75497A90" w14:textId="77777777" w:rsidR="009D2573" w:rsidRPr="00B457F5" w:rsidRDefault="009D2573" w:rsidP="00F53AA3">
            <w:pPr>
              <w:widowControl w:val="0"/>
              <w:spacing w:before="0" w:after="0"/>
              <w:jc w:val="left"/>
              <w:rPr>
                <w:rFonts w:ascii="Garamond" w:hAnsi="Garamond" w:cs="Times New Roman"/>
                <w:b/>
                <w:sz w:val="12"/>
                <w:szCs w:val="16"/>
              </w:rPr>
            </w:pPr>
          </w:p>
        </w:tc>
        <w:tc>
          <w:tcPr>
            <w:tcW w:w="1018" w:type="pct"/>
            <w:shd w:val="clear" w:color="auto" w:fill="auto"/>
          </w:tcPr>
          <w:p w14:paraId="1EEFDDFA" w14:textId="3D646640"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2.3.1 Zbatimi i veprimtarive për ri</w:t>
            </w:r>
            <w:r w:rsidR="000209B5">
              <w:rPr>
                <w:rFonts w:ascii="Garamond" w:hAnsi="Garamond" w:cs="Times New Roman"/>
                <w:sz w:val="12"/>
                <w:szCs w:val="16"/>
              </w:rPr>
              <w:t>i</w:t>
            </w:r>
            <w:r w:rsidRPr="00B457F5">
              <w:rPr>
                <w:rFonts w:ascii="Garamond" w:hAnsi="Garamond" w:cs="Times New Roman"/>
                <w:sz w:val="12"/>
                <w:szCs w:val="16"/>
              </w:rPr>
              <w:t>ntegrimin e të kthyerve nga emigracioni</w:t>
            </w:r>
          </w:p>
        </w:tc>
        <w:tc>
          <w:tcPr>
            <w:tcW w:w="848" w:type="pct"/>
            <w:shd w:val="clear" w:color="auto" w:fill="auto"/>
          </w:tcPr>
          <w:p w14:paraId="73237671"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Numri i personave që kanë ndjekur programet e riintegrimit, të ndarë sipas gjinisë</w:t>
            </w:r>
          </w:p>
        </w:tc>
        <w:tc>
          <w:tcPr>
            <w:tcW w:w="814" w:type="pct"/>
            <w:shd w:val="clear" w:color="auto" w:fill="auto"/>
          </w:tcPr>
          <w:p w14:paraId="3283B6DA"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347 të kthyer:</w:t>
            </w:r>
          </w:p>
          <w:p w14:paraId="020A8EF5"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5 trajtuar me pagesë papunësie, 97 me ndihmë ekonomike dhe 209 shërbime të tjera</w:t>
            </w:r>
          </w:p>
        </w:tc>
        <w:tc>
          <w:tcPr>
            <w:tcW w:w="436" w:type="pct"/>
            <w:shd w:val="clear" w:color="auto" w:fill="auto"/>
          </w:tcPr>
          <w:p w14:paraId="6A1B0499"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Rritës </w:t>
            </w:r>
          </w:p>
        </w:tc>
        <w:tc>
          <w:tcPr>
            <w:tcW w:w="427" w:type="pct"/>
            <w:shd w:val="clear" w:color="auto" w:fill="auto"/>
          </w:tcPr>
          <w:p w14:paraId="298C593F"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Rritës </w:t>
            </w:r>
          </w:p>
        </w:tc>
        <w:tc>
          <w:tcPr>
            <w:tcW w:w="579" w:type="pct"/>
            <w:shd w:val="clear" w:color="auto" w:fill="auto"/>
          </w:tcPr>
          <w:p w14:paraId="08489371"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MEKI </w:t>
            </w:r>
          </w:p>
          <w:p w14:paraId="634D0973"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AKPA </w:t>
            </w:r>
          </w:p>
          <w:p w14:paraId="1D7071D9"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MB</w:t>
            </w:r>
          </w:p>
          <w:p w14:paraId="7DCC48FA"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DKM</w:t>
            </w:r>
          </w:p>
        </w:tc>
        <w:tc>
          <w:tcPr>
            <w:tcW w:w="522" w:type="pct"/>
            <w:shd w:val="clear" w:color="auto" w:fill="auto"/>
          </w:tcPr>
          <w:p w14:paraId="21189309"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GCM 18</w:t>
            </w:r>
          </w:p>
          <w:p w14:paraId="46CD8F9E"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3.C: SDG</w:t>
            </w:r>
          </w:p>
          <w:p w14:paraId="570B87F3"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4.4 SDG</w:t>
            </w:r>
          </w:p>
          <w:p w14:paraId="706B502A"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4.B SDG</w:t>
            </w:r>
          </w:p>
          <w:p w14:paraId="5FEF41C2"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8.5 SDG</w:t>
            </w:r>
          </w:p>
          <w:p w14:paraId="78BA9BE5"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8.6 SDG</w:t>
            </w:r>
          </w:p>
          <w:p w14:paraId="29FB9A07"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10.7 SDG</w:t>
            </w:r>
          </w:p>
          <w:p w14:paraId="3450BF82"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17.18SDG</w:t>
            </w:r>
          </w:p>
        </w:tc>
      </w:tr>
      <w:tr w:rsidR="009D2573" w:rsidRPr="00B457F5" w14:paraId="4B000158" w14:textId="77777777" w:rsidTr="00F53AA3">
        <w:trPr>
          <w:trHeight w:val="20"/>
        </w:trPr>
        <w:tc>
          <w:tcPr>
            <w:tcW w:w="356" w:type="pct"/>
            <w:vMerge/>
          </w:tcPr>
          <w:p w14:paraId="70DB781E" w14:textId="77777777" w:rsidR="009D2573" w:rsidRPr="00B457F5" w:rsidRDefault="009D2573" w:rsidP="00F53AA3">
            <w:pPr>
              <w:widowControl w:val="0"/>
              <w:spacing w:before="0" w:after="0"/>
              <w:jc w:val="left"/>
              <w:rPr>
                <w:rFonts w:ascii="Garamond" w:hAnsi="Garamond" w:cs="Times New Roman"/>
                <w:b/>
                <w:sz w:val="12"/>
                <w:szCs w:val="16"/>
              </w:rPr>
            </w:pPr>
          </w:p>
        </w:tc>
        <w:tc>
          <w:tcPr>
            <w:tcW w:w="1018" w:type="pct"/>
            <w:vMerge w:val="restart"/>
            <w:shd w:val="clear" w:color="auto" w:fill="auto"/>
          </w:tcPr>
          <w:p w14:paraId="2E9C0232" w14:textId="5D83BAE0"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2.3.2 Lehtësimi i transferimit, zhvillimit dhe njohjes së aftësive</w:t>
            </w:r>
            <w:r w:rsidR="000209B5">
              <w:rPr>
                <w:rFonts w:ascii="Garamond" w:hAnsi="Garamond" w:cs="Times New Roman"/>
                <w:sz w:val="12"/>
                <w:szCs w:val="16"/>
              </w:rPr>
              <w:t>,</w:t>
            </w:r>
            <w:r w:rsidRPr="00B457F5">
              <w:rPr>
                <w:rFonts w:ascii="Garamond" w:hAnsi="Garamond" w:cs="Times New Roman"/>
                <w:sz w:val="12"/>
                <w:szCs w:val="16"/>
              </w:rPr>
              <w:t xml:space="preserve"> kualifikimeve dhe kompetencave</w:t>
            </w:r>
          </w:p>
        </w:tc>
        <w:tc>
          <w:tcPr>
            <w:tcW w:w="848" w:type="pct"/>
            <w:shd w:val="clear" w:color="auto" w:fill="auto"/>
          </w:tcPr>
          <w:p w14:paraId="320D1633"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Numri i njohjeve të diplomave, të ndarë sipas gjinisë</w:t>
            </w:r>
          </w:p>
          <w:p w14:paraId="3B197ACB" w14:textId="77777777" w:rsidR="009D2573" w:rsidRPr="00B457F5" w:rsidRDefault="009D2573" w:rsidP="00F53AA3">
            <w:pPr>
              <w:widowControl w:val="0"/>
              <w:spacing w:before="0" w:after="0"/>
              <w:jc w:val="left"/>
              <w:rPr>
                <w:rFonts w:ascii="Garamond" w:hAnsi="Garamond" w:cs="Times New Roman"/>
                <w:sz w:val="12"/>
                <w:szCs w:val="16"/>
              </w:rPr>
            </w:pPr>
          </w:p>
          <w:p w14:paraId="5B889689" w14:textId="77777777" w:rsidR="009D2573" w:rsidRPr="00B457F5" w:rsidRDefault="009D2573" w:rsidP="00F53AA3">
            <w:pPr>
              <w:widowControl w:val="0"/>
              <w:spacing w:before="0" w:after="0"/>
              <w:jc w:val="left"/>
              <w:rPr>
                <w:rFonts w:ascii="Garamond" w:hAnsi="Garamond" w:cs="Times New Roman"/>
                <w:sz w:val="12"/>
                <w:szCs w:val="16"/>
              </w:rPr>
            </w:pPr>
          </w:p>
        </w:tc>
        <w:tc>
          <w:tcPr>
            <w:tcW w:w="814" w:type="pct"/>
            <w:shd w:val="clear" w:color="auto" w:fill="auto"/>
          </w:tcPr>
          <w:p w14:paraId="2203E8FA"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Gjatë 2023, 16 shtetas shqiptarë emigrantë të kthyer kanë marrë pjesë në kurset e formimit profesional</w:t>
            </w:r>
          </w:p>
        </w:tc>
        <w:tc>
          <w:tcPr>
            <w:tcW w:w="436" w:type="pct"/>
            <w:shd w:val="clear" w:color="auto" w:fill="auto"/>
          </w:tcPr>
          <w:p w14:paraId="0B0D852E" w14:textId="77777777" w:rsidR="009D2573" w:rsidRPr="00B457F5" w:rsidRDefault="009D2573" w:rsidP="00F53AA3">
            <w:pPr>
              <w:widowControl w:val="0"/>
              <w:spacing w:before="0" w:after="0"/>
              <w:jc w:val="left"/>
              <w:rPr>
                <w:rFonts w:ascii="Garamond" w:hAnsi="Garamond" w:cs="Times New Roman"/>
                <w:sz w:val="12"/>
                <w:szCs w:val="16"/>
              </w:rPr>
            </w:pPr>
          </w:p>
        </w:tc>
        <w:tc>
          <w:tcPr>
            <w:tcW w:w="427" w:type="pct"/>
            <w:shd w:val="clear" w:color="auto" w:fill="auto"/>
          </w:tcPr>
          <w:p w14:paraId="20BAFEB1" w14:textId="77777777" w:rsidR="009D2573" w:rsidRPr="00B457F5" w:rsidRDefault="009D2573" w:rsidP="00F53AA3">
            <w:pPr>
              <w:widowControl w:val="0"/>
              <w:spacing w:before="0" w:after="0"/>
              <w:jc w:val="left"/>
              <w:rPr>
                <w:rFonts w:ascii="Garamond" w:hAnsi="Garamond" w:cs="Times New Roman"/>
                <w:sz w:val="12"/>
                <w:szCs w:val="16"/>
              </w:rPr>
            </w:pPr>
          </w:p>
        </w:tc>
        <w:tc>
          <w:tcPr>
            <w:tcW w:w="579" w:type="pct"/>
            <w:shd w:val="clear" w:color="auto" w:fill="auto"/>
          </w:tcPr>
          <w:p w14:paraId="40C9A2FE"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MEKI</w:t>
            </w:r>
          </w:p>
          <w:p w14:paraId="127ECA2F"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AKPA</w:t>
            </w:r>
          </w:p>
        </w:tc>
        <w:tc>
          <w:tcPr>
            <w:tcW w:w="522" w:type="pct"/>
            <w:vMerge w:val="restart"/>
            <w:shd w:val="clear" w:color="auto" w:fill="auto"/>
          </w:tcPr>
          <w:p w14:paraId="251F33BC"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GCM 18</w:t>
            </w:r>
          </w:p>
          <w:p w14:paraId="391071CA"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3.C: SDG</w:t>
            </w:r>
          </w:p>
          <w:p w14:paraId="46EA1897"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4.4 SDG</w:t>
            </w:r>
          </w:p>
          <w:p w14:paraId="1DBE3A44"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4.B SDG</w:t>
            </w:r>
          </w:p>
          <w:p w14:paraId="25CDFB47"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8.5 SDG</w:t>
            </w:r>
          </w:p>
          <w:p w14:paraId="6A2D8B96"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8.6 SDG</w:t>
            </w:r>
          </w:p>
          <w:p w14:paraId="7050ED8E"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10.7 SDG</w:t>
            </w:r>
          </w:p>
          <w:p w14:paraId="6BB64849"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17.18SDG</w:t>
            </w:r>
          </w:p>
        </w:tc>
      </w:tr>
      <w:tr w:rsidR="009D2573" w:rsidRPr="00B457F5" w14:paraId="08455367" w14:textId="77777777" w:rsidTr="00F53AA3">
        <w:trPr>
          <w:trHeight w:val="20"/>
        </w:trPr>
        <w:tc>
          <w:tcPr>
            <w:tcW w:w="356" w:type="pct"/>
            <w:vMerge/>
          </w:tcPr>
          <w:p w14:paraId="5A406B4D" w14:textId="77777777" w:rsidR="009D2573" w:rsidRPr="00B457F5" w:rsidRDefault="009D2573" w:rsidP="00F53AA3">
            <w:pPr>
              <w:widowControl w:val="0"/>
              <w:spacing w:before="0" w:after="0"/>
              <w:jc w:val="left"/>
              <w:rPr>
                <w:rFonts w:ascii="Garamond" w:hAnsi="Garamond" w:cs="Times New Roman"/>
                <w:b/>
                <w:sz w:val="12"/>
                <w:szCs w:val="16"/>
              </w:rPr>
            </w:pPr>
          </w:p>
        </w:tc>
        <w:tc>
          <w:tcPr>
            <w:tcW w:w="1018" w:type="pct"/>
            <w:vMerge/>
            <w:shd w:val="clear" w:color="auto" w:fill="auto"/>
          </w:tcPr>
          <w:p w14:paraId="74615D1C" w14:textId="77777777" w:rsidR="009D2573" w:rsidRPr="00B457F5" w:rsidRDefault="009D2573" w:rsidP="00F53AA3">
            <w:pPr>
              <w:widowControl w:val="0"/>
              <w:spacing w:before="0" w:after="0"/>
              <w:jc w:val="left"/>
              <w:rPr>
                <w:rFonts w:ascii="Garamond" w:hAnsi="Garamond" w:cs="Times New Roman"/>
                <w:sz w:val="12"/>
                <w:szCs w:val="16"/>
              </w:rPr>
            </w:pPr>
          </w:p>
        </w:tc>
        <w:tc>
          <w:tcPr>
            <w:tcW w:w="848" w:type="pct"/>
            <w:shd w:val="clear" w:color="auto" w:fill="auto"/>
          </w:tcPr>
          <w:p w14:paraId="563DE9D7"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Numri i certifikimeve të kurseve afatshkurtra, të ndarë sipas gjinisë</w:t>
            </w:r>
          </w:p>
        </w:tc>
        <w:tc>
          <w:tcPr>
            <w:tcW w:w="814" w:type="pct"/>
            <w:shd w:val="clear" w:color="auto" w:fill="auto"/>
          </w:tcPr>
          <w:p w14:paraId="2040C1E3"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për gra</w:t>
            </w:r>
          </w:p>
          <w:p w14:paraId="6F5AE0B4"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për burra</w:t>
            </w:r>
          </w:p>
        </w:tc>
        <w:tc>
          <w:tcPr>
            <w:tcW w:w="436" w:type="pct"/>
            <w:shd w:val="clear" w:color="auto" w:fill="auto"/>
          </w:tcPr>
          <w:p w14:paraId="0C6B3EEC" w14:textId="77777777" w:rsidR="009D2573" w:rsidRPr="00B457F5" w:rsidRDefault="009D2573" w:rsidP="00F53AA3">
            <w:pPr>
              <w:widowControl w:val="0"/>
              <w:spacing w:before="0" w:after="0"/>
              <w:jc w:val="left"/>
              <w:rPr>
                <w:rFonts w:ascii="Garamond" w:hAnsi="Garamond" w:cs="Times New Roman"/>
                <w:sz w:val="12"/>
                <w:szCs w:val="16"/>
              </w:rPr>
            </w:pPr>
          </w:p>
        </w:tc>
        <w:tc>
          <w:tcPr>
            <w:tcW w:w="427" w:type="pct"/>
            <w:shd w:val="clear" w:color="auto" w:fill="auto"/>
          </w:tcPr>
          <w:p w14:paraId="09599C02" w14:textId="77777777" w:rsidR="009D2573" w:rsidRPr="00B457F5" w:rsidRDefault="009D2573" w:rsidP="00F53AA3">
            <w:pPr>
              <w:widowControl w:val="0"/>
              <w:spacing w:before="0" w:after="0"/>
              <w:jc w:val="left"/>
              <w:rPr>
                <w:rFonts w:ascii="Garamond" w:hAnsi="Garamond" w:cs="Times New Roman"/>
                <w:sz w:val="12"/>
                <w:szCs w:val="16"/>
              </w:rPr>
            </w:pPr>
          </w:p>
        </w:tc>
        <w:tc>
          <w:tcPr>
            <w:tcW w:w="579" w:type="pct"/>
            <w:shd w:val="clear" w:color="auto" w:fill="auto"/>
          </w:tcPr>
          <w:p w14:paraId="4DC2BC03"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MEKI</w:t>
            </w:r>
          </w:p>
          <w:p w14:paraId="42B39D46"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AKPA</w:t>
            </w:r>
          </w:p>
        </w:tc>
        <w:tc>
          <w:tcPr>
            <w:tcW w:w="522" w:type="pct"/>
            <w:vMerge/>
            <w:shd w:val="clear" w:color="auto" w:fill="auto"/>
          </w:tcPr>
          <w:p w14:paraId="7FA56CA1" w14:textId="77777777" w:rsidR="009D2573" w:rsidRPr="00B457F5" w:rsidRDefault="009D2573" w:rsidP="00F53AA3">
            <w:pPr>
              <w:widowControl w:val="0"/>
              <w:spacing w:before="0" w:after="0"/>
              <w:jc w:val="left"/>
              <w:rPr>
                <w:rFonts w:ascii="Garamond" w:hAnsi="Garamond" w:cs="Times New Roman"/>
                <w:sz w:val="12"/>
                <w:szCs w:val="16"/>
              </w:rPr>
            </w:pPr>
          </w:p>
        </w:tc>
      </w:tr>
      <w:tr w:rsidR="009D2573" w:rsidRPr="00B457F5" w14:paraId="0C177DD0" w14:textId="77777777" w:rsidTr="00F53AA3">
        <w:trPr>
          <w:trHeight w:val="20"/>
        </w:trPr>
        <w:tc>
          <w:tcPr>
            <w:tcW w:w="356" w:type="pct"/>
            <w:vMerge/>
          </w:tcPr>
          <w:p w14:paraId="669D5415" w14:textId="77777777" w:rsidR="009D2573" w:rsidRPr="00B457F5" w:rsidRDefault="009D2573" w:rsidP="00F53AA3">
            <w:pPr>
              <w:widowControl w:val="0"/>
              <w:spacing w:before="0" w:after="0"/>
              <w:jc w:val="left"/>
              <w:rPr>
                <w:rFonts w:ascii="Garamond" w:hAnsi="Garamond" w:cs="Times New Roman"/>
                <w:b/>
                <w:sz w:val="12"/>
                <w:szCs w:val="16"/>
              </w:rPr>
            </w:pPr>
          </w:p>
        </w:tc>
        <w:tc>
          <w:tcPr>
            <w:tcW w:w="1018" w:type="pct"/>
            <w:shd w:val="clear" w:color="auto" w:fill="auto"/>
          </w:tcPr>
          <w:p w14:paraId="3CAF9647"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2.3.3 Krijimi i mekanizmave për transportueshmërinë e të drejtave të sigurimeve shoqërore dhe përfitimeve të fituara </w:t>
            </w:r>
          </w:p>
          <w:p w14:paraId="3724E3CE" w14:textId="77777777" w:rsidR="009D2573" w:rsidRPr="00B457F5" w:rsidRDefault="009D2573" w:rsidP="00F53AA3">
            <w:pPr>
              <w:widowControl w:val="0"/>
              <w:spacing w:before="0" w:after="0"/>
              <w:jc w:val="left"/>
              <w:rPr>
                <w:rFonts w:ascii="Garamond" w:hAnsi="Garamond" w:cs="Times New Roman"/>
                <w:sz w:val="12"/>
                <w:szCs w:val="16"/>
              </w:rPr>
            </w:pPr>
          </w:p>
        </w:tc>
        <w:tc>
          <w:tcPr>
            <w:tcW w:w="848" w:type="pct"/>
            <w:shd w:val="clear" w:color="auto" w:fill="auto"/>
          </w:tcPr>
          <w:p w14:paraId="1D4430A7" w14:textId="5BCFBFAA"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Numri </w:t>
            </w:r>
            <w:r w:rsidR="000209B5">
              <w:rPr>
                <w:rFonts w:ascii="Garamond" w:hAnsi="Garamond" w:cs="Times New Roman"/>
                <w:sz w:val="12"/>
                <w:szCs w:val="16"/>
              </w:rPr>
              <w:t>i</w:t>
            </w:r>
            <w:r w:rsidRPr="00B457F5">
              <w:rPr>
                <w:rFonts w:ascii="Garamond" w:hAnsi="Garamond" w:cs="Times New Roman"/>
                <w:sz w:val="12"/>
                <w:szCs w:val="16"/>
              </w:rPr>
              <w:t xml:space="preserve"> marrëveshjeve për njohjen e periudhave të kontribut</w:t>
            </w:r>
            <w:r w:rsidR="000209B5">
              <w:rPr>
                <w:rFonts w:ascii="Garamond" w:hAnsi="Garamond" w:cs="Times New Roman"/>
                <w:sz w:val="12"/>
                <w:szCs w:val="16"/>
              </w:rPr>
              <w:t>e</w:t>
            </w:r>
            <w:r w:rsidRPr="00B457F5">
              <w:rPr>
                <w:rFonts w:ascii="Garamond" w:hAnsi="Garamond" w:cs="Times New Roman"/>
                <w:sz w:val="12"/>
                <w:szCs w:val="16"/>
              </w:rPr>
              <w:t>ve shoqërore</w:t>
            </w:r>
            <w:r w:rsidR="0006016F" w:rsidRPr="00B457F5">
              <w:rPr>
                <w:rFonts w:ascii="Garamond" w:hAnsi="Garamond" w:cs="Times New Roman"/>
                <w:sz w:val="12"/>
                <w:szCs w:val="16"/>
              </w:rPr>
              <w:t xml:space="preserve"> </w:t>
            </w:r>
          </w:p>
        </w:tc>
        <w:tc>
          <w:tcPr>
            <w:tcW w:w="814" w:type="pct"/>
            <w:shd w:val="clear" w:color="auto" w:fill="auto"/>
          </w:tcPr>
          <w:p w14:paraId="5C0B2FD6" w14:textId="77777777" w:rsidR="009D2573" w:rsidRPr="00B457F5" w:rsidRDefault="009D2573" w:rsidP="00F53AA3">
            <w:pPr>
              <w:widowControl w:val="0"/>
              <w:spacing w:before="0" w:after="0"/>
              <w:jc w:val="left"/>
              <w:rPr>
                <w:rFonts w:ascii="Garamond" w:hAnsi="Garamond" w:cs="Times New Roman"/>
                <w:sz w:val="12"/>
                <w:szCs w:val="16"/>
              </w:rPr>
            </w:pPr>
          </w:p>
        </w:tc>
        <w:tc>
          <w:tcPr>
            <w:tcW w:w="436" w:type="pct"/>
            <w:shd w:val="clear" w:color="auto" w:fill="auto"/>
          </w:tcPr>
          <w:p w14:paraId="34371549"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Rritës </w:t>
            </w:r>
          </w:p>
        </w:tc>
        <w:tc>
          <w:tcPr>
            <w:tcW w:w="427" w:type="pct"/>
            <w:shd w:val="clear" w:color="auto" w:fill="auto"/>
          </w:tcPr>
          <w:p w14:paraId="4038649E"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Rritës </w:t>
            </w:r>
          </w:p>
        </w:tc>
        <w:tc>
          <w:tcPr>
            <w:tcW w:w="579" w:type="pct"/>
            <w:shd w:val="clear" w:color="auto" w:fill="auto"/>
          </w:tcPr>
          <w:p w14:paraId="4E78C5BC"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MEKI</w:t>
            </w:r>
          </w:p>
          <w:p w14:paraId="0A4689F4"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MEPJ ISHPSHSH/ të dhënat administrative</w:t>
            </w:r>
          </w:p>
        </w:tc>
        <w:tc>
          <w:tcPr>
            <w:tcW w:w="522" w:type="pct"/>
            <w:shd w:val="clear" w:color="auto" w:fill="auto"/>
          </w:tcPr>
          <w:p w14:paraId="4F270226" w14:textId="77777777" w:rsidR="009D2573" w:rsidRPr="00B457F5" w:rsidRDefault="009D2573" w:rsidP="00F53AA3">
            <w:pPr>
              <w:widowControl w:val="0"/>
              <w:spacing w:before="0" w:after="0"/>
              <w:jc w:val="left"/>
              <w:rPr>
                <w:rFonts w:ascii="Garamond" w:hAnsi="Garamond" w:cs="Times New Roman"/>
                <w:bCs/>
                <w:sz w:val="12"/>
                <w:szCs w:val="16"/>
              </w:rPr>
            </w:pPr>
            <w:r w:rsidRPr="00B457F5">
              <w:rPr>
                <w:rFonts w:ascii="Garamond" w:hAnsi="Garamond" w:cs="Times New Roman"/>
                <w:bCs/>
                <w:sz w:val="12"/>
                <w:szCs w:val="16"/>
              </w:rPr>
              <w:t>GCM 22</w:t>
            </w:r>
          </w:p>
          <w:p w14:paraId="268A4199"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1.3 SDG</w:t>
            </w:r>
          </w:p>
          <w:p w14:paraId="21036399"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4.5 SDG</w:t>
            </w:r>
          </w:p>
          <w:p w14:paraId="1A10B655"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10.4 SDG</w:t>
            </w:r>
          </w:p>
          <w:p w14:paraId="0E2F94E0"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17.18 SDG</w:t>
            </w:r>
          </w:p>
          <w:p w14:paraId="526F1F7A" w14:textId="77777777" w:rsidR="009D2573" w:rsidRPr="00B457F5" w:rsidRDefault="009D2573" w:rsidP="00F53AA3">
            <w:pPr>
              <w:widowControl w:val="0"/>
              <w:spacing w:before="0" w:after="0"/>
              <w:jc w:val="left"/>
              <w:rPr>
                <w:rFonts w:ascii="Garamond" w:hAnsi="Garamond" w:cs="Times New Roman"/>
                <w:sz w:val="12"/>
                <w:szCs w:val="16"/>
              </w:rPr>
            </w:pPr>
          </w:p>
        </w:tc>
      </w:tr>
      <w:tr w:rsidR="009D2573" w:rsidRPr="00B457F5" w14:paraId="0938DA3D" w14:textId="77777777" w:rsidTr="00F53AA3">
        <w:trPr>
          <w:trHeight w:val="20"/>
        </w:trPr>
        <w:tc>
          <w:tcPr>
            <w:tcW w:w="356" w:type="pct"/>
            <w:shd w:val="clear" w:color="auto" w:fill="auto"/>
            <w:vAlign w:val="center"/>
          </w:tcPr>
          <w:p w14:paraId="7C425D04" w14:textId="21AF842B" w:rsidR="009D2573" w:rsidRPr="00B457F5" w:rsidRDefault="009D2573" w:rsidP="00F53AA3">
            <w:pPr>
              <w:widowControl w:val="0"/>
              <w:spacing w:before="0" w:after="0"/>
              <w:jc w:val="left"/>
              <w:rPr>
                <w:rFonts w:ascii="Garamond" w:hAnsi="Garamond" w:cs="Times New Roman"/>
                <w:b/>
                <w:sz w:val="12"/>
                <w:szCs w:val="16"/>
              </w:rPr>
            </w:pPr>
            <w:r w:rsidRPr="00B457F5">
              <w:rPr>
                <w:rFonts w:ascii="Garamond" w:hAnsi="Garamond" w:cs="Times New Roman"/>
                <w:b/>
                <w:sz w:val="12"/>
                <w:szCs w:val="16"/>
              </w:rPr>
              <w:t xml:space="preserve">Qëllimi i politikës </w:t>
            </w:r>
            <w:r w:rsidRPr="00B457F5">
              <w:rPr>
                <w:rFonts w:ascii="Garamond" w:hAnsi="Garamond" w:cs="Times New Roman"/>
                <w:b/>
                <w:sz w:val="12"/>
                <w:szCs w:val="16"/>
              </w:rPr>
              <w:lastRenderedPageBreak/>
              <w:t>(</w:t>
            </w:r>
            <w:r w:rsidR="000209B5">
              <w:rPr>
                <w:rFonts w:ascii="Garamond" w:hAnsi="Garamond" w:cs="Times New Roman"/>
                <w:b/>
                <w:sz w:val="12"/>
                <w:szCs w:val="16"/>
              </w:rPr>
              <w:t>n</w:t>
            </w:r>
            <w:r w:rsidRPr="00B457F5">
              <w:rPr>
                <w:rFonts w:ascii="Garamond" w:hAnsi="Garamond" w:cs="Times New Roman"/>
                <w:b/>
                <w:sz w:val="12"/>
                <w:szCs w:val="16"/>
              </w:rPr>
              <w:t>dikimi)</w:t>
            </w:r>
          </w:p>
        </w:tc>
        <w:tc>
          <w:tcPr>
            <w:tcW w:w="1018" w:type="pct"/>
            <w:shd w:val="clear" w:color="auto" w:fill="auto"/>
          </w:tcPr>
          <w:p w14:paraId="18F75519" w14:textId="57B0D2A0" w:rsidR="009D2573" w:rsidRPr="00B457F5" w:rsidRDefault="009D2573" w:rsidP="00F53AA3">
            <w:pPr>
              <w:widowControl w:val="0"/>
              <w:spacing w:before="0" w:after="0"/>
              <w:jc w:val="left"/>
              <w:rPr>
                <w:rFonts w:ascii="Garamond" w:hAnsi="Garamond" w:cs="Times New Roman"/>
                <w:b/>
                <w:sz w:val="12"/>
                <w:szCs w:val="16"/>
              </w:rPr>
            </w:pPr>
            <w:r w:rsidRPr="00B457F5">
              <w:rPr>
                <w:rFonts w:ascii="Garamond" w:hAnsi="Garamond" w:cs="Times New Roman"/>
                <w:b/>
                <w:sz w:val="12"/>
                <w:szCs w:val="16"/>
              </w:rPr>
              <w:lastRenderedPageBreak/>
              <w:t xml:space="preserve">Qëllimi i </w:t>
            </w:r>
            <w:r w:rsidR="00E815B0" w:rsidRPr="00B457F5">
              <w:rPr>
                <w:rFonts w:ascii="Garamond" w:hAnsi="Garamond" w:cs="Times New Roman"/>
                <w:b/>
                <w:sz w:val="12"/>
                <w:szCs w:val="16"/>
              </w:rPr>
              <w:t>p</w:t>
            </w:r>
            <w:r w:rsidRPr="00B457F5">
              <w:rPr>
                <w:rFonts w:ascii="Garamond" w:hAnsi="Garamond" w:cs="Times New Roman"/>
                <w:b/>
                <w:sz w:val="12"/>
                <w:szCs w:val="16"/>
              </w:rPr>
              <w:t xml:space="preserve">olitikës 3: Promovimi i migracionit të rregullt, mbrojtja e të drejtave të migrantëve dhe </w:t>
            </w:r>
            <w:r w:rsidRPr="00B457F5">
              <w:rPr>
                <w:rFonts w:ascii="Garamond" w:hAnsi="Garamond" w:cs="Times New Roman"/>
                <w:b/>
                <w:sz w:val="12"/>
                <w:szCs w:val="16"/>
              </w:rPr>
              <w:lastRenderedPageBreak/>
              <w:t>integrimi i tyre në shoqërinë shqiptare</w:t>
            </w:r>
          </w:p>
        </w:tc>
        <w:tc>
          <w:tcPr>
            <w:tcW w:w="848" w:type="pct"/>
            <w:shd w:val="clear" w:color="auto" w:fill="auto"/>
          </w:tcPr>
          <w:p w14:paraId="63885042" w14:textId="4CA01BED"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lastRenderedPageBreak/>
              <w:t>Rritja e numrit të migrantëve që kontribuojnë në zhvillimin social</w:t>
            </w:r>
            <w:r w:rsidR="000209B5">
              <w:rPr>
                <w:rFonts w:ascii="Garamond" w:hAnsi="Garamond" w:cs="Times New Roman"/>
                <w:sz w:val="12"/>
                <w:szCs w:val="16"/>
              </w:rPr>
              <w:t>-</w:t>
            </w:r>
            <w:r w:rsidRPr="00B457F5">
              <w:rPr>
                <w:rFonts w:ascii="Garamond" w:hAnsi="Garamond" w:cs="Times New Roman"/>
                <w:sz w:val="12"/>
                <w:szCs w:val="16"/>
              </w:rPr>
              <w:t xml:space="preserve">ekonomik të vendit </w:t>
            </w:r>
          </w:p>
          <w:p w14:paraId="7F7BEC4F" w14:textId="77777777" w:rsidR="009D2573" w:rsidRPr="00B457F5" w:rsidRDefault="009D2573" w:rsidP="00F53AA3">
            <w:pPr>
              <w:widowControl w:val="0"/>
              <w:spacing w:before="0" w:after="0"/>
              <w:jc w:val="left"/>
              <w:rPr>
                <w:rFonts w:ascii="Garamond" w:hAnsi="Garamond" w:cs="Times New Roman"/>
                <w:sz w:val="12"/>
                <w:szCs w:val="16"/>
              </w:rPr>
            </w:pPr>
          </w:p>
          <w:p w14:paraId="502587F6" w14:textId="77777777" w:rsidR="009D2573" w:rsidRPr="00B457F5" w:rsidRDefault="009D2573" w:rsidP="00F53AA3">
            <w:pPr>
              <w:widowControl w:val="0"/>
              <w:spacing w:before="0" w:after="0"/>
              <w:jc w:val="left"/>
              <w:rPr>
                <w:rFonts w:ascii="Garamond" w:hAnsi="Garamond" w:cs="Times New Roman"/>
                <w:sz w:val="12"/>
                <w:szCs w:val="16"/>
              </w:rPr>
            </w:pPr>
          </w:p>
        </w:tc>
        <w:tc>
          <w:tcPr>
            <w:tcW w:w="814" w:type="pct"/>
            <w:shd w:val="clear" w:color="auto" w:fill="auto"/>
          </w:tcPr>
          <w:p w14:paraId="4ADDCC8C" w14:textId="4C6E9B8A"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lastRenderedPageBreak/>
              <w:t xml:space="preserve">-32 497 migracioni neto </w:t>
            </w:r>
            <w:r w:rsidR="0006016F" w:rsidRPr="00B457F5">
              <w:rPr>
                <w:rFonts w:ascii="Garamond" w:hAnsi="Garamond" w:cs="Times New Roman"/>
                <w:sz w:val="12"/>
                <w:szCs w:val="16"/>
              </w:rPr>
              <w:t>për</w:t>
            </w:r>
            <w:r w:rsidRPr="00B457F5">
              <w:rPr>
                <w:rFonts w:ascii="Garamond" w:hAnsi="Garamond" w:cs="Times New Roman"/>
                <w:sz w:val="12"/>
                <w:szCs w:val="16"/>
              </w:rPr>
              <w:t xml:space="preserve"> vitin 2022</w:t>
            </w:r>
          </w:p>
        </w:tc>
        <w:tc>
          <w:tcPr>
            <w:tcW w:w="436" w:type="pct"/>
            <w:shd w:val="clear" w:color="auto" w:fill="auto"/>
          </w:tcPr>
          <w:p w14:paraId="39FCEB14"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Ulje me 15% </w:t>
            </w:r>
          </w:p>
        </w:tc>
        <w:tc>
          <w:tcPr>
            <w:tcW w:w="427" w:type="pct"/>
            <w:shd w:val="clear" w:color="auto" w:fill="auto"/>
          </w:tcPr>
          <w:p w14:paraId="36D33E66"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Ulje me 20%</w:t>
            </w:r>
          </w:p>
        </w:tc>
        <w:tc>
          <w:tcPr>
            <w:tcW w:w="579" w:type="pct"/>
            <w:shd w:val="clear" w:color="auto" w:fill="auto"/>
          </w:tcPr>
          <w:p w14:paraId="610DAA9E"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INSTAT</w:t>
            </w:r>
          </w:p>
          <w:p w14:paraId="036DBD2A"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Anketa e forcave të </w:t>
            </w:r>
            <w:r w:rsidRPr="00B457F5">
              <w:rPr>
                <w:rFonts w:ascii="Garamond" w:hAnsi="Garamond" w:cs="Times New Roman"/>
                <w:sz w:val="12"/>
                <w:szCs w:val="16"/>
              </w:rPr>
              <w:lastRenderedPageBreak/>
              <w:t>punës/Moduli i integruar i emigracionit</w:t>
            </w:r>
          </w:p>
        </w:tc>
        <w:tc>
          <w:tcPr>
            <w:tcW w:w="522" w:type="pct"/>
            <w:shd w:val="clear" w:color="auto" w:fill="auto"/>
          </w:tcPr>
          <w:p w14:paraId="23FEA4BD"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lastRenderedPageBreak/>
              <w:t xml:space="preserve">Action 10, 11, 12, 13, 14, 21 - Action Plan For </w:t>
            </w:r>
            <w:r w:rsidRPr="00B457F5">
              <w:rPr>
                <w:rFonts w:ascii="Garamond" w:hAnsi="Garamond" w:cs="Times New Roman"/>
                <w:sz w:val="12"/>
                <w:szCs w:val="16"/>
              </w:rPr>
              <w:lastRenderedPageBreak/>
              <w:t>Sustainable Migration Governance In</w:t>
            </w:r>
          </w:p>
          <w:p w14:paraId="7B02AE23"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The Western Balkans 2023-2025</w:t>
            </w:r>
          </w:p>
          <w:p w14:paraId="30DF7FDC"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GCM 16, 4, 3, 7, 17</w:t>
            </w:r>
          </w:p>
        </w:tc>
      </w:tr>
      <w:tr w:rsidR="009D2573" w:rsidRPr="00B457F5" w14:paraId="53FEE83E" w14:textId="77777777" w:rsidTr="00F53AA3">
        <w:trPr>
          <w:trHeight w:val="20"/>
        </w:trPr>
        <w:tc>
          <w:tcPr>
            <w:tcW w:w="356" w:type="pct"/>
            <w:shd w:val="clear" w:color="auto" w:fill="auto"/>
            <w:vAlign w:val="center"/>
          </w:tcPr>
          <w:p w14:paraId="65191C4B" w14:textId="77777777" w:rsidR="009D2573" w:rsidRPr="00B457F5" w:rsidRDefault="009D2573" w:rsidP="00F53AA3">
            <w:pPr>
              <w:widowControl w:val="0"/>
              <w:spacing w:before="0" w:after="0"/>
              <w:jc w:val="left"/>
              <w:rPr>
                <w:rFonts w:ascii="Garamond" w:hAnsi="Garamond" w:cs="Times New Roman"/>
                <w:b/>
                <w:sz w:val="12"/>
                <w:szCs w:val="16"/>
              </w:rPr>
            </w:pPr>
            <w:r w:rsidRPr="00B457F5">
              <w:rPr>
                <w:rFonts w:ascii="Garamond" w:hAnsi="Garamond" w:cs="Times New Roman"/>
                <w:b/>
                <w:sz w:val="12"/>
                <w:szCs w:val="16"/>
              </w:rPr>
              <w:lastRenderedPageBreak/>
              <w:t>Objektivi specifik/ strategjik</w:t>
            </w:r>
          </w:p>
        </w:tc>
        <w:tc>
          <w:tcPr>
            <w:tcW w:w="1018" w:type="pct"/>
            <w:shd w:val="clear" w:color="auto" w:fill="auto"/>
          </w:tcPr>
          <w:p w14:paraId="0F5F43B0"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 3.1: Mbrojtja e të drejtave të migrantëve dhe integrimi i tyre në shoqërinë shqiptare</w:t>
            </w:r>
          </w:p>
        </w:tc>
        <w:tc>
          <w:tcPr>
            <w:tcW w:w="848" w:type="pct"/>
            <w:shd w:val="clear" w:color="auto" w:fill="auto"/>
          </w:tcPr>
          <w:p w14:paraId="54B473A1"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Numri i shërbimeve publike nga të cilat përfitojnë migrantët</w:t>
            </w:r>
          </w:p>
        </w:tc>
        <w:tc>
          <w:tcPr>
            <w:tcW w:w="814" w:type="pct"/>
            <w:shd w:val="clear" w:color="auto" w:fill="auto"/>
          </w:tcPr>
          <w:p w14:paraId="29C4C646" w14:textId="77777777" w:rsidR="009D2573" w:rsidRPr="00B457F5" w:rsidRDefault="009D2573" w:rsidP="00F53AA3">
            <w:pPr>
              <w:widowControl w:val="0"/>
              <w:spacing w:before="0" w:after="0"/>
              <w:jc w:val="left"/>
              <w:rPr>
                <w:rFonts w:ascii="Garamond" w:hAnsi="Garamond" w:cs="Times New Roman"/>
                <w:sz w:val="12"/>
                <w:szCs w:val="16"/>
              </w:rPr>
            </w:pPr>
          </w:p>
        </w:tc>
        <w:tc>
          <w:tcPr>
            <w:tcW w:w="436" w:type="pct"/>
            <w:shd w:val="clear" w:color="auto" w:fill="auto"/>
          </w:tcPr>
          <w:p w14:paraId="7CF73CA6" w14:textId="77777777" w:rsidR="009D2573" w:rsidRPr="00B457F5" w:rsidRDefault="009D2573" w:rsidP="00F53AA3">
            <w:pPr>
              <w:widowControl w:val="0"/>
              <w:spacing w:before="0" w:after="0"/>
              <w:jc w:val="left"/>
              <w:rPr>
                <w:rFonts w:ascii="Garamond" w:hAnsi="Garamond" w:cs="Times New Roman"/>
                <w:sz w:val="12"/>
                <w:szCs w:val="16"/>
              </w:rPr>
            </w:pPr>
          </w:p>
        </w:tc>
        <w:tc>
          <w:tcPr>
            <w:tcW w:w="427" w:type="pct"/>
            <w:shd w:val="clear" w:color="auto" w:fill="auto"/>
          </w:tcPr>
          <w:p w14:paraId="33DEA89D" w14:textId="77777777" w:rsidR="009D2573" w:rsidRPr="00B457F5" w:rsidRDefault="009D2573" w:rsidP="00F53AA3">
            <w:pPr>
              <w:widowControl w:val="0"/>
              <w:spacing w:before="0" w:after="0"/>
              <w:jc w:val="left"/>
              <w:rPr>
                <w:rFonts w:ascii="Garamond" w:hAnsi="Garamond" w:cs="Times New Roman"/>
                <w:sz w:val="12"/>
                <w:szCs w:val="16"/>
              </w:rPr>
            </w:pPr>
          </w:p>
        </w:tc>
        <w:tc>
          <w:tcPr>
            <w:tcW w:w="579" w:type="pct"/>
            <w:shd w:val="clear" w:color="auto" w:fill="auto"/>
          </w:tcPr>
          <w:p w14:paraId="7FF74FB2" w14:textId="77777777" w:rsidR="009D2573" w:rsidRPr="00B457F5" w:rsidRDefault="009D2573" w:rsidP="00F53AA3">
            <w:pPr>
              <w:widowControl w:val="0"/>
              <w:spacing w:before="0" w:after="0"/>
              <w:jc w:val="left"/>
              <w:rPr>
                <w:rFonts w:ascii="Garamond" w:hAnsi="Garamond" w:cs="Times New Roman"/>
                <w:sz w:val="12"/>
                <w:szCs w:val="16"/>
              </w:rPr>
            </w:pPr>
          </w:p>
        </w:tc>
        <w:tc>
          <w:tcPr>
            <w:tcW w:w="522" w:type="pct"/>
            <w:shd w:val="clear" w:color="auto" w:fill="auto"/>
          </w:tcPr>
          <w:p w14:paraId="4DB95680"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GCM 16</w:t>
            </w:r>
          </w:p>
          <w:p w14:paraId="5A3849A2"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10. 2 SDG</w:t>
            </w:r>
          </w:p>
          <w:p w14:paraId="3C6DC396"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10.7 SDG</w:t>
            </w:r>
          </w:p>
          <w:p w14:paraId="59F5355F"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11.8 SDG</w:t>
            </w:r>
          </w:p>
          <w:p w14:paraId="2F0D5C39"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16.7 SDG</w:t>
            </w:r>
          </w:p>
          <w:p w14:paraId="2E97C0F6"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16.8 SDG</w:t>
            </w:r>
          </w:p>
          <w:p w14:paraId="0ED2776F"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17.18 SDG</w:t>
            </w:r>
          </w:p>
          <w:p w14:paraId="3B3C9D8A"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EC.VI.A2; </w:t>
            </w:r>
          </w:p>
          <w:p w14:paraId="1F748429"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EC.VI.B2;</w:t>
            </w:r>
          </w:p>
        </w:tc>
      </w:tr>
      <w:tr w:rsidR="009D2573" w:rsidRPr="00B457F5" w14:paraId="1DC08EB8" w14:textId="77777777" w:rsidTr="00F53AA3">
        <w:trPr>
          <w:trHeight w:val="20"/>
        </w:trPr>
        <w:tc>
          <w:tcPr>
            <w:tcW w:w="356" w:type="pct"/>
            <w:shd w:val="clear" w:color="auto" w:fill="auto"/>
            <w:vAlign w:val="center"/>
          </w:tcPr>
          <w:p w14:paraId="75207A12" w14:textId="77777777" w:rsidR="009D2573" w:rsidRPr="00B457F5" w:rsidRDefault="009D2573" w:rsidP="00F53AA3">
            <w:pPr>
              <w:widowControl w:val="0"/>
              <w:spacing w:before="0" w:after="0"/>
              <w:jc w:val="left"/>
              <w:rPr>
                <w:rFonts w:ascii="Garamond" w:hAnsi="Garamond" w:cs="Times New Roman"/>
                <w:b/>
                <w:sz w:val="12"/>
                <w:szCs w:val="16"/>
              </w:rPr>
            </w:pPr>
            <w:bookmarkStart w:id="84" w:name="_Hlk155741115"/>
            <w:r w:rsidRPr="00B457F5">
              <w:rPr>
                <w:rFonts w:ascii="Garamond" w:hAnsi="Garamond" w:cs="Times New Roman"/>
                <w:b/>
                <w:sz w:val="12"/>
                <w:szCs w:val="16"/>
              </w:rPr>
              <w:t>Masat prioritare</w:t>
            </w:r>
          </w:p>
        </w:tc>
        <w:tc>
          <w:tcPr>
            <w:tcW w:w="1018" w:type="pct"/>
            <w:shd w:val="clear" w:color="auto" w:fill="auto"/>
          </w:tcPr>
          <w:p w14:paraId="79F805CA" w14:textId="6E02B54D"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3.1.1 Informimi dhe mbrojtja nga diskriminimi i imigrantëve</w:t>
            </w:r>
          </w:p>
          <w:p w14:paraId="3B02FCF6" w14:textId="77777777" w:rsidR="009D2573" w:rsidRPr="00B457F5" w:rsidRDefault="009D2573" w:rsidP="00F53AA3">
            <w:pPr>
              <w:widowControl w:val="0"/>
              <w:spacing w:before="0" w:after="0"/>
              <w:jc w:val="left"/>
              <w:rPr>
                <w:rFonts w:ascii="Garamond" w:hAnsi="Garamond" w:cs="Times New Roman"/>
                <w:sz w:val="12"/>
                <w:szCs w:val="16"/>
              </w:rPr>
            </w:pPr>
          </w:p>
        </w:tc>
        <w:tc>
          <w:tcPr>
            <w:tcW w:w="848" w:type="pct"/>
            <w:shd w:val="clear" w:color="auto" w:fill="auto"/>
          </w:tcPr>
          <w:p w14:paraId="7CAF3677"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Numri i çështjeve të trajtuara për diskriminimin e të huajve në RSH</w:t>
            </w:r>
          </w:p>
        </w:tc>
        <w:tc>
          <w:tcPr>
            <w:tcW w:w="814" w:type="pct"/>
            <w:shd w:val="clear" w:color="auto" w:fill="auto"/>
          </w:tcPr>
          <w:p w14:paraId="68C96FE9"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0</w:t>
            </w:r>
          </w:p>
        </w:tc>
        <w:tc>
          <w:tcPr>
            <w:tcW w:w="436" w:type="pct"/>
            <w:shd w:val="clear" w:color="auto" w:fill="auto"/>
          </w:tcPr>
          <w:p w14:paraId="12D72114"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TBD</w:t>
            </w:r>
          </w:p>
        </w:tc>
        <w:tc>
          <w:tcPr>
            <w:tcW w:w="427" w:type="pct"/>
            <w:shd w:val="clear" w:color="auto" w:fill="auto"/>
          </w:tcPr>
          <w:p w14:paraId="621CB12A"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TBD</w:t>
            </w:r>
          </w:p>
        </w:tc>
        <w:tc>
          <w:tcPr>
            <w:tcW w:w="579" w:type="pct"/>
            <w:shd w:val="clear" w:color="auto" w:fill="auto"/>
          </w:tcPr>
          <w:p w14:paraId="01C57B3E" w14:textId="77777777" w:rsidR="009D2573" w:rsidRPr="00B457F5" w:rsidRDefault="009D2573" w:rsidP="00F53AA3">
            <w:pPr>
              <w:widowControl w:val="0"/>
              <w:spacing w:before="0" w:after="0"/>
              <w:jc w:val="left"/>
              <w:rPr>
                <w:rFonts w:ascii="Garamond" w:hAnsi="Garamond" w:cs="Times New Roman"/>
                <w:bCs/>
                <w:sz w:val="12"/>
                <w:szCs w:val="16"/>
              </w:rPr>
            </w:pPr>
            <w:r w:rsidRPr="00B457F5">
              <w:rPr>
                <w:rFonts w:ascii="Garamond" w:hAnsi="Garamond" w:cs="Times New Roman"/>
                <w:bCs/>
                <w:sz w:val="12"/>
                <w:szCs w:val="16"/>
              </w:rPr>
              <w:t>KMD</w:t>
            </w:r>
          </w:p>
          <w:p w14:paraId="1015AAFB" w14:textId="77777777" w:rsidR="009D2573" w:rsidRPr="00B457F5" w:rsidRDefault="009D2573" w:rsidP="00F53AA3">
            <w:pPr>
              <w:widowControl w:val="0"/>
              <w:spacing w:before="0" w:after="0"/>
              <w:jc w:val="left"/>
              <w:rPr>
                <w:rFonts w:ascii="Garamond" w:hAnsi="Garamond" w:cs="Times New Roman"/>
                <w:bCs/>
                <w:sz w:val="12"/>
                <w:szCs w:val="16"/>
              </w:rPr>
            </w:pPr>
            <w:r w:rsidRPr="00B457F5">
              <w:rPr>
                <w:rFonts w:ascii="Garamond" w:hAnsi="Garamond" w:cs="Times New Roman"/>
                <w:bCs/>
                <w:sz w:val="12"/>
                <w:szCs w:val="16"/>
              </w:rPr>
              <w:t>MD</w:t>
            </w:r>
          </w:p>
          <w:p w14:paraId="2A4D0E2B" w14:textId="77777777" w:rsidR="009D2573" w:rsidRPr="00B457F5" w:rsidRDefault="009D2573" w:rsidP="00F53AA3">
            <w:pPr>
              <w:widowControl w:val="0"/>
              <w:spacing w:before="0" w:after="0"/>
              <w:jc w:val="left"/>
              <w:rPr>
                <w:rFonts w:ascii="Garamond" w:hAnsi="Garamond" w:cs="Times New Roman"/>
                <w:bCs/>
                <w:sz w:val="12"/>
                <w:szCs w:val="16"/>
              </w:rPr>
            </w:pPr>
            <w:r w:rsidRPr="00B457F5">
              <w:rPr>
                <w:rFonts w:ascii="Garamond" w:hAnsi="Garamond" w:cs="Times New Roman"/>
                <w:bCs/>
                <w:sz w:val="12"/>
                <w:szCs w:val="16"/>
              </w:rPr>
              <w:t>MB</w:t>
            </w:r>
          </w:p>
          <w:p w14:paraId="69254DD4" w14:textId="77777777" w:rsidR="009D2573" w:rsidRPr="00B457F5" w:rsidRDefault="009D2573" w:rsidP="00F53AA3">
            <w:pPr>
              <w:widowControl w:val="0"/>
              <w:spacing w:before="0" w:after="0"/>
              <w:jc w:val="left"/>
              <w:rPr>
                <w:rFonts w:ascii="Garamond" w:hAnsi="Garamond" w:cs="Times New Roman"/>
                <w:bCs/>
                <w:sz w:val="12"/>
                <w:szCs w:val="16"/>
              </w:rPr>
            </w:pPr>
            <w:r w:rsidRPr="00B457F5">
              <w:rPr>
                <w:rFonts w:ascii="Garamond" w:hAnsi="Garamond" w:cs="Times New Roman"/>
                <w:bCs/>
                <w:sz w:val="12"/>
                <w:szCs w:val="16"/>
              </w:rPr>
              <w:t>Avokati i Popullit</w:t>
            </w:r>
          </w:p>
          <w:p w14:paraId="57279F6C" w14:textId="77777777" w:rsidR="009D2573" w:rsidRPr="00B457F5" w:rsidRDefault="009D2573" w:rsidP="00F53AA3">
            <w:pPr>
              <w:widowControl w:val="0"/>
              <w:spacing w:before="0" w:after="0"/>
              <w:jc w:val="left"/>
              <w:rPr>
                <w:rFonts w:ascii="Garamond" w:hAnsi="Garamond" w:cs="Times New Roman"/>
                <w:sz w:val="12"/>
                <w:szCs w:val="16"/>
              </w:rPr>
            </w:pPr>
          </w:p>
        </w:tc>
        <w:tc>
          <w:tcPr>
            <w:tcW w:w="522" w:type="pct"/>
            <w:shd w:val="clear" w:color="auto" w:fill="auto"/>
          </w:tcPr>
          <w:p w14:paraId="261BD12C"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GCM 16</w:t>
            </w:r>
          </w:p>
          <w:p w14:paraId="14343DC8"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10. 2 SDG</w:t>
            </w:r>
          </w:p>
          <w:p w14:paraId="3332EF5C"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10.7 SDG</w:t>
            </w:r>
          </w:p>
          <w:p w14:paraId="44155DC2"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11.8 SDG</w:t>
            </w:r>
          </w:p>
          <w:p w14:paraId="02BAC44E"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16.7 SDG</w:t>
            </w:r>
          </w:p>
          <w:p w14:paraId="52099C3B"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16.8 SDG</w:t>
            </w:r>
          </w:p>
          <w:p w14:paraId="55BB709B"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17.18 SDG</w:t>
            </w:r>
          </w:p>
          <w:p w14:paraId="12DBCDBE"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EC.VI.A2; </w:t>
            </w:r>
          </w:p>
          <w:p w14:paraId="1570A6ED"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EC.VI.B2;</w:t>
            </w:r>
          </w:p>
        </w:tc>
      </w:tr>
      <w:bookmarkEnd w:id="84"/>
      <w:tr w:rsidR="009D2573" w:rsidRPr="00B457F5" w14:paraId="40707699" w14:textId="77777777" w:rsidTr="00F53AA3">
        <w:trPr>
          <w:trHeight w:val="20"/>
        </w:trPr>
        <w:tc>
          <w:tcPr>
            <w:tcW w:w="356" w:type="pct"/>
            <w:vAlign w:val="center"/>
          </w:tcPr>
          <w:p w14:paraId="7F2FDA4B" w14:textId="77777777" w:rsidR="009D2573" w:rsidRPr="00B457F5" w:rsidRDefault="009D2573" w:rsidP="00F53AA3">
            <w:pPr>
              <w:widowControl w:val="0"/>
              <w:spacing w:before="0" w:after="0"/>
              <w:jc w:val="left"/>
              <w:rPr>
                <w:rFonts w:ascii="Garamond" w:hAnsi="Garamond" w:cs="Times New Roman"/>
                <w:sz w:val="12"/>
                <w:szCs w:val="16"/>
              </w:rPr>
            </w:pPr>
          </w:p>
        </w:tc>
        <w:tc>
          <w:tcPr>
            <w:tcW w:w="1018" w:type="pct"/>
          </w:tcPr>
          <w:p w14:paraId="69D66AF3"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3.1.2 Lehtësimi i aksesit në shërbimet publike të garantuara me ligj</w:t>
            </w:r>
          </w:p>
        </w:tc>
        <w:tc>
          <w:tcPr>
            <w:tcW w:w="848" w:type="pct"/>
          </w:tcPr>
          <w:p w14:paraId="61D1E848"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Migrantët aksesojnë në të gjithë shërbimet </w:t>
            </w:r>
            <w:r w:rsidRPr="00B457F5">
              <w:rPr>
                <w:rFonts w:ascii="Garamond" w:hAnsi="Garamond" w:cs="Times New Roman"/>
                <w:i/>
                <w:sz w:val="12"/>
                <w:szCs w:val="16"/>
              </w:rPr>
              <w:t>online</w:t>
            </w:r>
            <w:r w:rsidRPr="00B457F5">
              <w:rPr>
                <w:rFonts w:ascii="Garamond" w:hAnsi="Garamond" w:cs="Times New Roman"/>
                <w:sz w:val="12"/>
                <w:szCs w:val="16"/>
              </w:rPr>
              <w:t xml:space="preserve"> </w:t>
            </w:r>
          </w:p>
        </w:tc>
        <w:tc>
          <w:tcPr>
            <w:tcW w:w="814" w:type="pct"/>
          </w:tcPr>
          <w:p w14:paraId="4CC90399" w14:textId="77777777" w:rsidR="009D2573" w:rsidRPr="00B457F5" w:rsidRDefault="009D2573" w:rsidP="00F53AA3">
            <w:pPr>
              <w:widowControl w:val="0"/>
              <w:spacing w:before="0" w:after="0"/>
              <w:jc w:val="left"/>
              <w:rPr>
                <w:rFonts w:ascii="Garamond" w:hAnsi="Garamond" w:cs="Times New Roman"/>
                <w:sz w:val="12"/>
                <w:szCs w:val="16"/>
              </w:rPr>
            </w:pPr>
          </w:p>
        </w:tc>
        <w:tc>
          <w:tcPr>
            <w:tcW w:w="863" w:type="pct"/>
            <w:gridSpan w:val="2"/>
          </w:tcPr>
          <w:p w14:paraId="569BDE92"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 100%</w:t>
            </w:r>
          </w:p>
        </w:tc>
        <w:tc>
          <w:tcPr>
            <w:tcW w:w="579" w:type="pct"/>
          </w:tcPr>
          <w:p w14:paraId="34B666A6"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Raporte AKSHI </w:t>
            </w:r>
          </w:p>
        </w:tc>
        <w:tc>
          <w:tcPr>
            <w:tcW w:w="522" w:type="pct"/>
          </w:tcPr>
          <w:p w14:paraId="548CBF73"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GCM 16</w:t>
            </w:r>
          </w:p>
          <w:p w14:paraId="3699941E"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10. 2 SDG</w:t>
            </w:r>
          </w:p>
          <w:p w14:paraId="3CD4079C"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10.7 SDG</w:t>
            </w:r>
          </w:p>
          <w:p w14:paraId="2D34B4CE"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11.8 SDG</w:t>
            </w:r>
          </w:p>
          <w:p w14:paraId="5A09011A"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16.7 SDG</w:t>
            </w:r>
          </w:p>
          <w:p w14:paraId="267C1A1D"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16.8 SDG</w:t>
            </w:r>
          </w:p>
          <w:p w14:paraId="020291F2"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17.18 SDG</w:t>
            </w:r>
          </w:p>
          <w:p w14:paraId="37A5A85D"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EC.VI.A2; </w:t>
            </w:r>
          </w:p>
          <w:p w14:paraId="6938BB25"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EC.VI.B2;</w:t>
            </w:r>
          </w:p>
        </w:tc>
      </w:tr>
      <w:tr w:rsidR="009D2573" w:rsidRPr="00B457F5" w14:paraId="32EA9196" w14:textId="77777777" w:rsidTr="00F53AA3">
        <w:trPr>
          <w:trHeight w:val="20"/>
        </w:trPr>
        <w:tc>
          <w:tcPr>
            <w:tcW w:w="356" w:type="pct"/>
            <w:vAlign w:val="center"/>
          </w:tcPr>
          <w:p w14:paraId="3582A499" w14:textId="77777777" w:rsidR="009D2573" w:rsidRPr="00B457F5" w:rsidRDefault="009D2573" w:rsidP="00F53AA3">
            <w:pPr>
              <w:widowControl w:val="0"/>
              <w:spacing w:before="0" w:after="0"/>
              <w:jc w:val="left"/>
              <w:rPr>
                <w:rFonts w:ascii="Garamond" w:hAnsi="Garamond" w:cs="Times New Roman"/>
                <w:sz w:val="12"/>
                <w:szCs w:val="16"/>
              </w:rPr>
            </w:pPr>
          </w:p>
        </w:tc>
        <w:tc>
          <w:tcPr>
            <w:tcW w:w="1018" w:type="pct"/>
          </w:tcPr>
          <w:p w14:paraId="6FF15354" w14:textId="78F2501E"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3.1.3 Krijimi i praktikave në nivel lokal dhe qendror për të rritur pjesëmarrjen e migrantëve</w:t>
            </w:r>
          </w:p>
        </w:tc>
        <w:tc>
          <w:tcPr>
            <w:tcW w:w="848" w:type="pct"/>
          </w:tcPr>
          <w:p w14:paraId="18169DE0" w14:textId="2B321080"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Iniciativa lokale/</w:t>
            </w:r>
            <w:r w:rsidR="0006016F" w:rsidRPr="00B457F5">
              <w:rPr>
                <w:rFonts w:ascii="Garamond" w:hAnsi="Garamond" w:cs="Times New Roman"/>
                <w:sz w:val="12"/>
                <w:szCs w:val="16"/>
              </w:rPr>
              <w:t xml:space="preserve">qendrore </w:t>
            </w:r>
            <w:r w:rsidRPr="00B457F5">
              <w:rPr>
                <w:rFonts w:ascii="Garamond" w:hAnsi="Garamond" w:cs="Times New Roman"/>
                <w:sz w:val="12"/>
                <w:szCs w:val="16"/>
              </w:rPr>
              <w:t>për kohezion social me migrantët e huaj në Shqipëri</w:t>
            </w:r>
          </w:p>
        </w:tc>
        <w:tc>
          <w:tcPr>
            <w:tcW w:w="814" w:type="pct"/>
          </w:tcPr>
          <w:p w14:paraId="36B364A1"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0</w:t>
            </w:r>
          </w:p>
        </w:tc>
        <w:tc>
          <w:tcPr>
            <w:tcW w:w="863" w:type="pct"/>
            <w:gridSpan w:val="2"/>
          </w:tcPr>
          <w:p w14:paraId="1B284E8E"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 3 në vit </w:t>
            </w:r>
          </w:p>
        </w:tc>
        <w:tc>
          <w:tcPr>
            <w:tcW w:w="579" w:type="pct"/>
          </w:tcPr>
          <w:p w14:paraId="745A5DCC"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 xml:space="preserve">Raportet e monitorimit </w:t>
            </w:r>
          </w:p>
        </w:tc>
        <w:tc>
          <w:tcPr>
            <w:tcW w:w="522" w:type="pct"/>
          </w:tcPr>
          <w:p w14:paraId="49CD4E80"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GCM 16</w:t>
            </w:r>
          </w:p>
          <w:p w14:paraId="644953D9"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10. 2 SDG</w:t>
            </w:r>
          </w:p>
          <w:p w14:paraId="6C229361"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10.7 SDG</w:t>
            </w:r>
          </w:p>
          <w:p w14:paraId="057CF17E"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11.8 SDG</w:t>
            </w:r>
          </w:p>
          <w:p w14:paraId="25492EFD" w14:textId="77777777"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16.7 SDG</w:t>
            </w:r>
          </w:p>
          <w:p w14:paraId="42D2FAC1" w14:textId="347D9E4C" w:rsidR="009D2573" w:rsidRPr="00B457F5" w:rsidRDefault="009D2573" w:rsidP="00F53AA3">
            <w:pPr>
              <w:widowControl w:val="0"/>
              <w:spacing w:before="0" w:after="0"/>
              <w:jc w:val="left"/>
              <w:rPr>
                <w:rFonts w:ascii="Garamond" w:hAnsi="Garamond" w:cs="Times New Roman"/>
                <w:sz w:val="12"/>
                <w:szCs w:val="16"/>
              </w:rPr>
            </w:pPr>
            <w:r w:rsidRPr="00B457F5">
              <w:rPr>
                <w:rFonts w:ascii="Garamond" w:hAnsi="Garamond" w:cs="Times New Roman"/>
                <w:sz w:val="12"/>
                <w:szCs w:val="16"/>
              </w:rPr>
              <w:t>16.8 SDG</w:t>
            </w:r>
          </w:p>
        </w:tc>
      </w:tr>
    </w:tbl>
    <w:p w14:paraId="6BDFE84E" w14:textId="522EAC24" w:rsidR="009D2573" w:rsidRPr="00B457F5" w:rsidRDefault="009D2573" w:rsidP="009D2573">
      <w:pPr>
        <w:tabs>
          <w:tab w:val="left" w:pos="1685"/>
        </w:tabs>
        <w:spacing w:before="0" w:after="0"/>
        <w:rPr>
          <w:rFonts w:ascii="Garamond" w:hAnsi="Garamond" w:cs="Times New Roman"/>
          <w:i/>
          <w:sz w:val="16"/>
          <w:szCs w:val="16"/>
        </w:rPr>
      </w:pPr>
    </w:p>
    <w:tbl>
      <w:tblPr>
        <w:tblStyle w:val="TableGrid"/>
        <w:tblW w:w="5000" w:type="pct"/>
        <w:tblLook w:val="04A0" w:firstRow="1" w:lastRow="0" w:firstColumn="1" w:lastColumn="0" w:noHBand="0" w:noVBand="1"/>
      </w:tblPr>
      <w:tblGrid>
        <w:gridCol w:w="997"/>
        <w:gridCol w:w="2763"/>
        <w:gridCol w:w="2567"/>
        <w:gridCol w:w="2092"/>
        <w:gridCol w:w="1226"/>
        <w:gridCol w:w="1203"/>
        <w:gridCol w:w="1654"/>
        <w:gridCol w:w="1492"/>
      </w:tblGrid>
      <w:tr w:rsidR="009D2573" w:rsidRPr="00B457F5" w14:paraId="2E7A8667" w14:textId="77777777" w:rsidTr="0013571D">
        <w:trPr>
          <w:trHeight w:val="20"/>
        </w:trPr>
        <w:tc>
          <w:tcPr>
            <w:tcW w:w="356" w:type="pct"/>
            <w:shd w:val="clear" w:color="auto" w:fill="auto"/>
            <w:vAlign w:val="center"/>
          </w:tcPr>
          <w:p w14:paraId="07DFD6C0" w14:textId="582B4B45" w:rsidR="009D2573" w:rsidRPr="00B457F5" w:rsidRDefault="009D2573" w:rsidP="00F53AA3">
            <w:pPr>
              <w:spacing w:before="0" w:after="0"/>
              <w:jc w:val="left"/>
              <w:rPr>
                <w:rFonts w:ascii="Garamond" w:hAnsi="Garamond" w:cs="Times New Roman"/>
                <w:b/>
                <w:sz w:val="14"/>
                <w:szCs w:val="16"/>
              </w:rPr>
            </w:pPr>
            <w:r w:rsidRPr="00B457F5">
              <w:rPr>
                <w:rFonts w:ascii="Garamond" w:hAnsi="Garamond" w:cs="Times New Roman"/>
                <w:b/>
                <w:sz w:val="14"/>
                <w:szCs w:val="16"/>
              </w:rPr>
              <w:t>Qëllimi i politikës (</w:t>
            </w:r>
            <w:r w:rsidR="00FD1ECB" w:rsidRPr="00B457F5">
              <w:rPr>
                <w:rFonts w:ascii="Garamond" w:hAnsi="Garamond" w:cs="Times New Roman"/>
                <w:b/>
                <w:sz w:val="14"/>
                <w:szCs w:val="16"/>
              </w:rPr>
              <w:t>n</w:t>
            </w:r>
            <w:r w:rsidRPr="00B457F5">
              <w:rPr>
                <w:rFonts w:ascii="Garamond" w:hAnsi="Garamond" w:cs="Times New Roman"/>
                <w:b/>
                <w:sz w:val="14"/>
                <w:szCs w:val="16"/>
              </w:rPr>
              <w:t>dikimi)</w:t>
            </w:r>
          </w:p>
        </w:tc>
        <w:tc>
          <w:tcPr>
            <w:tcW w:w="987" w:type="pct"/>
            <w:shd w:val="clear" w:color="auto" w:fill="auto"/>
            <w:vAlign w:val="center"/>
          </w:tcPr>
          <w:p w14:paraId="313E3222" w14:textId="3AAFCB27" w:rsidR="009D2573" w:rsidRPr="00B457F5" w:rsidRDefault="009D2573" w:rsidP="0013571D">
            <w:pPr>
              <w:spacing w:before="0" w:after="0"/>
              <w:jc w:val="left"/>
              <w:rPr>
                <w:rFonts w:ascii="Garamond" w:hAnsi="Garamond" w:cs="Times New Roman"/>
                <w:b/>
                <w:sz w:val="14"/>
                <w:szCs w:val="16"/>
              </w:rPr>
            </w:pPr>
            <w:r w:rsidRPr="00B457F5">
              <w:rPr>
                <w:rFonts w:ascii="Garamond" w:hAnsi="Garamond" w:cs="Times New Roman"/>
                <w:b/>
                <w:sz w:val="14"/>
                <w:szCs w:val="16"/>
              </w:rPr>
              <w:t xml:space="preserve">Qëllimi i </w:t>
            </w:r>
            <w:r w:rsidR="00E815B0" w:rsidRPr="00B457F5">
              <w:rPr>
                <w:rFonts w:ascii="Garamond" w:hAnsi="Garamond" w:cs="Times New Roman"/>
                <w:b/>
                <w:sz w:val="14"/>
                <w:szCs w:val="16"/>
              </w:rPr>
              <w:t xml:space="preserve">politikës </w:t>
            </w:r>
            <w:r w:rsidRPr="00B457F5">
              <w:rPr>
                <w:rFonts w:ascii="Garamond" w:hAnsi="Garamond" w:cs="Times New Roman"/>
                <w:b/>
                <w:sz w:val="14"/>
                <w:szCs w:val="16"/>
              </w:rPr>
              <w:t>4: Forcimi i sistemit të mbrojtjes ndërkombëtare, garantimi i të drejtave të azilkërkuesve dhe refugjatëve</w:t>
            </w:r>
            <w:r w:rsidR="000209B5">
              <w:rPr>
                <w:rFonts w:ascii="Garamond" w:hAnsi="Garamond" w:cs="Times New Roman"/>
                <w:b/>
                <w:sz w:val="14"/>
                <w:szCs w:val="16"/>
              </w:rPr>
              <w:t>,</w:t>
            </w:r>
            <w:r w:rsidRPr="00B457F5">
              <w:rPr>
                <w:rFonts w:ascii="Garamond" w:hAnsi="Garamond" w:cs="Times New Roman"/>
                <w:b/>
                <w:sz w:val="14"/>
                <w:szCs w:val="16"/>
              </w:rPr>
              <w:t xml:space="preserve"> dhe ofrimi i zgjidhjeve të qëndrueshme</w:t>
            </w:r>
          </w:p>
        </w:tc>
        <w:tc>
          <w:tcPr>
            <w:tcW w:w="917" w:type="pct"/>
            <w:shd w:val="clear" w:color="auto" w:fill="auto"/>
          </w:tcPr>
          <w:p w14:paraId="3A160689"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Rritja e aksesit në sistemin kombëtar të azilit për të huajt</w:t>
            </w:r>
          </w:p>
          <w:p w14:paraId="7A059AD8" w14:textId="77777777" w:rsidR="009D2573" w:rsidRPr="00B457F5" w:rsidRDefault="009D2573" w:rsidP="00F53AA3">
            <w:pPr>
              <w:spacing w:before="0" w:after="0"/>
              <w:jc w:val="left"/>
              <w:rPr>
                <w:rFonts w:ascii="Garamond" w:hAnsi="Garamond" w:cs="Times New Roman"/>
                <w:sz w:val="14"/>
                <w:szCs w:val="16"/>
              </w:rPr>
            </w:pPr>
          </w:p>
          <w:p w14:paraId="441251F2" w14:textId="05116A0B"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Ulja e hendekut midis numrit të aplikimeve dhe procedurave të finalizuar</w:t>
            </w:r>
            <w:r w:rsidR="000209B5">
              <w:rPr>
                <w:rFonts w:ascii="Garamond" w:hAnsi="Garamond" w:cs="Times New Roman"/>
                <w:sz w:val="14"/>
                <w:szCs w:val="16"/>
              </w:rPr>
              <w:t>a</w:t>
            </w:r>
            <w:r w:rsidRPr="00B457F5">
              <w:rPr>
                <w:rFonts w:ascii="Garamond" w:hAnsi="Garamond" w:cs="Times New Roman"/>
                <w:sz w:val="14"/>
                <w:szCs w:val="16"/>
              </w:rPr>
              <w:t xml:space="preserve"> nga Autoriteti Shtetëror për Azilin</w:t>
            </w:r>
            <w:r w:rsidR="0006016F" w:rsidRPr="00B457F5">
              <w:rPr>
                <w:rFonts w:ascii="Garamond" w:hAnsi="Garamond" w:cs="Times New Roman"/>
                <w:sz w:val="14"/>
                <w:szCs w:val="16"/>
              </w:rPr>
              <w:t xml:space="preserve"> </w:t>
            </w:r>
          </w:p>
        </w:tc>
        <w:tc>
          <w:tcPr>
            <w:tcW w:w="747" w:type="pct"/>
            <w:shd w:val="clear" w:color="auto" w:fill="auto"/>
          </w:tcPr>
          <w:p w14:paraId="0DDE85F6"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Në vitin 2023 janë konstatuar 261 kërkesa për mbrojtje ndërkombëtare</w:t>
            </w:r>
          </w:p>
          <w:p w14:paraId="2CC5E810" w14:textId="77777777" w:rsidR="009D2573" w:rsidRPr="00B457F5" w:rsidRDefault="009D2573" w:rsidP="00F53AA3">
            <w:pPr>
              <w:spacing w:before="0" w:after="0"/>
              <w:jc w:val="left"/>
              <w:rPr>
                <w:rFonts w:ascii="Garamond" w:hAnsi="Garamond" w:cs="Times New Roman"/>
                <w:sz w:val="14"/>
                <w:szCs w:val="16"/>
              </w:rPr>
            </w:pPr>
          </w:p>
          <w:p w14:paraId="3F648268" w14:textId="7BDE499C"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Në 2023 janë marrë 37 vendime për mbrojtje ndërkombëtare</w:t>
            </w:r>
          </w:p>
        </w:tc>
        <w:tc>
          <w:tcPr>
            <w:tcW w:w="438" w:type="pct"/>
            <w:shd w:val="clear" w:color="auto" w:fill="auto"/>
          </w:tcPr>
          <w:p w14:paraId="0DEBAC65"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Rritës 10%</w:t>
            </w:r>
          </w:p>
        </w:tc>
        <w:tc>
          <w:tcPr>
            <w:tcW w:w="430" w:type="pct"/>
            <w:shd w:val="clear" w:color="auto" w:fill="auto"/>
          </w:tcPr>
          <w:p w14:paraId="58E56BAB"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Rritës 15%</w:t>
            </w:r>
          </w:p>
          <w:p w14:paraId="74605B35" w14:textId="77777777" w:rsidR="009D2573" w:rsidRPr="00B457F5" w:rsidRDefault="009D2573" w:rsidP="00F53AA3">
            <w:pPr>
              <w:spacing w:before="0" w:after="0"/>
              <w:jc w:val="left"/>
              <w:rPr>
                <w:rFonts w:ascii="Garamond" w:hAnsi="Garamond" w:cs="Times New Roman"/>
                <w:sz w:val="14"/>
                <w:szCs w:val="16"/>
              </w:rPr>
            </w:pPr>
          </w:p>
          <w:p w14:paraId="2F97E329" w14:textId="77777777" w:rsidR="009D2573" w:rsidRPr="00B457F5" w:rsidRDefault="009D2573" w:rsidP="00F53AA3">
            <w:pPr>
              <w:spacing w:before="0" w:after="0"/>
              <w:jc w:val="left"/>
              <w:rPr>
                <w:rFonts w:ascii="Garamond" w:hAnsi="Garamond" w:cs="Times New Roman"/>
                <w:sz w:val="14"/>
                <w:szCs w:val="16"/>
              </w:rPr>
            </w:pPr>
          </w:p>
        </w:tc>
        <w:tc>
          <w:tcPr>
            <w:tcW w:w="591" w:type="pct"/>
            <w:shd w:val="clear" w:color="auto" w:fill="auto"/>
          </w:tcPr>
          <w:p w14:paraId="70F26CBD" w14:textId="782D433C"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Statistika t</w:t>
            </w:r>
            <w:r w:rsidR="004C5C0C" w:rsidRPr="00B457F5">
              <w:rPr>
                <w:rFonts w:ascii="Garamond" w:hAnsi="Garamond" w:cs="Times New Roman"/>
                <w:sz w:val="12"/>
                <w:szCs w:val="16"/>
              </w:rPr>
              <w:t>ë</w:t>
            </w:r>
            <w:r w:rsidRPr="00B457F5">
              <w:rPr>
                <w:rFonts w:ascii="Garamond" w:hAnsi="Garamond" w:cs="Times New Roman"/>
                <w:sz w:val="14"/>
                <w:szCs w:val="16"/>
              </w:rPr>
              <w:t xml:space="preserve"> përftuara nga Departamenti p</w:t>
            </w:r>
            <w:r w:rsidR="00AF4731" w:rsidRPr="00B457F5">
              <w:rPr>
                <w:rFonts w:ascii="Garamond" w:hAnsi="Garamond" w:cs="Times New Roman"/>
                <w:sz w:val="14"/>
                <w:szCs w:val="16"/>
              </w:rPr>
              <w:t>ë</w:t>
            </w:r>
            <w:r w:rsidRPr="00B457F5">
              <w:rPr>
                <w:rFonts w:ascii="Garamond" w:hAnsi="Garamond" w:cs="Times New Roman"/>
                <w:sz w:val="14"/>
                <w:szCs w:val="16"/>
              </w:rPr>
              <w:t>r Kufirin dhe Migracionin</w:t>
            </w:r>
          </w:p>
          <w:p w14:paraId="576126C1" w14:textId="77777777" w:rsidR="009D2573" w:rsidRPr="00B457F5" w:rsidRDefault="009D2573" w:rsidP="00F53AA3">
            <w:pPr>
              <w:spacing w:before="0" w:after="0"/>
              <w:jc w:val="left"/>
              <w:rPr>
                <w:rFonts w:ascii="Garamond" w:hAnsi="Garamond" w:cs="Times New Roman"/>
                <w:sz w:val="14"/>
                <w:szCs w:val="16"/>
              </w:rPr>
            </w:pPr>
          </w:p>
          <w:p w14:paraId="45188FAE" w14:textId="1B029758"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 xml:space="preserve">Statistikat e Drejtorisë së Politikave për Azilin </w:t>
            </w:r>
            <w:r w:rsidR="000209B5" w:rsidRPr="00B457F5">
              <w:rPr>
                <w:rFonts w:ascii="Garamond" w:hAnsi="Garamond" w:cs="Times New Roman"/>
                <w:sz w:val="14"/>
                <w:szCs w:val="16"/>
              </w:rPr>
              <w:t xml:space="preserve">të Huajt </w:t>
            </w:r>
            <w:r w:rsidRPr="00B457F5">
              <w:rPr>
                <w:rFonts w:ascii="Garamond" w:hAnsi="Garamond" w:cs="Times New Roman"/>
                <w:sz w:val="14"/>
                <w:szCs w:val="16"/>
              </w:rPr>
              <w:t xml:space="preserve">dhe </w:t>
            </w:r>
            <w:r w:rsidR="000209B5" w:rsidRPr="00B457F5">
              <w:rPr>
                <w:rFonts w:ascii="Garamond" w:hAnsi="Garamond" w:cs="Times New Roman"/>
                <w:sz w:val="14"/>
                <w:szCs w:val="16"/>
              </w:rPr>
              <w:t>Shtetësi</w:t>
            </w:r>
            <w:r w:rsidR="000209B5">
              <w:rPr>
                <w:rFonts w:ascii="Garamond" w:hAnsi="Garamond" w:cs="Times New Roman"/>
                <w:sz w:val="14"/>
                <w:szCs w:val="16"/>
              </w:rPr>
              <w:t>n</w:t>
            </w:r>
            <w:r w:rsidR="000209B5" w:rsidRPr="00B457F5">
              <w:rPr>
                <w:rFonts w:ascii="Garamond" w:hAnsi="Garamond" w:cs="Times New Roman"/>
                <w:sz w:val="14"/>
                <w:szCs w:val="16"/>
              </w:rPr>
              <w:t>ë</w:t>
            </w:r>
          </w:p>
        </w:tc>
        <w:tc>
          <w:tcPr>
            <w:tcW w:w="533" w:type="pct"/>
            <w:shd w:val="clear" w:color="auto" w:fill="auto"/>
          </w:tcPr>
          <w:p w14:paraId="5A4CF0AF"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Action Plan For Sustainable Migration Governance In</w:t>
            </w:r>
          </w:p>
          <w:p w14:paraId="54BA47AF"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The Western Balkans</w:t>
            </w:r>
          </w:p>
          <w:p w14:paraId="095CE3D0" w14:textId="53BCFAC0"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Gcr</w:t>
            </w:r>
            <w:r w:rsidR="0006016F" w:rsidRPr="00B457F5">
              <w:rPr>
                <w:rFonts w:ascii="Garamond" w:hAnsi="Garamond" w:cs="Times New Roman"/>
                <w:sz w:val="14"/>
                <w:szCs w:val="16"/>
              </w:rPr>
              <w:t xml:space="preserve"> </w:t>
            </w:r>
          </w:p>
          <w:p w14:paraId="4B9C50DE"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17.18 SDG</w:t>
            </w:r>
          </w:p>
          <w:p w14:paraId="46D7383A"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 xml:space="preserve">EC.VI.A2; </w:t>
            </w:r>
          </w:p>
          <w:p w14:paraId="721F1BCD" w14:textId="6B576056"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EC.VI.B2;</w:t>
            </w:r>
          </w:p>
        </w:tc>
      </w:tr>
      <w:tr w:rsidR="009D2573" w:rsidRPr="00B457F5" w14:paraId="7D25EEC6" w14:textId="77777777" w:rsidTr="009D2573">
        <w:trPr>
          <w:trHeight w:val="20"/>
        </w:trPr>
        <w:tc>
          <w:tcPr>
            <w:tcW w:w="356" w:type="pct"/>
            <w:shd w:val="clear" w:color="auto" w:fill="auto"/>
            <w:vAlign w:val="center"/>
          </w:tcPr>
          <w:p w14:paraId="2D82EBDF" w14:textId="77777777" w:rsidR="009D2573" w:rsidRPr="00B457F5" w:rsidRDefault="009D2573" w:rsidP="00F53AA3">
            <w:pPr>
              <w:spacing w:before="0" w:after="0"/>
              <w:jc w:val="left"/>
              <w:rPr>
                <w:rFonts w:ascii="Garamond" w:hAnsi="Garamond" w:cs="Times New Roman"/>
                <w:b/>
                <w:sz w:val="14"/>
                <w:szCs w:val="16"/>
              </w:rPr>
            </w:pPr>
            <w:r w:rsidRPr="00B457F5">
              <w:rPr>
                <w:rFonts w:ascii="Garamond" w:hAnsi="Garamond" w:cs="Times New Roman"/>
                <w:b/>
                <w:sz w:val="14"/>
                <w:szCs w:val="16"/>
              </w:rPr>
              <w:t>Objektivi specifik/ strategjik</w:t>
            </w:r>
          </w:p>
        </w:tc>
        <w:tc>
          <w:tcPr>
            <w:tcW w:w="987" w:type="pct"/>
            <w:shd w:val="clear" w:color="auto" w:fill="auto"/>
          </w:tcPr>
          <w:p w14:paraId="129F844F" w14:textId="4F790475"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 xml:space="preserve">4.1 Përmirësimi </w:t>
            </w:r>
            <w:r w:rsidR="000209B5">
              <w:rPr>
                <w:rFonts w:ascii="Garamond" w:hAnsi="Garamond" w:cs="Times New Roman"/>
                <w:sz w:val="14"/>
                <w:szCs w:val="16"/>
              </w:rPr>
              <w:t xml:space="preserve">i </w:t>
            </w:r>
            <w:r w:rsidRPr="00B457F5">
              <w:rPr>
                <w:rFonts w:ascii="Garamond" w:hAnsi="Garamond" w:cs="Times New Roman"/>
                <w:sz w:val="14"/>
                <w:szCs w:val="16"/>
              </w:rPr>
              <w:t>efikasitetit, aksesit dhe apelimit</w:t>
            </w:r>
            <w:r w:rsidR="0006016F" w:rsidRPr="00B457F5">
              <w:rPr>
                <w:rFonts w:ascii="Garamond" w:hAnsi="Garamond" w:cs="Times New Roman"/>
                <w:sz w:val="14"/>
                <w:szCs w:val="16"/>
              </w:rPr>
              <w:t xml:space="preserve"> </w:t>
            </w:r>
            <w:r w:rsidRPr="00B457F5">
              <w:rPr>
                <w:rFonts w:ascii="Garamond" w:hAnsi="Garamond" w:cs="Times New Roman"/>
                <w:sz w:val="14"/>
                <w:szCs w:val="16"/>
              </w:rPr>
              <w:t>në procedurën e</w:t>
            </w:r>
            <w:r w:rsidR="0006016F" w:rsidRPr="00B457F5">
              <w:rPr>
                <w:rFonts w:ascii="Garamond" w:hAnsi="Garamond" w:cs="Times New Roman"/>
                <w:sz w:val="14"/>
                <w:szCs w:val="16"/>
              </w:rPr>
              <w:t xml:space="preserve"> </w:t>
            </w:r>
            <w:r w:rsidRPr="00B457F5">
              <w:rPr>
                <w:rFonts w:ascii="Garamond" w:hAnsi="Garamond" w:cs="Times New Roman"/>
                <w:sz w:val="14"/>
                <w:szCs w:val="16"/>
              </w:rPr>
              <w:t>azilit</w:t>
            </w:r>
          </w:p>
        </w:tc>
        <w:tc>
          <w:tcPr>
            <w:tcW w:w="917" w:type="pct"/>
            <w:shd w:val="clear" w:color="auto" w:fill="auto"/>
          </w:tcPr>
          <w:p w14:paraId="0CA38A51" w14:textId="4FD059F5"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Shkurtimi i kohës për shqyrtimin e procedurave të</w:t>
            </w:r>
            <w:r w:rsidR="0006016F" w:rsidRPr="00B457F5">
              <w:rPr>
                <w:rFonts w:ascii="Garamond" w:hAnsi="Garamond" w:cs="Times New Roman"/>
                <w:sz w:val="14"/>
                <w:szCs w:val="16"/>
              </w:rPr>
              <w:t xml:space="preserve"> </w:t>
            </w:r>
            <w:r w:rsidRPr="00B457F5">
              <w:rPr>
                <w:rFonts w:ascii="Garamond" w:hAnsi="Garamond" w:cs="Times New Roman"/>
                <w:sz w:val="14"/>
                <w:szCs w:val="16"/>
              </w:rPr>
              <w:t xml:space="preserve">azilkërkimit </w:t>
            </w:r>
          </w:p>
        </w:tc>
        <w:tc>
          <w:tcPr>
            <w:tcW w:w="747" w:type="pct"/>
            <w:shd w:val="clear" w:color="auto" w:fill="auto"/>
          </w:tcPr>
          <w:p w14:paraId="78FE0111" w14:textId="6CEEF4D6"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Procedurat shqyrtohen brenda afatit 6</w:t>
            </w:r>
            <w:r w:rsidR="00E815B0" w:rsidRPr="00B457F5">
              <w:rPr>
                <w:rFonts w:ascii="Garamond" w:hAnsi="Garamond" w:cs="Times New Roman"/>
                <w:sz w:val="14"/>
                <w:szCs w:val="16"/>
              </w:rPr>
              <w:t>–</w:t>
            </w:r>
            <w:r w:rsidRPr="00B457F5">
              <w:rPr>
                <w:rFonts w:ascii="Garamond" w:hAnsi="Garamond" w:cs="Times New Roman"/>
                <w:sz w:val="14"/>
                <w:szCs w:val="16"/>
              </w:rPr>
              <w:t>9 muaj. Por mundet që për raste specifike të shtyhet afati, por jo më shumë se 21 muaj. (sipas ligjit për azilin)</w:t>
            </w:r>
          </w:p>
        </w:tc>
        <w:tc>
          <w:tcPr>
            <w:tcW w:w="438" w:type="pct"/>
            <w:shd w:val="clear" w:color="auto" w:fill="auto"/>
          </w:tcPr>
          <w:p w14:paraId="437BD97E" w14:textId="315FE2E0"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Shqyrtimi brenda afatit ligjor 6</w:t>
            </w:r>
            <w:r w:rsidR="000209B5">
              <w:rPr>
                <w:rFonts w:ascii="Garamond" w:hAnsi="Garamond" w:cs="Times New Roman"/>
                <w:sz w:val="14"/>
                <w:szCs w:val="16"/>
              </w:rPr>
              <w:t>-</w:t>
            </w:r>
            <w:r w:rsidRPr="00B457F5">
              <w:rPr>
                <w:rFonts w:ascii="Garamond" w:hAnsi="Garamond" w:cs="Times New Roman"/>
                <w:sz w:val="14"/>
                <w:szCs w:val="16"/>
              </w:rPr>
              <w:t>mujor</w:t>
            </w:r>
          </w:p>
        </w:tc>
        <w:tc>
          <w:tcPr>
            <w:tcW w:w="430" w:type="pct"/>
            <w:shd w:val="clear" w:color="auto" w:fill="auto"/>
          </w:tcPr>
          <w:p w14:paraId="01539B68" w14:textId="7762E278"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Shqyrtimi brenda afatit ligjor 6</w:t>
            </w:r>
            <w:r w:rsidR="00AF4731" w:rsidRPr="00B457F5">
              <w:rPr>
                <w:rFonts w:ascii="Garamond" w:hAnsi="Garamond" w:cs="Times New Roman"/>
                <w:sz w:val="14"/>
                <w:szCs w:val="16"/>
              </w:rPr>
              <w:t>-</w:t>
            </w:r>
            <w:r w:rsidRPr="00B457F5">
              <w:rPr>
                <w:rFonts w:ascii="Garamond" w:hAnsi="Garamond" w:cs="Times New Roman"/>
                <w:sz w:val="14"/>
                <w:szCs w:val="16"/>
              </w:rPr>
              <w:t>mujor.</w:t>
            </w:r>
          </w:p>
        </w:tc>
        <w:tc>
          <w:tcPr>
            <w:tcW w:w="591" w:type="pct"/>
            <w:shd w:val="clear" w:color="auto" w:fill="auto"/>
          </w:tcPr>
          <w:p w14:paraId="7F7D9615"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 xml:space="preserve">Të dhëna nga </w:t>
            </w:r>
          </w:p>
          <w:p w14:paraId="0FF39167"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 xml:space="preserve">Drejtoria e Politikave për Azilin të Huajt dhe Shtetësinë – MB </w:t>
            </w:r>
          </w:p>
          <w:p w14:paraId="2AED5D40" w14:textId="7DC35984"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Departamenti për Kufirin dhe Migracionin - DPPSH</w:t>
            </w:r>
          </w:p>
        </w:tc>
        <w:tc>
          <w:tcPr>
            <w:tcW w:w="533" w:type="pct"/>
            <w:shd w:val="clear" w:color="auto" w:fill="auto"/>
          </w:tcPr>
          <w:p w14:paraId="6F1F2867"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Action Plan For Sustainable Migration Governance In</w:t>
            </w:r>
          </w:p>
          <w:p w14:paraId="195DF48D"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The Western Balkans</w:t>
            </w:r>
          </w:p>
          <w:p w14:paraId="447B85E3" w14:textId="3D82A27E"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Gcr</w:t>
            </w:r>
            <w:r w:rsidR="0006016F" w:rsidRPr="00B457F5">
              <w:rPr>
                <w:rFonts w:ascii="Garamond" w:hAnsi="Garamond" w:cs="Times New Roman"/>
                <w:sz w:val="14"/>
                <w:szCs w:val="16"/>
              </w:rPr>
              <w:t xml:space="preserve"> </w:t>
            </w:r>
          </w:p>
          <w:p w14:paraId="51CC25F0"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17.18 SDG</w:t>
            </w:r>
          </w:p>
          <w:p w14:paraId="1FD8452D"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 xml:space="preserve">EC.VI.A2; </w:t>
            </w:r>
          </w:p>
          <w:p w14:paraId="46E292C8"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EC.VI.B2</w:t>
            </w:r>
          </w:p>
        </w:tc>
      </w:tr>
      <w:tr w:rsidR="009D2573" w:rsidRPr="00B457F5" w14:paraId="3722C1CA" w14:textId="77777777" w:rsidTr="009D2573">
        <w:trPr>
          <w:trHeight w:val="20"/>
        </w:trPr>
        <w:tc>
          <w:tcPr>
            <w:tcW w:w="356" w:type="pct"/>
            <w:shd w:val="clear" w:color="auto" w:fill="auto"/>
            <w:vAlign w:val="center"/>
          </w:tcPr>
          <w:p w14:paraId="33462641" w14:textId="77777777" w:rsidR="009D2573" w:rsidRPr="00B457F5" w:rsidRDefault="009D2573" w:rsidP="00F53AA3">
            <w:pPr>
              <w:spacing w:before="0" w:after="0"/>
              <w:jc w:val="left"/>
              <w:rPr>
                <w:rFonts w:ascii="Garamond" w:hAnsi="Garamond" w:cs="Times New Roman"/>
                <w:sz w:val="14"/>
                <w:szCs w:val="16"/>
              </w:rPr>
            </w:pPr>
          </w:p>
        </w:tc>
        <w:tc>
          <w:tcPr>
            <w:tcW w:w="987" w:type="pct"/>
            <w:shd w:val="clear" w:color="auto" w:fill="auto"/>
          </w:tcPr>
          <w:p w14:paraId="25365D10" w14:textId="273E1636"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4.2 Sigurimi i identifikimit, mbrojtjes dhe pritjes</w:t>
            </w:r>
            <w:r w:rsidR="000209B5">
              <w:rPr>
                <w:rFonts w:ascii="Garamond" w:hAnsi="Garamond" w:cs="Times New Roman"/>
                <w:sz w:val="14"/>
                <w:szCs w:val="16"/>
              </w:rPr>
              <w:t>,</w:t>
            </w:r>
            <w:r w:rsidRPr="00B457F5">
              <w:rPr>
                <w:rFonts w:ascii="Garamond" w:hAnsi="Garamond" w:cs="Times New Roman"/>
                <w:sz w:val="14"/>
                <w:szCs w:val="16"/>
              </w:rPr>
              <w:t xml:space="preserve"> në përputhje me standardet ndërkombëtare për persona</w:t>
            </w:r>
            <w:r w:rsidR="000209B5">
              <w:rPr>
                <w:rFonts w:ascii="Garamond" w:hAnsi="Garamond" w:cs="Times New Roman"/>
                <w:sz w:val="14"/>
                <w:szCs w:val="16"/>
              </w:rPr>
              <w:t>t</w:t>
            </w:r>
            <w:r w:rsidRPr="00B457F5">
              <w:rPr>
                <w:rFonts w:ascii="Garamond" w:hAnsi="Garamond" w:cs="Times New Roman"/>
                <w:sz w:val="14"/>
                <w:szCs w:val="16"/>
              </w:rPr>
              <w:t xml:space="preserve"> me nevoja të veçanta</w:t>
            </w:r>
          </w:p>
        </w:tc>
        <w:tc>
          <w:tcPr>
            <w:tcW w:w="917" w:type="pct"/>
            <w:shd w:val="clear" w:color="auto" w:fill="auto"/>
          </w:tcPr>
          <w:p w14:paraId="319CF34C" w14:textId="43E3B8E0"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Rritja e % se identifikimit dhe mbrojtës</w:t>
            </w:r>
            <w:r w:rsidR="0006016F" w:rsidRPr="00B457F5">
              <w:rPr>
                <w:rFonts w:ascii="Garamond" w:hAnsi="Garamond" w:cs="Times New Roman"/>
                <w:sz w:val="14"/>
                <w:szCs w:val="16"/>
              </w:rPr>
              <w:t xml:space="preserve"> </w:t>
            </w:r>
            <w:r w:rsidRPr="00B457F5">
              <w:rPr>
                <w:rFonts w:ascii="Garamond" w:hAnsi="Garamond" w:cs="Times New Roman"/>
                <w:sz w:val="14"/>
                <w:szCs w:val="16"/>
              </w:rPr>
              <w:t xml:space="preserve">së kategorive vulnerabël në kufi </w:t>
            </w:r>
          </w:p>
        </w:tc>
        <w:tc>
          <w:tcPr>
            <w:tcW w:w="747" w:type="pct"/>
            <w:shd w:val="clear" w:color="auto" w:fill="auto"/>
          </w:tcPr>
          <w:p w14:paraId="6D2E8532" w14:textId="13E6CC05"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 xml:space="preserve">Procedura e </w:t>
            </w:r>
            <w:r w:rsidR="0006016F" w:rsidRPr="00B457F5">
              <w:rPr>
                <w:rFonts w:ascii="Garamond" w:hAnsi="Garamond" w:cs="Times New Roman"/>
                <w:sz w:val="14"/>
                <w:szCs w:val="16"/>
              </w:rPr>
              <w:t>përzgjedhjes</w:t>
            </w:r>
            <w:r w:rsidRPr="00B457F5">
              <w:rPr>
                <w:rFonts w:ascii="Garamond" w:hAnsi="Garamond" w:cs="Times New Roman"/>
                <w:sz w:val="14"/>
                <w:szCs w:val="16"/>
              </w:rPr>
              <w:t xml:space="preserve"> e kuadron këtë proces (sigurimi i identifikimit, mbrojtjes dhe pritjes</w:t>
            </w:r>
            <w:r w:rsidR="000209B5">
              <w:rPr>
                <w:rFonts w:ascii="Garamond" w:hAnsi="Garamond" w:cs="Times New Roman"/>
                <w:sz w:val="14"/>
                <w:szCs w:val="16"/>
              </w:rPr>
              <w:t>,</w:t>
            </w:r>
            <w:r w:rsidRPr="00B457F5">
              <w:rPr>
                <w:rFonts w:ascii="Garamond" w:hAnsi="Garamond" w:cs="Times New Roman"/>
                <w:sz w:val="14"/>
                <w:szCs w:val="16"/>
              </w:rPr>
              <w:t xml:space="preserve"> në përputhje me standardet ndërkombëtare për personat me nevoja të veçanta) </w:t>
            </w:r>
          </w:p>
        </w:tc>
        <w:tc>
          <w:tcPr>
            <w:tcW w:w="438" w:type="pct"/>
            <w:shd w:val="clear" w:color="auto" w:fill="auto"/>
          </w:tcPr>
          <w:p w14:paraId="2CB8C028" w14:textId="77777777" w:rsidR="009D2573" w:rsidRPr="00B457F5" w:rsidRDefault="009D2573" w:rsidP="00F53AA3">
            <w:pPr>
              <w:spacing w:before="0" w:after="0"/>
              <w:jc w:val="left"/>
              <w:rPr>
                <w:rFonts w:ascii="Garamond" w:hAnsi="Garamond" w:cs="Times New Roman"/>
                <w:sz w:val="14"/>
                <w:szCs w:val="16"/>
              </w:rPr>
            </w:pPr>
          </w:p>
        </w:tc>
        <w:tc>
          <w:tcPr>
            <w:tcW w:w="430" w:type="pct"/>
            <w:shd w:val="clear" w:color="auto" w:fill="auto"/>
          </w:tcPr>
          <w:p w14:paraId="46B09513" w14:textId="77777777" w:rsidR="009D2573" w:rsidRPr="00B457F5" w:rsidRDefault="009D2573" w:rsidP="00F53AA3">
            <w:pPr>
              <w:spacing w:before="0" w:after="0"/>
              <w:jc w:val="left"/>
              <w:rPr>
                <w:rFonts w:ascii="Garamond" w:hAnsi="Garamond" w:cs="Times New Roman"/>
                <w:sz w:val="14"/>
                <w:szCs w:val="16"/>
              </w:rPr>
            </w:pPr>
          </w:p>
        </w:tc>
        <w:tc>
          <w:tcPr>
            <w:tcW w:w="591" w:type="pct"/>
            <w:shd w:val="clear" w:color="auto" w:fill="auto"/>
          </w:tcPr>
          <w:p w14:paraId="7F53CBDF"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Departamenti për Kufirin dhe Migracionin</w:t>
            </w:r>
            <w:r w:rsidRPr="00B457F5" w:rsidDel="00795751">
              <w:rPr>
                <w:rFonts w:ascii="Garamond" w:hAnsi="Garamond" w:cs="Times New Roman"/>
                <w:sz w:val="14"/>
                <w:szCs w:val="16"/>
              </w:rPr>
              <w:t xml:space="preserve"> </w:t>
            </w:r>
            <w:r w:rsidRPr="00B457F5">
              <w:rPr>
                <w:rFonts w:ascii="Garamond" w:hAnsi="Garamond" w:cs="Times New Roman"/>
                <w:sz w:val="14"/>
                <w:szCs w:val="16"/>
              </w:rPr>
              <w:t>– DPPSH</w:t>
            </w:r>
          </w:p>
          <w:p w14:paraId="4CC11F46" w14:textId="77777777" w:rsidR="009D2573" w:rsidRPr="00B457F5" w:rsidRDefault="009D2573" w:rsidP="00F53AA3">
            <w:pPr>
              <w:spacing w:before="0" w:after="0"/>
              <w:jc w:val="left"/>
              <w:rPr>
                <w:rFonts w:ascii="Garamond" w:hAnsi="Garamond" w:cs="Times New Roman"/>
                <w:sz w:val="14"/>
                <w:szCs w:val="16"/>
              </w:rPr>
            </w:pPr>
          </w:p>
          <w:p w14:paraId="27D9A49C"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 xml:space="preserve">Të dhëna nga </w:t>
            </w:r>
          </w:p>
          <w:p w14:paraId="638CC8E4" w14:textId="182D8A5A"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lastRenderedPageBreak/>
              <w:t>Drejtoria e Politikave për Azilin</w:t>
            </w:r>
            <w:r w:rsidR="000209B5">
              <w:rPr>
                <w:rFonts w:ascii="Garamond" w:hAnsi="Garamond" w:cs="Times New Roman"/>
                <w:sz w:val="14"/>
                <w:szCs w:val="16"/>
              </w:rPr>
              <w:t>,</w:t>
            </w:r>
            <w:r w:rsidRPr="00B457F5">
              <w:rPr>
                <w:rFonts w:ascii="Garamond" w:hAnsi="Garamond" w:cs="Times New Roman"/>
                <w:sz w:val="14"/>
                <w:szCs w:val="16"/>
              </w:rPr>
              <w:t xml:space="preserve"> të Huajt dhe Shtetësinë - MB</w:t>
            </w:r>
          </w:p>
        </w:tc>
        <w:tc>
          <w:tcPr>
            <w:tcW w:w="533" w:type="pct"/>
            <w:shd w:val="clear" w:color="auto" w:fill="auto"/>
          </w:tcPr>
          <w:p w14:paraId="2B03B2F6"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lastRenderedPageBreak/>
              <w:t>Action Plan For Sustainable Migration Governance In</w:t>
            </w:r>
          </w:p>
          <w:p w14:paraId="47F562EE"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The Western Balkans</w:t>
            </w:r>
          </w:p>
          <w:p w14:paraId="2BE11CF4" w14:textId="12C24ECE"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Gcr</w:t>
            </w:r>
            <w:r w:rsidR="0006016F" w:rsidRPr="00B457F5">
              <w:rPr>
                <w:rFonts w:ascii="Garamond" w:hAnsi="Garamond" w:cs="Times New Roman"/>
                <w:sz w:val="14"/>
                <w:szCs w:val="16"/>
              </w:rPr>
              <w:t xml:space="preserve"> </w:t>
            </w:r>
          </w:p>
          <w:p w14:paraId="762083F8"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17.18 SDG</w:t>
            </w:r>
          </w:p>
          <w:p w14:paraId="5873BE4C"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lastRenderedPageBreak/>
              <w:t xml:space="preserve">EC.VI.A2; </w:t>
            </w:r>
          </w:p>
          <w:p w14:paraId="6B585787"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EC.VI.B2</w:t>
            </w:r>
          </w:p>
        </w:tc>
      </w:tr>
      <w:tr w:rsidR="009D2573" w:rsidRPr="00B457F5" w14:paraId="3256E164" w14:textId="77777777" w:rsidTr="009D2573">
        <w:trPr>
          <w:trHeight w:val="20"/>
        </w:trPr>
        <w:tc>
          <w:tcPr>
            <w:tcW w:w="356" w:type="pct"/>
            <w:shd w:val="clear" w:color="auto" w:fill="auto"/>
            <w:vAlign w:val="center"/>
          </w:tcPr>
          <w:p w14:paraId="4B714404" w14:textId="77777777" w:rsidR="009D2573" w:rsidRPr="00B457F5" w:rsidRDefault="009D2573" w:rsidP="00F53AA3">
            <w:pPr>
              <w:spacing w:before="0" w:after="0"/>
              <w:jc w:val="left"/>
              <w:rPr>
                <w:rFonts w:ascii="Garamond" w:hAnsi="Garamond" w:cs="Times New Roman"/>
                <w:sz w:val="14"/>
                <w:szCs w:val="16"/>
              </w:rPr>
            </w:pPr>
          </w:p>
        </w:tc>
        <w:tc>
          <w:tcPr>
            <w:tcW w:w="987" w:type="pct"/>
            <w:shd w:val="clear" w:color="auto" w:fill="auto"/>
          </w:tcPr>
          <w:p w14:paraId="534B1AEE" w14:textId="73800D73"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4.3 Integrimi social</w:t>
            </w:r>
            <w:r w:rsidR="00EF5D32">
              <w:rPr>
                <w:rFonts w:ascii="Garamond" w:hAnsi="Garamond" w:cs="Times New Roman"/>
                <w:sz w:val="14"/>
                <w:szCs w:val="16"/>
              </w:rPr>
              <w:t>-</w:t>
            </w:r>
            <w:r w:rsidRPr="00B457F5">
              <w:rPr>
                <w:rFonts w:ascii="Garamond" w:hAnsi="Garamond" w:cs="Times New Roman"/>
                <w:sz w:val="14"/>
                <w:szCs w:val="16"/>
              </w:rPr>
              <w:t>ekonomik i refugjatëve dhe azilkërkuesve</w:t>
            </w:r>
          </w:p>
        </w:tc>
        <w:tc>
          <w:tcPr>
            <w:tcW w:w="917" w:type="pct"/>
            <w:shd w:val="clear" w:color="auto" w:fill="auto"/>
          </w:tcPr>
          <w:p w14:paraId="0354EF43" w14:textId="407B7B40" w:rsidR="009D2573"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 e az</w:t>
            </w:r>
            <w:r w:rsidR="00EF5D32">
              <w:rPr>
                <w:rFonts w:ascii="Garamond" w:hAnsi="Garamond" w:cs="Times New Roman"/>
                <w:sz w:val="14"/>
                <w:szCs w:val="16"/>
              </w:rPr>
              <w:t>i</w:t>
            </w:r>
            <w:r w:rsidRPr="00B457F5">
              <w:rPr>
                <w:rFonts w:ascii="Garamond" w:hAnsi="Garamond" w:cs="Times New Roman"/>
                <w:sz w:val="14"/>
                <w:szCs w:val="16"/>
              </w:rPr>
              <w:t>lkërkuesve të punësuar, vetëpunësuar</w:t>
            </w:r>
          </w:p>
          <w:p w14:paraId="0E54A398" w14:textId="77777777" w:rsidR="000209B5" w:rsidRPr="00B457F5" w:rsidRDefault="000209B5" w:rsidP="00F53AA3">
            <w:pPr>
              <w:spacing w:before="0" w:after="0"/>
              <w:jc w:val="left"/>
              <w:rPr>
                <w:rFonts w:ascii="Garamond" w:hAnsi="Garamond" w:cs="Times New Roman"/>
                <w:sz w:val="14"/>
                <w:szCs w:val="16"/>
              </w:rPr>
            </w:pPr>
          </w:p>
          <w:p w14:paraId="73F8E69C" w14:textId="4AC3252D"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 e azilkërkuesve dhe refugjat</w:t>
            </w:r>
            <w:r w:rsidR="00A364F3" w:rsidRPr="00B457F5">
              <w:rPr>
                <w:rFonts w:ascii="Garamond" w:hAnsi="Garamond" w:cs="Times New Roman"/>
                <w:sz w:val="14"/>
                <w:szCs w:val="16"/>
              </w:rPr>
              <w:t>ë</w:t>
            </w:r>
            <w:r w:rsidRPr="00B457F5">
              <w:rPr>
                <w:rFonts w:ascii="Garamond" w:hAnsi="Garamond" w:cs="Times New Roman"/>
                <w:sz w:val="14"/>
                <w:szCs w:val="16"/>
              </w:rPr>
              <w:t xml:space="preserve">ve që ndjekin arsim </w:t>
            </w:r>
          </w:p>
        </w:tc>
        <w:tc>
          <w:tcPr>
            <w:tcW w:w="747" w:type="pct"/>
            <w:shd w:val="clear" w:color="auto" w:fill="auto"/>
          </w:tcPr>
          <w:p w14:paraId="2EB3D70C"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Asnjë azilkërkues i punësuar për vitin 2023. 5 azilkërkues fëmijë kanë ndjekur arsimin parauniversitar për vitin 2023.</w:t>
            </w:r>
          </w:p>
        </w:tc>
        <w:tc>
          <w:tcPr>
            <w:tcW w:w="438" w:type="pct"/>
            <w:shd w:val="clear" w:color="auto" w:fill="auto"/>
          </w:tcPr>
          <w:p w14:paraId="444DC23F"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Rritës në integrimin social dhe ekonomik të azilkërkuesve</w:t>
            </w:r>
          </w:p>
        </w:tc>
        <w:tc>
          <w:tcPr>
            <w:tcW w:w="430" w:type="pct"/>
            <w:shd w:val="clear" w:color="auto" w:fill="auto"/>
          </w:tcPr>
          <w:p w14:paraId="7621D163"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Rritës në integrimin social dhe ekonomik të azilkërkuesve</w:t>
            </w:r>
          </w:p>
        </w:tc>
        <w:tc>
          <w:tcPr>
            <w:tcW w:w="591" w:type="pct"/>
            <w:shd w:val="clear" w:color="auto" w:fill="auto"/>
          </w:tcPr>
          <w:p w14:paraId="0A6AAF64" w14:textId="6F7949AE"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Statistika e QPA</w:t>
            </w:r>
            <w:r w:rsidR="000209B5">
              <w:rPr>
                <w:rFonts w:ascii="Garamond" w:hAnsi="Garamond" w:cs="Times New Roman"/>
                <w:sz w:val="14"/>
                <w:szCs w:val="16"/>
              </w:rPr>
              <w:t>-s</w:t>
            </w:r>
            <w:r w:rsidR="000209B5" w:rsidRPr="00B457F5">
              <w:rPr>
                <w:rFonts w:ascii="Garamond" w:hAnsi="Garamond" w:cs="Times New Roman"/>
                <w:sz w:val="14"/>
                <w:szCs w:val="16"/>
              </w:rPr>
              <w:t>ë</w:t>
            </w:r>
          </w:p>
        </w:tc>
        <w:tc>
          <w:tcPr>
            <w:tcW w:w="533" w:type="pct"/>
            <w:shd w:val="clear" w:color="auto" w:fill="auto"/>
          </w:tcPr>
          <w:p w14:paraId="39D73C83"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Action Plan For Sustainable Migration Governance In</w:t>
            </w:r>
          </w:p>
          <w:p w14:paraId="11393560"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The Western Balkans</w:t>
            </w:r>
          </w:p>
          <w:p w14:paraId="5AC157CD" w14:textId="5056C6E6"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Gcr</w:t>
            </w:r>
            <w:r w:rsidR="0006016F" w:rsidRPr="00B457F5">
              <w:rPr>
                <w:rFonts w:ascii="Garamond" w:hAnsi="Garamond" w:cs="Times New Roman"/>
                <w:sz w:val="14"/>
                <w:szCs w:val="16"/>
              </w:rPr>
              <w:t xml:space="preserve"> </w:t>
            </w:r>
          </w:p>
          <w:p w14:paraId="46522897"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17.18 SDG</w:t>
            </w:r>
          </w:p>
          <w:p w14:paraId="58EC0FE1"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 xml:space="preserve">EC.VI.A2; </w:t>
            </w:r>
          </w:p>
          <w:p w14:paraId="732A2192"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EC.VI.B2</w:t>
            </w:r>
          </w:p>
        </w:tc>
      </w:tr>
      <w:tr w:rsidR="009D2573" w:rsidRPr="00B457F5" w14:paraId="56EABB63" w14:textId="77777777" w:rsidTr="009D2573">
        <w:trPr>
          <w:trHeight w:val="20"/>
        </w:trPr>
        <w:tc>
          <w:tcPr>
            <w:tcW w:w="356" w:type="pct"/>
            <w:vMerge w:val="restart"/>
            <w:shd w:val="clear" w:color="auto" w:fill="auto"/>
            <w:vAlign w:val="center"/>
          </w:tcPr>
          <w:p w14:paraId="4A117CD7"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Masa prioritare</w:t>
            </w:r>
          </w:p>
        </w:tc>
        <w:tc>
          <w:tcPr>
            <w:tcW w:w="987" w:type="pct"/>
            <w:shd w:val="clear" w:color="auto" w:fill="auto"/>
          </w:tcPr>
          <w:p w14:paraId="1BEF10D6" w14:textId="26F01BC4"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4.1.1 Përafrimi i kuadrit ligjor kombëtar për azilin</w:t>
            </w:r>
            <w:r w:rsidR="0006016F" w:rsidRPr="00B457F5">
              <w:rPr>
                <w:rFonts w:ascii="Garamond" w:hAnsi="Garamond" w:cs="Times New Roman"/>
                <w:sz w:val="14"/>
                <w:szCs w:val="16"/>
              </w:rPr>
              <w:t xml:space="preserve"> </w:t>
            </w:r>
            <w:r w:rsidRPr="00B457F5">
              <w:rPr>
                <w:rFonts w:ascii="Garamond" w:hAnsi="Garamond" w:cs="Times New Roman"/>
                <w:sz w:val="14"/>
                <w:szCs w:val="16"/>
              </w:rPr>
              <w:t>me kuadrin e BE-së dhe kuadrin ndërkombëtar</w:t>
            </w:r>
            <w:r w:rsidR="0006016F" w:rsidRPr="00B457F5">
              <w:rPr>
                <w:rFonts w:ascii="Garamond" w:hAnsi="Garamond" w:cs="Times New Roman"/>
                <w:sz w:val="14"/>
                <w:szCs w:val="16"/>
              </w:rPr>
              <w:t xml:space="preserve"> </w:t>
            </w:r>
          </w:p>
        </w:tc>
        <w:tc>
          <w:tcPr>
            <w:tcW w:w="917" w:type="pct"/>
            <w:shd w:val="clear" w:color="auto" w:fill="auto"/>
          </w:tcPr>
          <w:p w14:paraId="3D659538"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 xml:space="preserve">Shkalla e përafrimit të legjislacionit bazë </w:t>
            </w:r>
          </w:p>
        </w:tc>
        <w:tc>
          <w:tcPr>
            <w:tcW w:w="747" w:type="pct"/>
            <w:shd w:val="clear" w:color="auto" w:fill="auto"/>
          </w:tcPr>
          <w:p w14:paraId="7D1A5703" w14:textId="2D30F33C"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Përafruar pjesërisht me 5 direktiva t</w:t>
            </w:r>
            <w:r w:rsidR="004C5C0C" w:rsidRPr="00B457F5">
              <w:rPr>
                <w:rFonts w:ascii="Garamond" w:hAnsi="Garamond" w:cs="Times New Roman"/>
                <w:sz w:val="12"/>
                <w:szCs w:val="16"/>
              </w:rPr>
              <w:t>ë</w:t>
            </w:r>
            <w:r w:rsidRPr="00B457F5">
              <w:rPr>
                <w:rFonts w:ascii="Garamond" w:hAnsi="Garamond" w:cs="Times New Roman"/>
                <w:sz w:val="14"/>
                <w:szCs w:val="16"/>
              </w:rPr>
              <w:t xml:space="preserve"> BE-</w:t>
            </w:r>
            <w:r w:rsidR="004C5C0C" w:rsidRPr="00B457F5">
              <w:rPr>
                <w:rFonts w:ascii="Garamond" w:hAnsi="Garamond" w:cs="Times New Roman"/>
                <w:sz w:val="14"/>
                <w:szCs w:val="16"/>
              </w:rPr>
              <w:t>s</w:t>
            </w:r>
            <w:r w:rsidRPr="00B457F5">
              <w:rPr>
                <w:rFonts w:ascii="Garamond" w:hAnsi="Garamond" w:cs="Times New Roman"/>
                <w:sz w:val="14"/>
                <w:szCs w:val="16"/>
              </w:rPr>
              <w:t>ë</w:t>
            </w:r>
          </w:p>
        </w:tc>
        <w:tc>
          <w:tcPr>
            <w:tcW w:w="438" w:type="pct"/>
            <w:shd w:val="clear" w:color="auto" w:fill="auto"/>
          </w:tcPr>
          <w:p w14:paraId="76890DD7"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Vlerësimi i ligjit për ndryshim (në proces)</w:t>
            </w:r>
          </w:p>
        </w:tc>
        <w:tc>
          <w:tcPr>
            <w:tcW w:w="430" w:type="pct"/>
            <w:shd w:val="clear" w:color="auto" w:fill="auto"/>
          </w:tcPr>
          <w:p w14:paraId="02E4E5C6" w14:textId="157EB2E1"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 xml:space="preserve">Përafrimi i plotë i ligjit nr. 10/2020 </w:t>
            </w:r>
            <w:r w:rsidR="000209B5">
              <w:rPr>
                <w:rFonts w:ascii="Garamond" w:hAnsi="Garamond" w:cs="Times New Roman"/>
                <w:sz w:val="14"/>
                <w:szCs w:val="16"/>
              </w:rPr>
              <w:t>“</w:t>
            </w:r>
            <w:r w:rsidRPr="00B457F5">
              <w:rPr>
                <w:rFonts w:ascii="Garamond" w:hAnsi="Garamond" w:cs="Times New Roman"/>
                <w:sz w:val="14"/>
                <w:szCs w:val="16"/>
              </w:rPr>
              <w:t xml:space="preserve">Për </w:t>
            </w:r>
            <w:r w:rsidR="000209B5">
              <w:rPr>
                <w:rFonts w:ascii="Garamond" w:hAnsi="Garamond" w:cs="Times New Roman"/>
                <w:sz w:val="14"/>
                <w:szCs w:val="16"/>
              </w:rPr>
              <w:t>a</w:t>
            </w:r>
            <w:r w:rsidRPr="00B457F5">
              <w:rPr>
                <w:rFonts w:ascii="Garamond" w:hAnsi="Garamond" w:cs="Times New Roman"/>
                <w:sz w:val="14"/>
                <w:szCs w:val="16"/>
              </w:rPr>
              <w:t>zilin n</w:t>
            </w:r>
            <w:r w:rsidR="002803F2" w:rsidRPr="00B457F5">
              <w:rPr>
                <w:rFonts w:ascii="Garamond" w:hAnsi="Garamond" w:cs="Times New Roman"/>
                <w:sz w:val="14"/>
                <w:szCs w:val="16"/>
              </w:rPr>
              <w:t>ë</w:t>
            </w:r>
            <w:r w:rsidRPr="00B457F5">
              <w:rPr>
                <w:rFonts w:ascii="Garamond" w:hAnsi="Garamond" w:cs="Times New Roman"/>
                <w:sz w:val="14"/>
                <w:szCs w:val="16"/>
              </w:rPr>
              <w:t xml:space="preserve"> RSH</w:t>
            </w:r>
            <w:r w:rsidR="00A313AE" w:rsidRPr="00B457F5">
              <w:rPr>
                <w:rFonts w:ascii="Garamond" w:hAnsi="Garamond" w:cs="Times New Roman"/>
                <w:sz w:val="14"/>
                <w:szCs w:val="16"/>
              </w:rPr>
              <w:t>”</w:t>
            </w:r>
          </w:p>
        </w:tc>
        <w:tc>
          <w:tcPr>
            <w:tcW w:w="591" w:type="pct"/>
            <w:shd w:val="clear" w:color="auto" w:fill="auto"/>
          </w:tcPr>
          <w:p w14:paraId="224F895D" w14:textId="38A11F55"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Nga të dhënat e Drejtorisë së Politikave për Azilin</w:t>
            </w:r>
            <w:r w:rsidR="000209B5">
              <w:rPr>
                <w:rFonts w:ascii="Garamond" w:hAnsi="Garamond" w:cs="Times New Roman"/>
                <w:sz w:val="14"/>
                <w:szCs w:val="16"/>
              </w:rPr>
              <w:t>,</w:t>
            </w:r>
            <w:r w:rsidRPr="00B457F5">
              <w:rPr>
                <w:rFonts w:ascii="Garamond" w:hAnsi="Garamond" w:cs="Times New Roman"/>
                <w:sz w:val="14"/>
                <w:szCs w:val="16"/>
              </w:rPr>
              <w:t xml:space="preserve"> të Huajt dhe Shtetësinë - MB dhe raportimet në kuadër të kapitullit 24.</w:t>
            </w:r>
          </w:p>
        </w:tc>
        <w:tc>
          <w:tcPr>
            <w:tcW w:w="533" w:type="pct"/>
            <w:shd w:val="clear" w:color="auto" w:fill="auto"/>
          </w:tcPr>
          <w:p w14:paraId="6055839C"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Action Plan For Sustainable Migration Governance In</w:t>
            </w:r>
          </w:p>
          <w:p w14:paraId="4BA6EBCF"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The Western Balkans</w:t>
            </w:r>
          </w:p>
          <w:p w14:paraId="5DB152DE" w14:textId="34057C95"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Gcr</w:t>
            </w:r>
            <w:r w:rsidR="0006016F" w:rsidRPr="00B457F5">
              <w:rPr>
                <w:rFonts w:ascii="Garamond" w:hAnsi="Garamond" w:cs="Times New Roman"/>
                <w:sz w:val="14"/>
                <w:szCs w:val="16"/>
              </w:rPr>
              <w:t xml:space="preserve"> </w:t>
            </w:r>
          </w:p>
          <w:p w14:paraId="76C4F359"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17.18 SDG</w:t>
            </w:r>
          </w:p>
          <w:p w14:paraId="7CB8A254"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 xml:space="preserve">EC.VI.A2; </w:t>
            </w:r>
          </w:p>
          <w:p w14:paraId="52385A3D"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EC.VI.B2</w:t>
            </w:r>
          </w:p>
        </w:tc>
      </w:tr>
      <w:tr w:rsidR="009D2573" w:rsidRPr="00B457F5" w14:paraId="4134F4D9" w14:textId="77777777" w:rsidTr="009D2573">
        <w:trPr>
          <w:trHeight w:val="20"/>
        </w:trPr>
        <w:tc>
          <w:tcPr>
            <w:tcW w:w="356" w:type="pct"/>
            <w:vMerge/>
            <w:shd w:val="clear" w:color="auto" w:fill="auto"/>
            <w:vAlign w:val="center"/>
          </w:tcPr>
          <w:p w14:paraId="0623AE05" w14:textId="77777777" w:rsidR="009D2573" w:rsidRPr="00B457F5" w:rsidRDefault="009D2573" w:rsidP="00F53AA3">
            <w:pPr>
              <w:spacing w:before="0" w:after="0"/>
              <w:jc w:val="left"/>
              <w:rPr>
                <w:rFonts w:ascii="Garamond" w:hAnsi="Garamond" w:cs="Times New Roman"/>
                <w:sz w:val="14"/>
                <w:szCs w:val="16"/>
              </w:rPr>
            </w:pPr>
          </w:p>
        </w:tc>
        <w:tc>
          <w:tcPr>
            <w:tcW w:w="987" w:type="pct"/>
            <w:shd w:val="clear" w:color="auto" w:fill="auto"/>
          </w:tcPr>
          <w:p w14:paraId="21D79C42" w14:textId="29A955A4"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 xml:space="preserve">4.1.2 Sigurimi i praktikave të thjeshta dhe </w:t>
            </w:r>
            <w:r w:rsidR="0006016F" w:rsidRPr="00B457F5">
              <w:rPr>
                <w:rFonts w:ascii="Garamond" w:hAnsi="Garamond" w:cs="Times New Roman"/>
                <w:sz w:val="14"/>
                <w:szCs w:val="16"/>
              </w:rPr>
              <w:t>standarde</w:t>
            </w:r>
            <w:r w:rsidRPr="00B457F5">
              <w:rPr>
                <w:rFonts w:ascii="Garamond" w:hAnsi="Garamond" w:cs="Times New Roman"/>
                <w:sz w:val="14"/>
                <w:szCs w:val="16"/>
              </w:rPr>
              <w:t xml:space="preserve"> për aksesin në azil dhe procedurat e ankimit</w:t>
            </w:r>
          </w:p>
        </w:tc>
        <w:tc>
          <w:tcPr>
            <w:tcW w:w="917" w:type="pct"/>
            <w:shd w:val="clear" w:color="auto" w:fill="auto"/>
          </w:tcPr>
          <w:p w14:paraId="67924A6B"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 xml:space="preserve">Kërkesa për azil </w:t>
            </w:r>
          </w:p>
          <w:p w14:paraId="723DDEC8" w14:textId="161D6C51"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Numri i Ankimimeve</w:t>
            </w:r>
            <w:r w:rsidR="0006016F" w:rsidRPr="00B457F5">
              <w:rPr>
                <w:rFonts w:ascii="Garamond" w:hAnsi="Garamond" w:cs="Times New Roman"/>
                <w:sz w:val="14"/>
                <w:szCs w:val="16"/>
              </w:rPr>
              <w:t xml:space="preserve"> </w:t>
            </w:r>
          </w:p>
        </w:tc>
        <w:tc>
          <w:tcPr>
            <w:tcW w:w="747" w:type="pct"/>
            <w:shd w:val="clear" w:color="auto" w:fill="auto"/>
          </w:tcPr>
          <w:p w14:paraId="4A989EC9" w14:textId="026113A6"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256 raste n</w:t>
            </w:r>
            <w:r w:rsidR="002803F2" w:rsidRPr="00B457F5">
              <w:rPr>
                <w:rFonts w:ascii="Garamond" w:hAnsi="Garamond" w:cs="Times New Roman"/>
                <w:sz w:val="14"/>
                <w:szCs w:val="16"/>
              </w:rPr>
              <w:t>ë</w:t>
            </w:r>
            <w:r w:rsidRPr="00B457F5">
              <w:rPr>
                <w:rFonts w:ascii="Garamond" w:hAnsi="Garamond" w:cs="Times New Roman"/>
                <w:sz w:val="14"/>
                <w:szCs w:val="16"/>
              </w:rPr>
              <w:t xml:space="preserve"> QPA n</w:t>
            </w:r>
            <w:r w:rsidR="002803F2" w:rsidRPr="00B457F5">
              <w:rPr>
                <w:rFonts w:ascii="Garamond" w:hAnsi="Garamond" w:cs="Times New Roman"/>
                <w:sz w:val="14"/>
                <w:szCs w:val="16"/>
              </w:rPr>
              <w:t>ë</w:t>
            </w:r>
            <w:r w:rsidRPr="00B457F5">
              <w:rPr>
                <w:rFonts w:ascii="Garamond" w:hAnsi="Garamond" w:cs="Times New Roman"/>
                <w:sz w:val="14"/>
                <w:szCs w:val="16"/>
              </w:rPr>
              <w:t xml:space="preserve"> proces </w:t>
            </w:r>
          </w:p>
          <w:p w14:paraId="5C104FDF" w14:textId="77777777" w:rsidR="009D2573" w:rsidRPr="00B457F5" w:rsidRDefault="009D2573" w:rsidP="00F53AA3">
            <w:pPr>
              <w:spacing w:before="0" w:after="0"/>
              <w:jc w:val="left"/>
              <w:rPr>
                <w:rFonts w:ascii="Garamond" w:hAnsi="Garamond" w:cs="Times New Roman"/>
                <w:sz w:val="14"/>
                <w:szCs w:val="16"/>
              </w:rPr>
            </w:pPr>
          </w:p>
          <w:p w14:paraId="78D50975" w14:textId="77777777" w:rsidR="009D2573" w:rsidRPr="00B457F5" w:rsidRDefault="009D2573" w:rsidP="00F53AA3">
            <w:pPr>
              <w:spacing w:before="0" w:after="0"/>
              <w:jc w:val="left"/>
              <w:rPr>
                <w:rFonts w:ascii="Garamond" w:hAnsi="Garamond" w:cs="Times New Roman"/>
                <w:sz w:val="14"/>
                <w:szCs w:val="16"/>
              </w:rPr>
            </w:pPr>
          </w:p>
        </w:tc>
        <w:tc>
          <w:tcPr>
            <w:tcW w:w="438" w:type="pct"/>
            <w:shd w:val="clear" w:color="auto" w:fill="auto"/>
          </w:tcPr>
          <w:p w14:paraId="1FD8B97A" w14:textId="77777777" w:rsidR="009D2573" w:rsidRPr="00B457F5" w:rsidRDefault="009D2573" w:rsidP="00F53AA3">
            <w:pPr>
              <w:spacing w:before="0" w:after="0"/>
              <w:jc w:val="left"/>
              <w:rPr>
                <w:rFonts w:ascii="Garamond" w:hAnsi="Garamond" w:cs="Times New Roman"/>
                <w:sz w:val="14"/>
                <w:szCs w:val="16"/>
              </w:rPr>
            </w:pPr>
          </w:p>
        </w:tc>
        <w:tc>
          <w:tcPr>
            <w:tcW w:w="430" w:type="pct"/>
            <w:shd w:val="clear" w:color="auto" w:fill="auto"/>
          </w:tcPr>
          <w:p w14:paraId="58504D6B" w14:textId="77777777" w:rsidR="009D2573" w:rsidRPr="00B457F5" w:rsidRDefault="009D2573" w:rsidP="00F53AA3">
            <w:pPr>
              <w:spacing w:before="0" w:after="0"/>
              <w:jc w:val="left"/>
              <w:rPr>
                <w:rFonts w:ascii="Garamond" w:hAnsi="Garamond" w:cs="Times New Roman"/>
                <w:sz w:val="14"/>
                <w:szCs w:val="16"/>
              </w:rPr>
            </w:pPr>
          </w:p>
        </w:tc>
        <w:tc>
          <w:tcPr>
            <w:tcW w:w="591" w:type="pct"/>
            <w:shd w:val="clear" w:color="auto" w:fill="auto"/>
          </w:tcPr>
          <w:p w14:paraId="1BB6E262" w14:textId="4722A74C"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Statistika e QPA</w:t>
            </w:r>
            <w:r w:rsidR="000209B5">
              <w:rPr>
                <w:rFonts w:ascii="Garamond" w:hAnsi="Garamond" w:cs="Times New Roman"/>
                <w:sz w:val="14"/>
                <w:szCs w:val="16"/>
              </w:rPr>
              <w:t>-s</w:t>
            </w:r>
            <w:r w:rsidR="000209B5" w:rsidRPr="00B457F5">
              <w:rPr>
                <w:rFonts w:ascii="Garamond" w:hAnsi="Garamond" w:cs="Times New Roman"/>
                <w:sz w:val="14"/>
                <w:szCs w:val="16"/>
              </w:rPr>
              <w:t>ë</w:t>
            </w:r>
          </w:p>
          <w:p w14:paraId="52177B47" w14:textId="77777777" w:rsidR="009D2573" w:rsidRPr="00B457F5" w:rsidRDefault="009D2573" w:rsidP="00F53AA3">
            <w:pPr>
              <w:spacing w:before="0" w:after="0"/>
              <w:jc w:val="left"/>
              <w:rPr>
                <w:rFonts w:ascii="Garamond" w:hAnsi="Garamond" w:cs="Times New Roman"/>
                <w:sz w:val="14"/>
                <w:szCs w:val="16"/>
              </w:rPr>
            </w:pPr>
          </w:p>
          <w:p w14:paraId="69E13D0A" w14:textId="77777777" w:rsidR="009D2573" w:rsidRPr="00B457F5" w:rsidRDefault="009D2573" w:rsidP="00F53AA3">
            <w:pPr>
              <w:spacing w:before="0" w:after="0"/>
              <w:jc w:val="left"/>
              <w:rPr>
                <w:rFonts w:ascii="Garamond" w:hAnsi="Garamond" w:cs="Times New Roman"/>
                <w:sz w:val="14"/>
                <w:szCs w:val="16"/>
              </w:rPr>
            </w:pPr>
          </w:p>
          <w:p w14:paraId="00EF9835" w14:textId="77777777" w:rsidR="009D2573" w:rsidRPr="00B457F5" w:rsidRDefault="009D2573" w:rsidP="00F53AA3">
            <w:pPr>
              <w:spacing w:before="0" w:after="0"/>
              <w:jc w:val="left"/>
              <w:rPr>
                <w:rFonts w:ascii="Garamond" w:hAnsi="Garamond" w:cs="Times New Roman"/>
                <w:sz w:val="14"/>
                <w:szCs w:val="16"/>
              </w:rPr>
            </w:pPr>
          </w:p>
          <w:p w14:paraId="02AEC821" w14:textId="77777777" w:rsidR="009D2573" w:rsidRPr="00B457F5" w:rsidRDefault="009D2573" w:rsidP="00F53AA3">
            <w:pPr>
              <w:spacing w:before="0" w:after="0"/>
              <w:jc w:val="left"/>
              <w:rPr>
                <w:rFonts w:ascii="Garamond" w:hAnsi="Garamond" w:cs="Times New Roman"/>
                <w:sz w:val="14"/>
                <w:szCs w:val="16"/>
              </w:rPr>
            </w:pPr>
          </w:p>
        </w:tc>
        <w:tc>
          <w:tcPr>
            <w:tcW w:w="533" w:type="pct"/>
            <w:shd w:val="clear" w:color="auto" w:fill="auto"/>
          </w:tcPr>
          <w:p w14:paraId="0640472D"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Action Plan For Sustainable Migration Governance In</w:t>
            </w:r>
          </w:p>
          <w:p w14:paraId="6AF73643"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The Western Balkans</w:t>
            </w:r>
          </w:p>
          <w:p w14:paraId="28E9A0A6" w14:textId="4C0E6241"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Gcr</w:t>
            </w:r>
            <w:r w:rsidR="0006016F" w:rsidRPr="00B457F5">
              <w:rPr>
                <w:rFonts w:ascii="Garamond" w:hAnsi="Garamond" w:cs="Times New Roman"/>
                <w:sz w:val="14"/>
                <w:szCs w:val="16"/>
              </w:rPr>
              <w:t xml:space="preserve"> </w:t>
            </w:r>
          </w:p>
          <w:p w14:paraId="25C4C7DD"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17.18 SDG</w:t>
            </w:r>
          </w:p>
          <w:p w14:paraId="09342EAC"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 xml:space="preserve">EC.VI.A2; </w:t>
            </w:r>
          </w:p>
          <w:p w14:paraId="31EF379B"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EC.VI.B2</w:t>
            </w:r>
          </w:p>
        </w:tc>
      </w:tr>
      <w:tr w:rsidR="009D2573" w:rsidRPr="00B457F5" w14:paraId="799B93DB" w14:textId="77777777" w:rsidTr="009D2573">
        <w:trPr>
          <w:trHeight w:val="20"/>
        </w:trPr>
        <w:tc>
          <w:tcPr>
            <w:tcW w:w="356" w:type="pct"/>
            <w:vMerge/>
            <w:shd w:val="clear" w:color="auto" w:fill="auto"/>
            <w:vAlign w:val="center"/>
          </w:tcPr>
          <w:p w14:paraId="27A203DF" w14:textId="77777777" w:rsidR="009D2573" w:rsidRPr="00B457F5" w:rsidRDefault="009D2573" w:rsidP="00F53AA3">
            <w:pPr>
              <w:spacing w:before="0" w:after="0"/>
              <w:jc w:val="left"/>
              <w:rPr>
                <w:rFonts w:ascii="Garamond" w:hAnsi="Garamond" w:cs="Times New Roman"/>
                <w:sz w:val="14"/>
                <w:szCs w:val="16"/>
              </w:rPr>
            </w:pPr>
          </w:p>
        </w:tc>
        <w:tc>
          <w:tcPr>
            <w:tcW w:w="987" w:type="pct"/>
            <w:shd w:val="clear" w:color="auto" w:fill="auto"/>
          </w:tcPr>
          <w:p w14:paraId="0D7B5017" w14:textId="6BE6961E"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4.1.2</w:t>
            </w:r>
            <w:r w:rsidR="0006016F" w:rsidRPr="00B457F5">
              <w:rPr>
                <w:rFonts w:ascii="Garamond" w:hAnsi="Garamond" w:cs="Times New Roman"/>
                <w:sz w:val="14"/>
                <w:szCs w:val="16"/>
              </w:rPr>
              <w:t xml:space="preserve"> </w:t>
            </w:r>
            <w:r w:rsidRPr="00B457F5">
              <w:rPr>
                <w:rFonts w:ascii="Garamond" w:hAnsi="Garamond" w:cs="Times New Roman"/>
                <w:sz w:val="14"/>
                <w:szCs w:val="16"/>
              </w:rPr>
              <w:t xml:space="preserve">Rritja e </w:t>
            </w:r>
            <w:r w:rsidR="0006016F" w:rsidRPr="00B457F5">
              <w:rPr>
                <w:rFonts w:ascii="Garamond" w:hAnsi="Garamond" w:cs="Times New Roman"/>
                <w:sz w:val="14"/>
                <w:szCs w:val="16"/>
              </w:rPr>
              <w:t>kapaciteteve</w:t>
            </w:r>
            <w:r w:rsidRPr="00B457F5">
              <w:rPr>
                <w:rFonts w:ascii="Garamond" w:hAnsi="Garamond" w:cs="Times New Roman"/>
                <w:sz w:val="14"/>
                <w:szCs w:val="16"/>
              </w:rPr>
              <w:t xml:space="preserve"> të stafit përgjegjës për procedurat e azilit</w:t>
            </w:r>
          </w:p>
        </w:tc>
        <w:tc>
          <w:tcPr>
            <w:tcW w:w="917" w:type="pct"/>
            <w:shd w:val="clear" w:color="auto" w:fill="auto"/>
          </w:tcPr>
          <w:p w14:paraId="4EBC402C" w14:textId="613B742F"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 xml:space="preserve">Numri i trajnimeve, </w:t>
            </w:r>
            <w:r w:rsidR="0006016F" w:rsidRPr="00B457F5">
              <w:rPr>
                <w:rFonts w:ascii="Garamond" w:hAnsi="Garamond" w:cs="Times New Roman"/>
                <w:i/>
                <w:sz w:val="14"/>
                <w:szCs w:val="16"/>
              </w:rPr>
              <w:t>w</w:t>
            </w:r>
            <w:r w:rsidRPr="00B457F5">
              <w:rPr>
                <w:rFonts w:ascii="Garamond" w:hAnsi="Garamond" w:cs="Times New Roman"/>
                <w:i/>
                <w:sz w:val="14"/>
                <w:szCs w:val="16"/>
              </w:rPr>
              <w:t>orshop</w:t>
            </w:r>
            <w:r w:rsidR="002803F2" w:rsidRPr="00B457F5">
              <w:rPr>
                <w:rFonts w:ascii="Garamond" w:hAnsi="Garamond" w:cs="Times New Roman"/>
                <w:sz w:val="14"/>
                <w:szCs w:val="16"/>
              </w:rPr>
              <w:t>-</w:t>
            </w:r>
            <w:r w:rsidRPr="00B457F5">
              <w:rPr>
                <w:rFonts w:ascii="Garamond" w:hAnsi="Garamond" w:cs="Times New Roman"/>
                <w:sz w:val="14"/>
                <w:szCs w:val="16"/>
              </w:rPr>
              <w:t xml:space="preserve">eve, vizitave studimore </w:t>
            </w:r>
          </w:p>
          <w:p w14:paraId="26F6AC35" w14:textId="77777777" w:rsidR="009D2573" w:rsidRPr="00B457F5" w:rsidRDefault="009D2573" w:rsidP="00F53AA3">
            <w:pPr>
              <w:spacing w:before="0" w:after="0"/>
              <w:jc w:val="left"/>
              <w:rPr>
                <w:rFonts w:ascii="Garamond" w:hAnsi="Garamond" w:cs="Times New Roman"/>
                <w:sz w:val="14"/>
                <w:szCs w:val="16"/>
              </w:rPr>
            </w:pPr>
          </w:p>
        </w:tc>
        <w:tc>
          <w:tcPr>
            <w:tcW w:w="747" w:type="pct"/>
            <w:shd w:val="clear" w:color="auto" w:fill="auto"/>
          </w:tcPr>
          <w:p w14:paraId="60392706" w14:textId="20FCBF5E"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Stafi ka marrë pjesë, në trajnimet e EUAA-së (3), ASPA (1).</w:t>
            </w:r>
            <w:r w:rsidR="0006016F" w:rsidRPr="00B457F5">
              <w:rPr>
                <w:rFonts w:ascii="Garamond" w:hAnsi="Garamond" w:cs="Times New Roman"/>
                <w:sz w:val="14"/>
                <w:szCs w:val="16"/>
              </w:rPr>
              <w:t xml:space="preserve"> </w:t>
            </w:r>
            <w:r w:rsidRPr="00B457F5">
              <w:rPr>
                <w:rFonts w:ascii="Garamond" w:hAnsi="Garamond" w:cs="Times New Roman"/>
                <w:sz w:val="14"/>
                <w:szCs w:val="16"/>
              </w:rPr>
              <w:t>Është bërë një vizitë e shkurtër studimore në Kosovë.</w:t>
            </w:r>
          </w:p>
        </w:tc>
        <w:tc>
          <w:tcPr>
            <w:tcW w:w="438" w:type="pct"/>
            <w:shd w:val="clear" w:color="auto" w:fill="auto"/>
          </w:tcPr>
          <w:p w14:paraId="0B9AECBF"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 xml:space="preserve">Rritës </w:t>
            </w:r>
          </w:p>
          <w:p w14:paraId="51790D83" w14:textId="77777777" w:rsidR="009D2573" w:rsidRPr="00B457F5" w:rsidRDefault="009D2573" w:rsidP="00F53AA3">
            <w:pPr>
              <w:spacing w:before="0" w:after="0"/>
              <w:jc w:val="left"/>
              <w:rPr>
                <w:rFonts w:ascii="Garamond" w:hAnsi="Garamond" w:cs="Times New Roman"/>
                <w:sz w:val="14"/>
                <w:szCs w:val="16"/>
              </w:rPr>
            </w:pPr>
          </w:p>
          <w:p w14:paraId="2C084849"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10%</w:t>
            </w:r>
          </w:p>
          <w:p w14:paraId="54C9EF5C" w14:textId="77777777" w:rsidR="009D2573" w:rsidRPr="00B457F5" w:rsidRDefault="009D2573" w:rsidP="00F53AA3">
            <w:pPr>
              <w:spacing w:before="0" w:after="0"/>
              <w:jc w:val="left"/>
              <w:rPr>
                <w:rFonts w:ascii="Garamond" w:hAnsi="Garamond" w:cs="Times New Roman"/>
                <w:sz w:val="14"/>
                <w:szCs w:val="16"/>
              </w:rPr>
            </w:pPr>
          </w:p>
          <w:p w14:paraId="515E4F49" w14:textId="32314C88"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Rritja e trajnimeve brenda vendit dhe n</w:t>
            </w:r>
            <w:r w:rsidR="002803F2" w:rsidRPr="00B457F5">
              <w:rPr>
                <w:rFonts w:ascii="Garamond" w:hAnsi="Garamond" w:cs="Times New Roman"/>
                <w:sz w:val="14"/>
                <w:szCs w:val="16"/>
              </w:rPr>
              <w:t>ë</w:t>
            </w:r>
            <w:r w:rsidRPr="00B457F5">
              <w:rPr>
                <w:rFonts w:ascii="Garamond" w:hAnsi="Garamond" w:cs="Times New Roman"/>
                <w:sz w:val="14"/>
                <w:szCs w:val="16"/>
              </w:rPr>
              <w:t xml:space="preserve"> rajon. Gjithashtu dhe e vizitave studimore.</w:t>
            </w:r>
          </w:p>
        </w:tc>
        <w:tc>
          <w:tcPr>
            <w:tcW w:w="430" w:type="pct"/>
            <w:shd w:val="clear" w:color="auto" w:fill="auto"/>
          </w:tcPr>
          <w:p w14:paraId="2A14890D"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 xml:space="preserve">Rritës </w:t>
            </w:r>
          </w:p>
          <w:p w14:paraId="70DA6FEB" w14:textId="77777777" w:rsidR="009D2573" w:rsidRPr="00B457F5" w:rsidRDefault="009D2573" w:rsidP="00F53AA3">
            <w:pPr>
              <w:spacing w:before="0" w:after="0"/>
              <w:jc w:val="left"/>
              <w:rPr>
                <w:rFonts w:ascii="Garamond" w:hAnsi="Garamond" w:cs="Times New Roman"/>
                <w:sz w:val="14"/>
                <w:szCs w:val="16"/>
              </w:rPr>
            </w:pPr>
          </w:p>
          <w:p w14:paraId="07046D0E"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15%</w:t>
            </w:r>
          </w:p>
        </w:tc>
        <w:tc>
          <w:tcPr>
            <w:tcW w:w="591" w:type="pct"/>
            <w:shd w:val="clear" w:color="auto" w:fill="auto"/>
          </w:tcPr>
          <w:p w14:paraId="4FD86E1A"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Certifikimi dhe të dhënat e Drejtorisë së Politikave për Azilin të Huajt dhe Shtetësisë sepse jo të gjitha trajnimet certifikohen.</w:t>
            </w:r>
          </w:p>
        </w:tc>
        <w:tc>
          <w:tcPr>
            <w:tcW w:w="533" w:type="pct"/>
            <w:shd w:val="clear" w:color="auto" w:fill="auto"/>
          </w:tcPr>
          <w:p w14:paraId="3D04C83E"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Action Plan For Sustainable Migration Governance In</w:t>
            </w:r>
          </w:p>
          <w:p w14:paraId="7B82C278"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The Western Balkans</w:t>
            </w:r>
          </w:p>
          <w:p w14:paraId="626B6E87" w14:textId="4539C788"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GCR</w:t>
            </w:r>
            <w:r w:rsidR="0006016F" w:rsidRPr="00B457F5">
              <w:rPr>
                <w:rFonts w:ascii="Garamond" w:hAnsi="Garamond" w:cs="Times New Roman"/>
                <w:sz w:val="14"/>
                <w:szCs w:val="16"/>
              </w:rPr>
              <w:t xml:space="preserve"> </w:t>
            </w:r>
          </w:p>
          <w:p w14:paraId="4E7C117A"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17.18 SDG</w:t>
            </w:r>
          </w:p>
          <w:p w14:paraId="08B74665"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 xml:space="preserve">EC.VI.A2; </w:t>
            </w:r>
          </w:p>
          <w:p w14:paraId="7A1458B2"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EC.VI.B2</w:t>
            </w:r>
          </w:p>
        </w:tc>
      </w:tr>
      <w:tr w:rsidR="009D2573" w:rsidRPr="00B457F5" w14:paraId="11A01C01" w14:textId="77777777" w:rsidTr="009D2573">
        <w:trPr>
          <w:trHeight w:val="20"/>
        </w:trPr>
        <w:tc>
          <w:tcPr>
            <w:tcW w:w="356" w:type="pct"/>
            <w:vMerge/>
            <w:shd w:val="clear" w:color="auto" w:fill="auto"/>
            <w:vAlign w:val="center"/>
          </w:tcPr>
          <w:p w14:paraId="608427AD" w14:textId="77777777" w:rsidR="009D2573" w:rsidRPr="00B457F5" w:rsidRDefault="009D2573" w:rsidP="00F53AA3">
            <w:pPr>
              <w:spacing w:before="0" w:after="0"/>
              <w:jc w:val="left"/>
              <w:rPr>
                <w:rFonts w:ascii="Garamond" w:hAnsi="Garamond" w:cs="Times New Roman"/>
                <w:sz w:val="14"/>
                <w:szCs w:val="16"/>
              </w:rPr>
            </w:pPr>
          </w:p>
        </w:tc>
        <w:tc>
          <w:tcPr>
            <w:tcW w:w="987" w:type="pct"/>
            <w:shd w:val="clear" w:color="auto" w:fill="auto"/>
          </w:tcPr>
          <w:p w14:paraId="48F30013" w14:textId="02F88690"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 xml:space="preserve">4.2.1 Identifikimi i shpejtë i personave me nevoja të </w:t>
            </w:r>
            <w:r w:rsidR="0006016F" w:rsidRPr="00B457F5">
              <w:rPr>
                <w:rFonts w:ascii="Garamond" w:hAnsi="Garamond" w:cs="Times New Roman"/>
                <w:sz w:val="14"/>
                <w:szCs w:val="16"/>
              </w:rPr>
              <w:t>veçanta</w:t>
            </w:r>
            <w:r w:rsidRPr="00B457F5">
              <w:rPr>
                <w:rFonts w:ascii="Garamond" w:hAnsi="Garamond" w:cs="Times New Roman"/>
                <w:sz w:val="14"/>
                <w:szCs w:val="16"/>
              </w:rPr>
              <w:t xml:space="preserve"> gjatë procedurave të </w:t>
            </w:r>
            <w:r w:rsidR="0006016F" w:rsidRPr="00B457F5">
              <w:rPr>
                <w:rFonts w:ascii="Garamond" w:hAnsi="Garamond" w:cs="Times New Roman"/>
                <w:sz w:val="14"/>
                <w:szCs w:val="16"/>
              </w:rPr>
              <w:t>përzgjedhjes</w:t>
            </w:r>
          </w:p>
        </w:tc>
        <w:tc>
          <w:tcPr>
            <w:tcW w:w="917" w:type="pct"/>
            <w:shd w:val="clear" w:color="auto" w:fill="auto"/>
          </w:tcPr>
          <w:p w14:paraId="2D56A5C8"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Numri i personave me nevoja të veçanta të identifikuar dhe të asistuar</w:t>
            </w:r>
          </w:p>
        </w:tc>
        <w:tc>
          <w:tcPr>
            <w:tcW w:w="747" w:type="pct"/>
            <w:shd w:val="clear" w:color="auto" w:fill="auto"/>
          </w:tcPr>
          <w:p w14:paraId="7022AB11" w14:textId="4A3E2932"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Një person i akomoduar me nevoja të veçanta gjatë vitit 2023, i cili është identifikuar dhe asistuar</w:t>
            </w:r>
          </w:p>
        </w:tc>
        <w:tc>
          <w:tcPr>
            <w:tcW w:w="438" w:type="pct"/>
            <w:shd w:val="clear" w:color="auto" w:fill="auto"/>
          </w:tcPr>
          <w:p w14:paraId="7D099AF7" w14:textId="7471BBCA"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Rritja e cilësisë së shërbimit të ofruar, në identifikim dhe asistim të rasteve me nevoja të veçanta</w:t>
            </w:r>
          </w:p>
        </w:tc>
        <w:tc>
          <w:tcPr>
            <w:tcW w:w="430" w:type="pct"/>
            <w:shd w:val="clear" w:color="auto" w:fill="auto"/>
          </w:tcPr>
          <w:p w14:paraId="748AF63B" w14:textId="70046A5F"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Rritja e cilësisë së shërbimit të ofruar, në identifikim dhe asistim të rasteve me nevoja të veçanta</w:t>
            </w:r>
          </w:p>
        </w:tc>
        <w:tc>
          <w:tcPr>
            <w:tcW w:w="591" w:type="pct"/>
            <w:shd w:val="clear" w:color="auto" w:fill="auto"/>
          </w:tcPr>
          <w:p w14:paraId="1215230F" w14:textId="34C2930E"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Statistika e QPA</w:t>
            </w:r>
            <w:r w:rsidR="00933517">
              <w:rPr>
                <w:rFonts w:ascii="Garamond" w:hAnsi="Garamond" w:cs="Times New Roman"/>
                <w:sz w:val="14"/>
                <w:szCs w:val="16"/>
              </w:rPr>
              <w:t>-s</w:t>
            </w:r>
            <w:r w:rsidR="00933517" w:rsidRPr="00B457F5">
              <w:rPr>
                <w:rFonts w:ascii="Garamond" w:hAnsi="Garamond" w:cs="Times New Roman"/>
                <w:sz w:val="14"/>
                <w:szCs w:val="16"/>
              </w:rPr>
              <w:t>ë</w:t>
            </w:r>
          </w:p>
        </w:tc>
        <w:tc>
          <w:tcPr>
            <w:tcW w:w="533" w:type="pct"/>
            <w:shd w:val="clear" w:color="auto" w:fill="auto"/>
          </w:tcPr>
          <w:p w14:paraId="4FEEA009"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Action Plan For Sustainable Migration Governance In</w:t>
            </w:r>
          </w:p>
          <w:p w14:paraId="107E4BD8"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The Western Balkans</w:t>
            </w:r>
          </w:p>
          <w:p w14:paraId="58305763" w14:textId="5E8F4370"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Gcr</w:t>
            </w:r>
            <w:r w:rsidR="0006016F" w:rsidRPr="00B457F5">
              <w:rPr>
                <w:rFonts w:ascii="Garamond" w:hAnsi="Garamond" w:cs="Times New Roman"/>
                <w:sz w:val="14"/>
                <w:szCs w:val="16"/>
              </w:rPr>
              <w:t xml:space="preserve"> </w:t>
            </w:r>
          </w:p>
          <w:p w14:paraId="51955A77"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17.18 SDG</w:t>
            </w:r>
          </w:p>
          <w:p w14:paraId="69BC577A"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 xml:space="preserve">EC.VI.A2; </w:t>
            </w:r>
          </w:p>
          <w:p w14:paraId="7974D1C3"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EC.VI.B2</w:t>
            </w:r>
          </w:p>
        </w:tc>
      </w:tr>
      <w:tr w:rsidR="009D2573" w:rsidRPr="00B457F5" w14:paraId="47802CA4" w14:textId="77777777" w:rsidTr="009D2573">
        <w:trPr>
          <w:trHeight w:val="20"/>
        </w:trPr>
        <w:tc>
          <w:tcPr>
            <w:tcW w:w="356" w:type="pct"/>
            <w:vMerge/>
            <w:shd w:val="clear" w:color="auto" w:fill="auto"/>
            <w:vAlign w:val="center"/>
          </w:tcPr>
          <w:p w14:paraId="465F1713" w14:textId="77777777" w:rsidR="009D2573" w:rsidRPr="00B457F5" w:rsidRDefault="009D2573" w:rsidP="00F53AA3">
            <w:pPr>
              <w:spacing w:before="0" w:after="0"/>
              <w:jc w:val="left"/>
              <w:rPr>
                <w:rFonts w:ascii="Garamond" w:hAnsi="Garamond" w:cs="Times New Roman"/>
                <w:sz w:val="14"/>
                <w:szCs w:val="16"/>
              </w:rPr>
            </w:pPr>
          </w:p>
        </w:tc>
        <w:tc>
          <w:tcPr>
            <w:tcW w:w="987" w:type="pct"/>
            <w:shd w:val="clear" w:color="auto" w:fill="auto"/>
          </w:tcPr>
          <w:p w14:paraId="4904FD08" w14:textId="1D3E386D"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 xml:space="preserve">4.2.2 Infrastrukturë dhe burime njerëzore në </w:t>
            </w:r>
            <w:r w:rsidR="0006016F" w:rsidRPr="00B457F5">
              <w:rPr>
                <w:rFonts w:ascii="Garamond" w:hAnsi="Garamond" w:cs="Times New Roman"/>
                <w:sz w:val="14"/>
                <w:szCs w:val="16"/>
              </w:rPr>
              <w:t>qendrat</w:t>
            </w:r>
            <w:r w:rsidRPr="00B457F5">
              <w:rPr>
                <w:rFonts w:ascii="Garamond" w:hAnsi="Garamond" w:cs="Times New Roman"/>
                <w:sz w:val="14"/>
                <w:szCs w:val="16"/>
              </w:rPr>
              <w:t xml:space="preserve"> pritëse dhe tranzitore për të siguruar plotësimin e nevojave të grupeve vulnerabël</w:t>
            </w:r>
          </w:p>
        </w:tc>
        <w:tc>
          <w:tcPr>
            <w:tcW w:w="917" w:type="pct"/>
            <w:shd w:val="clear" w:color="auto" w:fill="auto"/>
          </w:tcPr>
          <w:p w14:paraId="5F6C0089" w14:textId="3F6D0C0B" w:rsidR="009D2573"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 xml:space="preserve">Rritja e numrit të shërbimeve </w:t>
            </w:r>
          </w:p>
          <w:p w14:paraId="5573E93F" w14:textId="77777777" w:rsidR="00933517" w:rsidRPr="00B457F5" w:rsidRDefault="00933517" w:rsidP="00F53AA3">
            <w:pPr>
              <w:spacing w:before="0" w:after="0"/>
              <w:jc w:val="left"/>
              <w:rPr>
                <w:rFonts w:ascii="Garamond" w:hAnsi="Garamond" w:cs="Times New Roman"/>
                <w:sz w:val="14"/>
                <w:szCs w:val="16"/>
              </w:rPr>
            </w:pPr>
          </w:p>
          <w:p w14:paraId="4D5D5F6F"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 xml:space="preserve">Rritja e numrit të stafit përgjegjës për asistimin e grupeve vulnerabël </w:t>
            </w:r>
          </w:p>
        </w:tc>
        <w:tc>
          <w:tcPr>
            <w:tcW w:w="747" w:type="pct"/>
            <w:shd w:val="clear" w:color="auto" w:fill="auto"/>
          </w:tcPr>
          <w:p w14:paraId="12231319" w14:textId="4DBF43E5"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Pjesë e ofrimit të shërbimeve direkte është bërë 1 punonjës (</w:t>
            </w:r>
            <w:r w:rsidR="00933517" w:rsidRPr="00B457F5">
              <w:rPr>
                <w:rFonts w:ascii="Garamond" w:hAnsi="Garamond" w:cs="Times New Roman"/>
                <w:sz w:val="14"/>
                <w:szCs w:val="16"/>
              </w:rPr>
              <w:t>kujdestari i natës/kontratë e përkohshme pune</w:t>
            </w:r>
            <w:r w:rsidRPr="00B457F5">
              <w:rPr>
                <w:rFonts w:ascii="Garamond" w:hAnsi="Garamond" w:cs="Times New Roman"/>
                <w:sz w:val="14"/>
                <w:szCs w:val="16"/>
              </w:rPr>
              <w:t>) për vitin 2023</w:t>
            </w:r>
          </w:p>
        </w:tc>
        <w:tc>
          <w:tcPr>
            <w:tcW w:w="438" w:type="pct"/>
            <w:shd w:val="clear" w:color="auto" w:fill="auto"/>
          </w:tcPr>
          <w:p w14:paraId="66A05D87" w14:textId="0CEDCB14"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Rritës në ofrimin e shërbimeve</w:t>
            </w:r>
          </w:p>
        </w:tc>
        <w:tc>
          <w:tcPr>
            <w:tcW w:w="430" w:type="pct"/>
            <w:shd w:val="clear" w:color="auto" w:fill="auto"/>
          </w:tcPr>
          <w:p w14:paraId="3130EDC5" w14:textId="19947976"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Rritës në ofrimin e shërbimeve</w:t>
            </w:r>
          </w:p>
        </w:tc>
        <w:tc>
          <w:tcPr>
            <w:tcW w:w="591" w:type="pct"/>
            <w:shd w:val="clear" w:color="auto" w:fill="auto"/>
          </w:tcPr>
          <w:p w14:paraId="3D1E5D5B" w14:textId="6649FC9D"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Statistika e QPA</w:t>
            </w:r>
            <w:r w:rsidR="00933517">
              <w:rPr>
                <w:rFonts w:ascii="Garamond" w:hAnsi="Garamond" w:cs="Times New Roman"/>
                <w:sz w:val="14"/>
                <w:szCs w:val="16"/>
              </w:rPr>
              <w:t>-s</w:t>
            </w:r>
            <w:r w:rsidR="00933517" w:rsidRPr="00B457F5">
              <w:rPr>
                <w:rFonts w:ascii="Garamond" w:hAnsi="Garamond" w:cs="Times New Roman"/>
                <w:sz w:val="14"/>
                <w:szCs w:val="16"/>
              </w:rPr>
              <w:t>ë</w:t>
            </w:r>
          </w:p>
        </w:tc>
        <w:tc>
          <w:tcPr>
            <w:tcW w:w="533" w:type="pct"/>
            <w:shd w:val="clear" w:color="auto" w:fill="auto"/>
          </w:tcPr>
          <w:p w14:paraId="50F04E24"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Action Plan For Sustainable Migration Governance In</w:t>
            </w:r>
          </w:p>
          <w:p w14:paraId="2DF28C01"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The Western Balkans</w:t>
            </w:r>
          </w:p>
          <w:p w14:paraId="4CF1BC6F" w14:textId="5EC0553A"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Gcr</w:t>
            </w:r>
            <w:r w:rsidR="0006016F" w:rsidRPr="00B457F5">
              <w:rPr>
                <w:rFonts w:ascii="Garamond" w:hAnsi="Garamond" w:cs="Times New Roman"/>
                <w:sz w:val="14"/>
                <w:szCs w:val="16"/>
              </w:rPr>
              <w:t xml:space="preserve"> </w:t>
            </w:r>
          </w:p>
          <w:p w14:paraId="70D6BF65"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17.18 SDG</w:t>
            </w:r>
          </w:p>
          <w:p w14:paraId="7979740F"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 xml:space="preserve">EC.VI.A2; </w:t>
            </w:r>
          </w:p>
          <w:p w14:paraId="436652B8"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EC.VI.B2</w:t>
            </w:r>
          </w:p>
        </w:tc>
      </w:tr>
      <w:tr w:rsidR="009D2573" w:rsidRPr="00B457F5" w14:paraId="1508A740" w14:textId="77777777" w:rsidTr="009D2573">
        <w:trPr>
          <w:trHeight w:val="20"/>
        </w:trPr>
        <w:tc>
          <w:tcPr>
            <w:tcW w:w="356" w:type="pct"/>
            <w:vMerge/>
            <w:vAlign w:val="center"/>
          </w:tcPr>
          <w:p w14:paraId="1B3D7A94" w14:textId="77777777" w:rsidR="009D2573" w:rsidRPr="00B457F5" w:rsidRDefault="009D2573" w:rsidP="00F53AA3">
            <w:pPr>
              <w:spacing w:before="0" w:after="0"/>
              <w:jc w:val="left"/>
              <w:rPr>
                <w:rFonts w:ascii="Garamond" w:hAnsi="Garamond" w:cs="Times New Roman"/>
                <w:sz w:val="14"/>
                <w:szCs w:val="16"/>
              </w:rPr>
            </w:pPr>
          </w:p>
        </w:tc>
        <w:tc>
          <w:tcPr>
            <w:tcW w:w="987" w:type="pct"/>
          </w:tcPr>
          <w:p w14:paraId="209441EE" w14:textId="103D9C52"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 xml:space="preserve">4.2.3 Mbrojtje e veçantë për </w:t>
            </w:r>
            <w:r w:rsidR="0006016F" w:rsidRPr="00B457F5">
              <w:rPr>
                <w:rFonts w:ascii="Garamond" w:hAnsi="Garamond" w:cs="Times New Roman"/>
                <w:sz w:val="14"/>
                <w:szCs w:val="16"/>
              </w:rPr>
              <w:t>fëmijët</w:t>
            </w:r>
            <w:r w:rsidRPr="00B457F5">
              <w:rPr>
                <w:rFonts w:ascii="Garamond" w:hAnsi="Garamond" w:cs="Times New Roman"/>
                <w:sz w:val="14"/>
                <w:szCs w:val="16"/>
              </w:rPr>
              <w:t xml:space="preserve"> e huaj të pashoqëruar</w:t>
            </w:r>
          </w:p>
        </w:tc>
        <w:tc>
          <w:tcPr>
            <w:tcW w:w="917" w:type="pct"/>
          </w:tcPr>
          <w:p w14:paraId="72B209D8" w14:textId="2E172D96"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 xml:space="preserve">Numri i </w:t>
            </w:r>
            <w:r w:rsidR="0006016F" w:rsidRPr="00B457F5">
              <w:rPr>
                <w:rFonts w:ascii="Garamond" w:hAnsi="Garamond" w:cs="Times New Roman"/>
                <w:sz w:val="14"/>
                <w:szCs w:val="16"/>
              </w:rPr>
              <w:t>fëmijëve</w:t>
            </w:r>
            <w:r w:rsidRPr="00B457F5">
              <w:rPr>
                <w:rFonts w:ascii="Garamond" w:hAnsi="Garamond" w:cs="Times New Roman"/>
                <w:sz w:val="14"/>
                <w:szCs w:val="16"/>
              </w:rPr>
              <w:t xml:space="preserve"> të pashoqëruar të asistuar </w:t>
            </w:r>
          </w:p>
          <w:p w14:paraId="3330A120" w14:textId="77777777" w:rsidR="009D2573" w:rsidRPr="00B457F5" w:rsidRDefault="009D2573" w:rsidP="00F53AA3">
            <w:pPr>
              <w:spacing w:before="0" w:after="0"/>
              <w:jc w:val="left"/>
              <w:rPr>
                <w:rFonts w:ascii="Garamond" w:hAnsi="Garamond" w:cs="Times New Roman"/>
                <w:sz w:val="14"/>
                <w:szCs w:val="16"/>
              </w:rPr>
            </w:pPr>
          </w:p>
          <w:p w14:paraId="6BA213A0" w14:textId="77777777" w:rsidR="009D2573" w:rsidRPr="00B457F5" w:rsidRDefault="009D2573" w:rsidP="00F53AA3">
            <w:pPr>
              <w:spacing w:before="0" w:after="0"/>
              <w:jc w:val="left"/>
              <w:rPr>
                <w:rFonts w:ascii="Garamond" w:hAnsi="Garamond" w:cs="Times New Roman"/>
                <w:sz w:val="14"/>
                <w:szCs w:val="16"/>
              </w:rPr>
            </w:pPr>
          </w:p>
        </w:tc>
        <w:tc>
          <w:tcPr>
            <w:tcW w:w="747" w:type="pct"/>
          </w:tcPr>
          <w:p w14:paraId="43D7DA82" w14:textId="44848F74"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Nga 2019</w:t>
            </w:r>
            <w:r w:rsidR="00933517">
              <w:rPr>
                <w:rFonts w:ascii="Garamond" w:hAnsi="Garamond" w:cs="Times New Roman"/>
                <w:sz w:val="14"/>
                <w:szCs w:val="16"/>
              </w:rPr>
              <w:t>–</w:t>
            </w:r>
            <w:r w:rsidRPr="00B457F5">
              <w:rPr>
                <w:rFonts w:ascii="Garamond" w:hAnsi="Garamond" w:cs="Times New Roman"/>
                <w:sz w:val="14"/>
                <w:szCs w:val="16"/>
              </w:rPr>
              <w:t xml:space="preserve">2022 janë konstatuar 143 të mitur të huaj të pashoqëruar </w:t>
            </w:r>
            <w:r w:rsidR="00933517">
              <w:rPr>
                <w:rFonts w:ascii="Garamond" w:hAnsi="Garamond" w:cs="Times New Roman"/>
                <w:sz w:val="14"/>
                <w:szCs w:val="16"/>
              </w:rPr>
              <w:t>n</w:t>
            </w:r>
            <w:r w:rsidRPr="00B457F5">
              <w:rPr>
                <w:rFonts w:ascii="Garamond" w:hAnsi="Garamond" w:cs="Times New Roman"/>
                <w:sz w:val="14"/>
                <w:szCs w:val="16"/>
              </w:rPr>
              <w:t xml:space="preserve">ë vitin 2023 janë </w:t>
            </w:r>
            <w:r w:rsidRPr="00B457F5">
              <w:rPr>
                <w:rFonts w:ascii="Garamond" w:hAnsi="Garamond" w:cs="Times New Roman"/>
                <w:sz w:val="14"/>
                <w:szCs w:val="16"/>
              </w:rPr>
              <w:lastRenderedPageBreak/>
              <w:t>konstatuar 38 të mitur të huaj të pashoqëruar</w:t>
            </w:r>
          </w:p>
        </w:tc>
        <w:tc>
          <w:tcPr>
            <w:tcW w:w="438" w:type="pct"/>
          </w:tcPr>
          <w:p w14:paraId="4AE690F5" w14:textId="4D073FD0"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lastRenderedPageBreak/>
              <w:t xml:space="preserve">Rritës në ofrimin </w:t>
            </w:r>
            <w:r w:rsidR="00933517">
              <w:rPr>
                <w:rFonts w:ascii="Garamond" w:hAnsi="Garamond" w:cs="Times New Roman"/>
                <w:sz w:val="14"/>
                <w:szCs w:val="16"/>
              </w:rPr>
              <w:t>e</w:t>
            </w:r>
            <w:r w:rsidRPr="00B457F5">
              <w:rPr>
                <w:rFonts w:ascii="Garamond" w:hAnsi="Garamond" w:cs="Times New Roman"/>
                <w:sz w:val="14"/>
                <w:szCs w:val="16"/>
              </w:rPr>
              <w:t xml:space="preserve"> asistencës për shqyrtimin e kërkesës (nuk </w:t>
            </w:r>
            <w:r w:rsidRPr="00B457F5">
              <w:rPr>
                <w:rFonts w:ascii="Garamond" w:hAnsi="Garamond" w:cs="Times New Roman"/>
                <w:sz w:val="14"/>
                <w:szCs w:val="16"/>
              </w:rPr>
              <w:lastRenderedPageBreak/>
              <w:t>mund të përcaktojmë %)</w:t>
            </w:r>
          </w:p>
        </w:tc>
        <w:tc>
          <w:tcPr>
            <w:tcW w:w="430" w:type="pct"/>
          </w:tcPr>
          <w:p w14:paraId="0A53D7C8" w14:textId="59AD11B6"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lastRenderedPageBreak/>
              <w:t xml:space="preserve">Rritës në ofrimin e asistencës për shqyrtimin e kërkesës (nuk </w:t>
            </w:r>
            <w:r w:rsidRPr="00B457F5">
              <w:rPr>
                <w:rFonts w:ascii="Garamond" w:hAnsi="Garamond" w:cs="Times New Roman"/>
                <w:sz w:val="14"/>
                <w:szCs w:val="16"/>
              </w:rPr>
              <w:lastRenderedPageBreak/>
              <w:t xml:space="preserve">mund </w:t>
            </w:r>
            <w:r w:rsidR="00164C66" w:rsidRPr="00B457F5">
              <w:rPr>
                <w:rFonts w:ascii="Garamond" w:hAnsi="Garamond" w:cs="Times New Roman"/>
                <w:sz w:val="14"/>
                <w:szCs w:val="16"/>
              </w:rPr>
              <w:t>të</w:t>
            </w:r>
            <w:r w:rsidRPr="00B457F5">
              <w:rPr>
                <w:rFonts w:ascii="Garamond" w:hAnsi="Garamond" w:cs="Times New Roman"/>
                <w:sz w:val="14"/>
                <w:szCs w:val="16"/>
              </w:rPr>
              <w:t xml:space="preserve"> përcaktojmë %)</w:t>
            </w:r>
          </w:p>
        </w:tc>
        <w:tc>
          <w:tcPr>
            <w:tcW w:w="591" w:type="pct"/>
          </w:tcPr>
          <w:p w14:paraId="4D89BFCA"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lastRenderedPageBreak/>
              <w:t>ASHMDF</w:t>
            </w:r>
          </w:p>
          <w:p w14:paraId="388F81B3" w14:textId="77777777" w:rsidR="009D2573" w:rsidRPr="00B457F5" w:rsidRDefault="009D2573" w:rsidP="00F53AA3">
            <w:pPr>
              <w:spacing w:before="0" w:after="0"/>
              <w:jc w:val="left"/>
              <w:rPr>
                <w:rFonts w:ascii="Garamond" w:hAnsi="Garamond" w:cs="Times New Roman"/>
                <w:sz w:val="14"/>
                <w:szCs w:val="16"/>
              </w:rPr>
            </w:pPr>
          </w:p>
          <w:p w14:paraId="746F7748" w14:textId="2A27E0B0"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lastRenderedPageBreak/>
              <w:t>Statistikat e Drejtorisë së Politikave për Azilin</w:t>
            </w:r>
            <w:r w:rsidR="00933517">
              <w:rPr>
                <w:rFonts w:ascii="Garamond" w:hAnsi="Garamond" w:cs="Times New Roman"/>
                <w:sz w:val="14"/>
                <w:szCs w:val="16"/>
              </w:rPr>
              <w:t>,</w:t>
            </w:r>
            <w:r w:rsidRPr="00B457F5">
              <w:rPr>
                <w:rFonts w:ascii="Garamond" w:hAnsi="Garamond" w:cs="Times New Roman"/>
                <w:sz w:val="14"/>
                <w:szCs w:val="16"/>
              </w:rPr>
              <w:t xml:space="preserve"> të Huajt dhe Shtetësisë - MB</w:t>
            </w:r>
          </w:p>
          <w:p w14:paraId="733FFB64" w14:textId="77777777" w:rsidR="009D2573" w:rsidRPr="00B457F5" w:rsidRDefault="009D2573" w:rsidP="00F53AA3">
            <w:pPr>
              <w:spacing w:before="0" w:after="0"/>
              <w:jc w:val="left"/>
              <w:rPr>
                <w:rFonts w:ascii="Garamond" w:hAnsi="Garamond" w:cs="Times New Roman"/>
                <w:sz w:val="14"/>
                <w:szCs w:val="16"/>
              </w:rPr>
            </w:pPr>
          </w:p>
          <w:p w14:paraId="789C1D71"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Statistikat e Departamentit për Kufirin dhe Migracionin - DPPSH</w:t>
            </w:r>
          </w:p>
        </w:tc>
        <w:tc>
          <w:tcPr>
            <w:tcW w:w="533" w:type="pct"/>
          </w:tcPr>
          <w:p w14:paraId="18226A78"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lastRenderedPageBreak/>
              <w:t>Action Plan For Sustainable Migration Governance In</w:t>
            </w:r>
          </w:p>
          <w:p w14:paraId="7B5B3F27"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The Western Balkans</w:t>
            </w:r>
          </w:p>
          <w:p w14:paraId="7692B8E5" w14:textId="737658FC"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lastRenderedPageBreak/>
              <w:t>Gcr</w:t>
            </w:r>
            <w:r w:rsidR="0006016F" w:rsidRPr="00B457F5">
              <w:rPr>
                <w:rFonts w:ascii="Garamond" w:hAnsi="Garamond" w:cs="Times New Roman"/>
                <w:sz w:val="14"/>
                <w:szCs w:val="16"/>
              </w:rPr>
              <w:t xml:space="preserve"> </w:t>
            </w:r>
          </w:p>
          <w:p w14:paraId="75CC2199"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17.18 SDG</w:t>
            </w:r>
          </w:p>
          <w:p w14:paraId="3331E6E4"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 xml:space="preserve">EC.VI.A2; </w:t>
            </w:r>
          </w:p>
          <w:p w14:paraId="1C73797E"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EC.VI.B2</w:t>
            </w:r>
          </w:p>
        </w:tc>
      </w:tr>
      <w:tr w:rsidR="009D2573" w:rsidRPr="00B457F5" w14:paraId="38A98976" w14:textId="77777777" w:rsidTr="009D2573">
        <w:trPr>
          <w:trHeight w:val="20"/>
        </w:trPr>
        <w:tc>
          <w:tcPr>
            <w:tcW w:w="356" w:type="pct"/>
            <w:vAlign w:val="center"/>
          </w:tcPr>
          <w:p w14:paraId="0804F8E0" w14:textId="77777777" w:rsidR="009D2573" w:rsidRPr="00B457F5" w:rsidRDefault="009D2573" w:rsidP="00F53AA3">
            <w:pPr>
              <w:spacing w:before="0" w:after="0"/>
              <w:jc w:val="left"/>
              <w:rPr>
                <w:rFonts w:ascii="Garamond" w:hAnsi="Garamond" w:cs="Times New Roman"/>
                <w:sz w:val="14"/>
                <w:szCs w:val="16"/>
              </w:rPr>
            </w:pPr>
          </w:p>
        </w:tc>
        <w:tc>
          <w:tcPr>
            <w:tcW w:w="987" w:type="pct"/>
          </w:tcPr>
          <w:p w14:paraId="41CC6CD0" w14:textId="6F427601"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4.3.1 Programe me qëllim integrimin social</w:t>
            </w:r>
            <w:r w:rsidR="00933517">
              <w:rPr>
                <w:rFonts w:ascii="Garamond" w:hAnsi="Garamond" w:cs="Times New Roman"/>
                <w:sz w:val="14"/>
                <w:szCs w:val="16"/>
              </w:rPr>
              <w:t>-</w:t>
            </w:r>
            <w:r w:rsidRPr="00B457F5">
              <w:rPr>
                <w:rFonts w:ascii="Garamond" w:hAnsi="Garamond" w:cs="Times New Roman"/>
                <w:sz w:val="14"/>
                <w:szCs w:val="16"/>
              </w:rPr>
              <w:t>ekonomik të azilkërkuesve, refugjatëve</w:t>
            </w:r>
          </w:p>
        </w:tc>
        <w:tc>
          <w:tcPr>
            <w:tcW w:w="917" w:type="pct"/>
          </w:tcPr>
          <w:p w14:paraId="5A772D52"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 xml:space="preserve">Numri i azilkërkuesve dhe refugjatëve që kanë përfituar nga programet integruese </w:t>
            </w:r>
          </w:p>
        </w:tc>
        <w:tc>
          <w:tcPr>
            <w:tcW w:w="747" w:type="pct"/>
          </w:tcPr>
          <w:p w14:paraId="291280C0" w14:textId="63B5F8BA"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70% e kërkuesve për mbrojtje ndërkombëtare kanë përfituar nga shërbimet integruese. Pjesa tjetër kanë qëndruar për një kohë të shkurtër në Qendrën e Pritjes për Azil për vitin 2023</w:t>
            </w:r>
          </w:p>
        </w:tc>
        <w:tc>
          <w:tcPr>
            <w:tcW w:w="438" w:type="pct"/>
          </w:tcPr>
          <w:p w14:paraId="45E2170C" w14:textId="5713D4DB"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Rritës</w:t>
            </w:r>
            <w:r w:rsidR="0006016F" w:rsidRPr="00B457F5">
              <w:rPr>
                <w:rFonts w:ascii="Garamond" w:hAnsi="Garamond" w:cs="Times New Roman"/>
                <w:sz w:val="14"/>
                <w:szCs w:val="16"/>
              </w:rPr>
              <w:t xml:space="preserve"> </w:t>
            </w:r>
            <w:r w:rsidRPr="00B457F5">
              <w:rPr>
                <w:rFonts w:ascii="Garamond" w:hAnsi="Garamond" w:cs="Times New Roman"/>
                <w:sz w:val="14"/>
                <w:szCs w:val="16"/>
              </w:rPr>
              <w:t>i integrimit të kërkuesve</w:t>
            </w:r>
          </w:p>
        </w:tc>
        <w:tc>
          <w:tcPr>
            <w:tcW w:w="430" w:type="pct"/>
          </w:tcPr>
          <w:p w14:paraId="0D9B0446" w14:textId="2ED9B4DE"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Rritës</w:t>
            </w:r>
            <w:r w:rsidR="0006016F" w:rsidRPr="00B457F5">
              <w:rPr>
                <w:rFonts w:ascii="Garamond" w:hAnsi="Garamond" w:cs="Times New Roman"/>
                <w:sz w:val="14"/>
                <w:szCs w:val="16"/>
              </w:rPr>
              <w:t xml:space="preserve"> </w:t>
            </w:r>
            <w:r w:rsidRPr="00B457F5">
              <w:rPr>
                <w:rFonts w:ascii="Garamond" w:hAnsi="Garamond" w:cs="Times New Roman"/>
                <w:sz w:val="14"/>
                <w:szCs w:val="16"/>
              </w:rPr>
              <w:t>i integrimit të kërkuesve</w:t>
            </w:r>
          </w:p>
        </w:tc>
        <w:tc>
          <w:tcPr>
            <w:tcW w:w="591" w:type="pct"/>
          </w:tcPr>
          <w:p w14:paraId="0EFFADE6" w14:textId="226BC3FB"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Statistika e QPA</w:t>
            </w:r>
            <w:r w:rsidR="00933517">
              <w:rPr>
                <w:rFonts w:ascii="Garamond" w:hAnsi="Garamond" w:cs="Times New Roman"/>
                <w:sz w:val="14"/>
                <w:szCs w:val="16"/>
              </w:rPr>
              <w:t>-s</w:t>
            </w:r>
            <w:r w:rsidR="00933517" w:rsidRPr="00B457F5">
              <w:rPr>
                <w:rFonts w:ascii="Garamond" w:hAnsi="Garamond" w:cs="Times New Roman"/>
                <w:sz w:val="14"/>
                <w:szCs w:val="16"/>
              </w:rPr>
              <w:t>ë</w:t>
            </w:r>
          </w:p>
        </w:tc>
        <w:tc>
          <w:tcPr>
            <w:tcW w:w="533" w:type="pct"/>
          </w:tcPr>
          <w:p w14:paraId="01BF1A70"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Action Plan For Sustainable Migration Governance In</w:t>
            </w:r>
          </w:p>
          <w:p w14:paraId="1B65F1EA"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The Western Balkans</w:t>
            </w:r>
          </w:p>
          <w:p w14:paraId="30FE4C78" w14:textId="377AEE81"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Gcr</w:t>
            </w:r>
            <w:r w:rsidR="0006016F" w:rsidRPr="00B457F5">
              <w:rPr>
                <w:rFonts w:ascii="Garamond" w:hAnsi="Garamond" w:cs="Times New Roman"/>
                <w:sz w:val="14"/>
                <w:szCs w:val="16"/>
              </w:rPr>
              <w:t xml:space="preserve"> </w:t>
            </w:r>
          </w:p>
          <w:p w14:paraId="26C85363"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17.18 SDG</w:t>
            </w:r>
          </w:p>
          <w:p w14:paraId="6E33D4DA"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 xml:space="preserve">EC.VI.A2; </w:t>
            </w:r>
          </w:p>
          <w:p w14:paraId="5579B1DF"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EC.VI.B2</w:t>
            </w:r>
          </w:p>
        </w:tc>
      </w:tr>
      <w:tr w:rsidR="009D2573" w:rsidRPr="00B457F5" w14:paraId="3FC82A3E" w14:textId="77777777" w:rsidTr="009D2573">
        <w:trPr>
          <w:trHeight w:val="20"/>
        </w:trPr>
        <w:tc>
          <w:tcPr>
            <w:tcW w:w="356" w:type="pct"/>
            <w:vAlign w:val="center"/>
          </w:tcPr>
          <w:p w14:paraId="5B0B385A" w14:textId="77777777" w:rsidR="009D2573" w:rsidRPr="00B457F5" w:rsidRDefault="009D2573" w:rsidP="00F53AA3">
            <w:pPr>
              <w:spacing w:before="0" w:after="0"/>
              <w:jc w:val="left"/>
              <w:rPr>
                <w:rFonts w:ascii="Garamond" w:hAnsi="Garamond" w:cs="Times New Roman"/>
                <w:sz w:val="14"/>
                <w:szCs w:val="16"/>
              </w:rPr>
            </w:pPr>
          </w:p>
        </w:tc>
        <w:tc>
          <w:tcPr>
            <w:tcW w:w="987" w:type="pct"/>
          </w:tcPr>
          <w:p w14:paraId="587DAF48"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4.3.2 Ofrimi i zgjidhjeve të qëndrueshme për personat me mbrojtje ndërkombëtare</w:t>
            </w:r>
          </w:p>
        </w:tc>
        <w:tc>
          <w:tcPr>
            <w:tcW w:w="917" w:type="pct"/>
          </w:tcPr>
          <w:p w14:paraId="68BA4E25"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Numri i azilkërkuesve dhe refugjatëve që përfitojnë periodikisht shërbimet publike, sociale, shëndetësore</w:t>
            </w:r>
          </w:p>
        </w:tc>
        <w:tc>
          <w:tcPr>
            <w:tcW w:w="747" w:type="pct"/>
          </w:tcPr>
          <w:p w14:paraId="4E54DE59"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15 persona me status të mbrojtjes ndërkombëtare janë pajisur me letërnjoftim elektronik. 3 janë pajisur me travel dokument. 10 janë pajisur me leje qëndrimi.</w:t>
            </w:r>
          </w:p>
        </w:tc>
        <w:tc>
          <w:tcPr>
            <w:tcW w:w="438" w:type="pct"/>
          </w:tcPr>
          <w:p w14:paraId="28E2CE4E"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Rritës 10%</w:t>
            </w:r>
          </w:p>
        </w:tc>
        <w:tc>
          <w:tcPr>
            <w:tcW w:w="430" w:type="pct"/>
          </w:tcPr>
          <w:p w14:paraId="2011553D"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Rritës 15%</w:t>
            </w:r>
          </w:p>
        </w:tc>
        <w:tc>
          <w:tcPr>
            <w:tcW w:w="591" w:type="pct"/>
          </w:tcPr>
          <w:p w14:paraId="53FFC2E6" w14:textId="1B4A378C"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Të dhënat e Drejtorisë së Politikave për Azilin</w:t>
            </w:r>
            <w:r w:rsidR="00933517">
              <w:rPr>
                <w:rFonts w:ascii="Garamond" w:hAnsi="Garamond" w:cs="Times New Roman"/>
                <w:sz w:val="14"/>
                <w:szCs w:val="16"/>
              </w:rPr>
              <w:t>,</w:t>
            </w:r>
            <w:r w:rsidRPr="00B457F5">
              <w:rPr>
                <w:rFonts w:ascii="Garamond" w:hAnsi="Garamond" w:cs="Times New Roman"/>
                <w:sz w:val="14"/>
                <w:szCs w:val="16"/>
              </w:rPr>
              <w:t xml:space="preserve"> të Huajt dhe Shtetësinë - MB</w:t>
            </w:r>
          </w:p>
        </w:tc>
        <w:tc>
          <w:tcPr>
            <w:tcW w:w="533" w:type="pct"/>
          </w:tcPr>
          <w:p w14:paraId="15E4E52C"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Action Plan For Sustainable Migration Governance In</w:t>
            </w:r>
          </w:p>
          <w:p w14:paraId="093886E1"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The Western Balkans</w:t>
            </w:r>
          </w:p>
          <w:p w14:paraId="589B1A90" w14:textId="1FFE5E08"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Gcr</w:t>
            </w:r>
            <w:r w:rsidR="0006016F" w:rsidRPr="00B457F5">
              <w:rPr>
                <w:rFonts w:ascii="Garamond" w:hAnsi="Garamond" w:cs="Times New Roman"/>
                <w:sz w:val="14"/>
                <w:szCs w:val="16"/>
              </w:rPr>
              <w:t xml:space="preserve"> </w:t>
            </w:r>
          </w:p>
          <w:p w14:paraId="5156E253"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17.18 SDG</w:t>
            </w:r>
          </w:p>
          <w:p w14:paraId="0D356618"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 xml:space="preserve">EC.VI.A2; </w:t>
            </w:r>
          </w:p>
          <w:p w14:paraId="549A5553" w14:textId="77777777" w:rsidR="009D2573" w:rsidRPr="00B457F5" w:rsidRDefault="009D2573" w:rsidP="00F53AA3">
            <w:pPr>
              <w:spacing w:before="0" w:after="0"/>
              <w:jc w:val="left"/>
              <w:rPr>
                <w:rFonts w:ascii="Garamond" w:hAnsi="Garamond" w:cs="Times New Roman"/>
                <w:sz w:val="14"/>
                <w:szCs w:val="16"/>
              </w:rPr>
            </w:pPr>
            <w:r w:rsidRPr="00B457F5">
              <w:rPr>
                <w:rFonts w:ascii="Garamond" w:hAnsi="Garamond" w:cs="Times New Roman"/>
                <w:sz w:val="14"/>
                <w:szCs w:val="16"/>
              </w:rPr>
              <w:t>EC.VI.B2</w:t>
            </w:r>
          </w:p>
        </w:tc>
      </w:tr>
    </w:tbl>
    <w:p w14:paraId="7D09653C" w14:textId="369859EA" w:rsidR="009D2573" w:rsidRPr="00B457F5" w:rsidRDefault="009D2573" w:rsidP="009D2573">
      <w:pPr>
        <w:spacing w:before="0" w:after="0"/>
        <w:rPr>
          <w:rFonts w:ascii="Garamond" w:hAnsi="Garamond" w:cs="Times New Roman"/>
          <w:i/>
          <w:sz w:val="16"/>
          <w:szCs w:val="16"/>
        </w:rPr>
      </w:pPr>
    </w:p>
    <w:p w14:paraId="0DBE336A" w14:textId="77777777" w:rsidR="00293DB8" w:rsidRPr="00B457F5" w:rsidRDefault="00293DB8" w:rsidP="009D2573">
      <w:pPr>
        <w:spacing w:before="0" w:after="0"/>
        <w:rPr>
          <w:rFonts w:ascii="Garamond" w:hAnsi="Garamond" w:cs="Times New Roman"/>
          <w:i/>
          <w:sz w:val="16"/>
          <w:szCs w:val="16"/>
        </w:rPr>
      </w:pPr>
    </w:p>
    <w:sectPr w:rsidR="00293DB8" w:rsidRPr="00B457F5" w:rsidSect="00C260C3">
      <w:pgSz w:w="16840" w:h="11907" w:orient="landscape" w:code="9"/>
      <w:pgMar w:top="1418" w:right="1418" w:bottom="1304" w:left="1418" w:header="1304" w:footer="1134" w:gutter="0"/>
      <w:pgNumType w:fmt="lowerRoman"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C66A95" w14:textId="77777777" w:rsidR="009936AF" w:rsidRPr="00CC13A7" w:rsidRDefault="009936AF">
      <w:r w:rsidRPr="00CC13A7">
        <w:separator/>
      </w:r>
    </w:p>
  </w:endnote>
  <w:endnote w:type="continuationSeparator" w:id="0">
    <w:p w14:paraId="647F281D" w14:textId="77777777" w:rsidR="009936AF" w:rsidRPr="00CC13A7" w:rsidRDefault="009936AF">
      <w:r w:rsidRPr="00CC13A7">
        <w:continuationSeparator/>
      </w:r>
    </w:p>
  </w:endnote>
  <w:endnote w:type="continuationNotice" w:id="1">
    <w:p w14:paraId="1E69C372" w14:textId="77777777" w:rsidR="009936AF" w:rsidRDefault="009936A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ont1236">
    <w:altName w:val="Calibri"/>
    <w:charset w:val="00"/>
    <w:family w:val="auto"/>
    <w:pitch w:val="variable"/>
  </w:font>
  <w:font w:name="+mn-ea">
    <w:panose1 w:val="00000000000000000000"/>
    <w:charset w:val="00"/>
    <w:family w:val="roman"/>
    <w:notTrueType/>
    <w:pitch w:val="default"/>
  </w:font>
  <w:font w:name="+mn-c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600948" w14:textId="77777777" w:rsidR="009936AF" w:rsidRPr="00CC13A7" w:rsidRDefault="009936AF">
      <w:r w:rsidRPr="00CC13A7">
        <w:separator/>
      </w:r>
    </w:p>
  </w:footnote>
  <w:footnote w:type="continuationSeparator" w:id="0">
    <w:p w14:paraId="2149C45B" w14:textId="77777777" w:rsidR="009936AF" w:rsidRPr="00CC13A7" w:rsidRDefault="009936AF">
      <w:r w:rsidRPr="00CC13A7">
        <w:continuationSeparator/>
      </w:r>
    </w:p>
  </w:footnote>
  <w:footnote w:type="continuationNotice" w:id="1">
    <w:p w14:paraId="34C17127" w14:textId="77777777" w:rsidR="009936AF" w:rsidRDefault="009936AF">
      <w:pPr>
        <w:spacing w:before="0" w:after="0"/>
      </w:pPr>
    </w:p>
  </w:footnote>
  <w:footnote w:id="2">
    <w:p w14:paraId="0A4E1673" w14:textId="53F547A6" w:rsidR="009936AF" w:rsidRPr="003E3D96" w:rsidRDefault="009936AF" w:rsidP="00C42B36">
      <w:pPr>
        <w:pStyle w:val="FootnoteText"/>
        <w:spacing w:before="0" w:after="0"/>
        <w:jc w:val="left"/>
        <w:rPr>
          <w:rFonts w:ascii="Garamond" w:hAnsi="Garamond" w:cs="Times New Roman"/>
          <w:sz w:val="16"/>
          <w:szCs w:val="16"/>
        </w:rPr>
      </w:pPr>
      <w:r w:rsidRPr="003E3D96">
        <w:rPr>
          <w:rStyle w:val="FootnoteReference"/>
          <w:rFonts w:ascii="Garamond" w:hAnsi="Garamond" w:cs="Times New Roman"/>
          <w:sz w:val="16"/>
          <w:szCs w:val="16"/>
        </w:rPr>
        <w:footnoteRef/>
      </w:r>
      <w:r w:rsidRPr="003E3D96">
        <w:rPr>
          <w:rFonts w:ascii="Garamond" w:hAnsi="Garamond" w:cs="Times New Roman"/>
          <w:sz w:val="16"/>
          <w:szCs w:val="16"/>
        </w:rPr>
        <w:t xml:space="preserve"> Ligji nr. 9668, datë 18.12.2006, “Për emigrimin e shtetasve shqiptarë për qëllime punësimi”, i ndryshuar.</w:t>
      </w:r>
    </w:p>
  </w:footnote>
  <w:footnote w:id="3">
    <w:p w14:paraId="2E4DC18C" w14:textId="339C9678" w:rsidR="009936AF" w:rsidRPr="003E3D96" w:rsidRDefault="009936AF" w:rsidP="00C42B36">
      <w:pPr>
        <w:pStyle w:val="FootnoteText"/>
        <w:spacing w:before="0" w:after="0"/>
        <w:jc w:val="left"/>
        <w:rPr>
          <w:rFonts w:ascii="Garamond" w:hAnsi="Garamond" w:cs="Times New Roman"/>
          <w:bCs/>
          <w:color w:val="000000"/>
          <w:sz w:val="16"/>
          <w:szCs w:val="16"/>
        </w:rPr>
      </w:pPr>
      <w:r w:rsidRPr="003E3D96">
        <w:rPr>
          <w:rStyle w:val="FootnoteReference"/>
          <w:rFonts w:ascii="Garamond" w:hAnsi="Garamond" w:cs="Times New Roman"/>
          <w:bCs/>
          <w:color w:val="000000"/>
          <w:sz w:val="16"/>
          <w:szCs w:val="16"/>
        </w:rPr>
        <w:footnoteRef/>
      </w:r>
      <w:r w:rsidRPr="003E3D96">
        <w:rPr>
          <w:rFonts w:ascii="Garamond" w:hAnsi="Garamond" w:cs="Times New Roman"/>
          <w:bCs/>
          <w:color w:val="000000"/>
          <w:sz w:val="16"/>
          <w:szCs w:val="16"/>
        </w:rPr>
        <w:t xml:space="preserve"> Ligji nr. 15/2019, “Për nxitjen e punësimit”.</w:t>
      </w:r>
    </w:p>
  </w:footnote>
  <w:footnote w:id="4">
    <w:p w14:paraId="37E41F87" w14:textId="03BB46E9" w:rsidR="009936AF" w:rsidRPr="00045F53" w:rsidRDefault="009936AF" w:rsidP="00494CBD">
      <w:pPr>
        <w:pStyle w:val="FootnoteText"/>
        <w:spacing w:before="0" w:after="0"/>
        <w:rPr>
          <w:rFonts w:ascii="Garamond" w:hAnsi="Garamond" w:cs="Times New Roman"/>
          <w:sz w:val="16"/>
          <w:szCs w:val="16"/>
        </w:rPr>
      </w:pPr>
      <w:r w:rsidRPr="00045F53">
        <w:rPr>
          <w:rStyle w:val="FootnoteReference"/>
          <w:rFonts w:ascii="Garamond" w:hAnsi="Garamond" w:cs="Times New Roman"/>
          <w:sz w:val="16"/>
          <w:szCs w:val="16"/>
        </w:rPr>
        <w:footnoteRef/>
      </w:r>
      <w:r w:rsidRPr="00045F53">
        <w:rPr>
          <w:rFonts w:ascii="Garamond" w:hAnsi="Garamond" w:cs="Times New Roman"/>
          <w:sz w:val="16"/>
          <w:szCs w:val="16"/>
        </w:rPr>
        <w:t xml:space="preserve"> Ligji nr. 10221, datë 4.2.2010, “Për mbrojtjen nga diskriminimi”, i përditësuar, https://www.kmd.al/wp-content/uploads/2020/11/LMD-i-perditesuar-1.pdf.</w:t>
      </w:r>
    </w:p>
  </w:footnote>
  <w:footnote w:id="5">
    <w:p w14:paraId="685E0FDB" w14:textId="385BE41E" w:rsidR="009936AF" w:rsidRPr="00045F53" w:rsidRDefault="009936AF" w:rsidP="00494CBD">
      <w:pPr>
        <w:pStyle w:val="FootnoteText"/>
        <w:spacing w:before="0" w:after="0"/>
        <w:rPr>
          <w:rFonts w:ascii="Garamond" w:hAnsi="Garamond"/>
          <w:sz w:val="16"/>
          <w:szCs w:val="16"/>
        </w:rPr>
      </w:pPr>
      <w:r w:rsidRPr="00045F53">
        <w:rPr>
          <w:rStyle w:val="FootnoteReference"/>
          <w:rFonts w:ascii="Garamond" w:hAnsi="Garamond" w:cs="Times New Roman"/>
          <w:sz w:val="16"/>
          <w:szCs w:val="16"/>
        </w:rPr>
        <w:footnoteRef/>
      </w:r>
      <w:r w:rsidRPr="00045F53">
        <w:rPr>
          <w:rFonts w:ascii="Garamond" w:hAnsi="Garamond" w:cs="Times New Roman"/>
          <w:sz w:val="16"/>
          <w:szCs w:val="16"/>
        </w:rPr>
        <w:t xml:space="preserve"> Ligji nr. 38/2019, datë 20.6.2019, “Për disa ndryshime dhe shtesa në ligjin nr. 139/2015, ‘Për vetëqeverisjen vendore’”.</w:t>
      </w:r>
    </w:p>
  </w:footnote>
  <w:footnote w:id="6">
    <w:p w14:paraId="459FB3CF" w14:textId="6DEF0CEE" w:rsidR="009936AF" w:rsidRPr="009C6465" w:rsidRDefault="009936AF" w:rsidP="009C6465">
      <w:pPr>
        <w:pStyle w:val="FootnoteText"/>
        <w:spacing w:before="0" w:after="0"/>
        <w:rPr>
          <w:rFonts w:ascii="Garamond" w:hAnsi="Garamond" w:cs="Times New Roman"/>
          <w:sz w:val="16"/>
          <w:szCs w:val="16"/>
        </w:rPr>
      </w:pPr>
      <w:r w:rsidRPr="009C6465">
        <w:rPr>
          <w:rStyle w:val="FootnoteReference"/>
          <w:rFonts w:ascii="Garamond" w:hAnsi="Garamond" w:cs="Times New Roman"/>
          <w:sz w:val="16"/>
          <w:szCs w:val="16"/>
        </w:rPr>
        <w:footnoteRef/>
      </w:r>
      <w:r w:rsidRPr="009C6465">
        <w:rPr>
          <w:rFonts w:ascii="Garamond" w:hAnsi="Garamond" w:cs="Times New Roman"/>
          <w:sz w:val="16"/>
          <w:szCs w:val="16"/>
        </w:rPr>
        <w:t xml:space="preserve"> VKM-ja nr. 857, datë 29.12.2021, “Për ngritjen dhe funksionimin e Regjistrit Elektronik Kombëtar për të Huajt (REKH) në Republikën e Shqipërisë”.</w:t>
      </w:r>
    </w:p>
  </w:footnote>
  <w:footnote w:id="7">
    <w:p w14:paraId="05FA21EE" w14:textId="1029C7BF" w:rsidR="009936AF" w:rsidRPr="009C6465" w:rsidRDefault="009936AF" w:rsidP="009C6465">
      <w:pPr>
        <w:pStyle w:val="FootnoteText"/>
        <w:spacing w:before="0" w:after="0"/>
        <w:rPr>
          <w:rFonts w:ascii="Garamond" w:hAnsi="Garamond" w:cs="Times New Roman"/>
          <w:sz w:val="16"/>
          <w:szCs w:val="16"/>
        </w:rPr>
      </w:pPr>
      <w:r w:rsidRPr="009C6465">
        <w:rPr>
          <w:rStyle w:val="FootnoteReference"/>
          <w:rFonts w:ascii="Garamond" w:hAnsi="Garamond" w:cs="Times New Roman"/>
          <w:sz w:val="16"/>
          <w:szCs w:val="16"/>
        </w:rPr>
        <w:footnoteRef/>
      </w:r>
      <w:r w:rsidRPr="009C6465">
        <w:rPr>
          <w:rFonts w:ascii="Garamond" w:hAnsi="Garamond" w:cs="Times New Roman"/>
          <w:sz w:val="16"/>
          <w:szCs w:val="16"/>
        </w:rPr>
        <w:t xml:space="preserve"> VKM-ja nr. 88, datë 22.2.2023, “Për miratimin e Strategjisë Kombëtare për Zhvillimin dhe Integrimin Evropian 2022</w:t>
      </w:r>
      <w:r w:rsidRPr="009C6465">
        <w:rPr>
          <w:rStyle w:val="contentpasted1"/>
          <w:rFonts w:ascii="Garamond" w:hAnsi="Garamond" w:cs="Times New Roman"/>
          <w:color w:val="000000"/>
          <w:sz w:val="16"/>
          <w:szCs w:val="16"/>
        </w:rPr>
        <w:t>–</w:t>
      </w:r>
      <w:r w:rsidRPr="009C6465">
        <w:rPr>
          <w:rFonts w:ascii="Garamond" w:hAnsi="Garamond" w:cs="Times New Roman"/>
          <w:sz w:val="16"/>
          <w:szCs w:val="16"/>
        </w:rPr>
        <w:t>2030”.</w:t>
      </w:r>
    </w:p>
  </w:footnote>
  <w:footnote w:id="8">
    <w:p w14:paraId="67F4558A" w14:textId="4B9A2222" w:rsidR="009936AF" w:rsidRPr="009C6465" w:rsidRDefault="009936AF" w:rsidP="009C6465">
      <w:pPr>
        <w:pStyle w:val="FootnoteText"/>
        <w:spacing w:before="0" w:after="0"/>
        <w:rPr>
          <w:rFonts w:ascii="Garamond" w:hAnsi="Garamond" w:cs="Times New Roman"/>
          <w:sz w:val="16"/>
          <w:szCs w:val="16"/>
        </w:rPr>
      </w:pPr>
      <w:r w:rsidRPr="009C6465">
        <w:rPr>
          <w:rStyle w:val="FootnoteReference"/>
          <w:rFonts w:ascii="Garamond" w:hAnsi="Garamond" w:cs="Times New Roman"/>
          <w:sz w:val="16"/>
          <w:szCs w:val="16"/>
        </w:rPr>
        <w:footnoteRef/>
      </w:r>
      <w:r w:rsidRPr="009C6465">
        <w:rPr>
          <w:rFonts w:ascii="Garamond" w:hAnsi="Garamond" w:cs="Times New Roman"/>
          <w:sz w:val="16"/>
          <w:szCs w:val="16"/>
        </w:rPr>
        <w:t xml:space="preserve"> VKM-ja nr. 173, datë 24.3.2023, “Për miratimin e Strategjisë Kombëtare të Punësimit dhe Aftësive 2023</w:t>
      </w:r>
      <w:r w:rsidRPr="009C6465">
        <w:rPr>
          <w:rStyle w:val="contentpasted1"/>
          <w:rFonts w:ascii="Garamond" w:hAnsi="Garamond" w:cs="Times New Roman"/>
          <w:color w:val="000000"/>
          <w:sz w:val="16"/>
          <w:szCs w:val="16"/>
        </w:rPr>
        <w:t>–</w:t>
      </w:r>
      <w:r w:rsidRPr="009C6465">
        <w:rPr>
          <w:rFonts w:ascii="Garamond" w:hAnsi="Garamond" w:cs="Times New Roman"/>
          <w:sz w:val="16"/>
          <w:szCs w:val="16"/>
        </w:rPr>
        <w:t>2030, Planit të Veprimit për zbatimin e saj</w:t>
      </w:r>
      <w:r>
        <w:rPr>
          <w:rFonts w:ascii="Garamond" w:hAnsi="Garamond" w:cs="Times New Roman"/>
          <w:sz w:val="16"/>
          <w:szCs w:val="16"/>
        </w:rPr>
        <w:t>,</w:t>
      </w:r>
      <w:r w:rsidRPr="009C6465">
        <w:rPr>
          <w:rFonts w:ascii="Garamond" w:hAnsi="Garamond" w:cs="Times New Roman"/>
          <w:sz w:val="16"/>
          <w:szCs w:val="16"/>
        </w:rPr>
        <w:t xml:space="preserve"> si dhe Planit të Zbatimit të Garancisë Rinore 2023</w:t>
      </w:r>
      <w:r w:rsidRPr="009C6465">
        <w:rPr>
          <w:rStyle w:val="contentpasted1"/>
          <w:rFonts w:ascii="Garamond" w:hAnsi="Garamond" w:cs="Times New Roman"/>
          <w:color w:val="000000"/>
          <w:sz w:val="16"/>
          <w:szCs w:val="16"/>
        </w:rPr>
        <w:t>–</w:t>
      </w:r>
      <w:r w:rsidRPr="009C6465">
        <w:rPr>
          <w:rFonts w:ascii="Garamond" w:hAnsi="Garamond" w:cs="Times New Roman"/>
          <w:sz w:val="16"/>
          <w:szCs w:val="16"/>
        </w:rPr>
        <w:t>2024”.</w:t>
      </w:r>
    </w:p>
  </w:footnote>
  <w:footnote w:id="9">
    <w:p w14:paraId="2382842C" w14:textId="77777777" w:rsidR="009936AF" w:rsidRPr="009C6465" w:rsidRDefault="009936AF" w:rsidP="009C6465">
      <w:pPr>
        <w:pStyle w:val="FootnoteText"/>
        <w:spacing w:before="0" w:after="0"/>
        <w:rPr>
          <w:rFonts w:ascii="Garamond" w:hAnsi="Garamond"/>
          <w:sz w:val="16"/>
          <w:szCs w:val="16"/>
        </w:rPr>
      </w:pPr>
      <w:r w:rsidRPr="009C6465">
        <w:rPr>
          <w:rStyle w:val="FootnoteReference"/>
          <w:rFonts w:ascii="Garamond" w:hAnsi="Garamond" w:cs="Times New Roman"/>
          <w:sz w:val="16"/>
          <w:szCs w:val="16"/>
        </w:rPr>
        <w:footnoteRef/>
      </w:r>
      <w:r w:rsidRPr="009C6465">
        <w:rPr>
          <w:rFonts w:ascii="Garamond" w:hAnsi="Garamond" w:cs="Times New Roman"/>
          <w:sz w:val="16"/>
          <w:szCs w:val="16"/>
        </w:rPr>
        <w:t xml:space="preserve"> </w:t>
      </w:r>
      <w:hyperlink r:id="rId1" w:history="1">
        <w:r w:rsidRPr="009C6465">
          <w:rPr>
            <w:rStyle w:val="Hyperlink"/>
            <w:rFonts w:ascii="Garamond" w:hAnsi="Garamond" w:cs="Times New Roman"/>
            <w:sz w:val="16"/>
            <w:szCs w:val="16"/>
          </w:rPr>
          <w:t>https://integrimi-ne-be.punetejashtme.gov.al/wp-content/uploads/2022/02/NPEI_2022-2024_EN-.pdf</w:t>
        </w:r>
      </w:hyperlink>
      <w:r w:rsidRPr="009C6465">
        <w:rPr>
          <w:rFonts w:ascii="Garamond" w:hAnsi="Garamond"/>
          <w:sz w:val="16"/>
          <w:szCs w:val="16"/>
        </w:rPr>
        <w:t xml:space="preserve"> </w:t>
      </w:r>
    </w:p>
  </w:footnote>
  <w:footnote w:id="10">
    <w:p w14:paraId="61155B2F" w14:textId="505CBC0D" w:rsidR="009936AF" w:rsidRPr="009C6465" w:rsidRDefault="009936AF" w:rsidP="009C6465">
      <w:pPr>
        <w:pStyle w:val="FootnoteText"/>
        <w:spacing w:before="0" w:after="0"/>
        <w:rPr>
          <w:rFonts w:ascii="Garamond" w:hAnsi="Garamond" w:cs="Times New Roman"/>
          <w:sz w:val="16"/>
          <w:szCs w:val="16"/>
        </w:rPr>
      </w:pPr>
      <w:r w:rsidRPr="009C6465">
        <w:rPr>
          <w:rStyle w:val="FootnoteReference"/>
          <w:rFonts w:ascii="Garamond" w:hAnsi="Garamond" w:cs="Times New Roman"/>
          <w:sz w:val="16"/>
          <w:szCs w:val="16"/>
        </w:rPr>
        <w:footnoteRef/>
      </w:r>
      <w:r w:rsidRPr="009C6465">
        <w:rPr>
          <w:rFonts w:ascii="Garamond" w:hAnsi="Garamond" w:cs="Times New Roman"/>
          <w:sz w:val="16"/>
          <w:szCs w:val="16"/>
        </w:rPr>
        <w:t xml:space="preserve"> VKM-ja nr. 585, datë 22.7.2020, “Për miratimin e Strategjisë Kombëtare të Diasporës Shqiptare dhe Planit të Veprimit 2021</w:t>
      </w:r>
      <w:r w:rsidRPr="009C6465">
        <w:rPr>
          <w:rStyle w:val="contentpasted1"/>
          <w:rFonts w:ascii="Garamond" w:hAnsi="Garamond" w:cs="Times New Roman"/>
          <w:color w:val="000000"/>
          <w:sz w:val="16"/>
          <w:szCs w:val="16"/>
        </w:rPr>
        <w:t>–</w:t>
      </w:r>
      <w:r w:rsidRPr="009C6465">
        <w:rPr>
          <w:rFonts w:ascii="Garamond" w:hAnsi="Garamond" w:cs="Times New Roman"/>
          <w:sz w:val="16"/>
          <w:szCs w:val="16"/>
        </w:rPr>
        <w:t>2025”.</w:t>
      </w:r>
    </w:p>
  </w:footnote>
  <w:footnote w:id="11">
    <w:p w14:paraId="25B792AF" w14:textId="278AC312" w:rsidR="009936AF" w:rsidRPr="009C6465" w:rsidRDefault="009936AF" w:rsidP="009C6465">
      <w:pPr>
        <w:pStyle w:val="FootnoteText"/>
        <w:spacing w:before="0" w:after="0"/>
        <w:rPr>
          <w:rFonts w:ascii="Garamond" w:hAnsi="Garamond" w:cs="Times New Roman"/>
          <w:sz w:val="16"/>
          <w:szCs w:val="16"/>
        </w:rPr>
      </w:pPr>
      <w:r w:rsidRPr="009C6465">
        <w:rPr>
          <w:rStyle w:val="FootnoteReference"/>
          <w:rFonts w:ascii="Garamond" w:hAnsi="Garamond" w:cs="Times New Roman"/>
          <w:sz w:val="16"/>
          <w:szCs w:val="16"/>
        </w:rPr>
        <w:footnoteRef/>
      </w:r>
      <w:r w:rsidRPr="009C6465">
        <w:rPr>
          <w:rFonts w:ascii="Garamond" w:hAnsi="Garamond" w:cs="Times New Roman"/>
          <w:sz w:val="16"/>
          <w:szCs w:val="16"/>
        </w:rPr>
        <w:t xml:space="preserve"> VKM-ja nr. 1117, datë 16.12.2020, “Për miratimin e Strategjisë Ndërsektoriale të Menaxhimit të Integruar të Kufirit 2021</w:t>
      </w:r>
      <w:r w:rsidRPr="009C6465">
        <w:rPr>
          <w:rStyle w:val="contentpasted1"/>
          <w:rFonts w:ascii="Garamond" w:hAnsi="Garamond" w:cs="Times New Roman"/>
          <w:color w:val="000000"/>
          <w:sz w:val="16"/>
          <w:szCs w:val="16"/>
        </w:rPr>
        <w:t>–</w:t>
      </w:r>
      <w:r w:rsidRPr="009C6465">
        <w:rPr>
          <w:rFonts w:ascii="Garamond" w:hAnsi="Garamond" w:cs="Times New Roman"/>
          <w:sz w:val="16"/>
          <w:szCs w:val="16"/>
        </w:rPr>
        <w:t>2027 dhe Planit të Veprimit 2021</w:t>
      </w:r>
      <w:r w:rsidRPr="009C6465">
        <w:rPr>
          <w:rStyle w:val="contentpasted1"/>
          <w:rFonts w:ascii="Garamond" w:hAnsi="Garamond" w:cs="Times New Roman"/>
          <w:color w:val="000000"/>
          <w:sz w:val="16"/>
          <w:szCs w:val="16"/>
        </w:rPr>
        <w:t>–</w:t>
      </w:r>
      <w:r w:rsidRPr="009C6465">
        <w:rPr>
          <w:rFonts w:ascii="Garamond" w:hAnsi="Garamond" w:cs="Times New Roman"/>
          <w:sz w:val="16"/>
          <w:szCs w:val="16"/>
        </w:rPr>
        <w:t>2023”.</w:t>
      </w:r>
    </w:p>
  </w:footnote>
  <w:footnote w:id="12">
    <w:p w14:paraId="2869E99D" w14:textId="0353F4C4" w:rsidR="009936AF" w:rsidRPr="009A78A5" w:rsidRDefault="009936AF" w:rsidP="009A78A5">
      <w:pPr>
        <w:pStyle w:val="FootnoteText"/>
        <w:spacing w:before="0" w:after="0"/>
        <w:rPr>
          <w:rFonts w:ascii="Garamond" w:hAnsi="Garamond" w:cs="Times New Roman"/>
          <w:sz w:val="16"/>
          <w:szCs w:val="16"/>
        </w:rPr>
      </w:pPr>
      <w:r w:rsidRPr="009A78A5">
        <w:rPr>
          <w:rStyle w:val="FootnoteReference"/>
          <w:rFonts w:ascii="Garamond" w:hAnsi="Garamond" w:cs="Times New Roman"/>
          <w:sz w:val="16"/>
          <w:szCs w:val="16"/>
        </w:rPr>
        <w:footnoteRef/>
      </w:r>
      <w:r w:rsidRPr="009A78A5">
        <w:rPr>
          <w:rFonts w:ascii="Garamond" w:hAnsi="Garamond" w:cs="Times New Roman"/>
          <w:sz w:val="16"/>
          <w:szCs w:val="16"/>
        </w:rPr>
        <w:t xml:space="preserve"> VKM-ja nr. 878, datë 11.11.2020, “Për miratimin e planit të veprimit 2020–2023, në zbatim të strategjisë së edukimit ligjor për publikun 2019–2023”.</w:t>
      </w:r>
    </w:p>
  </w:footnote>
  <w:footnote w:id="13">
    <w:p w14:paraId="04F90645" w14:textId="1F310212" w:rsidR="009936AF" w:rsidRPr="009A78A5" w:rsidRDefault="009936AF" w:rsidP="009A78A5">
      <w:pPr>
        <w:pStyle w:val="FootnoteText"/>
        <w:spacing w:before="0" w:after="0"/>
        <w:rPr>
          <w:rFonts w:ascii="Garamond" w:hAnsi="Garamond" w:cs="Calibri"/>
          <w:sz w:val="16"/>
          <w:szCs w:val="16"/>
        </w:rPr>
      </w:pPr>
      <w:r w:rsidRPr="009A78A5">
        <w:rPr>
          <w:rStyle w:val="FootnoteReference"/>
          <w:rFonts w:ascii="Garamond" w:hAnsi="Garamond" w:cs="Times New Roman"/>
          <w:sz w:val="16"/>
          <w:szCs w:val="16"/>
        </w:rPr>
        <w:footnoteRef/>
      </w:r>
      <w:r w:rsidRPr="009A78A5">
        <w:rPr>
          <w:rFonts w:ascii="Garamond" w:hAnsi="Garamond" w:cs="Times New Roman"/>
          <w:sz w:val="16"/>
          <w:szCs w:val="16"/>
        </w:rPr>
        <w:t xml:space="preserve"> VKM-ja nr. 1140, datë 24.12.2020, “Për miratimin e Strategjisë kundër Krimit të Organizuar dhe Krimeve të Rënda 2021</w:t>
      </w:r>
      <w:r w:rsidRPr="009A78A5">
        <w:rPr>
          <w:rStyle w:val="contentpasted1"/>
          <w:rFonts w:ascii="Garamond" w:hAnsi="Garamond" w:cs="Times New Roman"/>
          <w:color w:val="000000"/>
          <w:sz w:val="16"/>
          <w:szCs w:val="16"/>
        </w:rPr>
        <w:t>–</w:t>
      </w:r>
      <w:r w:rsidRPr="009A78A5">
        <w:rPr>
          <w:rFonts w:ascii="Garamond" w:hAnsi="Garamond" w:cs="Times New Roman"/>
          <w:sz w:val="16"/>
          <w:szCs w:val="16"/>
        </w:rPr>
        <w:t>2025”.</w:t>
      </w:r>
      <w:r w:rsidRPr="009A78A5">
        <w:rPr>
          <w:rFonts w:ascii="Garamond" w:hAnsi="Garamond"/>
          <w:sz w:val="16"/>
          <w:szCs w:val="16"/>
        </w:rPr>
        <w:t xml:space="preserve"> </w:t>
      </w:r>
    </w:p>
  </w:footnote>
  <w:footnote w:id="14">
    <w:p w14:paraId="34E730AF" w14:textId="46E1B39B" w:rsidR="009936AF" w:rsidRPr="009A78A5" w:rsidRDefault="009936AF" w:rsidP="009A78A5">
      <w:pPr>
        <w:pStyle w:val="FootnoteText"/>
        <w:spacing w:before="0" w:after="0"/>
        <w:rPr>
          <w:rFonts w:ascii="Garamond" w:hAnsi="Garamond"/>
          <w:sz w:val="16"/>
          <w:szCs w:val="16"/>
        </w:rPr>
      </w:pPr>
      <w:r w:rsidRPr="009A78A5">
        <w:rPr>
          <w:rStyle w:val="FootnoteReference"/>
          <w:rFonts w:ascii="Garamond" w:hAnsi="Garamond"/>
          <w:sz w:val="16"/>
          <w:szCs w:val="16"/>
        </w:rPr>
        <w:footnoteRef/>
      </w:r>
      <w:r w:rsidRPr="009A78A5">
        <w:rPr>
          <w:rFonts w:ascii="Garamond" w:hAnsi="Garamond"/>
          <w:sz w:val="16"/>
          <w:szCs w:val="16"/>
        </w:rPr>
        <w:t xml:space="preserve"> </w:t>
      </w:r>
      <w:r w:rsidRPr="009A78A5">
        <w:rPr>
          <w:rFonts w:ascii="Garamond" w:hAnsi="Garamond" w:cs="Times New Roman"/>
          <w:sz w:val="16"/>
          <w:szCs w:val="16"/>
        </w:rPr>
        <w:t>Kompakti Global për Migracionin:</w:t>
      </w:r>
      <w:r w:rsidRPr="009A78A5">
        <w:rPr>
          <w:rFonts w:ascii="Garamond" w:hAnsi="Garamond"/>
          <w:sz w:val="16"/>
          <w:szCs w:val="16"/>
        </w:rPr>
        <w:t xml:space="preserve"> </w:t>
      </w:r>
      <w:r w:rsidRPr="009A78A5">
        <w:rPr>
          <w:rFonts w:ascii="Garamond" w:hAnsi="Garamond" w:cs="Times New Roman"/>
          <w:sz w:val="16"/>
          <w:szCs w:val="16"/>
        </w:rPr>
        <w:t>https://refugeesmigrants.un.org/sites/default/files/180711_final_draft_0.pdf</w:t>
      </w:r>
      <w:r>
        <w:rPr>
          <w:rFonts w:ascii="Garamond" w:hAnsi="Garamond" w:cs="Times New Roman"/>
          <w:sz w:val="16"/>
          <w:szCs w:val="16"/>
        </w:rPr>
        <w:t>.</w:t>
      </w:r>
    </w:p>
  </w:footnote>
  <w:footnote w:id="15">
    <w:p w14:paraId="3E67DC3F" w14:textId="72E1532C" w:rsidR="009936AF" w:rsidRPr="009A78A5" w:rsidRDefault="009936AF" w:rsidP="009A78A5">
      <w:pPr>
        <w:pStyle w:val="FootnoteText"/>
        <w:spacing w:before="0" w:after="0"/>
        <w:rPr>
          <w:rFonts w:ascii="Garamond" w:hAnsi="Garamond" w:cs="Times New Roman"/>
          <w:sz w:val="16"/>
          <w:szCs w:val="16"/>
        </w:rPr>
      </w:pPr>
      <w:r w:rsidRPr="009A78A5">
        <w:rPr>
          <w:rStyle w:val="FootnoteReference"/>
          <w:rFonts w:ascii="Garamond" w:hAnsi="Garamond" w:cs="Times New Roman"/>
          <w:sz w:val="16"/>
          <w:szCs w:val="16"/>
        </w:rPr>
        <w:footnoteRef/>
      </w:r>
      <w:r w:rsidRPr="009A78A5">
        <w:rPr>
          <w:rFonts w:ascii="Garamond" w:hAnsi="Garamond" w:cs="Times New Roman"/>
          <w:sz w:val="16"/>
          <w:szCs w:val="16"/>
        </w:rPr>
        <w:t xml:space="preserve"> Procesi GCM, Rrjeti i Kombeve të Bashkuara për Migracionin (UNMN) Një Rrjet i OKB-së për Migracionin (Rrjeti) në Shqipëri u krijua dhe filloi zyrtarisht më 15 prill 2021. Më 22 shkurt 2022, </w:t>
      </w:r>
      <w:r>
        <w:rPr>
          <w:rFonts w:ascii="Garamond" w:hAnsi="Garamond" w:cs="Times New Roman"/>
          <w:sz w:val="16"/>
          <w:szCs w:val="16"/>
        </w:rPr>
        <w:t>r</w:t>
      </w:r>
      <w:r w:rsidRPr="009A78A5">
        <w:rPr>
          <w:rFonts w:ascii="Garamond" w:hAnsi="Garamond" w:cs="Times New Roman"/>
          <w:sz w:val="16"/>
          <w:szCs w:val="16"/>
        </w:rPr>
        <w:t>rjeti u mblodh për të diskutuar progresin në zbatimin e GCM</w:t>
      </w:r>
      <w:r>
        <w:rPr>
          <w:rFonts w:ascii="Garamond" w:hAnsi="Garamond" w:cs="Times New Roman"/>
          <w:sz w:val="16"/>
          <w:szCs w:val="16"/>
        </w:rPr>
        <w:t>-së</w:t>
      </w:r>
      <w:r w:rsidRPr="009A78A5">
        <w:rPr>
          <w:rFonts w:ascii="Garamond" w:hAnsi="Garamond" w:cs="Times New Roman"/>
          <w:sz w:val="16"/>
          <w:szCs w:val="16"/>
        </w:rPr>
        <w:t>. Vendi ka paraqitur një zotim politikash, duke u angazhuar të zhvillojë Strategjinë e re Kombëtare për Migracionin të rrënjosur plotësisht në GCM.</w:t>
      </w:r>
    </w:p>
  </w:footnote>
  <w:footnote w:id="16">
    <w:p w14:paraId="2916D571" w14:textId="6A84EB90" w:rsidR="009936AF" w:rsidRPr="009A78A5" w:rsidRDefault="009936AF" w:rsidP="009A78A5">
      <w:pPr>
        <w:pStyle w:val="FootnoteText"/>
        <w:spacing w:before="0" w:after="0"/>
        <w:rPr>
          <w:rFonts w:ascii="Garamond" w:hAnsi="Garamond" w:cs="Calibri"/>
          <w:sz w:val="16"/>
          <w:szCs w:val="16"/>
        </w:rPr>
      </w:pPr>
      <w:r w:rsidRPr="009A78A5">
        <w:rPr>
          <w:rStyle w:val="FootnoteReference"/>
          <w:rFonts w:ascii="Garamond" w:hAnsi="Garamond" w:cs="Times New Roman"/>
          <w:sz w:val="16"/>
          <w:szCs w:val="16"/>
        </w:rPr>
        <w:footnoteRef/>
      </w:r>
      <w:r w:rsidRPr="009A78A5">
        <w:rPr>
          <w:rFonts w:ascii="Garamond" w:hAnsi="Garamond" w:cs="Times New Roman"/>
          <w:sz w:val="16"/>
          <w:szCs w:val="16"/>
        </w:rPr>
        <w:t xml:space="preserve"> Qeveria e Shqipërisë, Raporti Vullnetar i Rishikimit mbi Statusin e Zbatimit të Kompaktit Global për Migracionin në Shqipëri në 2021, f. 1.</w:t>
      </w:r>
    </w:p>
  </w:footnote>
  <w:footnote w:id="17">
    <w:p w14:paraId="238083A8" w14:textId="77777777" w:rsidR="00E77181" w:rsidRDefault="009936AF" w:rsidP="007E3A97">
      <w:pPr>
        <w:pStyle w:val="FootnoteText"/>
        <w:spacing w:before="0" w:after="0"/>
        <w:rPr>
          <w:rFonts w:ascii="Garamond" w:hAnsi="Garamond" w:cs="Times New Roman"/>
          <w:sz w:val="16"/>
          <w:szCs w:val="16"/>
        </w:rPr>
      </w:pPr>
      <w:r w:rsidRPr="007E3A97">
        <w:rPr>
          <w:rStyle w:val="FootnoteReference"/>
          <w:rFonts w:ascii="Garamond" w:hAnsi="Garamond" w:cs="Times New Roman"/>
          <w:sz w:val="16"/>
          <w:szCs w:val="16"/>
        </w:rPr>
        <w:footnoteRef/>
      </w:r>
      <w:r w:rsidRPr="007E3A97">
        <w:rPr>
          <w:rFonts w:ascii="Garamond" w:hAnsi="Garamond" w:cs="Times New Roman"/>
          <w:sz w:val="16"/>
          <w:szCs w:val="16"/>
        </w:rPr>
        <w:t>Kompakti</w:t>
      </w:r>
      <w:r w:rsidR="00E77181">
        <w:rPr>
          <w:rFonts w:ascii="Garamond" w:hAnsi="Garamond" w:cs="Times New Roman"/>
          <w:sz w:val="16"/>
          <w:szCs w:val="16"/>
        </w:rPr>
        <w:t xml:space="preserve"> </w:t>
      </w:r>
      <w:r w:rsidRPr="007E3A97">
        <w:rPr>
          <w:rFonts w:ascii="Garamond" w:hAnsi="Garamond" w:cs="Times New Roman"/>
          <w:sz w:val="16"/>
          <w:szCs w:val="16"/>
        </w:rPr>
        <w:t xml:space="preserve">Global për Refugjatët </w:t>
      </w:r>
    </w:p>
    <w:p w14:paraId="30290E73" w14:textId="6FDAE9FF" w:rsidR="009936AF" w:rsidRPr="007E3A97" w:rsidRDefault="007A3726" w:rsidP="007E3A97">
      <w:pPr>
        <w:pStyle w:val="FootnoteText"/>
        <w:spacing w:before="0" w:after="0"/>
        <w:rPr>
          <w:rFonts w:ascii="Garamond" w:hAnsi="Garamond" w:cs="Times New Roman"/>
          <w:sz w:val="16"/>
          <w:szCs w:val="16"/>
        </w:rPr>
      </w:pPr>
      <w:hyperlink r:id="rId2" w:history="1">
        <w:r w:rsidR="00B30E66" w:rsidRPr="006E2334">
          <w:rPr>
            <w:rStyle w:val="Hyperlink"/>
            <w:rFonts w:ascii="Garamond" w:hAnsi="Garamond" w:cs="Times New Roman"/>
            <w:sz w:val="16"/>
            <w:szCs w:val="16"/>
          </w:rPr>
          <w:t>https://globalcompactrefugees.org/sites/default/files/2019-12/Global%20compact%20on%20refugees%20EN.pdf</w:t>
        </w:r>
      </w:hyperlink>
      <w:r w:rsidR="00E77181">
        <w:rPr>
          <w:rFonts w:ascii="Garamond" w:hAnsi="Garamond" w:cs="Times New Roman"/>
          <w:sz w:val="16"/>
          <w:szCs w:val="16"/>
        </w:rPr>
        <w:t xml:space="preserve"> </w:t>
      </w:r>
    </w:p>
  </w:footnote>
  <w:footnote w:id="18">
    <w:p w14:paraId="1FD9132C" w14:textId="10A7120C" w:rsidR="009936AF" w:rsidRPr="007E3A97" w:rsidRDefault="009936AF" w:rsidP="007E3A97">
      <w:pPr>
        <w:pStyle w:val="FootnoteText"/>
        <w:spacing w:before="0" w:after="0"/>
        <w:rPr>
          <w:rFonts w:ascii="Garamond" w:hAnsi="Garamond" w:cs="Times New Roman"/>
          <w:sz w:val="16"/>
          <w:szCs w:val="16"/>
        </w:rPr>
      </w:pPr>
      <w:r w:rsidRPr="007E3A97">
        <w:rPr>
          <w:rStyle w:val="FootnoteReference"/>
          <w:rFonts w:ascii="Garamond" w:hAnsi="Garamond" w:cs="Times New Roman"/>
          <w:sz w:val="16"/>
          <w:szCs w:val="16"/>
        </w:rPr>
        <w:footnoteRef/>
      </w:r>
      <w:r w:rsidRPr="007E3A97">
        <w:rPr>
          <w:rFonts w:ascii="Garamond" w:hAnsi="Garamond" w:cs="Times New Roman"/>
          <w:sz w:val="16"/>
          <w:szCs w:val="16"/>
        </w:rPr>
        <w:t xml:space="preserve"> Raporti i Komisionit Evropian për vitin 2023 për Shqipërinë https://neighbourhood-enlargement.ec.europa.eu/system/files/2023-11/SWD_2023_690%20Albania%20report.pdf</w:t>
      </w:r>
    </w:p>
  </w:footnote>
  <w:footnote w:id="19">
    <w:p w14:paraId="507EBD16" w14:textId="1BBC2843" w:rsidR="005C7073" w:rsidRPr="005C7073" w:rsidRDefault="005C7073">
      <w:pPr>
        <w:pStyle w:val="FootnoteText"/>
        <w:rPr>
          <w:rFonts w:ascii="Garamond" w:hAnsi="Garamond"/>
          <w:lang w:val="en-US"/>
        </w:rPr>
      </w:pPr>
      <w:r w:rsidRPr="005C7073">
        <w:rPr>
          <w:rStyle w:val="FootnoteReference"/>
          <w:rFonts w:ascii="Garamond" w:hAnsi="Garamond"/>
          <w:sz w:val="16"/>
        </w:rPr>
        <w:footnoteRef/>
      </w:r>
      <w:r w:rsidRPr="005C7073">
        <w:rPr>
          <w:rFonts w:ascii="Garamond" w:hAnsi="Garamond"/>
          <w:sz w:val="16"/>
        </w:rPr>
        <w:t xml:space="preserve"> </w:t>
      </w:r>
    </w:p>
  </w:footnote>
  <w:footnote w:id="20">
    <w:p w14:paraId="56177F98" w14:textId="7ACE5D41" w:rsidR="009936AF" w:rsidRPr="0037116F" w:rsidRDefault="009936AF" w:rsidP="0037116F">
      <w:pPr>
        <w:pStyle w:val="FootnoteText"/>
        <w:spacing w:before="0" w:after="0"/>
        <w:rPr>
          <w:rFonts w:ascii="Garamond" w:hAnsi="Garamond"/>
          <w:i/>
          <w:iCs/>
          <w:sz w:val="16"/>
          <w:szCs w:val="16"/>
        </w:rPr>
      </w:pPr>
      <w:r w:rsidRPr="0037116F">
        <w:rPr>
          <w:rStyle w:val="FootnoteReference"/>
          <w:rFonts w:ascii="Garamond" w:hAnsi="Garamond" w:cs="Times New Roman"/>
          <w:sz w:val="16"/>
          <w:szCs w:val="16"/>
        </w:rPr>
        <w:footnoteRef/>
      </w:r>
      <w:r w:rsidRPr="0037116F">
        <w:rPr>
          <w:rFonts w:ascii="Garamond" w:hAnsi="Garamond" w:cs="Times New Roman"/>
          <w:sz w:val="16"/>
          <w:szCs w:val="16"/>
        </w:rPr>
        <w:t xml:space="preserve"> </w:t>
      </w:r>
      <w:r w:rsidRPr="0037116F">
        <w:rPr>
          <w:rFonts w:ascii="Garamond" w:hAnsi="Garamond" w:cs="Times New Roman"/>
          <w:i/>
          <w:iCs/>
          <w:sz w:val="16"/>
          <w:szCs w:val="16"/>
        </w:rPr>
        <w:t>Po aty.</w:t>
      </w:r>
    </w:p>
  </w:footnote>
  <w:footnote w:id="21">
    <w:p w14:paraId="5E86DEE1" w14:textId="39208683" w:rsidR="009936AF" w:rsidRPr="0037116F" w:rsidRDefault="009936AF" w:rsidP="0037116F">
      <w:pPr>
        <w:pStyle w:val="FootnoteText"/>
        <w:spacing w:before="0" w:after="0"/>
        <w:rPr>
          <w:rFonts w:ascii="Garamond" w:hAnsi="Garamond" w:cs="Times New Roman"/>
          <w:sz w:val="16"/>
          <w:szCs w:val="16"/>
        </w:rPr>
      </w:pPr>
      <w:r w:rsidRPr="0037116F">
        <w:rPr>
          <w:rStyle w:val="FootnoteReference"/>
          <w:rFonts w:ascii="Garamond" w:hAnsi="Garamond" w:cs="Times New Roman"/>
          <w:sz w:val="16"/>
          <w:szCs w:val="16"/>
        </w:rPr>
        <w:footnoteRef/>
      </w:r>
      <w:hyperlink r:id="rId3" w:history="1">
        <w:r w:rsidRPr="0037116F">
          <w:rPr>
            <w:rStyle w:val="Hyperlink"/>
            <w:rFonts w:ascii="Garamond" w:hAnsi="Garamond" w:cs="Times New Roman"/>
            <w:sz w:val="16"/>
            <w:szCs w:val="16"/>
          </w:rPr>
          <w:t>https://neighbourhood-enlargement.ec.europa.eu/system/files/2023</w:t>
        </w:r>
      </w:hyperlink>
      <w:r w:rsidRPr="0037116F">
        <w:rPr>
          <w:rFonts w:ascii="Garamond" w:hAnsi="Garamond" w:cs="Times New Roman"/>
          <w:sz w:val="16"/>
          <w:szCs w:val="16"/>
        </w:rPr>
        <w:t xml:space="preserve"> 07/AL%20Cluster_1%20Draft%20screening%20report_external%20version.pdf</w:t>
      </w:r>
    </w:p>
  </w:footnote>
  <w:footnote w:id="22">
    <w:p w14:paraId="55DD98E6" w14:textId="003584CC" w:rsidR="009936AF" w:rsidRPr="0037116F" w:rsidRDefault="009936AF" w:rsidP="0037116F">
      <w:pPr>
        <w:pStyle w:val="FootnoteText"/>
        <w:spacing w:before="0" w:after="0"/>
        <w:rPr>
          <w:rFonts w:ascii="Garamond" w:hAnsi="Garamond" w:cs="Times New Roman"/>
          <w:sz w:val="16"/>
          <w:szCs w:val="16"/>
        </w:rPr>
      </w:pPr>
      <w:r w:rsidRPr="0037116F">
        <w:rPr>
          <w:rStyle w:val="FootnoteReference"/>
          <w:rFonts w:ascii="Garamond" w:hAnsi="Garamond" w:cs="Times New Roman"/>
          <w:sz w:val="16"/>
          <w:szCs w:val="16"/>
        </w:rPr>
        <w:footnoteRef/>
      </w:r>
      <w:r w:rsidRPr="0037116F">
        <w:rPr>
          <w:rFonts w:ascii="Garamond" w:hAnsi="Garamond" w:cs="Times New Roman"/>
          <w:sz w:val="16"/>
          <w:szCs w:val="16"/>
        </w:rPr>
        <w:t xml:space="preserve"> Si pjesë e masës prioritare 2.1.1, përafrimi është planifikuar në mënyrë specifike nën kapitujt 2, 3, 19 dhe 24.</w:t>
      </w:r>
    </w:p>
  </w:footnote>
  <w:footnote w:id="23">
    <w:p w14:paraId="550CA482" w14:textId="61EE1FC0" w:rsidR="009936AF" w:rsidRPr="0037116F" w:rsidRDefault="009936AF" w:rsidP="0037116F">
      <w:pPr>
        <w:pStyle w:val="FootnoteText"/>
        <w:spacing w:before="0" w:after="0"/>
        <w:rPr>
          <w:rFonts w:ascii="Garamond" w:hAnsi="Garamond"/>
          <w:iCs/>
          <w:sz w:val="16"/>
          <w:szCs w:val="16"/>
        </w:rPr>
      </w:pPr>
      <w:r w:rsidRPr="0037116F">
        <w:rPr>
          <w:rStyle w:val="FootnoteReference"/>
          <w:rFonts w:ascii="Garamond" w:hAnsi="Garamond" w:cs="Times New Roman"/>
          <w:sz w:val="16"/>
          <w:szCs w:val="16"/>
        </w:rPr>
        <w:footnoteRef/>
      </w:r>
      <w:r w:rsidRPr="0037116F">
        <w:rPr>
          <w:rFonts w:ascii="Garamond" w:hAnsi="Garamond" w:cs="Times New Roman"/>
          <w:sz w:val="16"/>
          <w:szCs w:val="16"/>
        </w:rPr>
        <w:t xml:space="preserve"> Komisioni Evropian, Komisioni nga Komisioni në Parlamentin Evropian dhe Këshillin, Strategjia e BE-së për Kthimin dhe Riintegrimin Vullnetar, Bruksel, COM (2021) 120 final, 27 prill 2021, gjendet në: </w:t>
      </w:r>
      <w:hyperlink r:id="rId4" w:history="1">
        <w:r w:rsidRPr="0037116F">
          <w:rPr>
            <w:rStyle w:val="Hyperlink"/>
            <w:rFonts w:ascii="Garamond" w:hAnsi="Garamond" w:cs="Times New Roman"/>
            <w:iCs/>
            <w:sz w:val="16"/>
            <w:szCs w:val="16"/>
          </w:rPr>
          <w:t>https://eur-lex.europa.eu/legal-content/EN/TXT/?uri=CELEX%3A52021DC0120&amp;qid=1632401748181</w:t>
        </w:r>
      </w:hyperlink>
    </w:p>
  </w:footnote>
  <w:footnote w:id="24">
    <w:p w14:paraId="1B40C064" w14:textId="75FC0011" w:rsidR="009936AF" w:rsidRPr="00BF1C08" w:rsidRDefault="009936AF" w:rsidP="00BF1C08">
      <w:pPr>
        <w:pStyle w:val="FootnoteText"/>
        <w:spacing w:before="0" w:after="0"/>
        <w:rPr>
          <w:rFonts w:ascii="Garamond" w:hAnsi="Garamond" w:cs="Times New Roman"/>
          <w:sz w:val="16"/>
          <w:szCs w:val="16"/>
        </w:rPr>
      </w:pPr>
      <w:r w:rsidRPr="00BF1C08">
        <w:rPr>
          <w:rStyle w:val="FootnoteReference"/>
          <w:rFonts w:ascii="Garamond" w:hAnsi="Garamond" w:cs="Times New Roman"/>
          <w:sz w:val="16"/>
          <w:szCs w:val="16"/>
        </w:rPr>
        <w:footnoteRef/>
      </w:r>
      <w:r w:rsidRPr="00BF1C08">
        <w:rPr>
          <w:rFonts w:ascii="Garamond" w:hAnsi="Garamond" w:cs="Times New Roman"/>
          <w:sz w:val="16"/>
          <w:szCs w:val="16"/>
        </w:rPr>
        <w:t>https://home-affairs.ec.europa.eu/document/download/e63e3b92-4f0c-4d95-a7f9-b0aff2dd0efc_en?filename=Western%20Balkans_en.pdf</w:t>
      </w:r>
    </w:p>
  </w:footnote>
  <w:footnote w:id="25">
    <w:p w14:paraId="65291DF1" w14:textId="285D3A79" w:rsidR="009936AF" w:rsidRPr="00BF1C08" w:rsidRDefault="009936AF" w:rsidP="00C42B36">
      <w:pPr>
        <w:pStyle w:val="FootnoteText"/>
        <w:spacing w:before="0" w:after="0"/>
        <w:jc w:val="left"/>
        <w:rPr>
          <w:rFonts w:ascii="Garamond" w:hAnsi="Garamond"/>
          <w:sz w:val="16"/>
          <w:szCs w:val="16"/>
        </w:rPr>
      </w:pPr>
      <w:r w:rsidRPr="00BF1C08">
        <w:rPr>
          <w:rStyle w:val="FootnoteReference"/>
          <w:rFonts w:ascii="Garamond" w:hAnsi="Garamond" w:cs="Times New Roman"/>
          <w:sz w:val="16"/>
          <w:szCs w:val="16"/>
        </w:rPr>
        <w:footnoteRef/>
      </w:r>
      <w:r w:rsidRPr="00BF1C08">
        <w:rPr>
          <w:rFonts w:ascii="Garamond" w:hAnsi="Garamond" w:cs="Times New Roman"/>
          <w:sz w:val="16"/>
          <w:szCs w:val="16"/>
        </w:rPr>
        <w:t xml:space="preserve"> </w:t>
      </w:r>
      <w:bookmarkStart w:id="11" w:name="_Hlk155611790"/>
      <w:r w:rsidRPr="00BF1C08">
        <w:rPr>
          <w:rFonts w:ascii="Garamond" w:hAnsi="Garamond" w:cs="Times New Roman"/>
          <w:sz w:val="16"/>
          <w:szCs w:val="16"/>
        </w:rPr>
        <w:t>Komisioni Evropian (2023, 18 shkurt). Lex - 52023DC0730 - en - EUR-lex. Raport nga Komisioni për Parlamentin Evropian dhe Këshillin l&amp; Nbsp; Raporti i gjashtë nën Mekanizmin e Pezullimit të Vizave. https://eur-lex.europa.eu/legal-content/EN/TXT/?uri=CELEX%3A52023DC0730; (f. 15</w:t>
      </w:r>
      <w:r w:rsidRPr="003E3D96">
        <w:rPr>
          <w:rStyle w:val="contentpasted1"/>
          <w:rFonts w:ascii="Garamond" w:hAnsi="Garamond"/>
          <w:color w:val="000000"/>
        </w:rPr>
        <w:t>–</w:t>
      </w:r>
      <w:r w:rsidRPr="00BF1C08">
        <w:rPr>
          <w:rFonts w:ascii="Garamond" w:hAnsi="Garamond" w:cs="Times New Roman"/>
          <w:sz w:val="16"/>
          <w:szCs w:val="16"/>
        </w:rPr>
        <w:t>17)</w:t>
      </w:r>
      <w:bookmarkEnd w:id="11"/>
    </w:p>
  </w:footnote>
  <w:footnote w:id="26">
    <w:p w14:paraId="61963043" w14:textId="2B93D6FE" w:rsidR="009936AF" w:rsidRPr="00E73215" w:rsidRDefault="009936AF" w:rsidP="00C42B36">
      <w:pPr>
        <w:pStyle w:val="FootnoteText"/>
        <w:spacing w:before="0" w:after="0"/>
        <w:jc w:val="left"/>
        <w:rPr>
          <w:rFonts w:ascii="Garamond" w:hAnsi="Garamond" w:cs="Times New Roman"/>
          <w:sz w:val="16"/>
          <w:szCs w:val="16"/>
        </w:rPr>
      </w:pPr>
      <w:r w:rsidRPr="00E73215">
        <w:rPr>
          <w:rStyle w:val="FootnoteReference"/>
          <w:rFonts w:ascii="Garamond" w:hAnsi="Garamond" w:cs="Times New Roman"/>
          <w:sz w:val="16"/>
          <w:szCs w:val="16"/>
        </w:rPr>
        <w:footnoteRef/>
      </w:r>
      <w:r w:rsidRPr="00E73215">
        <w:rPr>
          <w:rFonts w:ascii="Garamond" w:hAnsi="Garamond" w:cs="Times New Roman"/>
          <w:sz w:val="16"/>
          <w:szCs w:val="16"/>
        </w:rPr>
        <w:t xml:space="preserve">INSTAT: Indikatorët demografikë. </w:t>
      </w:r>
    </w:p>
    <w:p w14:paraId="610FF08F" w14:textId="38081D7B" w:rsidR="009936AF" w:rsidRPr="00E73215" w:rsidRDefault="007A3726" w:rsidP="00C42B36">
      <w:pPr>
        <w:pStyle w:val="FootnoteText"/>
        <w:spacing w:before="0" w:after="0"/>
        <w:jc w:val="left"/>
        <w:rPr>
          <w:rFonts w:ascii="Garamond" w:hAnsi="Garamond" w:cs="Times New Roman"/>
          <w:sz w:val="16"/>
          <w:szCs w:val="16"/>
        </w:rPr>
      </w:pPr>
      <w:hyperlink r:id="rId5" w:anchor="tab2" w:history="1">
        <w:r w:rsidR="009936AF" w:rsidRPr="00E73215">
          <w:rPr>
            <w:rStyle w:val="Hyperlink"/>
            <w:rFonts w:ascii="Garamond" w:hAnsi="Garamond" w:cs="Times New Roman"/>
            <w:sz w:val="16"/>
            <w:szCs w:val="16"/>
          </w:rPr>
          <w:t>https://www.instat.gov.al/al/temat/treguesit-demografik%C3%AB-dhe-social%C3%AB/migracioni-dhe-integrimi-i-migrant%C3%ABve/#tab2</w:t>
        </w:r>
      </w:hyperlink>
      <w:r w:rsidR="009936AF" w:rsidRPr="00E73215">
        <w:rPr>
          <w:rFonts w:ascii="Garamond" w:hAnsi="Garamond" w:cs="Times New Roman"/>
          <w:sz w:val="16"/>
          <w:szCs w:val="16"/>
        </w:rPr>
        <w:t xml:space="preserve"> </w:t>
      </w:r>
    </w:p>
  </w:footnote>
  <w:footnote w:id="27">
    <w:p w14:paraId="1F6CE14D" w14:textId="77777777" w:rsidR="009936AF" w:rsidRPr="00E73215" w:rsidRDefault="009936AF" w:rsidP="00C42B36">
      <w:pPr>
        <w:pStyle w:val="FootnoteText"/>
        <w:spacing w:before="0" w:after="0"/>
        <w:jc w:val="left"/>
        <w:rPr>
          <w:rFonts w:ascii="Garamond" w:hAnsi="Garamond" w:cs="Times New Roman"/>
          <w:sz w:val="16"/>
          <w:szCs w:val="16"/>
        </w:rPr>
      </w:pPr>
      <w:r w:rsidRPr="00E73215">
        <w:rPr>
          <w:rStyle w:val="FootnoteReference"/>
          <w:rFonts w:ascii="Garamond" w:hAnsi="Garamond" w:cs="Times New Roman"/>
          <w:sz w:val="16"/>
          <w:szCs w:val="16"/>
        </w:rPr>
        <w:footnoteRef/>
      </w:r>
      <w:r w:rsidRPr="00E73215">
        <w:rPr>
          <w:rFonts w:ascii="Garamond" w:hAnsi="Garamond" w:cs="Times New Roman"/>
          <w:sz w:val="16"/>
          <w:szCs w:val="16"/>
        </w:rPr>
        <w:t xml:space="preserve"> INSTAT: </w:t>
      </w:r>
    </w:p>
    <w:p w14:paraId="3B8C75EA" w14:textId="3ED5AF18" w:rsidR="009936AF" w:rsidRPr="00E73215" w:rsidRDefault="007A3726" w:rsidP="00C42B36">
      <w:pPr>
        <w:pStyle w:val="FootnoteText"/>
        <w:spacing w:before="0" w:after="0"/>
        <w:jc w:val="left"/>
        <w:rPr>
          <w:rFonts w:ascii="Garamond" w:hAnsi="Garamond" w:cs="Times New Roman"/>
          <w:sz w:val="16"/>
          <w:szCs w:val="16"/>
        </w:rPr>
      </w:pPr>
      <w:hyperlink r:id="rId6" w:anchor="tab2" w:history="1">
        <w:r w:rsidR="009936AF" w:rsidRPr="00E73215">
          <w:rPr>
            <w:rStyle w:val="Hyperlink"/>
            <w:rFonts w:ascii="Garamond" w:hAnsi="Garamond" w:cs="Times New Roman"/>
            <w:sz w:val="16"/>
            <w:szCs w:val="16"/>
          </w:rPr>
          <w:t>https://www.instat.gov.al/al/temat/treguesit-demografik%C3%AB-dhe-social%C3%AB/migracioni-dhe-integrimi-i-migrant%C3%ABve/#tab2</w:t>
        </w:r>
      </w:hyperlink>
    </w:p>
  </w:footnote>
  <w:footnote w:id="28">
    <w:p w14:paraId="396B702A" w14:textId="77777777" w:rsidR="009936AF" w:rsidRPr="00E73215" w:rsidRDefault="009936AF" w:rsidP="00C42B36">
      <w:pPr>
        <w:pStyle w:val="FootnoteText"/>
        <w:spacing w:before="0" w:after="0"/>
        <w:jc w:val="left"/>
        <w:rPr>
          <w:rFonts w:ascii="Garamond" w:hAnsi="Garamond" w:cs="Times New Roman"/>
          <w:sz w:val="16"/>
          <w:szCs w:val="16"/>
        </w:rPr>
      </w:pPr>
      <w:r w:rsidRPr="00E73215">
        <w:rPr>
          <w:rStyle w:val="FootnoteReference"/>
          <w:rFonts w:ascii="Garamond" w:hAnsi="Garamond" w:cs="Times New Roman"/>
          <w:sz w:val="16"/>
          <w:szCs w:val="16"/>
        </w:rPr>
        <w:footnoteRef/>
      </w:r>
      <w:bookmarkStart w:id="18" w:name="_Hlk155612141"/>
      <w:r w:rsidRPr="00E73215">
        <w:rPr>
          <w:rFonts w:ascii="Garamond" w:hAnsi="Garamond" w:cs="Times New Roman"/>
          <w:sz w:val="16"/>
          <w:szCs w:val="16"/>
        </w:rPr>
        <w:t xml:space="preserve"> INSTAT: </w:t>
      </w:r>
    </w:p>
    <w:p w14:paraId="1694754A" w14:textId="730AADDB" w:rsidR="009936AF" w:rsidRPr="00E73215" w:rsidRDefault="007A3726" w:rsidP="00C42B36">
      <w:pPr>
        <w:pStyle w:val="FootnoteText"/>
        <w:spacing w:before="0" w:after="0"/>
        <w:jc w:val="left"/>
        <w:rPr>
          <w:rFonts w:ascii="Garamond" w:hAnsi="Garamond" w:cs="Times New Roman"/>
          <w:sz w:val="16"/>
          <w:szCs w:val="16"/>
        </w:rPr>
      </w:pPr>
      <w:hyperlink r:id="rId7" w:anchor="tab2" w:history="1">
        <w:r w:rsidR="009936AF" w:rsidRPr="00E73215">
          <w:rPr>
            <w:rStyle w:val="Hyperlink"/>
            <w:rFonts w:ascii="Garamond" w:hAnsi="Garamond" w:cs="Times New Roman"/>
            <w:sz w:val="16"/>
            <w:szCs w:val="16"/>
          </w:rPr>
          <w:t>https://www.instat.gov.al/al/temat/treguesit-demografik%C3%AB-dhe-social%C3%AB/migracioni-dhe-integrimi-i-migrant%C3%ABve/#tab2</w:t>
        </w:r>
      </w:hyperlink>
      <w:bookmarkEnd w:id="18"/>
    </w:p>
  </w:footnote>
  <w:footnote w:id="29">
    <w:p w14:paraId="0AA4AC60" w14:textId="344E45E9" w:rsidR="009936AF" w:rsidRPr="00E73215" w:rsidRDefault="009936AF" w:rsidP="00C42B36">
      <w:pPr>
        <w:pStyle w:val="FootnoteText"/>
        <w:spacing w:before="0" w:after="0"/>
        <w:jc w:val="left"/>
        <w:rPr>
          <w:rFonts w:ascii="Garamond" w:hAnsi="Garamond" w:cs="Times New Roman"/>
          <w:sz w:val="16"/>
          <w:szCs w:val="16"/>
        </w:rPr>
      </w:pPr>
      <w:r w:rsidRPr="00E73215">
        <w:rPr>
          <w:rStyle w:val="FootnoteReference"/>
          <w:rFonts w:ascii="Garamond" w:hAnsi="Garamond" w:cs="Times New Roman"/>
          <w:sz w:val="16"/>
          <w:szCs w:val="16"/>
        </w:rPr>
        <w:footnoteRef/>
      </w:r>
      <w:r w:rsidRPr="00E73215">
        <w:rPr>
          <w:rFonts w:ascii="Garamond" w:hAnsi="Garamond" w:cs="Times New Roman"/>
          <w:sz w:val="16"/>
          <w:szCs w:val="16"/>
        </w:rPr>
        <w:t xml:space="preserve"> Fleta informative e Shqipërisë</w:t>
      </w:r>
    </w:p>
    <w:p w14:paraId="58646535" w14:textId="6AF66C46" w:rsidR="009936AF" w:rsidRPr="00E73215" w:rsidRDefault="009936AF" w:rsidP="00C42B36">
      <w:pPr>
        <w:pStyle w:val="FootnoteText"/>
        <w:spacing w:before="0" w:after="0"/>
        <w:jc w:val="left"/>
        <w:rPr>
          <w:rFonts w:ascii="Garamond" w:hAnsi="Garamond"/>
          <w:sz w:val="16"/>
          <w:szCs w:val="16"/>
        </w:rPr>
      </w:pPr>
      <w:r w:rsidRPr="00E73215">
        <w:rPr>
          <w:rFonts w:ascii="Garamond" w:hAnsi="Garamond" w:cs="Times New Roman"/>
          <w:sz w:val="16"/>
          <w:szCs w:val="16"/>
        </w:rPr>
        <w:t xml:space="preserve"> </w:t>
      </w:r>
      <w:hyperlink r:id="rId8" w:history="1">
        <w:r w:rsidRPr="00E73215">
          <w:rPr>
            <w:rStyle w:val="Hyperlink"/>
            <w:rFonts w:ascii="Garamond" w:hAnsi="Garamond" w:cs="Times New Roman"/>
            <w:sz w:val="16"/>
            <w:szCs w:val="16"/>
          </w:rPr>
          <w:t>https://albania.iom.int/sites/g/files/tmzbdl1401/files/documents/2023-03/IOM%20Albania%20Infosheet.pdf</w:t>
        </w:r>
      </w:hyperlink>
    </w:p>
  </w:footnote>
  <w:footnote w:id="30">
    <w:p w14:paraId="39D08AA2" w14:textId="77777777" w:rsidR="009936AF" w:rsidRPr="00E73215" w:rsidRDefault="009936AF" w:rsidP="00C42B36">
      <w:pPr>
        <w:pStyle w:val="FootnoteText"/>
        <w:spacing w:before="0" w:after="0"/>
        <w:jc w:val="left"/>
        <w:rPr>
          <w:rFonts w:ascii="Garamond" w:hAnsi="Garamond" w:cs="Times New Roman"/>
          <w:sz w:val="16"/>
          <w:szCs w:val="16"/>
        </w:rPr>
      </w:pPr>
      <w:r w:rsidRPr="00E73215">
        <w:rPr>
          <w:rStyle w:val="FootnoteReference"/>
          <w:rFonts w:ascii="Garamond" w:hAnsi="Garamond" w:cs="Times New Roman"/>
          <w:sz w:val="16"/>
          <w:szCs w:val="16"/>
        </w:rPr>
        <w:footnoteRef/>
      </w:r>
      <w:r w:rsidRPr="00E73215">
        <w:rPr>
          <w:rFonts w:ascii="Garamond" w:hAnsi="Garamond" w:cs="Times New Roman"/>
          <w:sz w:val="16"/>
          <w:szCs w:val="16"/>
        </w:rPr>
        <w:t xml:space="preserve"> EUROSTAT: </w:t>
      </w:r>
    </w:p>
    <w:p w14:paraId="1E8B8D7B" w14:textId="34E42F78" w:rsidR="009936AF" w:rsidRPr="00E73215" w:rsidRDefault="007A3726" w:rsidP="00C42B36">
      <w:pPr>
        <w:pStyle w:val="FootnoteText"/>
        <w:spacing w:before="0" w:after="0"/>
        <w:jc w:val="left"/>
        <w:rPr>
          <w:rFonts w:ascii="Garamond" w:hAnsi="Garamond" w:cs="Times New Roman"/>
          <w:sz w:val="16"/>
          <w:szCs w:val="16"/>
        </w:rPr>
      </w:pPr>
      <w:hyperlink r:id="rId9" w:history="1">
        <w:r w:rsidR="009936AF" w:rsidRPr="00E73215">
          <w:rPr>
            <w:rStyle w:val="Hyperlink"/>
            <w:rFonts w:ascii="Garamond" w:hAnsi="Garamond" w:cs="Times New Roman"/>
            <w:sz w:val="16"/>
            <w:szCs w:val="16"/>
          </w:rPr>
          <w:t>https://ec.europa.eu/eurostat/databrowser/view/MIGR_RESVAS__custom_6568453/default/table?lang=en</w:t>
        </w:r>
      </w:hyperlink>
    </w:p>
  </w:footnote>
  <w:footnote w:id="31">
    <w:p w14:paraId="2E96AEF9" w14:textId="6202DE95" w:rsidR="009936AF" w:rsidRPr="00E73215" w:rsidRDefault="009936AF" w:rsidP="00C42B36">
      <w:pPr>
        <w:pStyle w:val="FootnoteText"/>
        <w:spacing w:before="0" w:after="0"/>
        <w:jc w:val="left"/>
        <w:rPr>
          <w:rFonts w:ascii="Garamond" w:hAnsi="Garamond" w:cs="Times New Roman"/>
          <w:sz w:val="16"/>
          <w:szCs w:val="16"/>
        </w:rPr>
      </w:pPr>
      <w:r w:rsidRPr="00E73215">
        <w:rPr>
          <w:rStyle w:val="FootnoteReference"/>
          <w:rFonts w:ascii="Garamond" w:hAnsi="Garamond" w:cs="Times New Roman"/>
          <w:sz w:val="16"/>
          <w:szCs w:val="16"/>
        </w:rPr>
        <w:footnoteRef/>
      </w:r>
      <w:r w:rsidRPr="00E73215">
        <w:rPr>
          <w:rFonts w:ascii="Garamond" w:hAnsi="Garamond" w:cs="Times New Roman"/>
          <w:sz w:val="16"/>
          <w:szCs w:val="16"/>
        </w:rPr>
        <w:t xml:space="preserve"> UNHCR statistika për azilkërkuesit shqiptarë, 2022, </w:t>
      </w:r>
    </w:p>
    <w:p w14:paraId="6ABF5862" w14:textId="00F9D971" w:rsidR="009936AF" w:rsidRPr="00E73215" w:rsidRDefault="007A3726" w:rsidP="00C42B36">
      <w:pPr>
        <w:pStyle w:val="FootnoteText"/>
        <w:spacing w:before="0" w:after="0"/>
        <w:jc w:val="left"/>
        <w:rPr>
          <w:rFonts w:ascii="Garamond" w:hAnsi="Garamond"/>
          <w:sz w:val="16"/>
          <w:szCs w:val="16"/>
        </w:rPr>
      </w:pPr>
      <w:hyperlink r:id="rId10" w:history="1">
        <w:r w:rsidR="009936AF" w:rsidRPr="00E73215">
          <w:rPr>
            <w:rStyle w:val="Hyperlink"/>
            <w:rFonts w:ascii="Garamond" w:hAnsi="Garamond" w:cs="Times New Roman"/>
            <w:sz w:val="16"/>
            <w:szCs w:val="16"/>
          </w:rPr>
          <w:t>https://www.unhcr.org/refugee-statistics/doënload/?url=tKZ2A3</w:t>
        </w:r>
      </w:hyperlink>
      <w:r w:rsidR="009936AF" w:rsidRPr="00E73215">
        <w:rPr>
          <w:rFonts w:ascii="Garamond" w:hAnsi="Garamond"/>
          <w:sz w:val="16"/>
          <w:szCs w:val="16"/>
        </w:rPr>
        <w:t xml:space="preserve"> </w:t>
      </w:r>
    </w:p>
  </w:footnote>
  <w:footnote w:id="32">
    <w:p w14:paraId="2949570E" w14:textId="746C093C" w:rsidR="009936AF" w:rsidRPr="00A05C95" w:rsidRDefault="009936AF" w:rsidP="00C42B36">
      <w:pPr>
        <w:pStyle w:val="FootnoteText"/>
        <w:spacing w:before="0" w:after="0"/>
        <w:jc w:val="left"/>
        <w:rPr>
          <w:rFonts w:ascii="Garamond" w:hAnsi="Garamond" w:cs="Times New Roman"/>
          <w:sz w:val="16"/>
          <w:lang w:val="pl-PL"/>
        </w:rPr>
      </w:pPr>
      <w:r w:rsidRPr="00E27943">
        <w:rPr>
          <w:rStyle w:val="FootnoteReference"/>
          <w:rFonts w:ascii="Garamond" w:hAnsi="Garamond" w:cs="Times New Roman"/>
        </w:rPr>
        <w:footnoteRef/>
      </w:r>
      <w:r w:rsidRPr="00E27943">
        <w:rPr>
          <w:rFonts w:ascii="Garamond" w:hAnsi="Garamond" w:cs="Times New Roman"/>
        </w:rPr>
        <w:t xml:space="preserve"> </w:t>
      </w:r>
      <w:r w:rsidRPr="00A05C95">
        <w:rPr>
          <w:rFonts w:ascii="Garamond" w:hAnsi="Garamond" w:cs="Times New Roman"/>
          <w:sz w:val="16"/>
          <w:lang w:val="pl-PL"/>
        </w:rPr>
        <w:t>Të dhëna nga EUROSTAT https://ec.europa.eu/eurostat/databrowser/view/migr_asyappctza__custom_9266187/default/table?lang=en</w:t>
      </w:r>
    </w:p>
  </w:footnote>
  <w:footnote w:id="33">
    <w:p w14:paraId="7FE573E5" w14:textId="24318370" w:rsidR="009936AF" w:rsidRPr="00E73215" w:rsidRDefault="009936AF" w:rsidP="00C42B36">
      <w:pPr>
        <w:pStyle w:val="FootnoteText"/>
        <w:spacing w:before="0" w:after="0"/>
        <w:jc w:val="left"/>
        <w:rPr>
          <w:rFonts w:ascii="Garamond" w:hAnsi="Garamond" w:cs="Calibri"/>
          <w:sz w:val="16"/>
          <w:szCs w:val="16"/>
        </w:rPr>
      </w:pPr>
      <w:r w:rsidRPr="00E73215">
        <w:rPr>
          <w:rStyle w:val="FootnoteReference"/>
          <w:rFonts w:ascii="Garamond" w:hAnsi="Garamond" w:cs="Times New Roman"/>
          <w:sz w:val="16"/>
          <w:szCs w:val="16"/>
        </w:rPr>
        <w:footnoteRef/>
      </w:r>
      <w:r w:rsidRPr="00E73215">
        <w:rPr>
          <w:rFonts w:ascii="Garamond" w:hAnsi="Garamond" w:cs="Times New Roman"/>
          <w:sz w:val="16"/>
          <w:szCs w:val="16"/>
        </w:rPr>
        <w:t xml:space="preserve"> Informacion nga MB-ja.</w:t>
      </w:r>
    </w:p>
  </w:footnote>
  <w:footnote w:id="34">
    <w:p w14:paraId="209C1985" w14:textId="2321E940" w:rsidR="009936AF" w:rsidRPr="00E73215" w:rsidRDefault="009936AF" w:rsidP="00C42B36">
      <w:pPr>
        <w:pStyle w:val="FootnoteText"/>
        <w:spacing w:before="0" w:after="0"/>
        <w:jc w:val="left"/>
        <w:rPr>
          <w:rFonts w:ascii="Garamond" w:hAnsi="Garamond" w:cs="Times New Roman"/>
          <w:sz w:val="16"/>
          <w:szCs w:val="16"/>
        </w:rPr>
      </w:pPr>
      <w:r w:rsidRPr="00E73215">
        <w:rPr>
          <w:rStyle w:val="FootnoteReference"/>
          <w:rFonts w:ascii="Garamond" w:hAnsi="Garamond" w:cs="Times New Roman"/>
          <w:sz w:val="16"/>
          <w:szCs w:val="16"/>
        </w:rPr>
        <w:footnoteRef/>
      </w:r>
      <w:r w:rsidRPr="00E73215">
        <w:rPr>
          <w:rFonts w:ascii="Garamond" w:hAnsi="Garamond" w:cs="Times New Roman"/>
          <w:sz w:val="16"/>
          <w:szCs w:val="16"/>
        </w:rPr>
        <w:t xml:space="preserve"> </w:t>
      </w:r>
      <w:r w:rsidRPr="00E73215">
        <w:rPr>
          <w:rFonts w:ascii="Garamond" w:hAnsi="Garamond" w:cs="Times New Roman"/>
          <w:i/>
          <w:iCs/>
          <w:sz w:val="16"/>
          <w:szCs w:val="16"/>
        </w:rPr>
        <w:t>Po aty.</w:t>
      </w:r>
      <w:r w:rsidRPr="00E73215">
        <w:rPr>
          <w:rFonts w:ascii="Garamond" w:hAnsi="Garamond" w:cs="Times New Roman"/>
          <w:sz w:val="16"/>
          <w:szCs w:val="16"/>
        </w:rPr>
        <w:t xml:space="preserve"> </w:t>
      </w:r>
    </w:p>
  </w:footnote>
  <w:footnote w:id="35">
    <w:p w14:paraId="1F8BCA93" w14:textId="66FDFE09" w:rsidR="009936AF" w:rsidRPr="00E73215" w:rsidRDefault="009936AF" w:rsidP="00C42B36">
      <w:pPr>
        <w:pStyle w:val="FootnoteText"/>
        <w:spacing w:before="0" w:after="0"/>
        <w:jc w:val="left"/>
        <w:rPr>
          <w:rFonts w:ascii="Garamond" w:hAnsi="Garamond" w:cs="Times New Roman"/>
          <w:sz w:val="16"/>
          <w:szCs w:val="16"/>
        </w:rPr>
      </w:pPr>
      <w:r w:rsidRPr="00E73215">
        <w:rPr>
          <w:rStyle w:val="FootnoteReference"/>
          <w:rFonts w:ascii="Garamond" w:hAnsi="Garamond" w:cs="Times New Roman"/>
          <w:sz w:val="16"/>
          <w:szCs w:val="16"/>
        </w:rPr>
        <w:footnoteRef/>
      </w:r>
      <w:r w:rsidRPr="00E73215">
        <w:rPr>
          <w:rFonts w:ascii="Garamond" w:hAnsi="Garamond" w:cs="Times New Roman"/>
          <w:sz w:val="16"/>
          <w:szCs w:val="16"/>
        </w:rPr>
        <w:t xml:space="preserve"> </w:t>
      </w:r>
      <w:r w:rsidRPr="00E73215">
        <w:rPr>
          <w:rFonts w:ascii="Garamond" w:hAnsi="Garamond" w:cs="Times New Roman"/>
          <w:i/>
          <w:iCs/>
          <w:sz w:val="16"/>
          <w:szCs w:val="16"/>
        </w:rPr>
        <w:t xml:space="preserve">Po aty. </w:t>
      </w:r>
    </w:p>
  </w:footnote>
  <w:footnote w:id="36">
    <w:p w14:paraId="50E73946" w14:textId="39078B8B" w:rsidR="009936AF" w:rsidRPr="002F7DA3" w:rsidRDefault="009936AF" w:rsidP="00C42B36">
      <w:pPr>
        <w:pStyle w:val="FootnoteText"/>
        <w:spacing w:before="0" w:after="0"/>
        <w:jc w:val="left"/>
        <w:rPr>
          <w:rFonts w:ascii="Garamond" w:hAnsi="Garamond" w:cs="Times New Roman"/>
          <w:i/>
          <w:iCs/>
          <w:sz w:val="16"/>
          <w:szCs w:val="16"/>
        </w:rPr>
      </w:pPr>
      <w:r w:rsidRPr="002F7DA3">
        <w:rPr>
          <w:rStyle w:val="FootnoteReference"/>
          <w:rFonts w:ascii="Garamond" w:hAnsi="Garamond" w:cs="Times New Roman"/>
          <w:sz w:val="16"/>
          <w:szCs w:val="16"/>
        </w:rPr>
        <w:footnoteRef/>
      </w:r>
      <w:r w:rsidRPr="002F7DA3">
        <w:rPr>
          <w:rFonts w:ascii="Garamond" w:hAnsi="Garamond" w:cs="Times New Roman"/>
          <w:sz w:val="16"/>
          <w:szCs w:val="16"/>
        </w:rPr>
        <w:t xml:space="preserve"> </w:t>
      </w:r>
      <w:r w:rsidRPr="002F7DA3">
        <w:rPr>
          <w:rFonts w:ascii="Garamond" w:hAnsi="Garamond" w:cs="Times New Roman"/>
          <w:i/>
          <w:iCs/>
          <w:sz w:val="16"/>
          <w:szCs w:val="16"/>
        </w:rPr>
        <w:t>Po aty.</w:t>
      </w:r>
    </w:p>
  </w:footnote>
  <w:footnote w:id="37">
    <w:p w14:paraId="42029B38" w14:textId="54BCB7F7" w:rsidR="009936AF" w:rsidRPr="002F7DA3" w:rsidRDefault="009936AF" w:rsidP="00C42B36">
      <w:pPr>
        <w:pStyle w:val="FootnoteText"/>
        <w:spacing w:before="0" w:after="0"/>
        <w:jc w:val="left"/>
        <w:rPr>
          <w:rFonts w:ascii="Garamond" w:hAnsi="Garamond"/>
          <w:sz w:val="16"/>
          <w:szCs w:val="16"/>
        </w:rPr>
      </w:pPr>
      <w:r w:rsidRPr="002F7DA3">
        <w:rPr>
          <w:rStyle w:val="FootnoteReference"/>
          <w:rFonts w:ascii="Garamond" w:hAnsi="Garamond" w:cs="Times New Roman"/>
          <w:sz w:val="16"/>
          <w:szCs w:val="16"/>
        </w:rPr>
        <w:footnoteRef/>
      </w:r>
      <w:r w:rsidRPr="002F7DA3">
        <w:rPr>
          <w:rFonts w:ascii="Garamond" w:hAnsi="Garamond" w:cs="Times New Roman"/>
          <w:sz w:val="16"/>
          <w:szCs w:val="16"/>
        </w:rPr>
        <w:t xml:space="preserve"> Përfundimi i Profilit të Zgjeruar të Migracionit, 2015</w:t>
      </w:r>
      <w:r w:rsidRPr="002F7DA3">
        <w:rPr>
          <w:rStyle w:val="contentpasted1"/>
          <w:rFonts w:ascii="Garamond" w:hAnsi="Garamond" w:cs="Times New Roman"/>
          <w:color w:val="000000"/>
          <w:sz w:val="16"/>
          <w:szCs w:val="16"/>
        </w:rPr>
        <w:t>–</w:t>
      </w:r>
      <w:r w:rsidRPr="002F7DA3">
        <w:rPr>
          <w:rFonts w:ascii="Garamond" w:hAnsi="Garamond" w:cs="Times New Roman"/>
          <w:sz w:val="16"/>
          <w:szCs w:val="16"/>
        </w:rPr>
        <w:t>2018, gjendet në Raportin e Rishikimit Vullnetar mbi Statusin e Zbatimit të Paktit Global për Migracionin në Shqipëri në 2021, f. 6, https://migrationnetwork.un.org/system/files/docs/Albania%20-%20Voluntary%20Review%20Report%20to%20IMRF.pdf</w:t>
      </w:r>
    </w:p>
  </w:footnote>
  <w:footnote w:id="38">
    <w:p w14:paraId="0A093FAD" w14:textId="57D2E0CC" w:rsidR="009936AF" w:rsidRPr="002F7DA3" w:rsidRDefault="009936AF" w:rsidP="00C42B36">
      <w:pPr>
        <w:pStyle w:val="FootnoteText"/>
        <w:spacing w:before="0" w:after="0"/>
        <w:jc w:val="left"/>
        <w:rPr>
          <w:rFonts w:ascii="Garamond" w:hAnsi="Garamond" w:cs="Times New Roman"/>
          <w:sz w:val="16"/>
          <w:szCs w:val="16"/>
        </w:rPr>
      </w:pPr>
      <w:r w:rsidRPr="002F7DA3">
        <w:rPr>
          <w:rStyle w:val="FootnoteReference"/>
          <w:rFonts w:ascii="Garamond" w:hAnsi="Garamond" w:cs="Times New Roman"/>
          <w:sz w:val="16"/>
          <w:szCs w:val="16"/>
        </w:rPr>
        <w:footnoteRef/>
      </w:r>
      <w:r w:rsidRPr="002F7DA3">
        <w:rPr>
          <w:rFonts w:ascii="Garamond" w:hAnsi="Garamond" w:cs="Times New Roman"/>
          <w:sz w:val="16"/>
          <w:szCs w:val="16"/>
        </w:rPr>
        <w:t xml:space="preserve"> Profili i Zgjeruar Kombëtar i Migracionit, 2015–2018, https://qbz.gov.al/eli/vendim/2020/03/12/222</w:t>
      </w:r>
    </w:p>
  </w:footnote>
  <w:footnote w:id="39">
    <w:p w14:paraId="518D2465" w14:textId="00AA10F7" w:rsidR="009936AF" w:rsidRPr="002F7DA3" w:rsidRDefault="009936AF" w:rsidP="00C42B36">
      <w:pPr>
        <w:pStyle w:val="FootnoteText"/>
        <w:spacing w:before="0" w:after="0"/>
        <w:jc w:val="left"/>
        <w:rPr>
          <w:rFonts w:ascii="Garamond" w:hAnsi="Garamond" w:cs="Times New Roman"/>
          <w:sz w:val="16"/>
          <w:szCs w:val="16"/>
        </w:rPr>
      </w:pPr>
      <w:r w:rsidRPr="002F7DA3">
        <w:rPr>
          <w:rStyle w:val="FootnoteReference"/>
          <w:rFonts w:ascii="Garamond" w:hAnsi="Garamond" w:cs="Times New Roman"/>
          <w:sz w:val="16"/>
          <w:szCs w:val="16"/>
        </w:rPr>
        <w:footnoteRef/>
      </w:r>
      <w:r w:rsidRPr="002F7DA3">
        <w:rPr>
          <w:rFonts w:ascii="Garamond" w:hAnsi="Garamond" w:cs="Times New Roman"/>
          <w:sz w:val="16"/>
          <w:szCs w:val="16"/>
        </w:rPr>
        <w:t xml:space="preserve"> Përfundimi i Profilit të Zgjeruar të Migracionit për 2015-2018 jepet në: Raport Vullnetar i Rishikimit mbi Statusin e Zbatimit të Paktit Global për Migracionin në Shqipëri në vitin 2021, f. 6, </w:t>
      </w:r>
      <w:hyperlink r:id="rId11" w:history="1">
        <w:r w:rsidRPr="002F7DA3">
          <w:rPr>
            <w:rStyle w:val="Hyperlink"/>
            <w:rFonts w:ascii="Garamond" w:hAnsi="Garamond" w:cs="Times New Roman"/>
            <w:sz w:val="16"/>
            <w:szCs w:val="16"/>
          </w:rPr>
          <w:t>https://migrationnetwork.un.org/system/files/docs/Albania%20-%20Voluntary%20Review%20Report%20to%20IMRF.pdf</w:t>
        </w:r>
      </w:hyperlink>
      <w:r w:rsidRPr="002F7DA3">
        <w:rPr>
          <w:rFonts w:ascii="Garamond" w:hAnsi="Garamond" w:cs="Times New Roman"/>
          <w:sz w:val="16"/>
          <w:szCs w:val="16"/>
        </w:rPr>
        <w:t xml:space="preserve"> </w:t>
      </w:r>
    </w:p>
  </w:footnote>
  <w:footnote w:id="40">
    <w:p w14:paraId="34AE50D8" w14:textId="4531E587" w:rsidR="009936AF" w:rsidRPr="002F7DA3" w:rsidRDefault="009936AF" w:rsidP="00C42B36">
      <w:pPr>
        <w:spacing w:before="0" w:after="0"/>
        <w:jc w:val="left"/>
        <w:rPr>
          <w:rFonts w:ascii="Garamond" w:hAnsi="Garamond" w:cs="Times New Roman"/>
          <w:i/>
          <w:iCs/>
          <w:sz w:val="16"/>
          <w:szCs w:val="16"/>
        </w:rPr>
      </w:pPr>
      <w:r w:rsidRPr="002F7DA3">
        <w:rPr>
          <w:rStyle w:val="FootnoteReference"/>
          <w:rFonts w:ascii="Garamond" w:hAnsi="Garamond" w:cs="Times New Roman"/>
          <w:sz w:val="16"/>
          <w:szCs w:val="16"/>
        </w:rPr>
        <w:footnoteRef/>
      </w:r>
      <w:r w:rsidRPr="002F7DA3">
        <w:rPr>
          <w:rFonts w:ascii="Garamond" w:hAnsi="Garamond" w:cs="Times New Roman"/>
          <w:sz w:val="16"/>
          <w:szCs w:val="16"/>
        </w:rPr>
        <w:t xml:space="preserve"> </w:t>
      </w:r>
      <w:r w:rsidRPr="002F7DA3">
        <w:rPr>
          <w:rFonts w:ascii="Garamond" w:eastAsia="Times New Roman" w:hAnsi="Garamond" w:cs="Times New Roman"/>
          <w:spacing w:val="-2"/>
          <w:sz w:val="16"/>
          <w:szCs w:val="16"/>
          <w:shd w:val="clear" w:color="auto" w:fill="FFFFFF"/>
          <w:lang w:eastAsia="en-GB"/>
        </w:rPr>
        <w:t xml:space="preserve">Profili i Zgjeruar Kombëtar i Migracionit 2015–2018, </w:t>
      </w:r>
      <w:hyperlink r:id="rId12" w:history="1">
        <w:r w:rsidRPr="002F7DA3">
          <w:rPr>
            <w:rStyle w:val="Hyperlink"/>
            <w:rFonts w:ascii="Garamond" w:hAnsi="Garamond" w:cs="Times New Roman"/>
            <w:sz w:val="16"/>
            <w:szCs w:val="16"/>
          </w:rPr>
          <w:t>https://qbz.gov.al/eli/vendim/2020/03/12/222</w:t>
        </w:r>
      </w:hyperlink>
    </w:p>
  </w:footnote>
  <w:footnote w:id="41">
    <w:p w14:paraId="1E60423E" w14:textId="44249AAD" w:rsidR="009936AF" w:rsidRPr="002F7DA3" w:rsidRDefault="009936AF" w:rsidP="00C42B36">
      <w:pPr>
        <w:pStyle w:val="FootnoteText"/>
        <w:spacing w:before="0" w:after="0"/>
        <w:jc w:val="left"/>
        <w:rPr>
          <w:rFonts w:ascii="Garamond" w:hAnsi="Garamond"/>
          <w:sz w:val="16"/>
          <w:szCs w:val="16"/>
        </w:rPr>
      </w:pPr>
      <w:r w:rsidRPr="002F7DA3">
        <w:rPr>
          <w:rStyle w:val="FootnoteReference"/>
          <w:rFonts w:ascii="Garamond" w:hAnsi="Garamond" w:cs="Times New Roman"/>
          <w:sz w:val="16"/>
          <w:szCs w:val="16"/>
        </w:rPr>
        <w:footnoteRef/>
      </w:r>
      <w:r w:rsidRPr="002F7DA3">
        <w:rPr>
          <w:rFonts w:ascii="Garamond" w:hAnsi="Garamond" w:cs="Times New Roman"/>
          <w:sz w:val="16"/>
          <w:szCs w:val="16"/>
        </w:rPr>
        <w:t xml:space="preserve"> Të dhënat e INSTAT-it tregojnë se Shqipëria ka arritur një ulje të ndjeshme të papunësisë së të rinjve në vitet 2015-2020 – nga 33.2% në 20.8%. Megjithatë, trendi kohët e fundit është përmbysur. Pas një rënie të papunësisë tek të rinjtë (që mbulon grupin e moshave 15 deri në 29 vjeç) midis tremujorit të parë të 2021 (23.3%) dhe tremujorit të parë të 2022 (20.7%), në vitin 2022 u vu re një rritje e qëndrueshme në mënyrë që Norma u rikuperua në 22.5% në tremujorin e parë të 2023. Norma e papunësisë së të rinjve në Shqipëri, </w:t>
      </w:r>
      <w:hyperlink r:id="rId13" w:history="1">
        <w:r w:rsidRPr="002F7DA3">
          <w:rPr>
            <w:rStyle w:val="Hyperlink"/>
            <w:rFonts w:ascii="Garamond" w:hAnsi="Garamond" w:cs="Times New Roman"/>
            <w:sz w:val="16"/>
            <w:szCs w:val="16"/>
          </w:rPr>
          <w:t>https://tradingeconomics.com/albania/youth-unemployment-rate</w:t>
        </w:r>
      </w:hyperlink>
      <w:r w:rsidRPr="002F7DA3">
        <w:rPr>
          <w:rFonts w:ascii="Garamond" w:hAnsi="Garamond" w:cs="Times New Roman"/>
          <w:sz w:val="16"/>
          <w:szCs w:val="16"/>
        </w:rPr>
        <w:t>, aksesuar më 6 gusht 2023.</w:t>
      </w:r>
    </w:p>
  </w:footnote>
  <w:footnote w:id="42">
    <w:p w14:paraId="6DD9FAD8" w14:textId="7A0448B5" w:rsidR="009936AF" w:rsidRPr="00B968DD" w:rsidRDefault="009936AF" w:rsidP="00C42B36">
      <w:pPr>
        <w:pStyle w:val="FootnoteText"/>
        <w:spacing w:before="0" w:after="0"/>
        <w:jc w:val="left"/>
        <w:rPr>
          <w:rFonts w:ascii="Garamond" w:hAnsi="Garamond" w:cs="Times New Roman"/>
          <w:sz w:val="16"/>
          <w:szCs w:val="16"/>
        </w:rPr>
      </w:pPr>
      <w:r w:rsidRPr="00B968DD">
        <w:rPr>
          <w:rStyle w:val="FootnoteReference"/>
          <w:rFonts w:ascii="Garamond" w:hAnsi="Garamond" w:cs="Times New Roman"/>
          <w:sz w:val="16"/>
          <w:szCs w:val="16"/>
        </w:rPr>
        <w:footnoteRef/>
      </w:r>
      <w:r w:rsidRPr="00B968DD">
        <w:rPr>
          <w:rFonts w:ascii="Garamond" w:hAnsi="Garamond" w:cs="Times New Roman"/>
          <w:sz w:val="16"/>
          <w:szCs w:val="16"/>
        </w:rPr>
        <w:t xml:space="preserve"> Ligji nr. 30/2022, “Për miratimin e programit të statistikave zyrtare 2022</w:t>
      </w:r>
      <w:r w:rsidRPr="00B968DD">
        <w:rPr>
          <w:rStyle w:val="contentpasted1"/>
          <w:rFonts w:ascii="Garamond" w:hAnsi="Garamond" w:cs="Times New Roman"/>
          <w:color w:val="000000"/>
          <w:sz w:val="16"/>
          <w:szCs w:val="16"/>
        </w:rPr>
        <w:t>–</w:t>
      </w:r>
      <w:r w:rsidRPr="00B968DD">
        <w:rPr>
          <w:rFonts w:ascii="Garamond" w:hAnsi="Garamond" w:cs="Times New Roman"/>
          <w:sz w:val="16"/>
          <w:szCs w:val="16"/>
        </w:rPr>
        <w:t>2026”; https://www.instat.gov.al/media/11530/osp-2022-2026-en.pdf</w:t>
      </w:r>
    </w:p>
  </w:footnote>
  <w:footnote w:id="43">
    <w:p w14:paraId="5E7924C2" w14:textId="639F5B96" w:rsidR="009936AF" w:rsidRPr="004D6364" w:rsidRDefault="009936AF" w:rsidP="006302A8">
      <w:pPr>
        <w:pStyle w:val="FootnoteText"/>
        <w:spacing w:before="0" w:after="0"/>
        <w:rPr>
          <w:rFonts w:ascii="Garamond" w:hAnsi="Garamond"/>
          <w:sz w:val="16"/>
          <w:szCs w:val="16"/>
        </w:rPr>
      </w:pPr>
      <w:r w:rsidRPr="004D6364">
        <w:rPr>
          <w:rStyle w:val="FootnoteReference"/>
          <w:rFonts w:ascii="Garamond" w:hAnsi="Garamond" w:cs="Times New Roman"/>
          <w:sz w:val="16"/>
          <w:szCs w:val="16"/>
        </w:rPr>
        <w:footnoteRef/>
      </w:r>
      <w:r w:rsidRPr="004D6364">
        <w:rPr>
          <w:rFonts w:ascii="Garamond" w:hAnsi="Garamond" w:cs="Times New Roman"/>
          <w:sz w:val="16"/>
          <w:szCs w:val="16"/>
        </w:rPr>
        <w:t xml:space="preserve"> VKM-ja nr. 857, datë 29.12.2021, </w:t>
      </w:r>
      <w:r>
        <w:rPr>
          <w:rFonts w:ascii="Garamond" w:hAnsi="Garamond" w:cs="Times New Roman"/>
          <w:sz w:val="16"/>
          <w:szCs w:val="16"/>
        </w:rPr>
        <w:t>“</w:t>
      </w:r>
      <w:r w:rsidRPr="004D6364">
        <w:rPr>
          <w:rFonts w:ascii="Garamond" w:hAnsi="Garamond" w:cs="Times New Roman"/>
          <w:sz w:val="16"/>
          <w:szCs w:val="16"/>
        </w:rPr>
        <w:t>Për krijimin dhe funksionimin e Regjistrit Elektronik Kombëtar për të Huajt (REKH) në Republikën e Shqipërisë</w:t>
      </w:r>
      <w:r>
        <w:rPr>
          <w:rFonts w:ascii="Garamond" w:hAnsi="Garamond" w:cs="Times New Roman"/>
          <w:sz w:val="16"/>
          <w:szCs w:val="16"/>
        </w:rPr>
        <w:t>”</w:t>
      </w:r>
      <w:r w:rsidRPr="004D6364">
        <w:rPr>
          <w:rFonts w:ascii="Garamond" w:hAnsi="Garamond" w:cs="Times New Roman"/>
          <w:sz w:val="16"/>
          <w:szCs w:val="16"/>
        </w:rPr>
        <w:t>.</w:t>
      </w:r>
    </w:p>
  </w:footnote>
  <w:footnote w:id="44">
    <w:p w14:paraId="53FE27C4" w14:textId="5E78AA04" w:rsidR="009936AF" w:rsidRPr="004D6364" w:rsidRDefault="009936AF" w:rsidP="006302A8">
      <w:pPr>
        <w:pStyle w:val="FootnoteText"/>
        <w:spacing w:before="0" w:after="0"/>
        <w:rPr>
          <w:rFonts w:ascii="Garamond" w:hAnsi="Garamond" w:cs="Times New Roman"/>
          <w:sz w:val="16"/>
          <w:szCs w:val="16"/>
        </w:rPr>
      </w:pPr>
      <w:r w:rsidRPr="004D6364">
        <w:rPr>
          <w:rStyle w:val="FootnoteReference"/>
          <w:rFonts w:ascii="Garamond" w:hAnsi="Garamond" w:cs="Times New Roman"/>
          <w:sz w:val="16"/>
          <w:szCs w:val="16"/>
        </w:rPr>
        <w:footnoteRef/>
      </w:r>
      <w:r w:rsidRPr="004D6364">
        <w:rPr>
          <w:rFonts w:ascii="Garamond" w:hAnsi="Garamond" w:cs="Times New Roman"/>
          <w:sz w:val="16"/>
          <w:szCs w:val="16"/>
        </w:rPr>
        <w:t xml:space="preserve"> Ligji nr. 9668, datë 18.12.2006, </w:t>
      </w:r>
      <w:r>
        <w:rPr>
          <w:rFonts w:ascii="Garamond" w:hAnsi="Garamond" w:cs="Times New Roman"/>
          <w:sz w:val="16"/>
          <w:szCs w:val="16"/>
        </w:rPr>
        <w:t>“</w:t>
      </w:r>
      <w:r w:rsidRPr="004D6364">
        <w:rPr>
          <w:rFonts w:ascii="Garamond" w:hAnsi="Garamond" w:cs="Times New Roman"/>
          <w:sz w:val="16"/>
          <w:szCs w:val="16"/>
        </w:rPr>
        <w:t>Mbi emigracionin e shtetasve shqiptare për qëllime punësimi</w:t>
      </w:r>
      <w:r>
        <w:rPr>
          <w:rFonts w:ascii="Garamond" w:hAnsi="Garamond" w:cs="Times New Roman"/>
          <w:sz w:val="16"/>
          <w:szCs w:val="16"/>
        </w:rPr>
        <w:t>”,</w:t>
      </w:r>
      <w:r w:rsidRPr="004D6364">
        <w:rPr>
          <w:rFonts w:ascii="Garamond" w:hAnsi="Garamond" w:cs="Times New Roman"/>
          <w:sz w:val="16"/>
          <w:szCs w:val="16"/>
        </w:rPr>
        <w:t xml:space="preserve"> i ndryshuar</w:t>
      </w:r>
      <w:r>
        <w:rPr>
          <w:rFonts w:ascii="Garamond" w:hAnsi="Garamond" w:cs="Times New Roman"/>
          <w:sz w:val="16"/>
          <w:szCs w:val="16"/>
        </w:rPr>
        <w:t xml:space="preserve">. </w:t>
      </w:r>
      <w:r w:rsidRPr="004D6364">
        <w:rPr>
          <w:rFonts w:ascii="Garamond" w:hAnsi="Garamond" w:cs="Times New Roman"/>
          <w:sz w:val="16"/>
          <w:szCs w:val="16"/>
        </w:rPr>
        <w:t>https://www.pp.gov.al/rc/doc/ligj_per_emigrimin_36.pdf</w:t>
      </w:r>
    </w:p>
  </w:footnote>
  <w:footnote w:id="45">
    <w:p w14:paraId="6883FCB8" w14:textId="518B2BB9" w:rsidR="009936AF" w:rsidRPr="004D6364" w:rsidRDefault="009936AF" w:rsidP="006302A8">
      <w:pPr>
        <w:pStyle w:val="FootnoteText"/>
        <w:spacing w:before="0" w:after="0"/>
        <w:rPr>
          <w:rFonts w:ascii="Garamond" w:hAnsi="Garamond" w:cs="Times New Roman"/>
          <w:bCs/>
          <w:sz w:val="16"/>
          <w:szCs w:val="16"/>
        </w:rPr>
      </w:pPr>
      <w:r w:rsidRPr="004D6364">
        <w:rPr>
          <w:rStyle w:val="FootnoteReference"/>
          <w:rFonts w:ascii="Garamond" w:hAnsi="Garamond" w:cs="Times New Roman"/>
          <w:bCs/>
          <w:color w:val="000000"/>
          <w:sz w:val="16"/>
          <w:szCs w:val="16"/>
        </w:rPr>
        <w:footnoteRef/>
      </w:r>
      <w:r w:rsidRPr="004D6364">
        <w:rPr>
          <w:rFonts w:ascii="Garamond" w:hAnsi="Garamond" w:cs="Times New Roman"/>
          <w:bCs/>
          <w:color w:val="000000"/>
          <w:sz w:val="16"/>
          <w:szCs w:val="16"/>
        </w:rPr>
        <w:t xml:space="preserve"> Ligji nr.</w:t>
      </w:r>
      <w:r>
        <w:rPr>
          <w:rFonts w:ascii="Garamond" w:hAnsi="Garamond" w:cs="Times New Roman"/>
          <w:bCs/>
          <w:color w:val="000000"/>
          <w:sz w:val="16"/>
          <w:szCs w:val="16"/>
        </w:rPr>
        <w:t xml:space="preserve"> </w:t>
      </w:r>
      <w:r w:rsidRPr="004D6364">
        <w:rPr>
          <w:rFonts w:ascii="Garamond" w:hAnsi="Garamond" w:cs="Times New Roman"/>
          <w:bCs/>
          <w:color w:val="000000"/>
          <w:sz w:val="16"/>
          <w:szCs w:val="16"/>
        </w:rPr>
        <w:t>38/2019, datë 20.6.2019</w:t>
      </w:r>
      <w:r>
        <w:rPr>
          <w:rFonts w:ascii="Garamond" w:hAnsi="Garamond" w:cs="Times New Roman"/>
          <w:bCs/>
          <w:color w:val="000000"/>
          <w:sz w:val="16"/>
          <w:szCs w:val="16"/>
        </w:rPr>
        <w:t>,</w:t>
      </w:r>
      <w:r w:rsidRPr="004D6364">
        <w:rPr>
          <w:rFonts w:ascii="Garamond" w:hAnsi="Garamond" w:cs="Times New Roman"/>
          <w:bCs/>
          <w:color w:val="000000"/>
          <w:sz w:val="16"/>
          <w:szCs w:val="16"/>
        </w:rPr>
        <w:t xml:space="preserve"> </w:t>
      </w:r>
      <w:r>
        <w:rPr>
          <w:rFonts w:ascii="Garamond" w:hAnsi="Garamond" w:cs="Times New Roman"/>
          <w:bCs/>
          <w:color w:val="000000"/>
          <w:sz w:val="16"/>
          <w:szCs w:val="16"/>
        </w:rPr>
        <w:t>“</w:t>
      </w:r>
      <w:r w:rsidRPr="004D6364">
        <w:rPr>
          <w:rFonts w:ascii="Garamond" w:hAnsi="Garamond" w:cs="Times New Roman"/>
          <w:bCs/>
          <w:color w:val="000000"/>
          <w:sz w:val="16"/>
          <w:szCs w:val="16"/>
        </w:rPr>
        <w:t>Për disa ndryshime dhe shtesa në ligjin nr.139/2015</w:t>
      </w:r>
      <w:r>
        <w:rPr>
          <w:rFonts w:ascii="Garamond" w:hAnsi="Garamond" w:cs="Times New Roman"/>
          <w:bCs/>
          <w:color w:val="000000"/>
          <w:sz w:val="16"/>
          <w:szCs w:val="16"/>
        </w:rPr>
        <w:t>,</w:t>
      </w:r>
      <w:r w:rsidRPr="004D6364">
        <w:rPr>
          <w:rFonts w:ascii="Garamond" w:hAnsi="Garamond" w:cs="Times New Roman"/>
          <w:bCs/>
          <w:color w:val="000000"/>
          <w:sz w:val="16"/>
          <w:szCs w:val="16"/>
        </w:rPr>
        <w:t xml:space="preserve"> </w:t>
      </w:r>
      <w:r>
        <w:rPr>
          <w:rFonts w:ascii="Garamond" w:hAnsi="Garamond" w:cs="Times New Roman"/>
          <w:bCs/>
          <w:color w:val="000000"/>
          <w:sz w:val="16"/>
          <w:szCs w:val="16"/>
        </w:rPr>
        <w:t>‘</w:t>
      </w:r>
      <w:r w:rsidRPr="004D6364">
        <w:rPr>
          <w:rFonts w:ascii="Garamond" w:hAnsi="Garamond" w:cs="Times New Roman"/>
          <w:bCs/>
          <w:color w:val="000000"/>
          <w:sz w:val="16"/>
          <w:szCs w:val="16"/>
        </w:rPr>
        <w:t>Për vetëqeverisjen vendore</w:t>
      </w:r>
      <w:r>
        <w:rPr>
          <w:rFonts w:ascii="Garamond" w:hAnsi="Garamond" w:cs="Times New Roman"/>
          <w:bCs/>
          <w:color w:val="000000"/>
          <w:sz w:val="16"/>
          <w:szCs w:val="16"/>
        </w:rPr>
        <w:t>’”</w:t>
      </w:r>
      <w:r w:rsidRPr="004D6364">
        <w:rPr>
          <w:rFonts w:ascii="Garamond" w:hAnsi="Garamond" w:cs="Times New Roman"/>
          <w:bCs/>
          <w:color w:val="000000"/>
          <w:sz w:val="16"/>
          <w:szCs w:val="16"/>
        </w:rPr>
        <w:t>. Ligji nr.</w:t>
      </w:r>
      <w:r>
        <w:rPr>
          <w:rFonts w:ascii="Garamond" w:hAnsi="Garamond" w:cs="Times New Roman"/>
          <w:bCs/>
          <w:color w:val="000000"/>
          <w:sz w:val="16"/>
          <w:szCs w:val="16"/>
        </w:rPr>
        <w:t xml:space="preserve"> </w:t>
      </w:r>
      <w:r w:rsidRPr="004D6364">
        <w:rPr>
          <w:rFonts w:ascii="Garamond" w:hAnsi="Garamond" w:cs="Times New Roman"/>
          <w:bCs/>
          <w:color w:val="000000"/>
          <w:sz w:val="16"/>
          <w:szCs w:val="16"/>
        </w:rPr>
        <w:t>38/2019, datë 20.6.2019</w:t>
      </w:r>
      <w:r>
        <w:rPr>
          <w:rFonts w:ascii="Garamond" w:hAnsi="Garamond" w:cs="Times New Roman"/>
          <w:bCs/>
          <w:color w:val="000000"/>
          <w:sz w:val="16"/>
          <w:szCs w:val="16"/>
        </w:rPr>
        <w:t>,</w:t>
      </w:r>
      <w:r w:rsidRPr="004D6364">
        <w:rPr>
          <w:rFonts w:ascii="Garamond" w:hAnsi="Garamond" w:cs="Times New Roman"/>
          <w:bCs/>
          <w:color w:val="000000"/>
          <w:sz w:val="16"/>
          <w:szCs w:val="16"/>
        </w:rPr>
        <w:t xml:space="preserve"> </w:t>
      </w:r>
      <w:r>
        <w:rPr>
          <w:rFonts w:ascii="Garamond" w:hAnsi="Garamond" w:cs="Times New Roman"/>
          <w:bCs/>
          <w:color w:val="000000"/>
          <w:sz w:val="16"/>
          <w:szCs w:val="16"/>
        </w:rPr>
        <w:t>“</w:t>
      </w:r>
      <w:r w:rsidRPr="004D6364">
        <w:rPr>
          <w:rFonts w:ascii="Garamond" w:hAnsi="Garamond" w:cs="Times New Roman"/>
          <w:bCs/>
          <w:color w:val="000000"/>
          <w:sz w:val="16"/>
          <w:szCs w:val="16"/>
        </w:rPr>
        <w:t xml:space="preserve">Për disa ndryshime dhe shtesa në </w:t>
      </w:r>
      <w:r>
        <w:rPr>
          <w:rFonts w:ascii="Garamond" w:hAnsi="Garamond" w:cs="Times New Roman"/>
          <w:bCs/>
          <w:color w:val="000000"/>
          <w:sz w:val="16"/>
          <w:szCs w:val="16"/>
        </w:rPr>
        <w:t>l</w:t>
      </w:r>
      <w:r w:rsidRPr="004D6364">
        <w:rPr>
          <w:rFonts w:ascii="Garamond" w:hAnsi="Garamond" w:cs="Times New Roman"/>
          <w:bCs/>
          <w:color w:val="000000"/>
          <w:sz w:val="16"/>
          <w:szCs w:val="16"/>
        </w:rPr>
        <w:t>igji nr.</w:t>
      </w:r>
      <w:r>
        <w:rPr>
          <w:rFonts w:ascii="Garamond" w:hAnsi="Garamond" w:cs="Times New Roman"/>
          <w:bCs/>
          <w:color w:val="000000"/>
          <w:sz w:val="16"/>
          <w:szCs w:val="16"/>
        </w:rPr>
        <w:t xml:space="preserve"> </w:t>
      </w:r>
      <w:r w:rsidRPr="004D6364">
        <w:rPr>
          <w:rFonts w:ascii="Garamond" w:hAnsi="Garamond" w:cs="Times New Roman"/>
          <w:bCs/>
          <w:color w:val="000000"/>
          <w:sz w:val="16"/>
          <w:szCs w:val="16"/>
        </w:rPr>
        <w:t>139/2015</w:t>
      </w:r>
      <w:r>
        <w:rPr>
          <w:rFonts w:ascii="Garamond" w:hAnsi="Garamond" w:cs="Times New Roman"/>
          <w:bCs/>
          <w:color w:val="000000"/>
          <w:sz w:val="16"/>
          <w:szCs w:val="16"/>
        </w:rPr>
        <w:t>,</w:t>
      </w:r>
      <w:r w:rsidRPr="004D6364">
        <w:rPr>
          <w:rFonts w:ascii="Garamond" w:hAnsi="Garamond" w:cs="Times New Roman"/>
          <w:bCs/>
          <w:color w:val="000000"/>
          <w:sz w:val="16"/>
          <w:szCs w:val="16"/>
        </w:rPr>
        <w:t xml:space="preserve"> </w:t>
      </w:r>
      <w:r>
        <w:rPr>
          <w:rFonts w:ascii="Garamond" w:hAnsi="Garamond" w:cs="Times New Roman"/>
          <w:bCs/>
          <w:color w:val="000000"/>
          <w:sz w:val="16"/>
          <w:szCs w:val="16"/>
        </w:rPr>
        <w:t>“</w:t>
      </w:r>
      <w:r w:rsidRPr="004D6364">
        <w:rPr>
          <w:rFonts w:ascii="Garamond" w:hAnsi="Garamond" w:cs="Times New Roman"/>
          <w:bCs/>
          <w:color w:val="000000"/>
          <w:sz w:val="16"/>
          <w:szCs w:val="16"/>
        </w:rPr>
        <w:t>Për vetëqeverisjen vendore</w:t>
      </w:r>
      <w:r>
        <w:rPr>
          <w:rFonts w:ascii="Garamond" w:hAnsi="Garamond" w:cs="Times New Roman"/>
          <w:bCs/>
          <w:color w:val="000000"/>
          <w:sz w:val="16"/>
          <w:szCs w:val="16"/>
        </w:rPr>
        <w:t>”</w:t>
      </w:r>
      <w:r w:rsidRPr="004D6364">
        <w:rPr>
          <w:rFonts w:ascii="Garamond" w:hAnsi="Garamond" w:cs="Times New Roman"/>
          <w:bCs/>
          <w:color w:val="000000"/>
          <w:sz w:val="16"/>
          <w:szCs w:val="16"/>
        </w:rPr>
        <w:t>.</w:t>
      </w:r>
    </w:p>
  </w:footnote>
  <w:footnote w:id="46">
    <w:p w14:paraId="2A82FB4F" w14:textId="77777777" w:rsidR="009936AF" w:rsidRPr="006302A8" w:rsidRDefault="009936AF" w:rsidP="006302A8">
      <w:pPr>
        <w:pStyle w:val="FootnoteText"/>
        <w:spacing w:before="0" w:after="0"/>
        <w:rPr>
          <w:rFonts w:ascii="Garamond" w:hAnsi="Garamond"/>
          <w:sz w:val="16"/>
          <w:szCs w:val="16"/>
        </w:rPr>
      </w:pPr>
      <w:r w:rsidRPr="006302A8">
        <w:rPr>
          <w:rStyle w:val="FootnoteReference"/>
          <w:rFonts w:ascii="Garamond" w:hAnsi="Garamond" w:cs="Times New Roman"/>
          <w:sz w:val="16"/>
          <w:szCs w:val="16"/>
        </w:rPr>
        <w:footnoteRef/>
      </w:r>
      <w:r w:rsidRPr="006302A8">
        <w:rPr>
          <w:rFonts w:ascii="Garamond" w:hAnsi="Garamond" w:cs="Times New Roman"/>
          <w:sz w:val="16"/>
          <w:szCs w:val="16"/>
        </w:rPr>
        <w:t xml:space="preserve"> </w:t>
      </w:r>
      <w:hyperlink r:id="rId14" w:history="1">
        <w:r w:rsidRPr="006302A8">
          <w:rPr>
            <w:rStyle w:val="Hyperlink"/>
            <w:rFonts w:ascii="Garamond" w:hAnsi="Garamond" w:cs="Times New Roman"/>
            <w:sz w:val="16"/>
            <w:szCs w:val="16"/>
          </w:rPr>
          <w:t>https://cefta.int/wp-content/uploads/2022/07/CEFTA-Leaflet-ENG_digital-LINK-kor.pdf</w:t>
        </w:r>
      </w:hyperlink>
      <w:r w:rsidRPr="006302A8">
        <w:rPr>
          <w:rFonts w:ascii="Garamond" w:hAnsi="Garamond"/>
          <w:sz w:val="16"/>
          <w:szCs w:val="16"/>
        </w:rPr>
        <w:t xml:space="preserve"> </w:t>
      </w:r>
    </w:p>
  </w:footnote>
  <w:footnote w:id="47">
    <w:p w14:paraId="7DEFBEB7" w14:textId="00EB25C8" w:rsidR="009936AF" w:rsidRPr="006302A8" w:rsidRDefault="009936AF" w:rsidP="006302A8">
      <w:pPr>
        <w:pStyle w:val="FootnoteText"/>
        <w:spacing w:before="0" w:after="0"/>
        <w:rPr>
          <w:rFonts w:ascii="Garamond" w:hAnsi="Garamond" w:cs="Times New Roman"/>
          <w:sz w:val="16"/>
          <w:szCs w:val="16"/>
        </w:rPr>
      </w:pPr>
      <w:r w:rsidRPr="006302A8">
        <w:rPr>
          <w:rStyle w:val="FootnoteReference"/>
          <w:rFonts w:ascii="Garamond" w:hAnsi="Garamond" w:cs="Times New Roman"/>
          <w:sz w:val="16"/>
          <w:szCs w:val="16"/>
        </w:rPr>
        <w:footnoteRef/>
      </w:r>
      <w:r w:rsidRPr="006302A8">
        <w:rPr>
          <w:rFonts w:ascii="Garamond" w:hAnsi="Garamond" w:cs="Times New Roman"/>
          <w:sz w:val="16"/>
          <w:szCs w:val="16"/>
        </w:rPr>
        <w:t xml:space="preserve"> Komisioni Evropian, Shqipëri 2022</w:t>
      </w:r>
      <w:r>
        <w:rPr>
          <w:rFonts w:ascii="Garamond" w:hAnsi="Garamond" w:cs="Times New Roman"/>
          <w:sz w:val="16"/>
          <w:szCs w:val="16"/>
        </w:rPr>
        <w:t>,</w:t>
      </w:r>
      <w:r w:rsidRPr="006302A8">
        <w:rPr>
          <w:rFonts w:ascii="Garamond" w:hAnsi="Garamond" w:cs="Times New Roman"/>
          <w:sz w:val="16"/>
          <w:szCs w:val="16"/>
        </w:rPr>
        <w:t xml:space="preserve"> </w:t>
      </w:r>
      <w:r>
        <w:rPr>
          <w:rFonts w:ascii="Garamond" w:hAnsi="Garamond" w:cs="Times New Roman"/>
          <w:sz w:val="16"/>
          <w:szCs w:val="16"/>
        </w:rPr>
        <w:t>r</w:t>
      </w:r>
      <w:r w:rsidRPr="006302A8">
        <w:rPr>
          <w:rFonts w:ascii="Garamond" w:hAnsi="Garamond" w:cs="Times New Roman"/>
          <w:sz w:val="16"/>
          <w:szCs w:val="16"/>
        </w:rPr>
        <w:t xml:space="preserve">aporti shoqërues 2022 </w:t>
      </w:r>
      <w:r>
        <w:rPr>
          <w:rFonts w:ascii="Garamond" w:hAnsi="Garamond" w:cs="Times New Roman"/>
          <w:sz w:val="16"/>
          <w:szCs w:val="16"/>
        </w:rPr>
        <w:t>k</w:t>
      </w:r>
      <w:r w:rsidRPr="006302A8">
        <w:rPr>
          <w:rFonts w:ascii="Garamond" w:hAnsi="Garamond" w:cs="Times New Roman"/>
          <w:sz w:val="16"/>
          <w:szCs w:val="16"/>
        </w:rPr>
        <w:t>omunikimi mbi politikën e zgjerimit të BE-së, dokumenti i punës i stafit të komisionit, Bruksel, 12 tetor 2022, f. 47.</w:t>
      </w:r>
    </w:p>
  </w:footnote>
  <w:footnote w:id="48">
    <w:p w14:paraId="575E21AC" w14:textId="77777777" w:rsidR="009936AF" w:rsidRPr="006302A8" w:rsidRDefault="009936AF" w:rsidP="006302A8">
      <w:pPr>
        <w:pStyle w:val="FootnoteText"/>
        <w:spacing w:before="0" w:after="0"/>
        <w:rPr>
          <w:rFonts w:ascii="Garamond" w:hAnsi="Garamond" w:cs="Times New Roman"/>
          <w:sz w:val="16"/>
          <w:szCs w:val="16"/>
        </w:rPr>
      </w:pPr>
      <w:r w:rsidRPr="006302A8">
        <w:rPr>
          <w:rStyle w:val="FootnoteReference"/>
          <w:rFonts w:ascii="Garamond" w:hAnsi="Garamond" w:cs="Times New Roman"/>
          <w:sz w:val="16"/>
          <w:szCs w:val="16"/>
        </w:rPr>
        <w:footnoteRef/>
      </w:r>
      <w:r w:rsidRPr="006302A8">
        <w:rPr>
          <w:rFonts w:ascii="Garamond" w:hAnsi="Garamond" w:cs="Times New Roman"/>
          <w:sz w:val="16"/>
          <w:szCs w:val="16"/>
        </w:rPr>
        <w:t xml:space="preserve"> Marrëveshja e Statusit ndërmjet Bashkimit Evropian dhe Republikës së Shqipërisë për veprimet e kryera nga Agjencia Evropiane e Rojës Kufitare dhe Bregdetare në Republikën e Shqipërisë (ST/10290/2018/INIT), </w:t>
      </w:r>
    </w:p>
    <w:p w14:paraId="71747B72" w14:textId="3A6F3557" w:rsidR="009936AF" w:rsidRPr="006302A8" w:rsidRDefault="009936AF" w:rsidP="006302A8">
      <w:pPr>
        <w:pStyle w:val="FootnoteText"/>
        <w:spacing w:before="0" w:after="0"/>
        <w:rPr>
          <w:rFonts w:ascii="Garamond" w:hAnsi="Garamond" w:cs="Times New Roman"/>
          <w:sz w:val="16"/>
          <w:szCs w:val="16"/>
        </w:rPr>
      </w:pPr>
      <w:r w:rsidRPr="006302A8">
        <w:rPr>
          <w:rFonts w:ascii="Garamond" w:hAnsi="Garamond" w:cs="Times New Roman"/>
          <w:sz w:val="16"/>
          <w:szCs w:val="16"/>
        </w:rPr>
        <w:t>https://eur-lex.europa.eu/legal-content/EN/ALL/?uri=CELEX%3A22019A0218%2801%29</w:t>
      </w:r>
    </w:p>
  </w:footnote>
  <w:footnote w:id="49">
    <w:p w14:paraId="5B34EEC3" w14:textId="5D17C77E" w:rsidR="009936AF" w:rsidRPr="004D6364" w:rsidRDefault="009936AF" w:rsidP="00C42B36">
      <w:pPr>
        <w:pStyle w:val="FootnoteText"/>
        <w:spacing w:before="0" w:after="0"/>
        <w:jc w:val="left"/>
        <w:rPr>
          <w:rFonts w:ascii="Garamond" w:hAnsi="Garamond" w:cs="Times New Roman"/>
          <w:sz w:val="16"/>
          <w:szCs w:val="16"/>
        </w:rPr>
      </w:pPr>
      <w:r w:rsidRPr="004D6364">
        <w:rPr>
          <w:rStyle w:val="FootnoteReference"/>
          <w:rFonts w:ascii="Garamond" w:hAnsi="Garamond" w:cs="Times New Roman"/>
          <w:sz w:val="16"/>
          <w:szCs w:val="16"/>
        </w:rPr>
        <w:footnoteRef/>
      </w:r>
      <w:r w:rsidRPr="004D6364">
        <w:rPr>
          <w:rFonts w:ascii="Garamond" w:hAnsi="Garamond" w:cs="Times New Roman"/>
          <w:sz w:val="16"/>
          <w:szCs w:val="16"/>
        </w:rPr>
        <w:t xml:space="preserve"> Marrëveshja e punës për bashkëpunimin operacional ndërmjet Agjencisë Evropiane të Rojës Kufitare dhe Bregdetare (FRONTEX) dhe Ministrisë së Brendshme të Republikës së Shqipërisë (MB),</w:t>
      </w:r>
    </w:p>
    <w:p w14:paraId="1CB0C61E" w14:textId="62AC3093" w:rsidR="009936AF" w:rsidRPr="004D6364" w:rsidRDefault="009936AF" w:rsidP="00C42B36">
      <w:pPr>
        <w:pStyle w:val="FootnoteText"/>
        <w:spacing w:before="0" w:after="0"/>
        <w:jc w:val="left"/>
        <w:rPr>
          <w:rFonts w:ascii="Garamond" w:hAnsi="Garamond" w:cs="Times New Roman"/>
          <w:sz w:val="16"/>
          <w:szCs w:val="16"/>
        </w:rPr>
      </w:pPr>
      <w:r w:rsidRPr="004D6364">
        <w:rPr>
          <w:rFonts w:ascii="Garamond" w:hAnsi="Garamond" w:cs="Times New Roman"/>
          <w:sz w:val="16"/>
          <w:szCs w:val="16"/>
        </w:rPr>
        <w:t xml:space="preserve"> https://frontex.europa.eu/assets/Key_Documents/Working_Arrangements/WA_with_Albania.pdf</w:t>
      </w:r>
      <w:r>
        <w:rPr>
          <w:rFonts w:ascii="Garamond" w:hAnsi="Garamond" w:cs="Times New Roman"/>
          <w:sz w:val="16"/>
          <w:szCs w:val="16"/>
        </w:rPr>
        <w:t>.</w:t>
      </w:r>
    </w:p>
  </w:footnote>
  <w:footnote w:id="50">
    <w:p w14:paraId="44AD308F" w14:textId="483CE1B8" w:rsidR="009936AF" w:rsidRPr="004D6364" w:rsidRDefault="009936AF" w:rsidP="00C42B36">
      <w:pPr>
        <w:pStyle w:val="FootnoteText"/>
        <w:spacing w:before="0" w:after="0"/>
        <w:jc w:val="left"/>
        <w:rPr>
          <w:rFonts w:ascii="Garamond" w:hAnsi="Garamond"/>
          <w:sz w:val="16"/>
          <w:szCs w:val="16"/>
        </w:rPr>
      </w:pPr>
      <w:r w:rsidRPr="004D6364">
        <w:rPr>
          <w:rStyle w:val="FootnoteReference"/>
          <w:rFonts w:ascii="Garamond" w:hAnsi="Garamond" w:cs="Times New Roman"/>
          <w:sz w:val="16"/>
          <w:szCs w:val="16"/>
        </w:rPr>
        <w:footnoteRef/>
      </w:r>
      <w:r w:rsidRPr="004D6364">
        <w:rPr>
          <w:rFonts w:ascii="Garamond" w:hAnsi="Garamond" w:cs="Times New Roman"/>
          <w:sz w:val="16"/>
          <w:szCs w:val="16"/>
        </w:rPr>
        <w:t xml:space="preserve"> FRONTEX, </w:t>
      </w:r>
      <w:r>
        <w:rPr>
          <w:rFonts w:ascii="Garamond" w:hAnsi="Garamond" w:cs="Times New Roman"/>
          <w:sz w:val="16"/>
          <w:szCs w:val="16"/>
        </w:rPr>
        <w:t>“</w:t>
      </w:r>
      <w:r w:rsidRPr="004D6364">
        <w:rPr>
          <w:rFonts w:ascii="Garamond" w:hAnsi="Garamond" w:cs="Times New Roman"/>
          <w:sz w:val="16"/>
          <w:szCs w:val="16"/>
        </w:rPr>
        <w:t>FRONTEX dhe Shqipëria rritin bashkëpunimin për të drejtat themelore</w:t>
      </w:r>
      <w:r>
        <w:rPr>
          <w:rFonts w:ascii="Garamond" w:hAnsi="Garamond" w:cs="Times New Roman"/>
          <w:sz w:val="16"/>
          <w:szCs w:val="16"/>
        </w:rPr>
        <w:t>”</w:t>
      </w:r>
      <w:r w:rsidRPr="004D6364">
        <w:rPr>
          <w:rFonts w:ascii="Garamond" w:hAnsi="Garamond" w:cs="Times New Roman"/>
          <w:sz w:val="16"/>
          <w:szCs w:val="16"/>
        </w:rPr>
        <w:t>, 6 qershor 2023,https://frontex.europa.eu/media-centre/news/news-release/frontex-and-albania-boost-cooperation-on-fundamental-rights-protection-4yTxlP</w:t>
      </w:r>
      <w:r>
        <w:rPr>
          <w:rFonts w:ascii="Garamond" w:hAnsi="Garamond" w:cs="Times New Roman"/>
          <w:sz w:val="16"/>
          <w:szCs w:val="16"/>
        </w:rPr>
        <w:t>.</w:t>
      </w:r>
    </w:p>
  </w:footnote>
  <w:footnote w:id="51">
    <w:p w14:paraId="432CB89D" w14:textId="3173F2F8" w:rsidR="009936AF" w:rsidRPr="004D6364" w:rsidRDefault="009936AF" w:rsidP="00C42B36">
      <w:pPr>
        <w:pStyle w:val="FootnoteText"/>
        <w:spacing w:before="0" w:after="0"/>
        <w:jc w:val="left"/>
        <w:rPr>
          <w:rFonts w:ascii="Garamond" w:hAnsi="Garamond" w:cs="Times New Roman"/>
          <w:sz w:val="16"/>
          <w:szCs w:val="16"/>
        </w:rPr>
      </w:pPr>
      <w:r w:rsidRPr="004D6364">
        <w:rPr>
          <w:rStyle w:val="FootnoteReference"/>
          <w:rFonts w:ascii="Garamond" w:hAnsi="Garamond" w:cs="Times New Roman"/>
          <w:sz w:val="16"/>
          <w:szCs w:val="16"/>
        </w:rPr>
        <w:footnoteRef/>
      </w:r>
      <w:r w:rsidRPr="004D6364">
        <w:rPr>
          <w:rFonts w:ascii="Garamond" w:hAnsi="Garamond" w:cs="Times New Roman"/>
          <w:sz w:val="16"/>
          <w:szCs w:val="16"/>
        </w:rPr>
        <w:t xml:space="preserve"> https://home-affairs.ec.europa.eu/system/files/2022-12/Western%20Balkans_en.pdf</w:t>
      </w:r>
      <w:r>
        <w:rPr>
          <w:rFonts w:ascii="Garamond" w:hAnsi="Garamond" w:cs="Times New Roman"/>
          <w:sz w:val="16"/>
          <w:szCs w:val="16"/>
        </w:rPr>
        <w:t>.</w:t>
      </w:r>
    </w:p>
  </w:footnote>
  <w:footnote w:id="52">
    <w:p w14:paraId="25B330A2" w14:textId="02D0645A" w:rsidR="009936AF" w:rsidRPr="004D6364" w:rsidRDefault="009936AF" w:rsidP="00C42B36">
      <w:pPr>
        <w:pStyle w:val="FootnoteText"/>
        <w:spacing w:before="0" w:after="0"/>
        <w:jc w:val="left"/>
        <w:rPr>
          <w:rFonts w:ascii="Garamond" w:hAnsi="Garamond" w:cs="Times New Roman"/>
          <w:sz w:val="16"/>
          <w:szCs w:val="16"/>
        </w:rPr>
      </w:pPr>
      <w:r w:rsidRPr="004D6364">
        <w:rPr>
          <w:rStyle w:val="FootnoteReference"/>
          <w:rFonts w:ascii="Garamond" w:hAnsi="Garamond" w:cs="Times New Roman"/>
          <w:sz w:val="16"/>
          <w:szCs w:val="16"/>
        </w:rPr>
        <w:footnoteRef/>
      </w:r>
      <w:r w:rsidRPr="004D6364">
        <w:rPr>
          <w:rFonts w:ascii="Garamond" w:hAnsi="Garamond" w:cs="Times New Roman"/>
          <w:sz w:val="16"/>
          <w:szCs w:val="16"/>
        </w:rPr>
        <w:t xml:space="preserve"> https://neighbourhood-enlargement.ec.europa.eu/system/files/2023-06/C_2023_4332_F1_ANNEX_EN_V1_P1_2793990.PDF</w:t>
      </w:r>
      <w:r>
        <w:rPr>
          <w:rFonts w:ascii="Garamond" w:hAnsi="Garamond" w:cs="Times New Roman"/>
          <w:sz w:val="16"/>
          <w:szCs w:val="16"/>
        </w:rPr>
        <w:t>.</w:t>
      </w:r>
    </w:p>
  </w:footnote>
  <w:footnote w:id="53">
    <w:p w14:paraId="665D8945" w14:textId="77777777" w:rsidR="009936AF" w:rsidRPr="004D6364" w:rsidRDefault="009936AF" w:rsidP="00C42B36">
      <w:pPr>
        <w:pStyle w:val="FootnoteText"/>
        <w:spacing w:before="0" w:after="0"/>
        <w:jc w:val="left"/>
        <w:rPr>
          <w:rFonts w:ascii="Garamond" w:hAnsi="Garamond"/>
          <w:sz w:val="16"/>
          <w:szCs w:val="16"/>
        </w:rPr>
      </w:pPr>
      <w:r w:rsidRPr="004D6364">
        <w:rPr>
          <w:rStyle w:val="FootnoteReference"/>
          <w:rFonts w:ascii="Garamond" w:hAnsi="Garamond" w:cs="Times New Roman"/>
          <w:sz w:val="16"/>
          <w:szCs w:val="16"/>
        </w:rPr>
        <w:footnoteRef/>
      </w:r>
      <w:r w:rsidRPr="004D6364">
        <w:rPr>
          <w:rFonts w:ascii="Garamond" w:hAnsi="Garamond" w:cs="Times New Roman"/>
          <w:sz w:val="16"/>
          <w:szCs w:val="16"/>
        </w:rPr>
        <w:t xml:space="preserve"> </w:t>
      </w:r>
      <w:hyperlink r:id="rId15" w:history="1">
        <w:r w:rsidRPr="004D6364">
          <w:rPr>
            <w:rStyle w:val="Hyperlink"/>
            <w:rFonts w:ascii="Garamond" w:hAnsi="Garamond" w:cs="Times New Roman"/>
            <w:sz w:val="16"/>
            <w:szCs w:val="16"/>
          </w:rPr>
          <w:t>https://www.giz.de/en/downloads_els/The_Berlin_Process.pdf</w:t>
        </w:r>
      </w:hyperlink>
      <w:r w:rsidRPr="004D6364">
        <w:rPr>
          <w:rFonts w:ascii="Garamond" w:hAnsi="Garamond"/>
          <w:sz w:val="16"/>
          <w:szCs w:val="16"/>
        </w:rPr>
        <w:t xml:space="preserve"> </w:t>
      </w:r>
    </w:p>
  </w:footnote>
  <w:footnote w:id="54">
    <w:p w14:paraId="2D6814C7" w14:textId="77777777" w:rsidR="009936AF" w:rsidRPr="004D6364" w:rsidRDefault="009936AF" w:rsidP="00C42B36">
      <w:pPr>
        <w:pStyle w:val="FootnoteText"/>
        <w:spacing w:before="0" w:after="0"/>
        <w:jc w:val="left"/>
        <w:rPr>
          <w:rFonts w:ascii="Garamond" w:hAnsi="Garamond" w:cs="Times New Roman"/>
          <w:sz w:val="16"/>
          <w:szCs w:val="16"/>
        </w:rPr>
      </w:pPr>
      <w:r w:rsidRPr="004D6364">
        <w:rPr>
          <w:rStyle w:val="FootnoteReference"/>
          <w:rFonts w:ascii="Garamond" w:hAnsi="Garamond" w:cs="Times New Roman"/>
          <w:sz w:val="16"/>
          <w:szCs w:val="16"/>
        </w:rPr>
        <w:footnoteRef/>
      </w:r>
      <w:r w:rsidRPr="004D6364">
        <w:rPr>
          <w:rFonts w:ascii="Garamond" w:hAnsi="Garamond" w:cs="Times New Roman"/>
          <w:sz w:val="16"/>
          <w:szCs w:val="16"/>
        </w:rPr>
        <w:t xml:space="preserve"> </w:t>
      </w:r>
      <w:hyperlink r:id="rId16" w:history="1">
        <w:r w:rsidRPr="004D6364">
          <w:rPr>
            <w:rStyle w:val="Hyperlink"/>
            <w:rFonts w:ascii="Garamond" w:hAnsi="Garamond" w:cs="Times New Roman"/>
            <w:sz w:val="16"/>
            <w:szCs w:val="16"/>
          </w:rPr>
          <w:t>https://www.consilium.europa.eu/media/60568/tirana-declaration-en.pdf</w:t>
        </w:r>
      </w:hyperlink>
      <w:r w:rsidRPr="004D6364">
        <w:rPr>
          <w:rFonts w:ascii="Garamond" w:hAnsi="Garamond" w:cs="Times New Roman"/>
          <w:sz w:val="16"/>
          <w:szCs w:val="16"/>
        </w:rPr>
        <w:t xml:space="preserve"> </w:t>
      </w:r>
    </w:p>
  </w:footnote>
  <w:footnote w:id="55">
    <w:p w14:paraId="0CF1E1AD" w14:textId="1BE2C835" w:rsidR="009936AF" w:rsidRPr="004D6364" w:rsidRDefault="009936AF" w:rsidP="00C42B36">
      <w:pPr>
        <w:pStyle w:val="FootnoteText"/>
        <w:spacing w:before="0" w:after="0"/>
        <w:jc w:val="left"/>
        <w:rPr>
          <w:rFonts w:ascii="Garamond" w:hAnsi="Garamond" w:cs="Times New Roman"/>
          <w:sz w:val="16"/>
          <w:szCs w:val="16"/>
        </w:rPr>
      </w:pPr>
      <w:r w:rsidRPr="004D6364">
        <w:rPr>
          <w:rStyle w:val="FootnoteReference"/>
          <w:rFonts w:ascii="Garamond" w:hAnsi="Garamond" w:cs="Times New Roman"/>
          <w:sz w:val="16"/>
          <w:szCs w:val="16"/>
        </w:rPr>
        <w:footnoteRef/>
      </w:r>
      <w:r w:rsidRPr="004D6364">
        <w:rPr>
          <w:rFonts w:ascii="Garamond" w:hAnsi="Garamond" w:cs="Times New Roman"/>
          <w:sz w:val="16"/>
          <w:szCs w:val="16"/>
        </w:rPr>
        <w:t xml:space="preserve"> Procesi i Pragës përfshin 50 anëtarë, duke përfshirë shtetet e BE-së dhe </w:t>
      </w:r>
      <w:r>
        <w:rPr>
          <w:rFonts w:ascii="Garamond" w:hAnsi="Garamond" w:cs="Times New Roman"/>
          <w:sz w:val="16"/>
          <w:szCs w:val="16"/>
        </w:rPr>
        <w:t>z</w:t>
      </w:r>
      <w:r w:rsidRPr="004D6364">
        <w:rPr>
          <w:rFonts w:ascii="Garamond" w:hAnsi="Garamond" w:cs="Times New Roman"/>
          <w:sz w:val="16"/>
          <w:szCs w:val="16"/>
        </w:rPr>
        <w:t xml:space="preserve">onës Shengen, shtetet e Ballkanit Perëndimor, shtetet e Partneritetit Lindor, Rusinë, Azinë Qendrore dhe Turqinë. Shih R. Zak, A. Maleev, I. Lysak </w:t>
      </w:r>
      <w:r>
        <w:rPr>
          <w:rFonts w:ascii="Garamond" w:hAnsi="Garamond" w:cs="Times New Roman"/>
          <w:sz w:val="16"/>
          <w:szCs w:val="16"/>
        </w:rPr>
        <w:t>“</w:t>
      </w:r>
      <w:r w:rsidRPr="004D6364">
        <w:rPr>
          <w:rFonts w:ascii="Garamond" w:hAnsi="Garamond" w:cs="Times New Roman"/>
          <w:sz w:val="16"/>
          <w:szCs w:val="16"/>
        </w:rPr>
        <w:t>10th Anniversary of the Prague Process</w:t>
      </w:r>
      <w:r>
        <w:rPr>
          <w:rFonts w:ascii="Garamond" w:hAnsi="Garamond" w:cs="Times New Roman"/>
          <w:sz w:val="16"/>
          <w:szCs w:val="16"/>
        </w:rPr>
        <w:t>”</w:t>
      </w:r>
      <w:r w:rsidRPr="004D6364">
        <w:rPr>
          <w:rFonts w:ascii="Garamond" w:hAnsi="Garamond" w:cs="Times New Roman"/>
          <w:sz w:val="16"/>
          <w:szCs w:val="16"/>
        </w:rPr>
        <w:t xml:space="preserve">, Policy Brief, </w:t>
      </w:r>
      <w:hyperlink r:id="rId17" w:history="1">
        <w:r w:rsidRPr="004D6364">
          <w:rPr>
            <w:rStyle w:val="Hyperlink"/>
            <w:rFonts w:ascii="Garamond" w:hAnsi="Garamond" w:cs="Times New Roman"/>
            <w:sz w:val="16"/>
            <w:szCs w:val="16"/>
          </w:rPr>
          <w:t>https://www.pragueprocess.eu/en/migration-observatory/publications/34-briefs/178-the-10th-anniversary-of-the-prague-process/download</w:t>
        </w:r>
      </w:hyperlink>
      <w:r w:rsidRPr="004D6364">
        <w:rPr>
          <w:rFonts w:ascii="Garamond" w:hAnsi="Garamond" w:cs="Times New Roman"/>
          <w:sz w:val="16"/>
          <w:szCs w:val="16"/>
        </w:rPr>
        <w:t xml:space="preserve"> </w:t>
      </w:r>
    </w:p>
  </w:footnote>
  <w:footnote w:id="56">
    <w:p w14:paraId="366B52FC" w14:textId="77777777" w:rsidR="009936AF" w:rsidRPr="004D6364" w:rsidRDefault="009936AF" w:rsidP="00C42B36">
      <w:pPr>
        <w:pStyle w:val="FootnoteText"/>
        <w:spacing w:before="0" w:after="0"/>
        <w:jc w:val="left"/>
        <w:rPr>
          <w:rFonts w:ascii="Garamond" w:hAnsi="Garamond" w:cs="Times New Roman"/>
          <w:sz w:val="16"/>
          <w:szCs w:val="16"/>
        </w:rPr>
      </w:pPr>
      <w:r w:rsidRPr="004D6364">
        <w:rPr>
          <w:rStyle w:val="FootnoteReference"/>
          <w:rFonts w:ascii="Garamond" w:hAnsi="Garamond" w:cs="Times New Roman"/>
          <w:sz w:val="16"/>
          <w:szCs w:val="16"/>
        </w:rPr>
        <w:footnoteRef/>
      </w:r>
      <w:r w:rsidRPr="004D6364">
        <w:rPr>
          <w:rFonts w:ascii="Garamond" w:hAnsi="Garamond" w:cs="Times New Roman"/>
          <w:sz w:val="16"/>
          <w:szCs w:val="16"/>
        </w:rPr>
        <w:t xml:space="preserve"> </w:t>
      </w:r>
      <w:hyperlink r:id="rId18" w:history="1">
        <w:r w:rsidRPr="004D6364">
          <w:rPr>
            <w:rStyle w:val="Hyperlink"/>
            <w:rFonts w:ascii="Garamond" w:hAnsi="Garamond" w:cs="Times New Roman"/>
            <w:sz w:val="16"/>
            <w:szCs w:val="16"/>
          </w:rPr>
          <w:t>https://www.pragueprocess.eu/en/about</w:t>
        </w:r>
      </w:hyperlink>
      <w:r w:rsidRPr="004D6364">
        <w:rPr>
          <w:rFonts w:ascii="Garamond" w:hAnsi="Garamond" w:cs="Times New Roman"/>
          <w:sz w:val="16"/>
          <w:szCs w:val="16"/>
        </w:rPr>
        <w:t xml:space="preserve"> </w:t>
      </w:r>
    </w:p>
  </w:footnote>
  <w:footnote w:id="57">
    <w:p w14:paraId="4E5B5CAC" w14:textId="77777777" w:rsidR="009936AF" w:rsidRPr="004D6364" w:rsidRDefault="009936AF" w:rsidP="00C42B36">
      <w:pPr>
        <w:pStyle w:val="FootnoteText"/>
        <w:spacing w:before="0" w:after="0"/>
        <w:jc w:val="left"/>
        <w:rPr>
          <w:rFonts w:ascii="Garamond" w:hAnsi="Garamond" w:cs="Times New Roman"/>
          <w:sz w:val="16"/>
          <w:szCs w:val="16"/>
        </w:rPr>
      </w:pPr>
      <w:r w:rsidRPr="004D6364">
        <w:rPr>
          <w:rStyle w:val="FootnoteReference"/>
          <w:rFonts w:ascii="Garamond" w:hAnsi="Garamond" w:cs="Times New Roman"/>
          <w:sz w:val="16"/>
          <w:szCs w:val="16"/>
        </w:rPr>
        <w:footnoteRef/>
      </w:r>
      <w:r w:rsidRPr="004D6364">
        <w:rPr>
          <w:rFonts w:ascii="Garamond" w:hAnsi="Garamond" w:cs="Times New Roman"/>
          <w:sz w:val="16"/>
          <w:szCs w:val="16"/>
        </w:rPr>
        <w:t xml:space="preserve"> </w:t>
      </w:r>
      <w:hyperlink r:id="rId19" w:history="1">
        <w:r w:rsidRPr="004D6364">
          <w:rPr>
            <w:rStyle w:val="Hyperlink"/>
            <w:rFonts w:ascii="Garamond" w:hAnsi="Garamond" w:cs="Times New Roman"/>
            <w:sz w:val="16"/>
            <w:szCs w:val="16"/>
          </w:rPr>
          <w:t>https://www.pragueprocess.eu/en/resources/repository/46-programme-documents/365-prague-process-action-plan-2023-2027/download</w:t>
        </w:r>
      </w:hyperlink>
      <w:r w:rsidRPr="004D6364">
        <w:rPr>
          <w:rFonts w:ascii="Garamond" w:hAnsi="Garamond" w:cs="Times New Roman"/>
          <w:sz w:val="16"/>
          <w:szCs w:val="16"/>
        </w:rPr>
        <w:t xml:space="preserve"> </w:t>
      </w:r>
    </w:p>
  </w:footnote>
  <w:footnote w:id="58">
    <w:p w14:paraId="21FF0522" w14:textId="77777777" w:rsidR="009936AF" w:rsidRPr="004D6364" w:rsidRDefault="009936AF" w:rsidP="00C42B36">
      <w:pPr>
        <w:pStyle w:val="FootnoteText"/>
        <w:spacing w:before="0" w:after="0"/>
        <w:jc w:val="left"/>
        <w:rPr>
          <w:rFonts w:ascii="Garamond" w:hAnsi="Garamond"/>
          <w:sz w:val="16"/>
          <w:szCs w:val="16"/>
        </w:rPr>
      </w:pPr>
      <w:r w:rsidRPr="004D6364">
        <w:rPr>
          <w:rStyle w:val="FootnoteReference"/>
          <w:rFonts w:ascii="Garamond" w:hAnsi="Garamond" w:cs="Times New Roman"/>
          <w:sz w:val="16"/>
          <w:szCs w:val="16"/>
        </w:rPr>
        <w:footnoteRef/>
      </w:r>
      <w:r w:rsidRPr="004D6364">
        <w:rPr>
          <w:rFonts w:ascii="Garamond" w:hAnsi="Garamond" w:cs="Times New Roman"/>
          <w:sz w:val="16"/>
          <w:szCs w:val="16"/>
        </w:rPr>
        <w:t xml:space="preserve"> </w:t>
      </w:r>
      <w:hyperlink r:id="rId20" w:history="1">
        <w:r w:rsidRPr="004D6364">
          <w:rPr>
            <w:rStyle w:val="Hyperlink"/>
            <w:rFonts w:ascii="Garamond" w:hAnsi="Garamond" w:cs="Times New Roman"/>
            <w:sz w:val="16"/>
            <w:szCs w:val="16"/>
          </w:rPr>
          <w:t>https://north-macedonia.iom.int/sites/g/files/tmzbdl2301/files/documents/Skopje%20Declaration.pdf</w:t>
        </w:r>
      </w:hyperlink>
      <w:r w:rsidRPr="004D6364">
        <w:rPr>
          <w:rFonts w:ascii="Garamond" w:hAnsi="Garamond" w:cs="Times New Roman"/>
          <w:sz w:val="16"/>
          <w:szCs w:val="16"/>
        </w:rPr>
        <w:t xml:space="preserve"> </w:t>
      </w:r>
    </w:p>
  </w:footnote>
  <w:footnote w:id="59">
    <w:p w14:paraId="4F74AA3D" w14:textId="77777777" w:rsidR="009936AF" w:rsidRPr="004D6364" w:rsidRDefault="009936AF" w:rsidP="00C42B36">
      <w:pPr>
        <w:pStyle w:val="FootnoteText"/>
        <w:spacing w:before="0" w:after="0"/>
        <w:jc w:val="left"/>
        <w:rPr>
          <w:rFonts w:ascii="Garamond" w:hAnsi="Garamond" w:cs="Times New Roman"/>
          <w:sz w:val="16"/>
          <w:szCs w:val="16"/>
        </w:rPr>
      </w:pPr>
      <w:r w:rsidRPr="004D6364">
        <w:rPr>
          <w:rStyle w:val="FootnoteReference"/>
          <w:rFonts w:ascii="Garamond" w:hAnsi="Garamond" w:cs="Times New Roman"/>
          <w:sz w:val="16"/>
          <w:szCs w:val="16"/>
        </w:rPr>
        <w:footnoteRef/>
      </w:r>
      <w:r w:rsidRPr="004D6364">
        <w:rPr>
          <w:rFonts w:ascii="Garamond" w:hAnsi="Garamond" w:cs="Times New Roman"/>
          <w:sz w:val="16"/>
          <w:szCs w:val="16"/>
        </w:rPr>
        <w:t xml:space="preserve"> </w:t>
      </w:r>
      <w:r w:rsidRPr="004D6364">
        <w:rPr>
          <w:rFonts w:ascii="Garamond" w:hAnsi="Garamond" w:cs="Times New Roman"/>
          <w:i/>
          <w:iCs/>
          <w:sz w:val="16"/>
          <w:szCs w:val="16"/>
        </w:rPr>
        <w:t>Ibidem.</w:t>
      </w:r>
    </w:p>
  </w:footnote>
  <w:footnote w:id="60">
    <w:p w14:paraId="49B3CB8A" w14:textId="77777777" w:rsidR="009936AF" w:rsidRPr="00E27943" w:rsidRDefault="009936AF" w:rsidP="00C42B36">
      <w:pPr>
        <w:pStyle w:val="FootnoteText"/>
        <w:spacing w:before="0" w:after="0"/>
        <w:jc w:val="left"/>
        <w:rPr>
          <w:rFonts w:ascii="Garamond" w:hAnsi="Garamond"/>
        </w:rPr>
      </w:pPr>
      <w:r w:rsidRPr="004D6364">
        <w:rPr>
          <w:rStyle w:val="FootnoteReference"/>
          <w:rFonts w:ascii="Garamond" w:hAnsi="Garamond" w:cs="Times New Roman"/>
          <w:sz w:val="16"/>
          <w:szCs w:val="16"/>
        </w:rPr>
        <w:footnoteRef/>
      </w:r>
      <w:r w:rsidRPr="004D6364">
        <w:rPr>
          <w:rFonts w:ascii="Garamond" w:hAnsi="Garamond" w:cs="Times New Roman"/>
          <w:sz w:val="16"/>
          <w:szCs w:val="16"/>
        </w:rPr>
        <w:t xml:space="preserve"> </w:t>
      </w:r>
      <w:hyperlink r:id="rId21" w:history="1">
        <w:r w:rsidRPr="004D6364">
          <w:rPr>
            <w:rStyle w:val="Hyperlink"/>
            <w:rFonts w:ascii="Garamond" w:hAnsi="Garamond" w:cs="Times New Roman"/>
            <w:sz w:val="16"/>
            <w:szCs w:val="16"/>
          </w:rPr>
          <w:t>https://bih.iom.int/sites/g/files/tmzbdl1076/files/documents/2023-06/sarajevo-migration-dialogue-2023-action-plan-final.pdf</w:t>
        </w:r>
      </w:hyperlink>
      <w:r w:rsidRPr="00E27943">
        <w:rPr>
          <w:rFonts w:ascii="Garamond" w:hAnsi="Garamond"/>
        </w:rPr>
        <w:t xml:space="preserve"> </w:t>
      </w:r>
    </w:p>
  </w:footnote>
  <w:footnote w:id="61">
    <w:p w14:paraId="11943DC2" w14:textId="233C624F" w:rsidR="009936AF" w:rsidRPr="00E27943" w:rsidRDefault="009936AF" w:rsidP="00C42B36">
      <w:pPr>
        <w:pStyle w:val="FootnoteText"/>
        <w:spacing w:before="0" w:after="0"/>
        <w:jc w:val="left"/>
        <w:rPr>
          <w:rFonts w:ascii="Garamond" w:hAnsi="Garamond" w:cs="Times New Roman"/>
          <w:i/>
        </w:rPr>
      </w:pPr>
      <w:r w:rsidRPr="00E27943">
        <w:rPr>
          <w:rStyle w:val="FootnoteReference"/>
          <w:rFonts w:ascii="Garamond" w:hAnsi="Garamond" w:cs="Times New Roman"/>
          <w:i/>
        </w:rPr>
        <w:footnoteRef/>
      </w:r>
      <w:r w:rsidRPr="00E27943">
        <w:rPr>
          <w:rFonts w:ascii="Garamond" w:hAnsi="Garamond" w:cs="Times New Roman"/>
          <w:i/>
        </w:rPr>
        <w:t xml:space="preserve"> Qeverisja strategjike e migracionit nga institucionet shqiptare</w:t>
      </w:r>
      <w:r>
        <w:rPr>
          <w:rFonts w:ascii="Garamond" w:hAnsi="Garamond" w:cs="Times New Roman"/>
          <w:i/>
        </w:rPr>
        <w:t>.</w:t>
      </w:r>
    </w:p>
  </w:footnote>
  <w:footnote w:id="62">
    <w:p w14:paraId="7F120008" w14:textId="613A4733" w:rsidR="009936AF" w:rsidRPr="0009676E" w:rsidRDefault="009936AF" w:rsidP="00C42B36">
      <w:pPr>
        <w:pStyle w:val="FootnoteText"/>
        <w:tabs>
          <w:tab w:val="left" w:pos="5850"/>
        </w:tabs>
        <w:spacing w:before="0" w:after="0"/>
        <w:jc w:val="left"/>
        <w:rPr>
          <w:rFonts w:ascii="Garamond" w:hAnsi="Garamond"/>
          <w:sz w:val="16"/>
          <w:szCs w:val="16"/>
        </w:rPr>
      </w:pPr>
      <w:r w:rsidRPr="0009676E">
        <w:rPr>
          <w:rStyle w:val="FootnoteReference"/>
          <w:rFonts w:ascii="Garamond" w:hAnsi="Garamond"/>
          <w:sz w:val="16"/>
          <w:szCs w:val="16"/>
        </w:rPr>
        <w:footnoteRef/>
      </w:r>
      <w:r w:rsidRPr="0009676E">
        <w:rPr>
          <w:rFonts w:ascii="Garamond" w:hAnsi="Garamond"/>
          <w:sz w:val="16"/>
          <w:szCs w:val="16"/>
        </w:rPr>
        <w:t xml:space="preserve"> </w:t>
      </w:r>
      <w:r w:rsidRPr="0009676E">
        <w:rPr>
          <w:rFonts w:ascii="Garamond" w:hAnsi="Garamond"/>
          <w:i/>
          <w:iCs/>
          <w:sz w:val="16"/>
          <w:szCs w:val="16"/>
        </w:rPr>
        <w:t>Politika efektive e migracionit për motive punësimi dhe ndikimi i migracionit mbi zhvillimin vendor.</w:t>
      </w:r>
    </w:p>
  </w:footnote>
  <w:footnote w:id="63">
    <w:p w14:paraId="70983AD3" w14:textId="21DAB240" w:rsidR="009936AF" w:rsidRPr="00BD0EC5" w:rsidRDefault="009936AF" w:rsidP="00C42B36">
      <w:pPr>
        <w:pStyle w:val="FootnoteText"/>
        <w:spacing w:before="0" w:after="0"/>
        <w:jc w:val="left"/>
        <w:rPr>
          <w:rFonts w:ascii="Garamond" w:hAnsi="Garamond"/>
          <w:i/>
          <w:iCs/>
          <w:sz w:val="16"/>
          <w:szCs w:val="16"/>
        </w:rPr>
      </w:pPr>
      <w:r w:rsidRPr="00BD0EC5">
        <w:rPr>
          <w:rStyle w:val="FootnoteReference"/>
          <w:rFonts w:ascii="Garamond" w:hAnsi="Garamond"/>
          <w:sz w:val="16"/>
          <w:szCs w:val="16"/>
        </w:rPr>
        <w:footnoteRef/>
      </w:r>
      <w:r w:rsidRPr="00BD0EC5">
        <w:rPr>
          <w:rFonts w:ascii="Garamond" w:hAnsi="Garamond"/>
          <w:sz w:val="16"/>
          <w:szCs w:val="16"/>
        </w:rPr>
        <w:t xml:space="preserve"> </w:t>
      </w:r>
      <w:r w:rsidRPr="00BD0EC5">
        <w:rPr>
          <w:rFonts w:ascii="Garamond" w:hAnsi="Garamond"/>
          <w:i/>
          <w:iCs/>
          <w:sz w:val="16"/>
          <w:szCs w:val="16"/>
        </w:rPr>
        <w:t>Integrimi dhe mbrojtja e të drejtave të migrantëve.</w:t>
      </w:r>
    </w:p>
  </w:footnote>
  <w:footnote w:id="64">
    <w:p w14:paraId="6AB11C00" w14:textId="1CA6F1F6" w:rsidR="009936AF" w:rsidRPr="00570E74" w:rsidRDefault="009936AF" w:rsidP="00C42B36">
      <w:pPr>
        <w:pStyle w:val="FootnoteText"/>
        <w:spacing w:before="0" w:after="0"/>
        <w:jc w:val="left"/>
        <w:rPr>
          <w:rFonts w:ascii="Garamond" w:hAnsi="Garamond" w:cs="Times New Roman"/>
          <w:i/>
          <w:iCs/>
          <w:sz w:val="16"/>
          <w:szCs w:val="16"/>
        </w:rPr>
      </w:pPr>
      <w:r w:rsidRPr="00570E74">
        <w:rPr>
          <w:rStyle w:val="FootnoteReference"/>
          <w:rFonts w:ascii="Garamond" w:hAnsi="Garamond" w:cs="Times New Roman"/>
          <w:sz w:val="16"/>
          <w:szCs w:val="16"/>
        </w:rPr>
        <w:footnoteRef/>
      </w:r>
      <w:r w:rsidRPr="00570E74">
        <w:rPr>
          <w:rFonts w:ascii="Garamond" w:hAnsi="Garamond" w:cs="Times New Roman"/>
          <w:sz w:val="16"/>
          <w:szCs w:val="16"/>
        </w:rPr>
        <w:t xml:space="preserve"> Qeveria e Shqipërisë, Raporti i Rishikimit Vullnetar mbi Statusin e Zbatimit të Kompaktit Global për Migracionin në Shqipëri në 2021</w:t>
      </w:r>
      <w:r>
        <w:rPr>
          <w:rFonts w:ascii="Garamond" w:hAnsi="Garamond" w:cs="Times New Roman"/>
          <w:sz w:val="16"/>
          <w:szCs w:val="16"/>
        </w:rPr>
        <w:t>.</w:t>
      </w:r>
    </w:p>
  </w:footnote>
  <w:footnote w:id="65">
    <w:p w14:paraId="278C289C" w14:textId="674C84B2" w:rsidR="009936AF" w:rsidRPr="00570E74" w:rsidRDefault="009936AF" w:rsidP="00C42B36">
      <w:pPr>
        <w:pStyle w:val="FootnoteText"/>
        <w:spacing w:before="0" w:after="0"/>
        <w:jc w:val="left"/>
        <w:rPr>
          <w:rFonts w:ascii="Garamond" w:hAnsi="Garamond" w:cs="Calibri"/>
          <w:sz w:val="16"/>
          <w:szCs w:val="16"/>
        </w:rPr>
      </w:pPr>
      <w:r w:rsidRPr="00570E74">
        <w:rPr>
          <w:rStyle w:val="FootnoteReference"/>
          <w:rFonts w:ascii="Garamond" w:hAnsi="Garamond" w:cs="Times New Roman"/>
          <w:sz w:val="16"/>
          <w:szCs w:val="16"/>
        </w:rPr>
        <w:footnoteRef/>
      </w:r>
      <w:r w:rsidRPr="00570E74">
        <w:rPr>
          <w:rFonts w:ascii="Garamond" w:hAnsi="Garamond" w:cs="Times New Roman"/>
          <w:sz w:val="16"/>
          <w:szCs w:val="16"/>
        </w:rPr>
        <w:t xml:space="preserve"> IOM, </w:t>
      </w:r>
      <w:r w:rsidRPr="00570E74">
        <w:rPr>
          <w:rFonts w:ascii="Garamond" w:hAnsi="Garamond" w:cs="Times New Roman"/>
          <w:i/>
          <w:iCs/>
          <w:sz w:val="16"/>
          <w:szCs w:val="16"/>
        </w:rPr>
        <w:t>Raport mbi prioritizimin e objektivave të GCM</w:t>
      </w:r>
      <w:r>
        <w:rPr>
          <w:rFonts w:ascii="Garamond" w:hAnsi="Garamond" w:cs="Times New Roman"/>
          <w:i/>
          <w:iCs/>
          <w:sz w:val="16"/>
          <w:szCs w:val="16"/>
        </w:rPr>
        <w:t>-së</w:t>
      </w:r>
      <w:r w:rsidRPr="00570E74">
        <w:rPr>
          <w:rFonts w:ascii="Garamond" w:hAnsi="Garamond" w:cs="Times New Roman"/>
          <w:i/>
          <w:iCs/>
          <w:sz w:val="16"/>
          <w:szCs w:val="16"/>
        </w:rPr>
        <w:t xml:space="preserve"> për zhvillimin e Strategjisë së re Kombëtare për Migracionin dhe Planit të Veprimit në Shqipëri, f. 19.</w:t>
      </w:r>
    </w:p>
  </w:footnote>
  <w:footnote w:id="66">
    <w:p w14:paraId="46FE9EC5" w14:textId="491E5A61" w:rsidR="009936AF" w:rsidRPr="004B2786" w:rsidRDefault="009936AF" w:rsidP="00475718">
      <w:pPr>
        <w:pStyle w:val="FootnoteText"/>
        <w:spacing w:before="0" w:after="0"/>
        <w:rPr>
          <w:rFonts w:ascii="Garamond" w:hAnsi="Garamond" w:cs="Times New Roman"/>
          <w:sz w:val="16"/>
          <w:szCs w:val="16"/>
        </w:rPr>
      </w:pPr>
      <w:r w:rsidRPr="004B2786">
        <w:rPr>
          <w:rStyle w:val="FootnoteReference"/>
          <w:rFonts w:ascii="Garamond" w:hAnsi="Garamond" w:cs="Times New Roman"/>
          <w:sz w:val="16"/>
          <w:szCs w:val="16"/>
        </w:rPr>
        <w:footnoteRef/>
      </w:r>
      <w:r w:rsidRPr="004B2786">
        <w:rPr>
          <w:rFonts w:ascii="Garamond" w:hAnsi="Garamond" w:cs="Times New Roman"/>
          <w:sz w:val="16"/>
          <w:szCs w:val="16"/>
        </w:rPr>
        <w:t xml:space="preserve"> Ministria e Brendshme është ngarkuar me koordinimin e vlerësimit gjithëpërfshirës të nevojave në fushën e kapaciteteve institucionale për qeverisjen e migracionit, duke përfshirë në vitin 2024 të gjitha institucionet përgjegjëse për zbatimin e SKM</w:t>
      </w:r>
      <w:r>
        <w:rPr>
          <w:rFonts w:ascii="Garamond" w:hAnsi="Garamond" w:cs="Times New Roman"/>
          <w:sz w:val="16"/>
          <w:szCs w:val="16"/>
        </w:rPr>
        <w:t>-së</w:t>
      </w:r>
      <w:r w:rsidRPr="004B2786">
        <w:rPr>
          <w:rFonts w:ascii="Garamond" w:hAnsi="Garamond" w:cs="Times New Roman"/>
          <w:sz w:val="16"/>
          <w:szCs w:val="16"/>
        </w:rPr>
        <w:t>.</w:t>
      </w:r>
    </w:p>
  </w:footnote>
  <w:footnote w:id="67">
    <w:p w14:paraId="311DCAF4" w14:textId="3702FEB9" w:rsidR="009936AF" w:rsidRPr="004B2786" w:rsidRDefault="009936AF" w:rsidP="00475718">
      <w:pPr>
        <w:pStyle w:val="FootnoteText"/>
        <w:spacing w:before="0" w:after="0"/>
        <w:rPr>
          <w:rFonts w:ascii="Garamond" w:hAnsi="Garamond" w:cs="Times New Roman"/>
          <w:i/>
          <w:iCs/>
          <w:sz w:val="16"/>
          <w:szCs w:val="16"/>
        </w:rPr>
      </w:pPr>
      <w:r w:rsidRPr="004B2786">
        <w:rPr>
          <w:rStyle w:val="FootnoteReference"/>
          <w:rFonts w:ascii="Garamond" w:hAnsi="Garamond" w:cs="Times New Roman"/>
          <w:sz w:val="16"/>
          <w:szCs w:val="16"/>
        </w:rPr>
        <w:footnoteRef/>
      </w:r>
      <w:r w:rsidRPr="004B2786">
        <w:rPr>
          <w:rFonts w:ascii="Garamond" w:hAnsi="Garamond" w:cs="Times New Roman"/>
          <w:sz w:val="16"/>
          <w:szCs w:val="16"/>
        </w:rPr>
        <w:t xml:space="preserve"> Në përputhje me kërkesat e anëtarësimit në BE, objektet e përhershme të trajnimit duhet të vendosen në DKM </w:t>
      </w:r>
      <w:r>
        <w:rPr>
          <w:rFonts w:ascii="Garamond" w:hAnsi="Garamond" w:cs="Times New Roman"/>
          <w:sz w:val="16"/>
          <w:szCs w:val="16"/>
        </w:rPr>
        <w:t>“</w:t>
      </w:r>
      <w:r w:rsidRPr="004B2786">
        <w:rPr>
          <w:rFonts w:ascii="Garamond" w:hAnsi="Garamond" w:cs="Times New Roman"/>
          <w:sz w:val="16"/>
          <w:szCs w:val="16"/>
        </w:rPr>
        <w:t>në përputhje me standardet bazë të trajnimit për rojet kufitare të BE</w:t>
      </w:r>
      <w:r>
        <w:rPr>
          <w:rFonts w:ascii="Garamond" w:hAnsi="Garamond" w:cs="Times New Roman"/>
          <w:sz w:val="16"/>
          <w:szCs w:val="16"/>
        </w:rPr>
        <w:t>-së”</w:t>
      </w:r>
      <w:r w:rsidRPr="004B2786">
        <w:rPr>
          <w:rFonts w:ascii="Garamond" w:hAnsi="Garamond" w:cs="Times New Roman"/>
          <w:sz w:val="16"/>
          <w:szCs w:val="16"/>
        </w:rPr>
        <w:t xml:space="preserve">. Shiko: shqyrtimin e BE-së të </w:t>
      </w:r>
      <w:r>
        <w:rPr>
          <w:rFonts w:ascii="Garamond" w:hAnsi="Garamond" w:cs="Times New Roman"/>
          <w:sz w:val="16"/>
          <w:szCs w:val="16"/>
        </w:rPr>
        <w:t>k</w:t>
      </w:r>
      <w:r w:rsidRPr="004B2786">
        <w:rPr>
          <w:rFonts w:ascii="Garamond" w:hAnsi="Garamond" w:cs="Times New Roman"/>
          <w:sz w:val="16"/>
          <w:szCs w:val="16"/>
        </w:rPr>
        <w:t xml:space="preserve">apitullit 24 të </w:t>
      </w:r>
      <w:r w:rsidRPr="004B2786">
        <w:rPr>
          <w:rFonts w:ascii="Garamond" w:hAnsi="Garamond" w:cs="Times New Roman"/>
          <w:i/>
          <w:iCs/>
          <w:sz w:val="16"/>
          <w:szCs w:val="16"/>
        </w:rPr>
        <w:t>acquis</w:t>
      </w:r>
      <w:r w:rsidRPr="004B2786">
        <w:rPr>
          <w:rFonts w:ascii="Garamond" w:hAnsi="Garamond" w:cs="Times New Roman"/>
          <w:sz w:val="16"/>
          <w:szCs w:val="16"/>
        </w:rPr>
        <w:t xml:space="preserve"> </w:t>
      </w:r>
      <w:r>
        <w:rPr>
          <w:rFonts w:ascii="Garamond" w:hAnsi="Garamond" w:cs="Times New Roman"/>
          <w:sz w:val="16"/>
          <w:szCs w:val="16"/>
        </w:rPr>
        <w:t>t</w:t>
      </w:r>
      <w:r w:rsidRPr="004B2786">
        <w:rPr>
          <w:rFonts w:ascii="Garamond" w:hAnsi="Garamond" w:cs="Times New Roman"/>
          <w:sz w:val="16"/>
          <w:szCs w:val="16"/>
        </w:rPr>
        <w:t>ë BE-së.</w:t>
      </w:r>
    </w:p>
  </w:footnote>
  <w:footnote w:id="68">
    <w:p w14:paraId="5EFFAEE2" w14:textId="704FDB5D" w:rsidR="009936AF" w:rsidRPr="004603C3" w:rsidRDefault="009936AF" w:rsidP="004603C3">
      <w:pPr>
        <w:pStyle w:val="FootnoteText"/>
        <w:spacing w:before="0" w:after="0"/>
        <w:rPr>
          <w:rFonts w:ascii="Garamond" w:hAnsi="Garamond" w:cs="Calibri"/>
          <w:sz w:val="16"/>
          <w:szCs w:val="16"/>
        </w:rPr>
      </w:pPr>
      <w:r w:rsidRPr="004603C3">
        <w:rPr>
          <w:rStyle w:val="FootnoteReference"/>
          <w:rFonts w:ascii="Garamond" w:hAnsi="Garamond" w:cs="Times New Roman"/>
          <w:sz w:val="16"/>
          <w:szCs w:val="16"/>
        </w:rPr>
        <w:footnoteRef/>
      </w:r>
      <w:r w:rsidRPr="004603C3">
        <w:rPr>
          <w:rFonts w:ascii="Garamond" w:hAnsi="Garamond" w:cs="Times New Roman"/>
          <w:sz w:val="16"/>
          <w:szCs w:val="16"/>
        </w:rPr>
        <w:t xml:space="preserve"> Shqyrtimi analitik i vitit 2023</w:t>
      </w:r>
      <w:r>
        <w:rPr>
          <w:rFonts w:ascii="Garamond" w:hAnsi="Garamond" w:cs="Times New Roman"/>
          <w:sz w:val="16"/>
          <w:szCs w:val="16"/>
        </w:rPr>
        <w:t>,</w:t>
      </w:r>
      <w:r w:rsidRPr="004603C3">
        <w:rPr>
          <w:rFonts w:ascii="Garamond" w:hAnsi="Garamond" w:cs="Times New Roman"/>
          <w:sz w:val="16"/>
          <w:szCs w:val="16"/>
        </w:rPr>
        <w:t xml:space="preserve"> i </w:t>
      </w:r>
      <w:r>
        <w:rPr>
          <w:rFonts w:ascii="Garamond" w:hAnsi="Garamond" w:cs="Times New Roman"/>
          <w:sz w:val="16"/>
          <w:szCs w:val="16"/>
        </w:rPr>
        <w:t>k</w:t>
      </w:r>
      <w:r w:rsidRPr="004603C3">
        <w:rPr>
          <w:rFonts w:ascii="Garamond" w:hAnsi="Garamond" w:cs="Times New Roman"/>
          <w:sz w:val="16"/>
          <w:szCs w:val="16"/>
        </w:rPr>
        <w:t xml:space="preserve">apitullit 24 të </w:t>
      </w:r>
      <w:r w:rsidRPr="004603C3">
        <w:rPr>
          <w:rFonts w:ascii="Garamond" w:hAnsi="Garamond" w:cs="Times New Roman"/>
          <w:i/>
          <w:iCs/>
          <w:sz w:val="16"/>
          <w:szCs w:val="16"/>
        </w:rPr>
        <w:t>acquis</w:t>
      </w:r>
      <w:r w:rsidRPr="004603C3">
        <w:rPr>
          <w:rFonts w:ascii="Garamond" w:hAnsi="Garamond" w:cs="Times New Roman"/>
          <w:sz w:val="16"/>
          <w:szCs w:val="16"/>
        </w:rPr>
        <w:t xml:space="preserve"> </w:t>
      </w:r>
      <w:r>
        <w:rPr>
          <w:rFonts w:ascii="Garamond" w:hAnsi="Garamond" w:cs="Times New Roman"/>
          <w:sz w:val="16"/>
          <w:szCs w:val="16"/>
        </w:rPr>
        <w:t>t</w:t>
      </w:r>
      <w:r w:rsidRPr="004603C3">
        <w:rPr>
          <w:rFonts w:ascii="Garamond" w:hAnsi="Garamond" w:cs="Times New Roman"/>
          <w:sz w:val="16"/>
          <w:szCs w:val="16"/>
        </w:rPr>
        <w:t xml:space="preserve">ë BE-së vëren, për shembull, se pavarësisht shtimeve të fundit, nivelet e personelit të DKM-së </w:t>
      </w:r>
      <w:r>
        <w:rPr>
          <w:rFonts w:ascii="Garamond" w:hAnsi="Garamond" w:cs="Times New Roman"/>
          <w:i/>
          <w:iCs/>
          <w:sz w:val="16"/>
          <w:szCs w:val="16"/>
        </w:rPr>
        <w:t>“</w:t>
      </w:r>
      <w:r w:rsidRPr="004603C3">
        <w:rPr>
          <w:rFonts w:ascii="Garamond" w:hAnsi="Garamond" w:cs="Times New Roman"/>
          <w:i/>
          <w:iCs/>
          <w:sz w:val="16"/>
          <w:szCs w:val="16"/>
        </w:rPr>
        <w:t>mbeten të kufizuara</w:t>
      </w:r>
      <w:r>
        <w:rPr>
          <w:rFonts w:ascii="Garamond" w:hAnsi="Garamond" w:cs="Times New Roman"/>
          <w:i/>
          <w:iCs/>
          <w:sz w:val="16"/>
          <w:szCs w:val="16"/>
        </w:rPr>
        <w:t>”</w:t>
      </w:r>
      <w:r w:rsidRPr="004603C3">
        <w:rPr>
          <w:rFonts w:ascii="Garamond" w:hAnsi="Garamond" w:cs="Times New Roman"/>
          <w:i/>
          <w:iCs/>
          <w:sz w:val="16"/>
          <w:szCs w:val="16"/>
        </w:rPr>
        <w:t>.</w:t>
      </w:r>
    </w:p>
  </w:footnote>
  <w:footnote w:id="69">
    <w:p w14:paraId="78781275" w14:textId="38E53016" w:rsidR="009936AF" w:rsidRPr="004603C3" w:rsidRDefault="009936AF" w:rsidP="004603C3">
      <w:pPr>
        <w:pStyle w:val="FootnoteText"/>
        <w:spacing w:before="0" w:after="0"/>
        <w:rPr>
          <w:rFonts w:ascii="Garamond" w:hAnsi="Garamond" w:cs="Times New Roman"/>
          <w:sz w:val="16"/>
          <w:szCs w:val="16"/>
        </w:rPr>
      </w:pPr>
      <w:r w:rsidRPr="004603C3">
        <w:rPr>
          <w:rStyle w:val="FootnoteReference"/>
          <w:rFonts w:ascii="Garamond" w:hAnsi="Garamond" w:cs="Times New Roman"/>
          <w:sz w:val="16"/>
          <w:szCs w:val="16"/>
        </w:rPr>
        <w:footnoteRef/>
      </w:r>
      <w:r w:rsidRPr="004603C3">
        <w:rPr>
          <w:rFonts w:ascii="Garamond" w:hAnsi="Garamond" w:cs="Times New Roman"/>
          <w:sz w:val="16"/>
          <w:szCs w:val="16"/>
        </w:rPr>
        <w:t xml:space="preserve"> Kjo parashikohet në ligjin nr. 140/2020</w:t>
      </w:r>
      <w:r>
        <w:rPr>
          <w:rFonts w:ascii="Garamond" w:hAnsi="Garamond" w:cs="Times New Roman"/>
          <w:sz w:val="16"/>
          <w:szCs w:val="16"/>
        </w:rPr>
        <w:t>,</w:t>
      </w:r>
      <w:r w:rsidRPr="004603C3">
        <w:rPr>
          <w:rFonts w:ascii="Garamond" w:hAnsi="Garamond" w:cs="Times New Roman"/>
          <w:sz w:val="16"/>
          <w:szCs w:val="16"/>
        </w:rPr>
        <w:t xml:space="preserve"> </w:t>
      </w:r>
      <w:r>
        <w:rPr>
          <w:rFonts w:ascii="Garamond" w:hAnsi="Garamond" w:cs="Times New Roman"/>
          <w:sz w:val="16"/>
          <w:szCs w:val="16"/>
        </w:rPr>
        <w:t>“</w:t>
      </w:r>
      <w:r w:rsidRPr="004603C3">
        <w:rPr>
          <w:rFonts w:ascii="Garamond" w:hAnsi="Garamond" w:cs="Times New Roman"/>
          <w:sz w:val="16"/>
          <w:szCs w:val="16"/>
        </w:rPr>
        <w:t>Për regjistrimin e popullsisë dhe banesave</w:t>
      </w:r>
      <w:r>
        <w:rPr>
          <w:rFonts w:ascii="Garamond" w:hAnsi="Garamond" w:cs="Times New Roman"/>
          <w:sz w:val="16"/>
          <w:szCs w:val="16"/>
        </w:rPr>
        <w:t>”</w:t>
      </w:r>
      <w:r w:rsidRPr="004603C3">
        <w:rPr>
          <w:rFonts w:ascii="Garamond" w:hAnsi="Garamond" w:cs="Times New Roman"/>
          <w:sz w:val="16"/>
          <w:szCs w:val="16"/>
        </w:rPr>
        <w:t>. Shih ligjin nr.</w:t>
      </w:r>
      <w:r>
        <w:rPr>
          <w:rFonts w:ascii="Garamond" w:hAnsi="Garamond" w:cs="Times New Roman"/>
          <w:sz w:val="16"/>
          <w:szCs w:val="16"/>
        </w:rPr>
        <w:t xml:space="preserve"> </w:t>
      </w:r>
      <w:r w:rsidRPr="004603C3">
        <w:rPr>
          <w:rFonts w:ascii="Garamond" w:hAnsi="Garamond" w:cs="Times New Roman"/>
          <w:sz w:val="16"/>
          <w:szCs w:val="16"/>
        </w:rPr>
        <w:t>30/2022</w:t>
      </w:r>
      <w:r>
        <w:rPr>
          <w:rFonts w:ascii="Garamond" w:hAnsi="Garamond" w:cs="Times New Roman"/>
          <w:sz w:val="16"/>
          <w:szCs w:val="16"/>
        </w:rPr>
        <w:t>,</w:t>
      </w:r>
      <w:r w:rsidRPr="004603C3">
        <w:rPr>
          <w:rFonts w:ascii="Garamond" w:hAnsi="Garamond" w:cs="Times New Roman"/>
          <w:sz w:val="16"/>
          <w:szCs w:val="16"/>
        </w:rPr>
        <w:t xml:space="preserve"> </w:t>
      </w:r>
      <w:r>
        <w:rPr>
          <w:rFonts w:ascii="Garamond" w:hAnsi="Garamond" w:cs="Times New Roman"/>
          <w:sz w:val="16"/>
          <w:szCs w:val="16"/>
        </w:rPr>
        <w:t>“</w:t>
      </w:r>
      <w:r w:rsidRPr="004603C3">
        <w:rPr>
          <w:rFonts w:ascii="Garamond" w:hAnsi="Garamond" w:cs="Times New Roman"/>
          <w:sz w:val="16"/>
          <w:szCs w:val="16"/>
        </w:rPr>
        <w:t>Për miratimin e programit të statistikave zyrtare 2022</w:t>
      </w:r>
      <w:r w:rsidRPr="004603C3">
        <w:rPr>
          <w:rStyle w:val="contentpasted1"/>
          <w:rFonts w:ascii="Garamond" w:hAnsi="Garamond" w:cs="Times New Roman"/>
          <w:color w:val="000000"/>
          <w:sz w:val="16"/>
          <w:szCs w:val="16"/>
        </w:rPr>
        <w:t>–</w:t>
      </w:r>
      <w:r w:rsidRPr="004603C3">
        <w:rPr>
          <w:rFonts w:ascii="Garamond" w:hAnsi="Garamond" w:cs="Times New Roman"/>
          <w:sz w:val="16"/>
          <w:szCs w:val="16"/>
        </w:rPr>
        <w:t>2026</w:t>
      </w:r>
      <w:r>
        <w:rPr>
          <w:rFonts w:ascii="Garamond" w:hAnsi="Garamond" w:cs="Times New Roman"/>
          <w:sz w:val="16"/>
          <w:szCs w:val="16"/>
        </w:rPr>
        <w:t>”</w:t>
      </w:r>
      <w:r w:rsidRPr="004603C3">
        <w:rPr>
          <w:rFonts w:ascii="Garamond" w:hAnsi="Garamond" w:cs="Times New Roman"/>
          <w:sz w:val="16"/>
          <w:szCs w:val="16"/>
        </w:rPr>
        <w:t>, https://www.instat.gov.al/media/10480/official-statistics-program-2022-2026.pdf</w:t>
      </w:r>
    </w:p>
  </w:footnote>
  <w:footnote w:id="70">
    <w:p w14:paraId="11E4EF71" w14:textId="61EF3BEB" w:rsidR="009936AF" w:rsidRPr="008238C0" w:rsidRDefault="009936AF" w:rsidP="004603C3">
      <w:pPr>
        <w:pStyle w:val="FootnoteText"/>
        <w:spacing w:before="0" w:after="0"/>
        <w:rPr>
          <w:rFonts w:ascii="Garamond" w:hAnsi="Garamond" w:cs="Times New Roman"/>
          <w:sz w:val="16"/>
          <w:szCs w:val="16"/>
        </w:rPr>
      </w:pPr>
      <w:r w:rsidRPr="008238C0">
        <w:rPr>
          <w:rStyle w:val="FootnoteReference"/>
          <w:rFonts w:ascii="Garamond" w:hAnsi="Garamond" w:cs="Times New Roman"/>
          <w:sz w:val="16"/>
          <w:szCs w:val="16"/>
        </w:rPr>
        <w:footnoteRef/>
      </w:r>
      <w:r w:rsidRPr="008238C0">
        <w:rPr>
          <w:rFonts w:ascii="Garamond" w:hAnsi="Garamond" w:cs="Times New Roman"/>
          <w:sz w:val="16"/>
          <w:szCs w:val="16"/>
        </w:rPr>
        <w:t xml:space="preserve"> Anketa tremujore e fuqisë punëtore </w:t>
      </w:r>
      <w:hyperlink r:id="rId22" w:history="1">
        <w:r w:rsidRPr="008238C0">
          <w:rPr>
            <w:rStyle w:val="Hyperlink"/>
            <w:rFonts w:ascii="Garamond" w:hAnsi="Garamond" w:cs="Times New Roman"/>
            <w:sz w:val="16"/>
            <w:szCs w:val="16"/>
          </w:rPr>
          <w:t>https://www.instat.gov.al/media/10081/anketa-tremujore-e-forcave-t%C3%AB-pun%C3%ABs-t1-2022.pdf</w:t>
        </w:r>
      </w:hyperlink>
      <w:r w:rsidRPr="008238C0">
        <w:rPr>
          <w:rStyle w:val="Hyperlink"/>
          <w:rFonts w:ascii="Garamond" w:hAnsi="Garamond" w:cs="Times New Roman"/>
          <w:sz w:val="16"/>
          <w:szCs w:val="16"/>
        </w:rPr>
        <w:t>.</w:t>
      </w:r>
      <w:r w:rsidRPr="008238C0">
        <w:rPr>
          <w:rFonts w:ascii="Garamond" w:hAnsi="Garamond" w:cs="Times New Roman"/>
          <w:sz w:val="16"/>
          <w:szCs w:val="16"/>
        </w:rPr>
        <w:t xml:space="preserve"> </w:t>
      </w:r>
    </w:p>
  </w:footnote>
  <w:footnote w:id="71">
    <w:p w14:paraId="16C285A4" w14:textId="77777777" w:rsidR="009936AF" w:rsidRPr="008238C0" w:rsidRDefault="009936AF" w:rsidP="00C42B36">
      <w:pPr>
        <w:pStyle w:val="FootnoteText"/>
        <w:spacing w:before="0" w:after="0"/>
        <w:jc w:val="left"/>
        <w:rPr>
          <w:rFonts w:ascii="Garamond" w:hAnsi="Garamond" w:cs="Times New Roman"/>
          <w:sz w:val="16"/>
          <w:szCs w:val="16"/>
        </w:rPr>
      </w:pPr>
      <w:r w:rsidRPr="008238C0">
        <w:rPr>
          <w:rStyle w:val="FootnoteReference"/>
          <w:rFonts w:ascii="Garamond" w:hAnsi="Garamond" w:cs="Times New Roman"/>
          <w:sz w:val="16"/>
          <w:szCs w:val="16"/>
        </w:rPr>
        <w:footnoteRef/>
      </w:r>
      <w:r w:rsidRPr="008238C0">
        <w:rPr>
          <w:rFonts w:ascii="Garamond" w:hAnsi="Garamond" w:cs="Times New Roman"/>
          <w:sz w:val="16"/>
          <w:szCs w:val="16"/>
        </w:rPr>
        <w:t xml:space="preserve"> Banka e Shqipërisë:</w:t>
      </w:r>
    </w:p>
    <w:p w14:paraId="3F8D91E9" w14:textId="77777777" w:rsidR="009936AF" w:rsidRPr="008238C0" w:rsidRDefault="007A3726" w:rsidP="00C42B36">
      <w:pPr>
        <w:pStyle w:val="FootnoteText"/>
        <w:spacing w:before="0" w:after="0"/>
        <w:jc w:val="left"/>
        <w:rPr>
          <w:rFonts w:ascii="Garamond" w:hAnsi="Garamond" w:cs="Times New Roman"/>
          <w:sz w:val="16"/>
          <w:szCs w:val="16"/>
        </w:rPr>
      </w:pPr>
      <w:hyperlink r:id="rId23" w:history="1">
        <w:r w:rsidR="009936AF" w:rsidRPr="008238C0">
          <w:rPr>
            <w:rStyle w:val="Hyperlink"/>
            <w:rFonts w:ascii="Garamond" w:hAnsi="Garamond" w:cs="Times New Roman"/>
            <w:sz w:val="16"/>
            <w:szCs w:val="16"/>
          </w:rPr>
          <w:t>https://www.bankofalbania.org/rc/doc/Revista_Ekonimike_6M2_2020_Shqip_19286.pdf</w:t>
        </w:r>
      </w:hyperlink>
    </w:p>
  </w:footnote>
  <w:footnote w:id="72">
    <w:p w14:paraId="35236D5D" w14:textId="42F89F48" w:rsidR="009936AF" w:rsidRPr="008238C0" w:rsidRDefault="009936AF" w:rsidP="00C42B36">
      <w:pPr>
        <w:pStyle w:val="FootnoteText"/>
        <w:spacing w:before="0" w:after="0"/>
        <w:jc w:val="left"/>
        <w:rPr>
          <w:rFonts w:ascii="Garamond" w:hAnsi="Garamond" w:cs="Calibri"/>
          <w:sz w:val="16"/>
          <w:szCs w:val="16"/>
        </w:rPr>
      </w:pPr>
      <w:r w:rsidRPr="008238C0">
        <w:rPr>
          <w:rStyle w:val="FootnoteReference"/>
          <w:rFonts w:ascii="Garamond" w:hAnsi="Garamond" w:cs="Times New Roman"/>
          <w:sz w:val="16"/>
          <w:szCs w:val="16"/>
        </w:rPr>
        <w:footnoteRef/>
      </w:r>
      <w:r w:rsidRPr="008238C0">
        <w:rPr>
          <w:rFonts w:ascii="Garamond" w:hAnsi="Garamond" w:cs="Times New Roman"/>
          <w:sz w:val="16"/>
          <w:szCs w:val="16"/>
        </w:rPr>
        <w:t xml:space="preserve"> Informacion nga Banka e Shqipërisë.</w:t>
      </w:r>
    </w:p>
  </w:footnote>
  <w:footnote w:id="73">
    <w:p w14:paraId="2B275AD5" w14:textId="1A7740CC" w:rsidR="009936AF" w:rsidRPr="004603C3" w:rsidRDefault="009936AF" w:rsidP="004603C3">
      <w:pPr>
        <w:pStyle w:val="FootnoteText"/>
        <w:spacing w:before="0" w:after="0"/>
        <w:rPr>
          <w:rFonts w:ascii="Garamond" w:hAnsi="Garamond" w:cs="Times New Roman"/>
          <w:sz w:val="16"/>
          <w:szCs w:val="16"/>
        </w:rPr>
      </w:pPr>
      <w:r w:rsidRPr="004603C3">
        <w:rPr>
          <w:rStyle w:val="FootnoteReference"/>
          <w:rFonts w:ascii="Garamond" w:hAnsi="Garamond" w:cs="Times New Roman"/>
          <w:sz w:val="16"/>
          <w:szCs w:val="16"/>
        </w:rPr>
        <w:footnoteRef/>
      </w:r>
      <w:r w:rsidRPr="004603C3">
        <w:rPr>
          <w:rFonts w:ascii="Garamond" w:hAnsi="Garamond" w:cs="Times New Roman"/>
          <w:sz w:val="16"/>
          <w:szCs w:val="16"/>
        </w:rPr>
        <w:t xml:space="preserve"> Këto përfshijnë </w:t>
      </w:r>
      <w:r>
        <w:rPr>
          <w:rFonts w:ascii="Garamond" w:hAnsi="Garamond" w:cs="Times New Roman"/>
          <w:sz w:val="16"/>
          <w:szCs w:val="16"/>
        </w:rPr>
        <w:t>k</w:t>
      </w:r>
      <w:r w:rsidRPr="004603C3">
        <w:rPr>
          <w:rFonts w:ascii="Garamond" w:hAnsi="Garamond" w:cs="Times New Roman"/>
          <w:sz w:val="16"/>
          <w:szCs w:val="16"/>
        </w:rPr>
        <w:t xml:space="preserve">apitullin 2 </w:t>
      </w:r>
      <w:r>
        <w:rPr>
          <w:rFonts w:ascii="Garamond" w:hAnsi="Garamond" w:cs="Times New Roman"/>
          <w:sz w:val="16"/>
          <w:szCs w:val="16"/>
        </w:rPr>
        <w:t>“</w:t>
      </w:r>
      <w:r w:rsidRPr="004603C3">
        <w:rPr>
          <w:rFonts w:ascii="Garamond" w:hAnsi="Garamond" w:cs="Times New Roman"/>
          <w:sz w:val="16"/>
          <w:szCs w:val="16"/>
        </w:rPr>
        <w:t>Lëvizja e lirë për punëtorët</w:t>
      </w:r>
      <w:r>
        <w:rPr>
          <w:rFonts w:ascii="Garamond" w:hAnsi="Garamond" w:cs="Times New Roman"/>
          <w:sz w:val="16"/>
          <w:szCs w:val="16"/>
        </w:rPr>
        <w:t>”</w:t>
      </w:r>
      <w:r w:rsidRPr="004603C3">
        <w:rPr>
          <w:rFonts w:ascii="Garamond" w:hAnsi="Garamond" w:cs="Times New Roman"/>
          <w:sz w:val="16"/>
          <w:szCs w:val="16"/>
        </w:rPr>
        <w:t xml:space="preserve">; </w:t>
      </w:r>
      <w:r>
        <w:rPr>
          <w:rFonts w:ascii="Garamond" w:hAnsi="Garamond" w:cs="Times New Roman"/>
          <w:sz w:val="16"/>
          <w:szCs w:val="16"/>
        </w:rPr>
        <w:t>k</w:t>
      </w:r>
      <w:r w:rsidRPr="004603C3">
        <w:rPr>
          <w:rFonts w:ascii="Garamond" w:hAnsi="Garamond" w:cs="Times New Roman"/>
          <w:sz w:val="16"/>
          <w:szCs w:val="16"/>
        </w:rPr>
        <w:t xml:space="preserve">reu 3 </w:t>
      </w:r>
      <w:r>
        <w:rPr>
          <w:rFonts w:ascii="Garamond" w:hAnsi="Garamond" w:cs="Times New Roman"/>
          <w:sz w:val="16"/>
          <w:szCs w:val="16"/>
        </w:rPr>
        <w:t>“</w:t>
      </w:r>
      <w:r w:rsidRPr="004603C3">
        <w:rPr>
          <w:rFonts w:ascii="Garamond" w:hAnsi="Garamond" w:cs="Times New Roman"/>
          <w:sz w:val="16"/>
          <w:szCs w:val="16"/>
        </w:rPr>
        <w:t>E drejta e themelimit dhe e ofrimit të shërbimeve</w:t>
      </w:r>
      <w:r>
        <w:rPr>
          <w:rFonts w:ascii="Garamond" w:hAnsi="Garamond" w:cs="Times New Roman"/>
          <w:sz w:val="16"/>
          <w:szCs w:val="16"/>
        </w:rPr>
        <w:t>”</w:t>
      </w:r>
      <w:r w:rsidRPr="004603C3">
        <w:rPr>
          <w:rFonts w:ascii="Garamond" w:hAnsi="Garamond" w:cs="Times New Roman"/>
          <w:sz w:val="16"/>
          <w:szCs w:val="16"/>
        </w:rPr>
        <w:t xml:space="preserve">; </w:t>
      </w:r>
      <w:r>
        <w:rPr>
          <w:rFonts w:ascii="Garamond" w:hAnsi="Garamond" w:cs="Times New Roman"/>
          <w:sz w:val="16"/>
          <w:szCs w:val="16"/>
        </w:rPr>
        <w:t>k</w:t>
      </w:r>
      <w:r w:rsidRPr="004603C3">
        <w:rPr>
          <w:rFonts w:ascii="Garamond" w:hAnsi="Garamond" w:cs="Times New Roman"/>
          <w:sz w:val="16"/>
          <w:szCs w:val="16"/>
        </w:rPr>
        <w:t xml:space="preserve">apitulli 19 </w:t>
      </w:r>
      <w:r>
        <w:rPr>
          <w:rFonts w:ascii="Garamond" w:hAnsi="Garamond" w:cs="Times New Roman"/>
          <w:sz w:val="16"/>
          <w:szCs w:val="16"/>
        </w:rPr>
        <w:t>“</w:t>
      </w:r>
      <w:r w:rsidRPr="004603C3">
        <w:rPr>
          <w:rFonts w:ascii="Garamond" w:hAnsi="Garamond" w:cs="Times New Roman"/>
          <w:sz w:val="16"/>
          <w:szCs w:val="16"/>
        </w:rPr>
        <w:t>Politika sociale dhe punësimi</w:t>
      </w:r>
      <w:r>
        <w:rPr>
          <w:rFonts w:ascii="Garamond" w:hAnsi="Garamond" w:cs="Times New Roman"/>
          <w:sz w:val="16"/>
          <w:szCs w:val="16"/>
        </w:rPr>
        <w:t>”</w:t>
      </w:r>
      <w:r w:rsidRPr="004603C3">
        <w:rPr>
          <w:rFonts w:ascii="Garamond" w:hAnsi="Garamond" w:cs="Times New Roman"/>
          <w:sz w:val="16"/>
          <w:szCs w:val="16"/>
        </w:rPr>
        <w:t xml:space="preserve"> dhe </w:t>
      </w:r>
      <w:r>
        <w:rPr>
          <w:rFonts w:ascii="Garamond" w:hAnsi="Garamond" w:cs="Times New Roman"/>
          <w:sz w:val="16"/>
          <w:szCs w:val="16"/>
        </w:rPr>
        <w:t>k</w:t>
      </w:r>
      <w:r w:rsidRPr="004603C3">
        <w:rPr>
          <w:rFonts w:ascii="Garamond" w:hAnsi="Garamond" w:cs="Times New Roman"/>
          <w:sz w:val="16"/>
          <w:szCs w:val="16"/>
        </w:rPr>
        <w:t xml:space="preserve">apitulli 24 </w:t>
      </w:r>
      <w:r>
        <w:rPr>
          <w:rFonts w:ascii="Garamond" w:hAnsi="Garamond" w:cs="Times New Roman"/>
          <w:sz w:val="16"/>
          <w:szCs w:val="16"/>
        </w:rPr>
        <w:t>“</w:t>
      </w:r>
      <w:r w:rsidRPr="004603C3">
        <w:rPr>
          <w:rFonts w:ascii="Garamond" w:hAnsi="Garamond" w:cs="Times New Roman"/>
          <w:sz w:val="16"/>
          <w:szCs w:val="16"/>
        </w:rPr>
        <w:t>Drejtësia, liria dhe siguria</w:t>
      </w:r>
      <w:r>
        <w:rPr>
          <w:rFonts w:ascii="Garamond" w:hAnsi="Garamond" w:cs="Times New Roman"/>
          <w:sz w:val="16"/>
          <w:szCs w:val="16"/>
        </w:rPr>
        <w:t>”</w:t>
      </w:r>
      <w:r w:rsidRPr="004603C3">
        <w:rPr>
          <w:rFonts w:ascii="Garamond" w:hAnsi="Garamond" w:cs="Times New Roman"/>
          <w:sz w:val="16"/>
          <w:szCs w:val="16"/>
        </w:rPr>
        <w:t>.</w:t>
      </w:r>
    </w:p>
  </w:footnote>
  <w:footnote w:id="74">
    <w:p w14:paraId="6C964B3C" w14:textId="77777777" w:rsidR="00E05EEC" w:rsidRPr="00E05EEC" w:rsidRDefault="00E05EEC" w:rsidP="00E05EEC">
      <w:pPr>
        <w:pStyle w:val="FootnoteText"/>
        <w:spacing w:before="0" w:after="0"/>
        <w:rPr>
          <w:rFonts w:ascii="Garamond" w:hAnsi="Garamond" w:cs="Times New Roman"/>
          <w:sz w:val="16"/>
          <w:szCs w:val="16"/>
        </w:rPr>
      </w:pPr>
      <w:r w:rsidRPr="00E05EEC">
        <w:rPr>
          <w:rFonts w:ascii="Garamond" w:hAnsi="Garamond" w:cs="Times New Roman"/>
          <w:sz w:val="16"/>
          <w:szCs w:val="16"/>
        </w:rPr>
        <w:t>Direktiva 2001/55/KE, datë 20 korrik 2001, “Për standardet minimale për dhënien e mbrojtjes së përkohshme në rastet e flukseve masive të personave të zhvendosur dhe për masat që nxisin një ekuilibër përpjekjesh midis anëtarëve të shtetit për pritjen e këtyre personave dhe përballimin e pasojave”.</w:t>
      </w:r>
    </w:p>
    <w:p w14:paraId="5CD12CD0" w14:textId="77777777" w:rsidR="00E05EEC" w:rsidRPr="00E05EEC" w:rsidRDefault="00E05EEC" w:rsidP="00E05EEC">
      <w:pPr>
        <w:pStyle w:val="FootnoteText"/>
        <w:spacing w:before="0" w:after="0"/>
        <w:rPr>
          <w:rFonts w:ascii="Garamond" w:hAnsi="Garamond" w:cs="Times New Roman"/>
          <w:sz w:val="16"/>
          <w:szCs w:val="16"/>
        </w:rPr>
      </w:pPr>
      <w:r w:rsidRPr="00E05EEC">
        <w:rPr>
          <w:rFonts w:ascii="Garamond" w:hAnsi="Garamond" w:cs="Times New Roman"/>
          <w:sz w:val="16"/>
          <w:szCs w:val="16"/>
        </w:rPr>
        <w:t>Direktiva 2003/86/KE, datë 22 shtator 2003, “Për të drejtën e bashkimit familjar”.</w:t>
      </w:r>
    </w:p>
    <w:p w14:paraId="5FB116AE" w14:textId="77777777" w:rsidR="00E05EEC" w:rsidRPr="00E05EEC" w:rsidRDefault="00E05EEC" w:rsidP="00E05EEC">
      <w:pPr>
        <w:pStyle w:val="FootnoteText"/>
        <w:spacing w:before="0" w:after="0"/>
        <w:rPr>
          <w:rFonts w:ascii="Garamond" w:hAnsi="Garamond" w:cs="Times New Roman"/>
          <w:sz w:val="16"/>
          <w:szCs w:val="16"/>
        </w:rPr>
      </w:pPr>
      <w:r w:rsidRPr="00E05EEC">
        <w:rPr>
          <w:rFonts w:ascii="Garamond" w:hAnsi="Garamond" w:cs="Times New Roman"/>
          <w:sz w:val="16"/>
          <w:szCs w:val="16"/>
        </w:rPr>
        <w:t>Direktiva 2011/95/BE e Parlamentit Evropian dhe e Këshillit, datë 13 dhjetor 2011, “Për standardet për kualifikimin e shtetasve të vendeve të treta ose personave pa shtetësi si përfitues të mbrojtjes ndërkombëtare, për një status uniform për refugjatët. ose për personat që kanë të drejtën e mbrojtjes plotësuese, dhe për përmbajtjen e mbrojtjes së ofruar”.</w:t>
      </w:r>
    </w:p>
    <w:p w14:paraId="27BFF95D" w14:textId="77777777" w:rsidR="00E05EEC" w:rsidRPr="004603C3" w:rsidRDefault="00E05EEC" w:rsidP="00E05EEC">
      <w:pPr>
        <w:pStyle w:val="FootnoteText"/>
        <w:spacing w:before="0" w:after="0"/>
        <w:rPr>
          <w:rFonts w:ascii="Garamond" w:hAnsi="Garamond" w:cs="Times New Roman"/>
          <w:sz w:val="16"/>
          <w:szCs w:val="16"/>
        </w:rPr>
      </w:pPr>
      <w:r w:rsidRPr="00E05EEC">
        <w:rPr>
          <w:rFonts w:ascii="Garamond" w:hAnsi="Garamond" w:cs="Times New Roman"/>
          <w:sz w:val="16"/>
          <w:szCs w:val="16"/>
        </w:rPr>
        <w:t>Direktiva 2013/32/BE e Parlamentit Evropian dhe e Këshillit, datë 26 qershor 2013, “Për procedurat e zakonshme për dhënien dhe tërheqjen e mbrojtjes ndërkombëtare”.</w:t>
      </w:r>
    </w:p>
    <w:p w14:paraId="021E9AC0" w14:textId="2DCA00C9" w:rsidR="009936AF" w:rsidRPr="004603C3" w:rsidRDefault="009936AF" w:rsidP="004603C3">
      <w:pPr>
        <w:pStyle w:val="FootnoteText"/>
        <w:spacing w:before="0" w:after="0"/>
        <w:rPr>
          <w:rFonts w:ascii="Garamond" w:hAnsi="Garamond"/>
          <w:sz w:val="16"/>
          <w:szCs w:val="16"/>
        </w:rPr>
      </w:pPr>
      <w:r w:rsidRPr="004603C3">
        <w:rPr>
          <w:rStyle w:val="FootnoteReference"/>
          <w:rFonts w:ascii="Garamond" w:hAnsi="Garamond" w:cs="Times New Roman"/>
          <w:sz w:val="16"/>
          <w:szCs w:val="16"/>
        </w:rPr>
        <w:footnoteRef/>
      </w:r>
      <w:r w:rsidRPr="004603C3">
        <w:rPr>
          <w:rFonts w:ascii="Garamond" w:hAnsi="Garamond" w:cs="Times New Roman"/>
          <w:sz w:val="16"/>
          <w:szCs w:val="16"/>
        </w:rPr>
        <w:t xml:space="preserve"> Direktiva 2013/33/BE e Parlamentit Evropian dhe e Këshillit, datë 26 qershor 2013, </w:t>
      </w:r>
      <w:r>
        <w:rPr>
          <w:rFonts w:ascii="Garamond" w:hAnsi="Garamond" w:cs="Times New Roman"/>
          <w:sz w:val="16"/>
          <w:szCs w:val="16"/>
        </w:rPr>
        <w:t>“</w:t>
      </w:r>
      <w:r w:rsidRPr="004603C3">
        <w:rPr>
          <w:rFonts w:ascii="Garamond" w:hAnsi="Garamond" w:cs="Times New Roman"/>
          <w:sz w:val="16"/>
          <w:szCs w:val="16"/>
        </w:rPr>
        <w:t>Për përcaktimin e standardeve për pranimin e aplikantëve për mbrojtje ndërkombëtare</w:t>
      </w:r>
      <w:r>
        <w:rPr>
          <w:rFonts w:ascii="Garamond" w:hAnsi="Garamond" w:cs="Times New Roman"/>
          <w:sz w:val="16"/>
          <w:szCs w:val="16"/>
        </w:rPr>
        <w:t>”</w:t>
      </w:r>
      <w:r w:rsidRPr="004603C3">
        <w:rPr>
          <w:rFonts w:ascii="Garamond" w:hAnsi="Garamond" w:cs="Times New Roman"/>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B232B9"/>
    <w:multiLevelType w:val="hybridMultilevel"/>
    <w:tmpl w:val="CB7E28A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8CF56A2"/>
    <w:multiLevelType w:val="hybridMultilevel"/>
    <w:tmpl w:val="959606EA"/>
    <w:lvl w:ilvl="0" w:tplc="6694B094">
      <w:start w:val="2"/>
      <w:numFmt w:val="bullet"/>
      <w:lvlText w:val="-"/>
      <w:lvlJc w:val="left"/>
      <w:pPr>
        <w:ind w:left="644" w:hanging="360"/>
      </w:pPr>
      <w:rPr>
        <w:rFonts w:ascii="Garamond" w:eastAsiaTheme="minorHAnsi"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 w15:restartNumberingAfterBreak="0">
    <w:nsid w:val="5D276ED5"/>
    <w:multiLevelType w:val="multilevel"/>
    <w:tmpl w:val="5D276ED5"/>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 w:numId="2">
    <w:abstractNumId w:val="2"/>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removePersonalInformation/>
  <w:removeDateAndTime/>
  <w:hideSpellingErrors/>
  <w:hideGrammaticalErrors/>
  <w:defaultTabStop w:val="720"/>
  <w:hyphenationZone w:val="425"/>
  <w:drawingGridHorizontalSpacing w:val="110"/>
  <w:displayHorizontalDrawingGridEvery w:val="2"/>
  <w:characterSpacingControl w:val="doNotCompress"/>
  <w:hdrShapeDefaults>
    <o:shapedefaults v:ext="edit" spidmax="1228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2F9"/>
    <w:rsid w:val="00000FC0"/>
    <w:rsid w:val="00003475"/>
    <w:rsid w:val="00010696"/>
    <w:rsid w:val="00010F4A"/>
    <w:rsid w:val="00014521"/>
    <w:rsid w:val="00015A85"/>
    <w:rsid w:val="00015E2B"/>
    <w:rsid w:val="000162A1"/>
    <w:rsid w:val="000170E7"/>
    <w:rsid w:val="0002054A"/>
    <w:rsid w:val="000209B5"/>
    <w:rsid w:val="00022122"/>
    <w:rsid w:val="00023E0D"/>
    <w:rsid w:val="00024169"/>
    <w:rsid w:val="00032C8E"/>
    <w:rsid w:val="00041729"/>
    <w:rsid w:val="00041D58"/>
    <w:rsid w:val="00042E7B"/>
    <w:rsid w:val="000441EF"/>
    <w:rsid w:val="00044AF9"/>
    <w:rsid w:val="00045E8A"/>
    <w:rsid w:val="00045F53"/>
    <w:rsid w:val="0004769B"/>
    <w:rsid w:val="00047B01"/>
    <w:rsid w:val="0005092F"/>
    <w:rsid w:val="000525AE"/>
    <w:rsid w:val="000527B9"/>
    <w:rsid w:val="0005292F"/>
    <w:rsid w:val="00057BC9"/>
    <w:rsid w:val="00057FCD"/>
    <w:rsid w:val="0006016F"/>
    <w:rsid w:val="00060299"/>
    <w:rsid w:val="00061B3F"/>
    <w:rsid w:val="000654AF"/>
    <w:rsid w:val="00070E97"/>
    <w:rsid w:val="00072E5C"/>
    <w:rsid w:val="00073EF0"/>
    <w:rsid w:val="00073EF1"/>
    <w:rsid w:val="00074B60"/>
    <w:rsid w:val="00075FE6"/>
    <w:rsid w:val="000766C8"/>
    <w:rsid w:val="0007734A"/>
    <w:rsid w:val="00080639"/>
    <w:rsid w:val="0008072E"/>
    <w:rsid w:val="00081C66"/>
    <w:rsid w:val="0008309B"/>
    <w:rsid w:val="000850FA"/>
    <w:rsid w:val="00085604"/>
    <w:rsid w:val="000867CA"/>
    <w:rsid w:val="00090350"/>
    <w:rsid w:val="00090AF2"/>
    <w:rsid w:val="000921DC"/>
    <w:rsid w:val="00093A30"/>
    <w:rsid w:val="00095725"/>
    <w:rsid w:val="00095FB7"/>
    <w:rsid w:val="0009653B"/>
    <w:rsid w:val="0009676E"/>
    <w:rsid w:val="0009798F"/>
    <w:rsid w:val="000A357F"/>
    <w:rsid w:val="000A5C5A"/>
    <w:rsid w:val="000A5E20"/>
    <w:rsid w:val="000A6D67"/>
    <w:rsid w:val="000A7769"/>
    <w:rsid w:val="000A7F19"/>
    <w:rsid w:val="000B068F"/>
    <w:rsid w:val="000B146C"/>
    <w:rsid w:val="000B5E0C"/>
    <w:rsid w:val="000B7191"/>
    <w:rsid w:val="000B7E4C"/>
    <w:rsid w:val="000C0175"/>
    <w:rsid w:val="000C260B"/>
    <w:rsid w:val="000C2B13"/>
    <w:rsid w:val="000C40ED"/>
    <w:rsid w:val="000C4383"/>
    <w:rsid w:val="000C514B"/>
    <w:rsid w:val="000C73B7"/>
    <w:rsid w:val="000C763A"/>
    <w:rsid w:val="000D09EB"/>
    <w:rsid w:val="000D3116"/>
    <w:rsid w:val="000D3EC1"/>
    <w:rsid w:val="000D52D2"/>
    <w:rsid w:val="000D730D"/>
    <w:rsid w:val="000E007D"/>
    <w:rsid w:val="000E276A"/>
    <w:rsid w:val="000E3008"/>
    <w:rsid w:val="000E5E84"/>
    <w:rsid w:val="000F3C89"/>
    <w:rsid w:val="000F4C7C"/>
    <w:rsid w:val="000F5B87"/>
    <w:rsid w:val="000F5C18"/>
    <w:rsid w:val="001005F5"/>
    <w:rsid w:val="00101380"/>
    <w:rsid w:val="00102300"/>
    <w:rsid w:val="00102615"/>
    <w:rsid w:val="00102964"/>
    <w:rsid w:val="00103936"/>
    <w:rsid w:val="001059F0"/>
    <w:rsid w:val="0010733E"/>
    <w:rsid w:val="001129D7"/>
    <w:rsid w:val="00121BBF"/>
    <w:rsid w:val="001231F5"/>
    <w:rsid w:val="0012344C"/>
    <w:rsid w:val="00130AF0"/>
    <w:rsid w:val="00134564"/>
    <w:rsid w:val="001351F3"/>
    <w:rsid w:val="0013571D"/>
    <w:rsid w:val="001363AE"/>
    <w:rsid w:val="00141ADB"/>
    <w:rsid w:val="00146626"/>
    <w:rsid w:val="00147423"/>
    <w:rsid w:val="00147D65"/>
    <w:rsid w:val="00150090"/>
    <w:rsid w:val="00151120"/>
    <w:rsid w:val="00151458"/>
    <w:rsid w:val="00151C91"/>
    <w:rsid w:val="001520F1"/>
    <w:rsid w:val="00154A65"/>
    <w:rsid w:val="00156434"/>
    <w:rsid w:val="001614F3"/>
    <w:rsid w:val="00163437"/>
    <w:rsid w:val="00164BBC"/>
    <w:rsid w:val="00164C66"/>
    <w:rsid w:val="001652C7"/>
    <w:rsid w:val="00166586"/>
    <w:rsid w:val="00166C03"/>
    <w:rsid w:val="00170993"/>
    <w:rsid w:val="00171290"/>
    <w:rsid w:val="0017331A"/>
    <w:rsid w:val="00173AC1"/>
    <w:rsid w:val="001742B4"/>
    <w:rsid w:val="001743B4"/>
    <w:rsid w:val="00174408"/>
    <w:rsid w:val="00175094"/>
    <w:rsid w:val="001779F2"/>
    <w:rsid w:val="0018079E"/>
    <w:rsid w:val="00186022"/>
    <w:rsid w:val="001861C8"/>
    <w:rsid w:val="00186D70"/>
    <w:rsid w:val="00190DB7"/>
    <w:rsid w:val="0019194B"/>
    <w:rsid w:val="00195584"/>
    <w:rsid w:val="001957C5"/>
    <w:rsid w:val="00196C99"/>
    <w:rsid w:val="00196D6B"/>
    <w:rsid w:val="00197A4C"/>
    <w:rsid w:val="001A07D4"/>
    <w:rsid w:val="001A1254"/>
    <w:rsid w:val="001A259D"/>
    <w:rsid w:val="001A3BD2"/>
    <w:rsid w:val="001A6DC6"/>
    <w:rsid w:val="001A750E"/>
    <w:rsid w:val="001A7FCE"/>
    <w:rsid w:val="001B029C"/>
    <w:rsid w:val="001B0F33"/>
    <w:rsid w:val="001B3341"/>
    <w:rsid w:val="001B3BCB"/>
    <w:rsid w:val="001B43F4"/>
    <w:rsid w:val="001B4A7F"/>
    <w:rsid w:val="001B5477"/>
    <w:rsid w:val="001B6C74"/>
    <w:rsid w:val="001C1574"/>
    <w:rsid w:val="001C2779"/>
    <w:rsid w:val="001C49DD"/>
    <w:rsid w:val="001C6A66"/>
    <w:rsid w:val="001C7A65"/>
    <w:rsid w:val="001D133C"/>
    <w:rsid w:val="001D25E3"/>
    <w:rsid w:val="001D6E29"/>
    <w:rsid w:val="001D7347"/>
    <w:rsid w:val="001E01F6"/>
    <w:rsid w:val="001E13C5"/>
    <w:rsid w:val="001E3466"/>
    <w:rsid w:val="001E623F"/>
    <w:rsid w:val="001E7120"/>
    <w:rsid w:val="001E790C"/>
    <w:rsid w:val="001F072E"/>
    <w:rsid w:val="001F1B07"/>
    <w:rsid w:val="001F2212"/>
    <w:rsid w:val="001F32D6"/>
    <w:rsid w:val="001F3DA7"/>
    <w:rsid w:val="001F506C"/>
    <w:rsid w:val="001F5307"/>
    <w:rsid w:val="001F6CCB"/>
    <w:rsid w:val="002014D7"/>
    <w:rsid w:val="002048BE"/>
    <w:rsid w:val="00206D49"/>
    <w:rsid w:val="00207186"/>
    <w:rsid w:val="00210D0C"/>
    <w:rsid w:val="0021128D"/>
    <w:rsid w:val="00214817"/>
    <w:rsid w:val="0022129F"/>
    <w:rsid w:val="002243D3"/>
    <w:rsid w:val="00224E0B"/>
    <w:rsid w:val="002270F3"/>
    <w:rsid w:val="0022794D"/>
    <w:rsid w:val="00227EB1"/>
    <w:rsid w:val="002305F7"/>
    <w:rsid w:val="00230804"/>
    <w:rsid w:val="00230F46"/>
    <w:rsid w:val="002311C3"/>
    <w:rsid w:val="00231300"/>
    <w:rsid w:val="0023185E"/>
    <w:rsid w:val="00232209"/>
    <w:rsid w:val="00233C0E"/>
    <w:rsid w:val="00242F59"/>
    <w:rsid w:val="00245FBB"/>
    <w:rsid w:val="002555F2"/>
    <w:rsid w:val="00257563"/>
    <w:rsid w:val="0025780C"/>
    <w:rsid w:val="00257A24"/>
    <w:rsid w:val="00260E46"/>
    <w:rsid w:val="00264243"/>
    <w:rsid w:val="0026458E"/>
    <w:rsid w:val="0026509A"/>
    <w:rsid w:val="00267068"/>
    <w:rsid w:val="00267A1E"/>
    <w:rsid w:val="00267C7C"/>
    <w:rsid w:val="00272570"/>
    <w:rsid w:val="00272D02"/>
    <w:rsid w:val="002759E5"/>
    <w:rsid w:val="002803F2"/>
    <w:rsid w:val="00280ED8"/>
    <w:rsid w:val="002823C1"/>
    <w:rsid w:val="0028334E"/>
    <w:rsid w:val="00283765"/>
    <w:rsid w:val="0028600D"/>
    <w:rsid w:val="00287B8F"/>
    <w:rsid w:val="0029114E"/>
    <w:rsid w:val="00292FD8"/>
    <w:rsid w:val="0029352A"/>
    <w:rsid w:val="00293B61"/>
    <w:rsid w:val="00293DB8"/>
    <w:rsid w:val="00295178"/>
    <w:rsid w:val="00295D54"/>
    <w:rsid w:val="00297272"/>
    <w:rsid w:val="002A283E"/>
    <w:rsid w:val="002A3A0E"/>
    <w:rsid w:val="002A3DBD"/>
    <w:rsid w:val="002A5B24"/>
    <w:rsid w:val="002B3BE7"/>
    <w:rsid w:val="002B77DA"/>
    <w:rsid w:val="002C054D"/>
    <w:rsid w:val="002C0D58"/>
    <w:rsid w:val="002C1849"/>
    <w:rsid w:val="002C23AD"/>
    <w:rsid w:val="002C3386"/>
    <w:rsid w:val="002C3B43"/>
    <w:rsid w:val="002C54B8"/>
    <w:rsid w:val="002C5E58"/>
    <w:rsid w:val="002C7718"/>
    <w:rsid w:val="002C78E5"/>
    <w:rsid w:val="002D57C7"/>
    <w:rsid w:val="002D7900"/>
    <w:rsid w:val="002E097A"/>
    <w:rsid w:val="002E0C8C"/>
    <w:rsid w:val="002E1E76"/>
    <w:rsid w:val="002E34A7"/>
    <w:rsid w:val="002E4A6F"/>
    <w:rsid w:val="002E4E5F"/>
    <w:rsid w:val="002E5C2C"/>
    <w:rsid w:val="002E5E91"/>
    <w:rsid w:val="002E693B"/>
    <w:rsid w:val="002E6D89"/>
    <w:rsid w:val="002F161A"/>
    <w:rsid w:val="002F1CFC"/>
    <w:rsid w:val="002F31F7"/>
    <w:rsid w:val="002F4EF5"/>
    <w:rsid w:val="002F5510"/>
    <w:rsid w:val="002F7DA3"/>
    <w:rsid w:val="0030025A"/>
    <w:rsid w:val="003010C7"/>
    <w:rsid w:val="00302871"/>
    <w:rsid w:val="00302C7C"/>
    <w:rsid w:val="00303226"/>
    <w:rsid w:val="00305075"/>
    <w:rsid w:val="00305698"/>
    <w:rsid w:val="003062EC"/>
    <w:rsid w:val="00310E30"/>
    <w:rsid w:val="00311FBB"/>
    <w:rsid w:val="0031403E"/>
    <w:rsid w:val="003145F6"/>
    <w:rsid w:val="00314FD7"/>
    <w:rsid w:val="00317FC7"/>
    <w:rsid w:val="00320EA2"/>
    <w:rsid w:val="00323138"/>
    <w:rsid w:val="00324D89"/>
    <w:rsid w:val="003258EF"/>
    <w:rsid w:val="00327C27"/>
    <w:rsid w:val="003317E6"/>
    <w:rsid w:val="00333232"/>
    <w:rsid w:val="00342B5F"/>
    <w:rsid w:val="00343A06"/>
    <w:rsid w:val="00345FA2"/>
    <w:rsid w:val="00346ECC"/>
    <w:rsid w:val="00347B00"/>
    <w:rsid w:val="0035064F"/>
    <w:rsid w:val="00353F0B"/>
    <w:rsid w:val="00354461"/>
    <w:rsid w:val="00357597"/>
    <w:rsid w:val="00357E59"/>
    <w:rsid w:val="00360110"/>
    <w:rsid w:val="00361AAA"/>
    <w:rsid w:val="00362610"/>
    <w:rsid w:val="00365351"/>
    <w:rsid w:val="00365D78"/>
    <w:rsid w:val="0037116F"/>
    <w:rsid w:val="003737F5"/>
    <w:rsid w:val="0038001F"/>
    <w:rsid w:val="0038091D"/>
    <w:rsid w:val="00382735"/>
    <w:rsid w:val="00382A45"/>
    <w:rsid w:val="00383970"/>
    <w:rsid w:val="0038475E"/>
    <w:rsid w:val="00384DD2"/>
    <w:rsid w:val="003852FB"/>
    <w:rsid w:val="0038618F"/>
    <w:rsid w:val="00386CEF"/>
    <w:rsid w:val="00387859"/>
    <w:rsid w:val="00390FB3"/>
    <w:rsid w:val="00397A36"/>
    <w:rsid w:val="003A2937"/>
    <w:rsid w:val="003A5C1B"/>
    <w:rsid w:val="003A674A"/>
    <w:rsid w:val="003A75AF"/>
    <w:rsid w:val="003B38BF"/>
    <w:rsid w:val="003B435D"/>
    <w:rsid w:val="003B592C"/>
    <w:rsid w:val="003B5E78"/>
    <w:rsid w:val="003B6C85"/>
    <w:rsid w:val="003C171F"/>
    <w:rsid w:val="003C3547"/>
    <w:rsid w:val="003C4CB9"/>
    <w:rsid w:val="003C790A"/>
    <w:rsid w:val="003C7CEB"/>
    <w:rsid w:val="003D0213"/>
    <w:rsid w:val="003D4665"/>
    <w:rsid w:val="003D4A4F"/>
    <w:rsid w:val="003D6A1A"/>
    <w:rsid w:val="003E01D8"/>
    <w:rsid w:val="003E022D"/>
    <w:rsid w:val="003E137A"/>
    <w:rsid w:val="003E33FC"/>
    <w:rsid w:val="003E3D96"/>
    <w:rsid w:val="003E3E1F"/>
    <w:rsid w:val="003E6AFD"/>
    <w:rsid w:val="003E736B"/>
    <w:rsid w:val="003E73DA"/>
    <w:rsid w:val="003F11D7"/>
    <w:rsid w:val="003F1521"/>
    <w:rsid w:val="003F31F9"/>
    <w:rsid w:val="003F42C3"/>
    <w:rsid w:val="003F42F9"/>
    <w:rsid w:val="003F490B"/>
    <w:rsid w:val="003F5761"/>
    <w:rsid w:val="003F63B9"/>
    <w:rsid w:val="0040050F"/>
    <w:rsid w:val="004048E8"/>
    <w:rsid w:val="00406C01"/>
    <w:rsid w:val="004108A3"/>
    <w:rsid w:val="00410C1C"/>
    <w:rsid w:val="00413DE4"/>
    <w:rsid w:val="0041400D"/>
    <w:rsid w:val="0041461C"/>
    <w:rsid w:val="004167AD"/>
    <w:rsid w:val="00417415"/>
    <w:rsid w:val="004175E4"/>
    <w:rsid w:val="00417F2C"/>
    <w:rsid w:val="00421A1D"/>
    <w:rsid w:val="00421CEB"/>
    <w:rsid w:val="00422F2E"/>
    <w:rsid w:val="00425346"/>
    <w:rsid w:val="00425A9A"/>
    <w:rsid w:val="00427AA6"/>
    <w:rsid w:val="0043037F"/>
    <w:rsid w:val="004318E7"/>
    <w:rsid w:val="004333C3"/>
    <w:rsid w:val="00433841"/>
    <w:rsid w:val="0043699E"/>
    <w:rsid w:val="00440973"/>
    <w:rsid w:val="00440C42"/>
    <w:rsid w:val="00442960"/>
    <w:rsid w:val="004452DC"/>
    <w:rsid w:val="00446A2E"/>
    <w:rsid w:val="00446E28"/>
    <w:rsid w:val="00446FFD"/>
    <w:rsid w:val="00447BB5"/>
    <w:rsid w:val="0045106F"/>
    <w:rsid w:val="004603C3"/>
    <w:rsid w:val="004603D0"/>
    <w:rsid w:val="00460628"/>
    <w:rsid w:val="00467B13"/>
    <w:rsid w:val="004728AF"/>
    <w:rsid w:val="00473D1D"/>
    <w:rsid w:val="00475017"/>
    <w:rsid w:val="00475718"/>
    <w:rsid w:val="0048136A"/>
    <w:rsid w:val="004843C6"/>
    <w:rsid w:val="00486525"/>
    <w:rsid w:val="00486ACB"/>
    <w:rsid w:val="004904A0"/>
    <w:rsid w:val="00494CBD"/>
    <w:rsid w:val="004957A8"/>
    <w:rsid w:val="0049685E"/>
    <w:rsid w:val="004A1CB2"/>
    <w:rsid w:val="004A38A8"/>
    <w:rsid w:val="004A5131"/>
    <w:rsid w:val="004A6BB7"/>
    <w:rsid w:val="004B1C88"/>
    <w:rsid w:val="004B2786"/>
    <w:rsid w:val="004B38CC"/>
    <w:rsid w:val="004B410E"/>
    <w:rsid w:val="004B4230"/>
    <w:rsid w:val="004C010C"/>
    <w:rsid w:val="004C0FFB"/>
    <w:rsid w:val="004C1922"/>
    <w:rsid w:val="004C3834"/>
    <w:rsid w:val="004C4549"/>
    <w:rsid w:val="004C5454"/>
    <w:rsid w:val="004C5C0C"/>
    <w:rsid w:val="004C6B70"/>
    <w:rsid w:val="004D1D60"/>
    <w:rsid w:val="004D3051"/>
    <w:rsid w:val="004D6364"/>
    <w:rsid w:val="004D66FD"/>
    <w:rsid w:val="004E1CA4"/>
    <w:rsid w:val="004E25B5"/>
    <w:rsid w:val="004E37E0"/>
    <w:rsid w:val="004E49AC"/>
    <w:rsid w:val="004E4DD1"/>
    <w:rsid w:val="004E7A4A"/>
    <w:rsid w:val="004F0DCA"/>
    <w:rsid w:val="004F1629"/>
    <w:rsid w:val="004F5810"/>
    <w:rsid w:val="004F6B28"/>
    <w:rsid w:val="00501091"/>
    <w:rsid w:val="0050165A"/>
    <w:rsid w:val="00502327"/>
    <w:rsid w:val="0050653E"/>
    <w:rsid w:val="00507493"/>
    <w:rsid w:val="00514EFB"/>
    <w:rsid w:val="005154B5"/>
    <w:rsid w:val="0051583C"/>
    <w:rsid w:val="00516361"/>
    <w:rsid w:val="00523BEE"/>
    <w:rsid w:val="00523CBC"/>
    <w:rsid w:val="00523FF6"/>
    <w:rsid w:val="00525BF3"/>
    <w:rsid w:val="00530684"/>
    <w:rsid w:val="00530DC3"/>
    <w:rsid w:val="00530DF7"/>
    <w:rsid w:val="005314FB"/>
    <w:rsid w:val="00533EB1"/>
    <w:rsid w:val="0053435F"/>
    <w:rsid w:val="00535E03"/>
    <w:rsid w:val="005366B6"/>
    <w:rsid w:val="00546DDA"/>
    <w:rsid w:val="00550151"/>
    <w:rsid w:val="00552B61"/>
    <w:rsid w:val="005558C5"/>
    <w:rsid w:val="00560A39"/>
    <w:rsid w:val="0056216A"/>
    <w:rsid w:val="00562259"/>
    <w:rsid w:val="00563A47"/>
    <w:rsid w:val="00564A58"/>
    <w:rsid w:val="00566018"/>
    <w:rsid w:val="005661C7"/>
    <w:rsid w:val="00566AC3"/>
    <w:rsid w:val="005704B7"/>
    <w:rsid w:val="00570E74"/>
    <w:rsid w:val="00573B9C"/>
    <w:rsid w:val="00577ACD"/>
    <w:rsid w:val="00583821"/>
    <w:rsid w:val="00584466"/>
    <w:rsid w:val="005847CF"/>
    <w:rsid w:val="00584AED"/>
    <w:rsid w:val="00585210"/>
    <w:rsid w:val="00594D6F"/>
    <w:rsid w:val="00595C7B"/>
    <w:rsid w:val="005966A4"/>
    <w:rsid w:val="00597636"/>
    <w:rsid w:val="005979B6"/>
    <w:rsid w:val="00597FDD"/>
    <w:rsid w:val="005A1294"/>
    <w:rsid w:val="005A2122"/>
    <w:rsid w:val="005A2C88"/>
    <w:rsid w:val="005A680C"/>
    <w:rsid w:val="005A6AC8"/>
    <w:rsid w:val="005B20CB"/>
    <w:rsid w:val="005B5DE4"/>
    <w:rsid w:val="005B639F"/>
    <w:rsid w:val="005B7C4E"/>
    <w:rsid w:val="005C062E"/>
    <w:rsid w:val="005C0B0A"/>
    <w:rsid w:val="005C1CAD"/>
    <w:rsid w:val="005C5C68"/>
    <w:rsid w:val="005C5F9C"/>
    <w:rsid w:val="005C6A14"/>
    <w:rsid w:val="005C6C49"/>
    <w:rsid w:val="005C6D59"/>
    <w:rsid w:val="005C7073"/>
    <w:rsid w:val="005C79D8"/>
    <w:rsid w:val="005D0199"/>
    <w:rsid w:val="005D0B56"/>
    <w:rsid w:val="005D1D8A"/>
    <w:rsid w:val="005D6BA7"/>
    <w:rsid w:val="005D714F"/>
    <w:rsid w:val="005D71A0"/>
    <w:rsid w:val="005D7888"/>
    <w:rsid w:val="005E09EE"/>
    <w:rsid w:val="005E1901"/>
    <w:rsid w:val="005E3229"/>
    <w:rsid w:val="005E6782"/>
    <w:rsid w:val="005E760A"/>
    <w:rsid w:val="005F031E"/>
    <w:rsid w:val="005F2A48"/>
    <w:rsid w:val="005F3A6B"/>
    <w:rsid w:val="005F3D61"/>
    <w:rsid w:val="005F3D75"/>
    <w:rsid w:val="005F416A"/>
    <w:rsid w:val="005F5634"/>
    <w:rsid w:val="005F598C"/>
    <w:rsid w:val="006010D5"/>
    <w:rsid w:val="00602070"/>
    <w:rsid w:val="006028CC"/>
    <w:rsid w:val="006043B8"/>
    <w:rsid w:val="0060481E"/>
    <w:rsid w:val="006059C6"/>
    <w:rsid w:val="00605E1B"/>
    <w:rsid w:val="00606E27"/>
    <w:rsid w:val="0061197C"/>
    <w:rsid w:val="00614578"/>
    <w:rsid w:val="00620CAC"/>
    <w:rsid w:val="00621A17"/>
    <w:rsid w:val="00624601"/>
    <w:rsid w:val="00624D2E"/>
    <w:rsid w:val="00624E6E"/>
    <w:rsid w:val="00625E87"/>
    <w:rsid w:val="00626A9E"/>
    <w:rsid w:val="006302A8"/>
    <w:rsid w:val="00635943"/>
    <w:rsid w:val="00636DAB"/>
    <w:rsid w:val="0063759C"/>
    <w:rsid w:val="006376D1"/>
    <w:rsid w:val="00641628"/>
    <w:rsid w:val="00643B0B"/>
    <w:rsid w:val="0064544A"/>
    <w:rsid w:val="00645DF6"/>
    <w:rsid w:val="006501B6"/>
    <w:rsid w:val="00650EDF"/>
    <w:rsid w:val="00651344"/>
    <w:rsid w:val="0065160C"/>
    <w:rsid w:val="00651992"/>
    <w:rsid w:val="006538C4"/>
    <w:rsid w:val="00654B47"/>
    <w:rsid w:val="006551F4"/>
    <w:rsid w:val="006603A1"/>
    <w:rsid w:val="00660EA7"/>
    <w:rsid w:val="00664329"/>
    <w:rsid w:val="00666959"/>
    <w:rsid w:val="006674A8"/>
    <w:rsid w:val="00670A2B"/>
    <w:rsid w:val="00673E94"/>
    <w:rsid w:val="006761EF"/>
    <w:rsid w:val="006764A2"/>
    <w:rsid w:val="006832C7"/>
    <w:rsid w:val="0068353B"/>
    <w:rsid w:val="00684C07"/>
    <w:rsid w:val="00684F97"/>
    <w:rsid w:val="006879DC"/>
    <w:rsid w:val="00690D86"/>
    <w:rsid w:val="00690EED"/>
    <w:rsid w:val="00691911"/>
    <w:rsid w:val="006948C0"/>
    <w:rsid w:val="00694A6F"/>
    <w:rsid w:val="00696DD0"/>
    <w:rsid w:val="006A2987"/>
    <w:rsid w:val="006A47C9"/>
    <w:rsid w:val="006A607F"/>
    <w:rsid w:val="006A63AF"/>
    <w:rsid w:val="006A70C6"/>
    <w:rsid w:val="006A7620"/>
    <w:rsid w:val="006A7BD2"/>
    <w:rsid w:val="006B09B2"/>
    <w:rsid w:val="006B0F77"/>
    <w:rsid w:val="006B2F8E"/>
    <w:rsid w:val="006B6C5D"/>
    <w:rsid w:val="006B7820"/>
    <w:rsid w:val="006C1B64"/>
    <w:rsid w:val="006C3912"/>
    <w:rsid w:val="006C3FC0"/>
    <w:rsid w:val="006C49B7"/>
    <w:rsid w:val="006C4C8E"/>
    <w:rsid w:val="006C7000"/>
    <w:rsid w:val="006C7448"/>
    <w:rsid w:val="006D123A"/>
    <w:rsid w:val="006D18EB"/>
    <w:rsid w:val="006D4114"/>
    <w:rsid w:val="006D4A93"/>
    <w:rsid w:val="006D62BA"/>
    <w:rsid w:val="006D79C9"/>
    <w:rsid w:val="006E0AC4"/>
    <w:rsid w:val="006E177B"/>
    <w:rsid w:val="006E18C4"/>
    <w:rsid w:val="006E335F"/>
    <w:rsid w:val="006E380C"/>
    <w:rsid w:val="006E667E"/>
    <w:rsid w:val="006E6763"/>
    <w:rsid w:val="006F661F"/>
    <w:rsid w:val="006F7CC7"/>
    <w:rsid w:val="00701542"/>
    <w:rsid w:val="007016B4"/>
    <w:rsid w:val="007024F3"/>
    <w:rsid w:val="00702861"/>
    <w:rsid w:val="00704921"/>
    <w:rsid w:val="00711005"/>
    <w:rsid w:val="00711EB3"/>
    <w:rsid w:val="00712F33"/>
    <w:rsid w:val="00714DC1"/>
    <w:rsid w:val="0071528C"/>
    <w:rsid w:val="007155BB"/>
    <w:rsid w:val="007167D2"/>
    <w:rsid w:val="007207B6"/>
    <w:rsid w:val="007221CD"/>
    <w:rsid w:val="00722D66"/>
    <w:rsid w:val="00726185"/>
    <w:rsid w:val="00727323"/>
    <w:rsid w:val="00727C63"/>
    <w:rsid w:val="00730291"/>
    <w:rsid w:val="00731229"/>
    <w:rsid w:val="0073134F"/>
    <w:rsid w:val="00731D2F"/>
    <w:rsid w:val="0073412A"/>
    <w:rsid w:val="00734269"/>
    <w:rsid w:val="007355C9"/>
    <w:rsid w:val="00735DFC"/>
    <w:rsid w:val="007366D9"/>
    <w:rsid w:val="007414A0"/>
    <w:rsid w:val="007423B2"/>
    <w:rsid w:val="0074373D"/>
    <w:rsid w:val="007469D2"/>
    <w:rsid w:val="00747D13"/>
    <w:rsid w:val="00751F50"/>
    <w:rsid w:val="00752A53"/>
    <w:rsid w:val="007546E8"/>
    <w:rsid w:val="00755687"/>
    <w:rsid w:val="00756224"/>
    <w:rsid w:val="00761197"/>
    <w:rsid w:val="007618C7"/>
    <w:rsid w:val="00761C94"/>
    <w:rsid w:val="00764078"/>
    <w:rsid w:val="00764FBB"/>
    <w:rsid w:val="007660BB"/>
    <w:rsid w:val="00766345"/>
    <w:rsid w:val="00770B4C"/>
    <w:rsid w:val="00773C1D"/>
    <w:rsid w:val="007761FF"/>
    <w:rsid w:val="007814B4"/>
    <w:rsid w:val="00781F71"/>
    <w:rsid w:val="00782A75"/>
    <w:rsid w:val="00783BF2"/>
    <w:rsid w:val="00784716"/>
    <w:rsid w:val="007934EE"/>
    <w:rsid w:val="007943EA"/>
    <w:rsid w:val="0079507D"/>
    <w:rsid w:val="00795368"/>
    <w:rsid w:val="00796090"/>
    <w:rsid w:val="00797D11"/>
    <w:rsid w:val="007A0854"/>
    <w:rsid w:val="007A2651"/>
    <w:rsid w:val="007A3726"/>
    <w:rsid w:val="007A39C0"/>
    <w:rsid w:val="007A4350"/>
    <w:rsid w:val="007A76CC"/>
    <w:rsid w:val="007B0DBF"/>
    <w:rsid w:val="007B20A0"/>
    <w:rsid w:val="007B332C"/>
    <w:rsid w:val="007B565A"/>
    <w:rsid w:val="007B58A4"/>
    <w:rsid w:val="007B5C34"/>
    <w:rsid w:val="007B6F3B"/>
    <w:rsid w:val="007B732A"/>
    <w:rsid w:val="007C0246"/>
    <w:rsid w:val="007C0817"/>
    <w:rsid w:val="007C3C57"/>
    <w:rsid w:val="007D0A97"/>
    <w:rsid w:val="007D0D29"/>
    <w:rsid w:val="007D0D77"/>
    <w:rsid w:val="007D36B2"/>
    <w:rsid w:val="007D438B"/>
    <w:rsid w:val="007E0EB4"/>
    <w:rsid w:val="007E3A97"/>
    <w:rsid w:val="007F02F2"/>
    <w:rsid w:val="007F3123"/>
    <w:rsid w:val="007F316E"/>
    <w:rsid w:val="007F4EE0"/>
    <w:rsid w:val="007F6B13"/>
    <w:rsid w:val="007F6B75"/>
    <w:rsid w:val="0080210E"/>
    <w:rsid w:val="00802646"/>
    <w:rsid w:val="0080327E"/>
    <w:rsid w:val="0080333C"/>
    <w:rsid w:val="00804F83"/>
    <w:rsid w:val="00805E30"/>
    <w:rsid w:val="00807AE3"/>
    <w:rsid w:val="00812CDD"/>
    <w:rsid w:val="00815CC5"/>
    <w:rsid w:val="00816265"/>
    <w:rsid w:val="00816A42"/>
    <w:rsid w:val="00820EF5"/>
    <w:rsid w:val="00821EC8"/>
    <w:rsid w:val="008238C0"/>
    <w:rsid w:val="00823BF2"/>
    <w:rsid w:val="008266B2"/>
    <w:rsid w:val="00827551"/>
    <w:rsid w:val="008304E1"/>
    <w:rsid w:val="008310A9"/>
    <w:rsid w:val="008336AA"/>
    <w:rsid w:val="00836F29"/>
    <w:rsid w:val="008414BD"/>
    <w:rsid w:val="008416EE"/>
    <w:rsid w:val="00843625"/>
    <w:rsid w:val="00843FDB"/>
    <w:rsid w:val="00845080"/>
    <w:rsid w:val="00846241"/>
    <w:rsid w:val="00847761"/>
    <w:rsid w:val="00850BA5"/>
    <w:rsid w:val="00852F31"/>
    <w:rsid w:val="00854CFB"/>
    <w:rsid w:val="00854EBC"/>
    <w:rsid w:val="00856226"/>
    <w:rsid w:val="00857F95"/>
    <w:rsid w:val="00863094"/>
    <w:rsid w:val="00865941"/>
    <w:rsid w:val="008664F5"/>
    <w:rsid w:val="00866FE8"/>
    <w:rsid w:val="0086772C"/>
    <w:rsid w:val="00867EF4"/>
    <w:rsid w:val="0087405D"/>
    <w:rsid w:val="00883086"/>
    <w:rsid w:val="008842DE"/>
    <w:rsid w:val="00886118"/>
    <w:rsid w:val="00891781"/>
    <w:rsid w:val="008926CA"/>
    <w:rsid w:val="008936B1"/>
    <w:rsid w:val="008A2119"/>
    <w:rsid w:val="008A5928"/>
    <w:rsid w:val="008B06FC"/>
    <w:rsid w:val="008B3637"/>
    <w:rsid w:val="008B38DB"/>
    <w:rsid w:val="008B5345"/>
    <w:rsid w:val="008B79F6"/>
    <w:rsid w:val="008C4FD6"/>
    <w:rsid w:val="008C5DA3"/>
    <w:rsid w:val="008C698C"/>
    <w:rsid w:val="008D17D5"/>
    <w:rsid w:val="008D313B"/>
    <w:rsid w:val="008D3EE8"/>
    <w:rsid w:val="008D7CED"/>
    <w:rsid w:val="008E1E75"/>
    <w:rsid w:val="008E2183"/>
    <w:rsid w:val="008E41A1"/>
    <w:rsid w:val="008E5BAD"/>
    <w:rsid w:val="008E709D"/>
    <w:rsid w:val="008E7984"/>
    <w:rsid w:val="008F0009"/>
    <w:rsid w:val="008F1D2B"/>
    <w:rsid w:val="008F20C3"/>
    <w:rsid w:val="008F2467"/>
    <w:rsid w:val="008F28F3"/>
    <w:rsid w:val="008F407F"/>
    <w:rsid w:val="008F4C2C"/>
    <w:rsid w:val="008F7C79"/>
    <w:rsid w:val="00900596"/>
    <w:rsid w:val="0090268A"/>
    <w:rsid w:val="00907AA8"/>
    <w:rsid w:val="009105B8"/>
    <w:rsid w:val="009131BA"/>
    <w:rsid w:val="009135BA"/>
    <w:rsid w:val="009140C3"/>
    <w:rsid w:val="009143B4"/>
    <w:rsid w:val="009169FC"/>
    <w:rsid w:val="00917F66"/>
    <w:rsid w:val="009200CA"/>
    <w:rsid w:val="009206DA"/>
    <w:rsid w:val="009217FD"/>
    <w:rsid w:val="0092348E"/>
    <w:rsid w:val="00923628"/>
    <w:rsid w:val="00931490"/>
    <w:rsid w:val="009331F5"/>
    <w:rsid w:val="00933517"/>
    <w:rsid w:val="00933B82"/>
    <w:rsid w:val="00933FA7"/>
    <w:rsid w:val="0093408A"/>
    <w:rsid w:val="0093605A"/>
    <w:rsid w:val="0094079E"/>
    <w:rsid w:val="0094601D"/>
    <w:rsid w:val="0094677E"/>
    <w:rsid w:val="009512D8"/>
    <w:rsid w:val="009522B6"/>
    <w:rsid w:val="00952FD1"/>
    <w:rsid w:val="00953DA6"/>
    <w:rsid w:val="00953DEB"/>
    <w:rsid w:val="009571A5"/>
    <w:rsid w:val="009611ED"/>
    <w:rsid w:val="00963149"/>
    <w:rsid w:val="00964455"/>
    <w:rsid w:val="00964B30"/>
    <w:rsid w:val="009669D0"/>
    <w:rsid w:val="00966A7A"/>
    <w:rsid w:val="0097715D"/>
    <w:rsid w:val="00977BE9"/>
    <w:rsid w:val="00980396"/>
    <w:rsid w:val="00980F4A"/>
    <w:rsid w:val="0098422F"/>
    <w:rsid w:val="009936AF"/>
    <w:rsid w:val="00994216"/>
    <w:rsid w:val="00994C75"/>
    <w:rsid w:val="00997B44"/>
    <w:rsid w:val="009A20F5"/>
    <w:rsid w:val="009A6304"/>
    <w:rsid w:val="009A6795"/>
    <w:rsid w:val="009A6D07"/>
    <w:rsid w:val="009A78A5"/>
    <w:rsid w:val="009B1722"/>
    <w:rsid w:val="009B1DDA"/>
    <w:rsid w:val="009B211E"/>
    <w:rsid w:val="009B25CE"/>
    <w:rsid w:val="009B2D09"/>
    <w:rsid w:val="009B5830"/>
    <w:rsid w:val="009B6717"/>
    <w:rsid w:val="009C2F43"/>
    <w:rsid w:val="009C6465"/>
    <w:rsid w:val="009D2573"/>
    <w:rsid w:val="009D2808"/>
    <w:rsid w:val="009D318B"/>
    <w:rsid w:val="009D4789"/>
    <w:rsid w:val="009E0A07"/>
    <w:rsid w:val="009E42FE"/>
    <w:rsid w:val="009E7732"/>
    <w:rsid w:val="009E7EB4"/>
    <w:rsid w:val="009F1F96"/>
    <w:rsid w:val="009F2C96"/>
    <w:rsid w:val="009F614E"/>
    <w:rsid w:val="009F6B1E"/>
    <w:rsid w:val="009F6F16"/>
    <w:rsid w:val="00A00355"/>
    <w:rsid w:val="00A00523"/>
    <w:rsid w:val="00A01613"/>
    <w:rsid w:val="00A01D1E"/>
    <w:rsid w:val="00A01DA8"/>
    <w:rsid w:val="00A02A29"/>
    <w:rsid w:val="00A03170"/>
    <w:rsid w:val="00A03DDD"/>
    <w:rsid w:val="00A045D2"/>
    <w:rsid w:val="00A05C95"/>
    <w:rsid w:val="00A06FCF"/>
    <w:rsid w:val="00A11790"/>
    <w:rsid w:val="00A12B83"/>
    <w:rsid w:val="00A13386"/>
    <w:rsid w:val="00A13C7C"/>
    <w:rsid w:val="00A13D9D"/>
    <w:rsid w:val="00A13E64"/>
    <w:rsid w:val="00A13FF5"/>
    <w:rsid w:val="00A14936"/>
    <w:rsid w:val="00A15536"/>
    <w:rsid w:val="00A16BD7"/>
    <w:rsid w:val="00A172F0"/>
    <w:rsid w:val="00A2088F"/>
    <w:rsid w:val="00A21058"/>
    <w:rsid w:val="00A22C5B"/>
    <w:rsid w:val="00A238A4"/>
    <w:rsid w:val="00A26617"/>
    <w:rsid w:val="00A306C2"/>
    <w:rsid w:val="00A313AE"/>
    <w:rsid w:val="00A35125"/>
    <w:rsid w:val="00A364F3"/>
    <w:rsid w:val="00A4656F"/>
    <w:rsid w:val="00A47844"/>
    <w:rsid w:val="00A506E8"/>
    <w:rsid w:val="00A508C9"/>
    <w:rsid w:val="00A5135A"/>
    <w:rsid w:val="00A52465"/>
    <w:rsid w:val="00A5258B"/>
    <w:rsid w:val="00A52D2D"/>
    <w:rsid w:val="00A619CA"/>
    <w:rsid w:val="00A66A00"/>
    <w:rsid w:val="00A67AB2"/>
    <w:rsid w:val="00A72B6D"/>
    <w:rsid w:val="00A72FEE"/>
    <w:rsid w:val="00A740FB"/>
    <w:rsid w:val="00A74515"/>
    <w:rsid w:val="00A7515A"/>
    <w:rsid w:val="00A75570"/>
    <w:rsid w:val="00A7567D"/>
    <w:rsid w:val="00A778AA"/>
    <w:rsid w:val="00A80760"/>
    <w:rsid w:val="00A80EF7"/>
    <w:rsid w:val="00A822D4"/>
    <w:rsid w:val="00A82C80"/>
    <w:rsid w:val="00A83BCD"/>
    <w:rsid w:val="00A86C96"/>
    <w:rsid w:val="00A9122F"/>
    <w:rsid w:val="00A927BB"/>
    <w:rsid w:val="00A9337F"/>
    <w:rsid w:val="00A944EC"/>
    <w:rsid w:val="00A95A6F"/>
    <w:rsid w:val="00AB5F8E"/>
    <w:rsid w:val="00AC13A0"/>
    <w:rsid w:val="00AC706A"/>
    <w:rsid w:val="00AD0974"/>
    <w:rsid w:val="00AD0CC9"/>
    <w:rsid w:val="00AD23D9"/>
    <w:rsid w:val="00AD3EE5"/>
    <w:rsid w:val="00AD7575"/>
    <w:rsid w:val="00AE4C86"/>
    <w:rsid w:val="00AF12C0"/>
    <w:rsid w:val="00AF1DB4"/>
    <w:rsid w:val="00AF1E2A"/>
    <w:rsid w:val="00AF3B7F"/>
    <w:rsid w:val="00AF4731"/>
    <w:rsid w:val="00AF7FA1"/>
    <w:rsid w:val="00B000B2"/>
    <w:rsid w:val="00B01901"/>
    <w:rsid w:val="00B029F4"/>
    <w:rsid w:val="00B04C4C"/>
    <w:rsid w:val="00B07382"/>
    <w:rsid w:val="00B0743F"/>
    <w:rsid w:val="00B1273D"/>
    <w:rsid w:val="00B155E1"/>
    <w:rsid w:val="00B178F5"/>
    <w:rsid w:val="00B209D1"/>
    <w:rsid w:val="00B21D17"/>
    <w:rsid w:val="00B23F15"/>
    <w:rsid w:val="00B2411C"/>
    <w:rsid w:val="00B24F3E"/>
    <w:rsid w:val="00B263B5"/>
    <w:rsid w:val="00B26732"/>
    <w:rsid w:val="00B26E03"/>
    <w:rsid w:val="00B27061"/>
    <w:rsid w:val="00B30E66"/>
    <w:rsid w:val="00B31E13"/>
    <w:rsid w:val="00B341C5"/>
    <w:rsid w:val="00B35E4B"/>
    <w:rsid w:val="00B41E78"/>
    <w:rsid w:val="00B42A15"/>
    <w:rsid w:val="00B438FA"/>
    <w:rsid w:val="00B439A8"/>
    <w:rsid w:val="00B45205"/>
    <w:rsid w:val="00B457F5"/>
    <w:rsid w:val="00B46AEE"/>
    <w:rsid w:val="00B5064B"/>
    <w:rsid w:val="00B51BDB"/>
    <w:rsid w:val="00B56925"/>
    <w:rsid w:val="00B603E4"/>
    <w:rsid w:val="00B618AC"/>
    <w:rsid w:val="00B61F1F"/>
    <w:rsid w:val="00B62205"/>
    <w:rsid w:val="00B65AE1"/>
    <w:rsid w:val="00B65F83"/>
    <w:rsid w:val="00B67F68"/>
    <w:rsid w:val="00B71222"/>
    <w:rsid w:val="00B72A29"/>
    <w:rsid w:val="00B72E2D"/>
    <w:rsid w:val="00B73195"/>
    <w:rsid w:val="00B734D1"/>
    <w:rsid w:val="00B74404"/>
    <w:rsid w:val="00B753AF"/>
    <w:rsid w:val="00B75A21"/>
    <w:rsid w:val="00B77548"/>
    <w:rsid w:val="00B7770E"/>
    <w:rsid w:val="00B81DEB"/>
    <w:rsid w:val="00B8436C"/>
    <w:rsid w:val="00B8448B"/>
    <w:rsid w:val="00B85799"/>
    <w:rsid w:val="00B87DD6"/>
    <w:rsid w:val="00B92E41"/>
    <w:rsid w:val="00B93891"/>
    <w:rsid w:val="00B939E4"/>
    <w:rsid w:val="00B9427D"/>
    <w:rsid w:val="00B95279"/>
    <w:rsid w:val="00B968DD"/>
    <w:rsid w:val="00BA160E"/>
    <w:rsid w:val="00BA4029"/>
    <w:rsid w:val="00BA662A"/>
    <w:rsid w:val="00BA66D9"/>
    <w:rsid w:val="00BB2AAF"/>
    <w:rsid w:val="00BB4DC0"/>
    <w:rsid w:val="00BB5614"/>
    <w:rsid w:val="00BB5D69"/>
    <w:rsid w:val="00BB7ADA"/>
    <w:rsid w:val="00BC03AB"/>
    <w:rsid w:val="00BC28A6"/>
    <w:rsid w:val="00BC3306"/>
    <w:rsid w:val="00BC4CE9"/>
    <w:rsid w:val="00BD0EC5"/>
    <w:rsid w:val="00BD0F10"/>
    <w:rsid w:val="00BD1786"/>
    <w:rsid w:val="00BD4824"/>
    <w:rsid w:val="00BD4AFB"/>
    <w:rsid w:val="00BD7913"/>
    <w:rsid w:val="00BE2256"/>
    <w:rsid w:val="00BE273A"/>
    <w:rsid w:val="00BE3F73"/>
    <w:rsid w:val="00BE5EC7"/>
    <w:rsid w:val="00BF1C08"/>
    <w:rsid w:val="00BF5568"/>
    <w:rsid w:val="00BF6FFC"/>
    <w:rsid w:val="00BF726F"/>
    <w:rsid w:val="00C03587"/>
    <w:rsid w:val="00C03B8E"/>
    <w:rsid w:val="00C045F9"/>
    <w:rsid w:val="00C0518F"/>
    <w:rsid w:val="00C05230"/>
    <w:rsid w:val="00C10473"/>
    <w:rsid w:val="00C10570"/>
    <w:rsid w:val="00C10FE0"/>
    <w:rsid w:val="00C11484"/>
    <w:rsid w:val="00C14C74"/>
    <w:rsid w:val="00C14ED2"/>
    <w:rsid w:val="00C15AE5"/>
    <w:rsid w:val="00C202CE"/>
    <w:rsid w:val="00C20ACC"/>
    <w:rsid w:val="00C212ED"/>
    <w:rsid w:val="00C21BAF"/>
    <w:rsid w:val="00C22B96"/>
    <w:rsid w:val="00C23882"/>
    <w:rsid w:val="00C24787"/>
    <w:rsid w:val="00C260C3"/>
    <w:rsid w:val="00C279C8"/>
    <w:rsid w:val="00C27D7D"/>
    <w:rsid w:val="00C31971"/>
    <w:rsid w:val="00C31D35"/>
    <w:rsid w:val="00C31DDC"/>
    <w:rsid w:val="00C3328A"/>
    <w:rsid w:val="00C33AD5"/>
    <w:rsid w:val="00C36A5D"/>
    <w:rsid w:val="00C36E6D"/>
    <w:rsid w:val="00C40C0C"/>
    <w:rsid w:val="00C42B36"/>
    <w:rsid w:val="00C44490"/>
    <w:rsid w:val="00C448AC"/>
    <w:rsid w:val="00C45E6D"/>
    <w:rsid w:val="00C47637"/>
    <w:rsid w:val="00C50DE1"/>
    <w:rsid w:val="00C55C73"/>
    <w:rsid w:val="00C57057"/>
    <w:rsid w:val="00C614D6"/>
    <w:rsid w:val="00C6301E"/>
    <w:rsid w:val="00C64722"/>
    <w:rsid w:val="00C64C17"/>
    <w:rsid w:val="00C710F2"/>
    <w:rsid w:val="00C73D80"/>
    <w:rsid w:val="00C76D3D"/>
    <w:rsid w:val="00C76E76"/>
    <w:rsid w:val="00C770F5"/>
    <w:rsid w:val="00C80A2B"/>
    <w:rsid w:val="00C8523E"/>
    <w:rsid w:val="00C85A0A"/>
    <w:rsid w:val="00C87388"/>
    <w:rsid w:val="00C90706"/>
    <w:rsid w:val="00C90A36"/>
    <w:rsid w:val="00C91636"/>
    <w:rsid w:val="00C917C0"/>
    <w:rsid w:val="00C93879"/>
    <w:rsid w:val="00CA04A3"/>
    <w:rsid w:val="00CA172A"/>
    <w:rsid w:val="00CA3DAD"/>
    <w:rsid w:val="00CA53A5"/>
    <w:rsid w:val="00CB3612"/>
    <w:rsid w:val="00CB45DD"/>
    <w:rsid w:val="00CB54F0"/>
    <w:rsid w:val="00CB630D"/>
    <w:rsid w:val="00CB7B63"/>
    <w:rsid w:val="00CC03EF"/>
    <w:rsid w:val="00CC1364"/>
    <w:rsid w:val="00CC13A7"/>
    <w:rsid w:val="00CC2234"/>
    <w:rsid w:val="00CC35F5"/>
    <w:rsid w:val="00CC4CBF"/>
    <w:rsid w:val="00CC6D6B"/>
    <w:rsid w:val="00CD026E"/>
    <w:rsid w:val="00CD03AB"/>
    <w:rsid w:val="00CD2960"/>
    <w:rsid w:val="00CD2A36"/>
    <w:rsid w:val="00CD42FC"/>
    <w:rsid w:val="00CD5D27"/>
    <w:rsid w:val="00CD6740"/>
    <w:rsid w:val="00CD79DF"/>
    <w:rsid w:val="00CE0E37"/>
    <w:rsid w:val="00CE1B05"/>
    <w:rsid w:val="00CE1F9B"/>
    <w:rsid w:val="00CE28B9"/>
    <w:rsid w:val="00CE46DE"/>
    <w:rsid w:val="00CE73F7"/>
    <w:rsid w:val="00CE7C2E"/>
    <w:rsid w:val="00CF218E"/>
    <w:rsid w:val="00CF2917"/>
    <w:rsid w:val="00CF33C3"/>
    <w:rsid w:val="00CF37D6"/>
    <w:rsid w:val="00CF3CB4"/>
    <w:rsid w:val="00CF542F"/>
    <w:rsid w:val="00CF5DB5"/>
    <w:rsid w:val="00CF62F2"/>
    <w:rsid w:val="00D00E84"/>
    <w:rsid w:val="00D015F6"/>
    <w:rsid w:val="00D01B10"/>
    <w:rsid w:val="00D0232F"/>
    <w:rsid w:val="00D02880"/>
    <w:rsid w:val="00D02C1C"/>
    <w:rsid w:val="00D040A8"/>
    <w:rsid w:val="00D05BAA"/>
    <w:rsid w:val="00D1022D"/>
    <w:rsid w:val="00D12BE1"/>
    <w:rsid w:val="00D13589"/>
    <w:rsid w:val="00D14B1D"/>
    <w:rsid w:val="00D176DD"/>
    <w:rsid w:val="00D17E67"/>
    <w:rsid w:val="00D2077C"/>
    <w:rsid w:val="00D21B41"/>
    <w:rsid w:val="00D22DA0"/>
    <w:rsid w:val="00D245DF"/>
    <w:rsid w:val="00D25295"/>
    <w:rsid w:val="00D2612D"/>
    <w:rsid w:val="00D26AC7"/>
    <w:rsid w:val="00D26BD3"/>
    <w:rsid w:val="00D27964"/>
    <w:rsid w:val="00D3398A"/>
    <w:rsid w:val="00D34EE7"/>
    <w:rsid w:val="00D362DC"/>
    <w:rsid w:val="00D403A8"/>
    <w:rsid w:val="00D405EB"/>
    <w:rsid w:val="00D477DF"/>
    <w:rsid w:val="00D5262B"/>
    <w:rsid w:val="00D52E1F"/>
    <w:rsid w:val="00D5315C"/>
    <w:rsid w:val="00D55140"/>
    <w:rsid w:val="00D61C3D"/>
    <w:rsid w:val="00D61C76"/>
    <w:rsid w:val="00D6303C"/>
    <w:rsid w:val="00D639F7"/>
    <w:rsid w:val="00D64A5A"/>
    <w:rsid w:val="00D67875"/>
    <w:rsid w:val="00D73A57"/>
    <w:rsid w:val="00D765E2"/>
    <w:rsid w:val="00D774E3"/>
    <w:rsid w:val="00D81356"/>
    <w:rsid w:val="00D81B98"/>
    <w:rsid w:val="00D824FF"/>
    <w:rsid w:val="00D8288D"/>
    <w:rsid w:val="00D8521D"/>
    <w:rsid w:val="00D85CAA"/>
    <w:rsid w:val="00D861EA"/>
    <w:rsid w:val="00D866BE"/>
    <w:rsid w:val="00D879DC"/>
    <w:rsid w:val="00D96638"/>
    <w:rsid w:val="00D9719C"/>
    <w:rsid w:val="00D97C82"/>
    <w:rsid w:val="00DA0B9E"/>
    <w:rsid w:val="00DA0EA4"/>
    <w:rsid w:val="00DA205E"/>
    <w:rsid w:val="00DA2AB9"/>
    <w:rsid w:val="00DA32C9"/>
    <w:rsid w:val="00DB0989"/>
    <w:rsid w:val="00DB1B77"/>
    <w:rsid w:val="00DB55A8"/>
    <w:rsid w:val="00DB59F5"/>
    <w:rsid w:val="00DB6525"/>
    <w:rsid w:val="00DC1638"/>
    <w:rsid w:val="00DC2FCE"/>
    <w:rsid w:val="00DC3924"/>
    <w:rsid w:val="00DC43E9"/>
    <w:rsid w:val="00DC6DF6"/>
    <w:rsid w:val="00DC73C3"/>
    <w:rsid w:val="00DD06F3"/>
    <w:rsid w:val="00DD3734"/>
    <w:rsid w:val="00DD3F57"/>
    <w:rsid w:val="00DD4590"/>
    <w:rsid w:val="00DD6AE8"/>
    <w:rsid w:val="00DD7D6C"/>
    <w:rsid w:val="00DD7F5B"/>
    <w:rsid w:val="00DE0F54"/>
    <w:rsid w:val="00DE3C48"/>
    <w:rsid w:val="00DE74D7"/>
    <w:rsid w:val="00DE7AF0"/>
    <w:rsid w:val="00DF3C67"/>
    <w:rsid w:val="00DF3CD9"/>
    <w:rsid w:val="00DF42F5"/>
    <w:rsid w:val="00E00818"/>
    <w:rsid w:val="00E01D9D"/>
    <w:rsid w:val="00E01DF8"/>
    <w:rsid w:val="00E029F8"/>
    <w:rsid w:val="00E05EEC"/>
    <w:rsid w:val="00E06EE4"/>
    <w:rsid w:val="00E06F2A"/>
    <w:rsid w:val="00E12293"/>
    <w:rsid w:val="00E1244E"/>
    <w:rsid w:val="00E1470A"/>
    <w:rsid w:val="00E154DC"/>
    <w:rsid w:val="00E15895"/>
    <w:rsid w:val="00E20266"/>
    <w:rsid w:val="00E2128D"/>
    <w:rsid w:val="00E25E80"/>
    <w:rsid w:val="00E27070"/>
    <w:rsid w:val="00E27943"/>
    <w:rsid w:val="00E27E67"/>
    <w:rsid w:val="00E3022F"/>
    <w:rsid w:val="00E31330"/>
    <w:rsid w:val="00E32A9C"/>
    <w:rsid w:val="00E36B5D"/>
    <w:rsid w:val="00E3762B"/>
    <w:rsid w:val="00E40778"/>
    <w:rsid w:val="00E40E21"/>
    <w:rsid w:val="00E427E3"/>
    <w:rsid w:val="00E47A10"/>
    <w:rsid w:val="00E50226"/>
    <w:rsid w:val="00E51824"/>
    <w:rsid w:val="00E51C27"/>
    <w:rsid w:val="00E5343B"/>
    <w:rsid w:val="00E57755"/>
    <w:rsid w:val="00E61466"/>
    <w:rsid w:val="00E657BE"/>
    <w:rsid w:val="00E71B95"/>
    <w:rsid w:val="00E73215"/>
    <w:rsid w:val="00E73F42"/>
    <w:rsid w:val="00E7517F"/>
    <w:rsid w:val="00E7587C"/>
    <w:rsid w:val="00E77181"/>
    <w:rsid w:val="00E815B0"/>
    <w:rsid w:val="00E83710"/>
    <w:rsid w:val="00E85234"/>
    <w:rsid w:val="00E85DAF"/>
    <w:rsid w:val="00E8676E"/>
    <w:rsid w:val="00E908E0"/>
    <w:rsid w:val="00E92B0D"/>
    <w:rsid w:val="00E935E2"/>
    <w:rsid w:val="00E94225"/>
    <w:rsid w:val="00EA0CD7"/>
    <w:rsid w:val="00EA35B1"/>
    <w:rsid w:val="00EA492C"/>
    <w:rsid w:val="00EA6F29"/>
    <w:rsid w:val="00EB1A30"/>
    <w:rsid w:val="00EB3916"/>
    <w:rsid w:val="00EB4CA8"/>
    <w:rsid w:val="00EB6F4B"/>
    <w:rsid w:val="00EC3B43"/>
    <w:rsid w:val="00EC70E3"/>
    <w:rsid w:val="00ED0420"/>
    <w:rsid w:val="00ED0CF6"/>
    <w:rsid w:val="00ED145B"/>
    <w:rsid w:val="00ED3B3D"/>
    <w:rsid w:val="00ED416B"/>
    <w:rsid w:val="00ED4CBA"/>
    <w:rsid w:val="00ED5F7A"/>
    <w:rsid w:val="00ED65B6"/>
    <w:rsid w:val="00ED7B9E"/>
    <w:rsid w:val="00EE180C"/>
    <w:rsid w:val="00EE1FCE"/>
    <w:rsid w:val="00EE2BD7"/>
    <w:rsid w:val="00EE58D8"/>
    <w:rsid w:val="00EF0E09"/>
    <w:rsid w:val="00EF3319"/>
    <w:rsid w:val="00EF34FA"/>
    <w:rsid w:val="00EF4099"/>
    <w:rsid w:val="00EF4C89"/>
    <w:rsid w:val="00EF5352"/>
    <w:rsid w:val="00EF5D32"/>
    <w:rsid w:val="00EF65A1"/>
    <w:rsid w:val="00F00D3E"/>
    <w:rsid w:val="00F105E0"/>
    <w:rsid w:val="00F112F7"/>
    <w:rsid w:val="00F13D9D"/>
    <w:rsid w:val="00F1624C"/>
    <w:rsid w:val="00F16D5E"/>
    <w:rsid w:val="00F17935"/>
    <w:rsid w:val="00F17D22"/>
    <w:rsid w:val="00F234BA"/>
    <w:rsid w:val="00F248F9"/>
    <w:rsid w:val="00F310EA"/>
    <w:rsid w:val="00F321FA"/>
    <w:rsid w:val="00F33FAE"/>
    <w:rsid w:val="00F35EAE"/>
    <w:rsid w:val="00F441ED"/>
    <w:rsid w:val="00F50075"/>
    <w:rsid w:val="00F51E46"/>
    <w:rsid w:val="00F53AA3"/>
    <w:rsid w:val="00F54710"/>
    <w:rsid w:val="00F54B4B"/>
    <w:rsid w:val="00F65149"/>
    <w:rsid w:val="00F6645C"/>
    <w:rsid w:val="00F724E0"/>
    <w:rsid w:val="00F7451C"/>
    <w:rsid w:val="00F74633"/>
    <w:rsid w:val="00F76E21"/>
    <w:rsid w:val="00F770D2"/>
    <w:rsid w:val="00F80843"/>
    <w:rsid w:val="00F81562"/>
    <w:rsid w:val="00F81E0F"/>
    <w:rsid w:val="00F83074"/>
    <w:rsid w:val="00F840EB"/>
    <w:rsid w:val="00F84A7A"/>
    <w:rsid w:val="00F94DDD"/>
    <w:rsid w:val="00F967B6"/>
    <w:rsid w:val="00F96FF8"/>
    <w:rsid w:val="00F97399"/>
    <w:rsid w:val="00F97B39"/>
    <w:rsid w:val="00FA1E16"/>
    <w:rsid w:val="00FA211D"/>
    <w:rsid w:val="00FA332B"/>
    <w:rsid w:val="00FA55CE"/>
    <w:rsid w:val="00FA55F2"/>
    <w:rsid w:val="00FA79FA"/>
    <w:rsid w:val="00FB6D03"/>
    <w:rsid w:val="00FC062A"/>
    <w:rsid w:val="00FC0807"/>
    <w:rsid w:val="00FC10A1"/>
    <w:rsid w:val="00FC344F"/>
    <w:rsid w:val="00FC4059"/>
    <w:rsid w:val="00FC441E"/>
    <w:rsid w:val="00FC52FA"/>
    <w:rsid w:val="00FC5EB2"/>
    <w:rsid w:val="00FC6EBE"/>
    <w:rsid w:val="00FC7880"/>
    <w:rsid w:val="00FD11F6"/>
    <w:rsid w:val="00FD1ECB"/>
    <w:rsid w:val="00FD346C"/>
    <w:rsid w:val="00FD5B65"/>
    <w:rsid w:val="00FD5CEE"/>
    <w:rsid w:val="00FD6F57"/>
    <w:rsid w:val="00FD7666"/>
    <w:rsid w:val="00FE0D2F"/>
    <w:rsid w:val="00FE62B3"/>
    <w:rsid w:val="00FE76D4"/>
    <w:rsid w:val="00FF1534"/>
    <w:rsid w:val="00FF3B37"/>
    <w:rsid w:val="00FF4096"/>
    <w:rsid w:val="00FF542F"/>
    <w:rsid w:val="00FF5F16"/>
    <w:rsid w:val="00FF7FE7"/>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1293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20" w:after="120" w:line="276"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9669D0"/>
    <w:pPr>
      <w:spacing w:line="240" w:lineRule="auto"/>
      <w:jc w:val="both"/>
    </w:pPr>
    <w:rPr>
      <w:rFonts w:eastAsia="Calibri Light" w:cs="Calibri Light"/>
      <w:sz w:val="24"/>
      <w:lang w:val="sq-AL"/>
    </w:rPr>
  </w:style>
  <w:style w:type="paragraph" w:styleId="Heading1">
    <w:name w:val="heading 1"/>
    <w:basedOn w:val="Normal"/>
    <w:uiPriority w:val="1"/>
    <w:qFormat/>
    <w:rsid w:val="002B77DA"/>
    <w:pPr>
      <w:ind w:left="102"/>
      <w:outlineLvl w:val="0"/>
    </w:pPr>
    <w:rPr>
      <w:b/>
      <w:color w:val="4F81BD" w:themeColor="accent1"/>
      <w:sz w:val="28"/>
      <w:szCs w:val="26"/>
    </w:rPr>
  </w:style>
  <w:style w:type="paragraph" w:styleId="Heading2">
    <w:name w:val="heading 2"/>
    <w:basedOn w:val="Normal"/>
    <w:next w:val="Normal"/>
    <w:link w:val="Heading2Char"/>
    <w:unhideWhenUsed/>
    <w:qFormat/>
    <w:rsid w:val="002B77DA"/>
    <w:pPr>
      <w:keepNext/>
      <w:keepLines/>
      <w:spacing w:before="40"/>
      <w:outlineLvl w:val="1"/>
    </w:pPr>
    <w:rPr>
      <w:rFonts w:eastAsiaTheme="majorEastAsia" w:cstheme="majorBidi"/>
      <w:b/>
      <w:color w:val="365F91" w:themeColor="accent1" w:themeShade="BF"/>
      <w:sz w:val="28"/>
      <w:szCs w:val="26"/>
    </w:rPr>
  </w:style>
  <w:style w:type="paragraph" w:styleId="Heading3">
    <w:name w:val="heading 3"/>
    <w:basedOn w:val="Normal"/>
    <w:next w:val="Normal"/>
    <w:link w:val="Heading3Char"/>
    <w:uiPriority w:val="9"/>
    <w:unhideWhenUsed/>
    <w:qFormat/>
    <w:rsid w:val="002B77DA"/>
    <w:pPr>
      <w:keepNext/>
      <w:keepLines/>
      <w:spacing w:before="40"/>
      <w:outlineLvl w:val="2"/>
    </w:pPr>
    <w:rPr>
      <w:rFonts w:eastAsiaTheme="majorEastAsia" w:cstheme="majorBidi"/>
      <w:b/>
      <w:i/>
      <w:color w:val="365F91" w:themeColor="accent1" w:themeShade="BF"/>
      <w:sz w:val="26"/>
      <w:szCs w:val="24"/>
    </w:rPr>
  </w:style>
  <w:style w:type="paragraph" w:styleId="Heading4">
    <w:name w:val="heading 4"/>
    <w:basedOn w:val="Normal"/>
    <w:next w:val="Normal"/>
    <w:link w:val="Heading4Char"/>
    <w:uiPriority w:val="9"/>
    <w:qFormat/>
    <w:rsid w:val="00A619CA"/>
    <w:pPr>
      <w:keepNext/>
      <w:spacing w:before="240" w:after="60"/>
      <w:ind w:left="864" w:hanging="864"/>
      <w:outlineLvl w:val="3"/>
    </w:pPr>
    <w:rPr>
      <w:rFonts w:ascii="Cambria" w:eastAsia="MS Mincho" w:hAnsi="Cambria" w:cs="Times New Roman"/>
      <w:b/>
      <w:bCs/>
      <w:sz w:val="28"/>
      <w:szCs w:val="28"/>
      <w:lang w:val="en-GB"/>
    </w:rPr>
  </w:style>
  <w:style w:type="paragraph" w:styleId="Heading5">
    <w:name w:val="heading 5"/>
    <w:basedOn w:val="Normal"/>
    <w:next w:val="Normal"/>
    <w:link w:val="Heading5Char"/>
    <w:uiPriority w:val="9"/>
    <w:unhideWhenUsed/>
    <w:qFormat/>
    <w:rsid w:val="00A619CA"/>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qFormat/>
    <w:rsid w:val="00A619CA"/>
    <w:pPr>
      <w:keepNext/>
      <w:keepLines/>
      <w:spacing w:before="40"/>
      <w:ind w:left="1152" w:hanging="1152"/>
      <w:outlineLvl w:val="5"/>
    </w:pPr>
    <w:rPr>
      <w:rFonts w:ascii="Cambria" w:eastAsia="MS Gothic" w:hAnsi="Cambria" w:cs="Times New Roman"/>
      <w:color w:val="243F60"/>
      <w:szCs w:val="24"/>
      <w:lang w:val="en-GB"/>
    </w:rPr>
  </w:style>
  <w:style w:type="paragraph" w:styleId="Heading7">
    <w:name w:val="heading 7"/>
    <w:basedOn w:val="Normal"/>
    <w:next w:val="Normal"/>
    <w:link w:val="Heading7Char"/>
    <w:uiPriority w:val="9"/>
    <w:semiHidden/>
    <w:unhideWhenUsed/>
    <w:qFormat/>
    <w:rsid w:val="00F94DDD"/>
    <w:pPr>
      <w:keepNext/>
      <w:keepLines/>
      <w:spacing w:before="40"/>
      <w:ind w:left="1296" w:hanging="1296"/>
      <w:outlineLvl w:val="6"/>
    </w:pPr>
    <w:rPr>
      <w:rFonts w:asciiTheme="majorHAnsi" w:eastAsiaTheme="majorEastAsia" w:hAnsiTheme="majorHAnsi" w:cstheme="majorBidi"/>
      <w:i/>
      <w:iCs/>
      <w:color w:val="243F60" w:themeColor="accent1" w:themeShade="7F"/>
      <w:szCs w:val="24"/>
      <w:lang w:val="en-GB"/>
    </w:rPr>
  </w:style>
  <w:style w:type="paragraph" w:styleId="Heading8">
    <w:name w:val="heading 8"/>
    <w:basedOn w:val="Normal"/>
    <w:next w:val="Normal"/>
    <w:link w:val="Heading8Char"/>
    <w:uiPriority w:val="9"/>
    <w:semiHidden/>
    <w:unhideWhenUsed/>
    <w:qFormat/>
    <w:rsid w:val="00F94DDD"/>
    <w:pPr>
      <w:keepNext/>
      <w:keepLines/>
      <w:spacing w:before="40"/>
      <w:ind w:left="1440" w:hanging="1440"/>
      <w:outlineLvl w:val="7"/>
    </w:pPr>
    <w:rPr>
      <w:rFonts w:asciiTheme="majorHAnsi" w:eastAsiaTheme="majorEastAsia" w:hAnsiTheme="majorHAnsi" w:cstheme="majorBidi"/>
      <w:color w:val="272727" w:themeColor="text1" w:themeTint="D8"/>
      <w:sz w:val="21"/>
      <w:szCs w:val="21"/>
      <w:lang w:val="en-GB"/>
    </w:rPr>
  </w:style>
  <w:style w:type="paragraph" w:styleId="Heading9">
    <w:name w:val="heading 9"/>
    <w:basedOn w:val="Normal"/>
    <w:next w:val="Normal"/>
    <w:link w:val="Heading9Char"/>
    <w:uiPriority w:val="9"/>
    <w:semiHidden/>
    <w:unhideWhenUsed/>
    <w:qFormat/>
    <w:rsid w:val="00F94DDD"/>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B77DA"/>
    <w:rPr>
      <w:rFonts w:eastAsiaTheme="majorEastAsia" w:cstheme="majorBidi"/>
      <w:b/>
      <w:color w:val="365F91" w:themeColor="accent1" w:themeShade="BF"/>
      <w:sz w:val="28"/>
      <w:szCs w:val="26"/>
      <w:lang w:val="sq-AL"/>
    </w:rPr>
  </w:style>
  <w:style w:type="character" w:customStyle="1" w:styleId="Heading3Char">
    <w:name w:val="Heading 3 Char"/>
    <w:basedOn w:val="DefaultParagraphFont"/>
    <w:link w:val="Heading3"/>
    <w:uiPriority w:val="9"/>
    <w:rsid w:val="002B77DA"/>
    <w:rPr>
      <w:rFonts w:eastAsiaTheme="majorEastAsia" w:cstheme="majorBidi"/>
      <w:b/>
      <w:i/>
      <w:color w:val="365F91" w:themeColor="accent1" w:themeShade="BF"/>
      <w:sz w:val="26"/>
      <w:szCs w:val="24"/>
      <w:lang w:val="sq-AL"/>
    </w:rPr>
  </w:style>
  <w:style w:type="character" w:customStyle="1" w:styleId="Heading4Char">
    <w:name w:val="Heading 4 Char"/>
    <w:basedOn w:val="DefaultParagraphFont"/>
    <w:link w:val="Heading4"/>
    <w:uiPriority w:val="9"/>
    <w:rsid w:val="00A619CA"/>
    <w:rPr>
      <w:rFonts w:ascii="Cambria" w:eastAsia="MS Mincho" w:hAnsi="Cambria" w:cs="Times New Roman"/>
      <w:b/>
      <w:bCs/>
      <w:sz w:val="28"/>
      <w:szCs w:val="28"/>
      <w:lang w:val="en-GB"/>
    </w:rPr>
  </w:style>
  <w:style w:type="character" w:customStyle="1" w:styleId="Heading5Char">
    <w:name w:val="Heading 5 Char"/>
    <w:basedOn w:val="DefaultParagraphFont"/>
    <w:link w:val="Heading5"/>
    <w:uiPriority w:val="9"/>
    <w:rsid w:val="00A619CA"/>
    <w:rPr>
      <w:rFonts w:asciiTheme="majorHAnsi" w:eastAsiaTheme="majorEastAsia" w:hAnsiTheme="majorHAnsi" w:cstheme="majorBidi"/>
      <w:color w:val="365F91" w:themeColor="accent1" w:themeShade="BF"/>
      <w:lang w:val="sq-AL"/>
    </w:rPr>
  </w:style>
  <w:style w:type="character" w:customStyle="1" w:styleId="Heading6Char">
    <w:name w:val="Heading 6 Char"/>
    <w:basedOn w:val="DefaultParagraphFont"/>
    <w:link w:val="Heading6"/>
    <w:uiPriority w:val="9"/>
    <w:rsid w:val="00A619CA"/>
    <w:rPr>
      <w:rFonts w:ascii="Cambria" w:eastAsia="MS Gothic" w:hAnsi="Cambria" w:cs="Times New Roman"/>
      <w:color w:val="243F60"/>
      <w:szCs w:val="24"/>
      <w:lang w:val="en-GB"/>
    </w:rPr>
  </w:style>
  <w:style w:type="character" w:customStyle="1" w:styleId="Heading7Char">
    <w:name w:val="Heading 7 Char"/>
    <w:basedOn w:val="DefaultParagraphFont"/>
    <w:link w:val="Heading7"/>
    <w:uiPriority w:val="9"/>
    <w:semiHidden/>
    <w:rsid w:val="00F94DDD"/>
    <w:rPr>
      <w:rFonts w:asciiTheme="majorHAnsi" w:eastAsiaTheme="majorEastAsia" w:hAnsiTheme="majorHAnsi" w:cstheme="majorBidi"/>
      <w:i/>
      <w:iCs/>
      <w:color w:val="243F60" w:themeColor="accent1" w:themeShade="7F"/>
      <w:sz w:val="24"/>
      <w:szCs w:val="24"/>
      <w:lang w:val="en-GB"/>
    </w:rPr>
  </w:style>
  <w:style w:type="character" w:customStyle="1" w:styleId="Heading8Char">
    <w:name w:val="Heading 8 Char"/>
    <w:basedOn w:val="DefaultParagraphFont"/>
    <w:link w:val="Heading8"/>
    <w:uiPriority w:val="9"/>
    <w:semiHidden/>
    <w:rsid w:val="00F94DDD"/>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F94DDD"/>
    <w:rPr>
      <w:rFonts w:asciiTheme="majorHAnsi" w:eastAsiaTheme="majorEastAsia" w:hAnsiTheme="majorHAnsi" w:cstheme="majorBidi"/>
      <w:i/>
      <w:iCs/>
      <w:color w:val="272727" w:themeColor="text1" w:themeTint="D8"/>
      <w:sz w:val="21"/>
      <w:szCs w:val="21"/>
      <w:lang w:val="en-GB"/>
    </w:rPr>
  </w:style>
  <w:style w:type="paragraph" w:styleId="TOC1">
    <w:name w:val="toc 1"/>
    <w:basedOn w:val="Normal"/>
    <w:uiPriority w:val="1"/>
    <w:qFormat/>
    <w:pPr>
      <w:spacing w:before="158"/>
      <w:ind w:left="140"/>
    </w:pPr>
    <w:rPr>
      <w:szCs w:val="24"/>
    </w:rPr>
  </w:style>
  <w:style w:type="paragraph" w:styleId="TOC2">
    <w:name w:val="toc 2"/>
    <w:basedOn w:val="Normal"/>
    <w:uiPriority w:val="1"/>
    <w:qFormat/>
    <w:pPr>
      <w:spacing w:before="158"/>
      <w:ind w:left="860" w:hanging="481"/>
    </w:pPr>
    <w:rPr>
      <w:szCs w:val="24"/>
    </w:rPr>
  </w:style>
  <w:style w:type="paragraph" w:styleId="TOC3">
    <w:name w:val="toc 3"/>
    <w:basedOn w:val="Normal"/>
    <w:uiPriority w:val="1"/>
    <w:qFormat/>
    <w:pPr>
      <w:spacing w:before="158"/>
      <w:ind w:left="970" w:hanging="351"/>
    </w:pPr>
    <w:rPr>
      <w:szCs w:val="24"/>
    </w:rPr>
  </w:style>
  <w:style w:type="paragraph" w:styleId="TOC4">
    <w:name w:val="toc 4"/>
    <w:basedOn w:val="Normal"/>
    <w:uiPriority w:val="1"/>
    <w:qFormat/>
    <w:pPr>
      <w:spacing w:before="161"/>
      <w:ind w:left="620"/>
    </w:pPr>
    <w:rPr>
      <w:szCs w:val="24"/>
    </w:rPr>
  </w:style>
  <w:style w:type="paragraph" w:styleId="BodyText">
    <w:name w:val="Body Text"/>
    <w:basedOn w:val="Normal"/>
    <w:link w:val="BodyTextChar"/>
    <w:uiPriority w:val="99"/>
    <w:qFormat/>
    <w:rsid w:val="0093605A"/>
    <w:pPr>
      <w:spacing w:line="360" w:lineRule="auto"/>
    </w:pPr>
    <w:rPr>
      <w:szCs w:val="24"/>
    </w:rPr>
  </w:style>
  <w:style w:type="character" w:customStyle="1" w:styleId="BodyTextChar">
    <w:name w:val="Body Text Char"/>
    <w:basedOn w:val="DefaultParagraphFont"/>
    <w:link w:val="BodyText"/>
    <w:uiPriority w:val="99"/>
    <w:rsid w:val="00C03B8E"/>
    <w:rPr>
      <w:rFonts w:eastAsia="Calibri Light" w:cs="Calibri Light"/>
      <w:sz w:val="24"/>
      <w:szCs w:val="24"/>
      <w:lang w:val="sq-AL"/>
    </w:rPr>
  </w:style>
  <w:style w:type="paragraph" w:styleId="Title">
    <w:name w:val="Title"/>
    <w:basedOn w:val="Normal"/>
    <w:uiPriority w:val="1"/>
    <w:qFormat/>
    <w:pPr>
      <w:ind w:left="1479" w:right="1483"/>
      <w:jc w:val="center"/>
    </w:pPr>
    <w:rPr>
      <w:sz w:val="32"/>
      <w:szCs w:val="32"/>
    </w:rPr>
  </w:style>
  <w:style w:type="paragraph" w:styleId="ListParagraph">
    <w:name w:val="List Paragraph"/>
    <w:aliases w:val="Normal 1,List Paragraph1,Dot pt,F5 List Paragraph,No Spacing1,List Paragraph Char Char Char,Indicator Text,Colorful List - Accent 11,Numbered Para 1,Bullet 1,Bullet Points,MAIN CONTENT,Párrafo de lista,Recommendation,List Paragraph2"/>
    <w:basedOn w:val="Normal"/>
    <w:link w:val="ListParagraphChar"/>
    <w:uiPriority w:val="34"/>
    <w:qFormat/>
    <w:pPr>
      <w:ind w:left="860" w:hanging="361"/>
    </w:pPr>
  </w:style>
  <w:style w:type="character" w:customStyle="1" w:styleId="ListParagraphChar">
    <w:name w:val="List Paragraph Char"/>
    <w:aliases w:val="Normal 1 Char,List Paragraph1 Char,Dot pt Char,F5 List Paragraph Char,No Spacing1 Char,List Paragraph Char Char Char Char,Indicator Text Char,Colorful List - Accent 11 Char,Numbered Para 1 Char,Bullet 1 Char,Bullet Points Char"/>
    <w:link w:val="ListParagraph"/>
    <w:uiPriority w:val="34"/>
    <w:locked/>
    <w:rsid w:val="00CE28B9"/>
    <w:rPr>
      <w:rFonts w:eastAsia="Calibri Light" w:cs="Calibri Light"/>
      <w:sz w:val="24"/>
      <w:lang w:val="sq-AL"/>
    </w:r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unhideWhenUsed/>
    <w:rsid w:val="00A619CA"/>
    <w:rPr>
      <w:sz w:val="16"/>
      <w:szCs w:val="16"/>
    </w:rPr>
  </w:style>
  <w:style w:type="paragraph" w:styleId="CommentText">
    <w:name w:val="annotation text"/>
    <w:basedOn w:val="Normal"/>
    <w:link w:val="CommentTextChar"/>
    <w:uiPriority w:val="99"/>
    <w:unhideWhenUsed/>
    <w:rsid w:val="00A619CA"/>
    <w:rPr>
      <w:sz w:val="20"/>
      <w:szCs w:val="20"/>
    </w:rPr>
  </w:style>
  <w:style w:type="character" w:customStyle="1" w:styleId="CommentTextChar">
    <w:name w:val="Comment Text Char"/>
    <w:basedOn w:val="DefaultParagraphFont"/>
    <w:link w:val="CommentText"/>
    <w:uiPriority w:val="99"/>
    <w:rsid w:val="00A619CA"/>
    <w:rPr>
      <w:rFonts w:ascii="Calibri Light" w:eastAsia="Calibri Light" w:hAnsi="Calibri Light" w:cs="Calibri Light"/>
      <w:sz w:val="20"/>
      <w:szCs w:val="20"/>
      <w:lang w:val="sq-AL"/>
    </w:rPr>
  </w:style>
  <w:style w:type="paragraph" w:styleId="CommentSubject">
    <w:name w:val="annotation subject"/>
    <w:basedOn w:val="CommentText"/>
    <w:next w:val="CommentText"/>
    <w:link w:val="CommentSubjectChar"/>
    <w:uiPriority w:val="99"/>
    <w:semiHidden/>
    <w:unhideWhenUsed/>
    <w:rsid w:val="00A619CA"/>
    <w:rPr>
      <w:b/>
      <w:bCs/>
    </w:rPr>
  </w:style>
  <w:style w:type="character" w:customStyle="1" w:styleId="CommentSubjectChar">
    <w:name w:val="Comment Subject Char"/>
    <w:basedOn w:val="CommentTextChar"/>
    <w:link w:val="CommentSubject"/>
    <w:uiPriority w:val="99"/>
    <w:semiHidden/>
    <w:rsid w:val="00A619CA"/>
    <w:rPr>
      <w:rFonts w:ascii="Calibri Light" w:eastAsia="Calibri Light" w:hAnsi="Calibri Light" w:cs="Calibri Light"/>
      <w:b/>
      <w:bCs/>
      <w:sz w:val="20"/>
      <w:szCs w:val="20"/>
      <w:lang w:val="sq-AL"/>
    </w:rPr>
  </w:style>
  <w:style w:type="paragraph" w:styleId="BalloonText">
    <w:name w:val="Balloon Text"/>
    <w:basedOn w:val="Normal"/>
    <w:link w:val="BalloonTextChar"/>
    <w:uiPriority w:val="99"/>
    <w:semiHidden/>
    <w:unhideWhenUsed/>
    <w:rsid w:val="00A619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19CA"/>
    <w:rPr>
      <w:rFonts w:ascii="Segoe UI" w:eastAsia="Calibri Light" w:hAnsi="Segoe UI" w:cs="Segoe UI"/>
      <w:sz w:val="18"/>
      <w:szCs w:val="18"/>
      <w:lang w:val="sq-AL"/>
    </w:rPr>
  </w:style>
  <w:style w:type="paragraph" w:styleId="FootnoteText">
    <w:name w:val="footnote text"/>
    <w:aliases w:val="Footnote Text Char1 Char,Footnote Text Char Char Char,Footnote Text Char1 Char Char Char,ft Char Char Char Char,Geneva 9 Char Char Char Char,Font: Geneva 9 Char Char Char Char,Boston 10 Char Char Char Char,Char,fn,f"/>
    <w:basedOn w:val="Normal"/>
    <w:link w:val="FootnoteTextChar"/>
    <w:uiPriority w:val="99"/>
    <w:unhideWhenUsed/>
    <w:qFormat/>
    <w:rsid w:val="00A619CA"/>
    <w:rPr>
      <w:sz w:val="20"/>
      <w:szCs w:val="20"/>
    </w:rPr>
  </w:style>
  <w:style w:type="character" w:customStyle="1" w:styleId="FootnoteTextChar">
    <w:name w:val="Footnote Text Char"/>
    <w:aliases w:val="Footnote Text Char1 Char Char,Footnote Text Char Char Char Char,Footnote Text Char1 Char Char Char Char,ft Char Char Char Char Char,Geneva 9 Char Char Char Char Char,Font: Geneva 9 Char Char Char Char Char,Char Char,fn Char,f Char"/>
    <w:basedOn w:val="DefaultParagraphFont"/>
    <w:link w:val="FootnoteText"/>
    <w:uiPriority w:val="99"/>
    <w:rsid w:val="00A619CA"/>
    <w:rPr>
      <w:rFonts w:ascii="Calibri Light" w:eastAsia="Calibri Light" w:hAnsi="Calibri Light" w:cs="Calibri Light"/>
      <w:sz w:val="20"/>
      <w:szCs w:val="20"/>
      <w:lang w:val="sq-AL"/>
    </w:rPr>
  </w:style>
  <w:style w:type="paragraph" w:customStyle="1" w:styleId="Heading71">
    <w:name w:val="Heading 71"/>
    <w:basedOn w:val="Normal"/>
    <w:next w:val="Normal"/>
    <w:uiPriority w:val="9"/>
    <w:semiHidden/>
    <w:unhideWhenUsed/>
    <w:qFormat/>
    <w:rsid w:val="00A619CA"/>
    <w:pPr>
      <w:keepNext/>
      <w:keepLines/>
      <w:spacing w:before="40"/>
      <w:ind w:left="3772" w:hanging="360"/>
      <w:outlineLvl w:val="6"/>
    </w:pPr>
    <w:rPr>
      <w:rFonts w:eastAsia="Times New Roman" w:cs="Times New Roman"/>
      <w:i/>
      <w:iCs/>
      <w:color w:val="1F3763"/>
      <w:szCs w:val="24"/>
      <w:lang w:val="en-GB"/>
    </w:rPr>
  </w:style>
  <w:style w:type="paragraph" w:customStyle="1" w:styleId="Heading81">
    <w:name w:val="Heading 81"/>
    <w:basedOn w:val="Normal"/>
    <w:next w:val="Normal"/>
    <w:uiPriority w:val="9"/>
    <w:semiHidden/>
    <w:unhideWhenUsed/>
    <w:qFormat/>
    <w:rsid w:val="00A619CA"/>
    <w:pPr>
      <w:keepNext/>
      <w:keepLines/>
      <w:spacing w:before="40"/>
      <w:ind w:left="5244" w:hanging="360"/>
      <w:outlineLvl w:val="7"/>
    </w:pPr>
    <w:rPr>
      <w:rFonts w:eastAsia="Times New Roman" w:cs="Times New Roman"/>
      <w:color w:val="272727"/>
      <w:sz w:val="21"/>
      <w:szCs w:val="21"/>
      <w:lang w:val="en-GB"/>
    </w:rPr>
  </w:style>
  <w:style w:type="paragraph" w:customStyle="1" w:styleId="Heading91">
    <w:name w:val="Heading 91"/>
    <w:basedOn w:val="Normal"/>
    <w:next w:val="Normal"/>
    <w:uiPriority w:val="9"/>
    <w:semiHidden/>
    <w:unhideWhenUsed/>
    <w:qFormat/>
    <w:rsid w:val="00A619CA"/>
    <w:pPr>
      <w:keepNext/>
      <w:keepLines/>
      <w:spacing w:before="40"/>
      <w:ind w:left="6716" w:hanging="360"/>
      <w:outlineLvl w:val="8"/>
    </w:pPr>
    <w:rPr>
      <w:rFonts w:eastAsia="Times New Roman" w:cs="Times New Roman"/>
      <w:i/>
      <w:iCs/>
      <w:color w:val="272727"/>
      <w:sz w:val="21"/>
      <w:szCs w:val="21"/>
      <w:lang w:val="en-GB"/>
    </w:rPr>
  </w:style>
  <w:style w:type="character" w:styleId="FootnoteReference">
    <w:name w:val="footnote reference"/>
    <w:aliases w:val="Ref,de nota al pie,16 Point,Superscript 6 Point,Appel note de bas de page,ftref,BVI fnr, BVI fnr, BVI fnr Car Car,BVI fnr Car, BVI fnr Car Car Car Car, BVI fnr Car Car Car Car Char,BVI fnr Char Char Char Char Char,fr"/>
    <w:link w:val="BVIfnrCharCharCharChar"/>
    <w:unhideWhenUsed/>
    <w:qFormat/>
    <w:rsid w:val="00A619CA"/>
    <w:rPr>
      <w:vertAlign w:val="superscript"/>
    </w:rPr>
  </w:style>
  <w:style w:type="paragraph" w:customStyle="1" w:styleId="BVIfnrCharCharCharChar">
    <w:name w:val="BVI fnr Char Char Char Char"/>
    <w:aliases w:val="BVI fnr Car Car Char Char Char Char,BVI fnr Car Char Char Char Char,BVI fnr Car Car Car Car Char Char Char1 Char"/>
    <w:basedOn w:val="Normal"/>
    <w:link w:val="FootnoteReference"/>
    <w:uiPriority w:val="99"/>
    <w:rsid w:val="00A619CA"/>
    <w:pPr>
      <w:spacing w:after="160" w:line="240" w:lineRule="exact"/>
    </w:pPr>
    <w:rPr>
      <w:rFonts w:eastAsiaTheme="minorHAnsi" w:cstheme="minorBidi"/>
      <w:vertAlign w:val="superscript"/>
      <w:lang w:val="en-US"/>
    </w:rPr>
  </w:style>
  <w:style w:type="character" w:styleId="Hyperlink">
    <w:name w:val="Hyperlink"/>
    <w:uiPriority w:val="99"/>
    <w:unhideWhenUsed/>
    <w:rsid w:val="00A619CA"/>
    <w:rPr>
      <w:color w:val="0000FF"/>
      <w:u w:val="single"/>
    </w:rPr>
  </w:style>
  <w:style w:type="table" w:styleId="TableGrid">
    <w:name w:val="Table Grid"/>
    <w:basedOn w:val="TableNormal"/>
    <w:uiPriority w:val="39"/>
    <w:rsid w:val="00F94DDD"/>
    <w:pPr>
      <w:jc w:val="both"/>
    </w:pPr>
    <w:rPr>
      <w:rFonts w:ascii="Calibri" w:eastAsia="Calibri" w:hAnsi="Calibri" w:cs="Times New Roman"/>
      <w:sz w:val="24"/>
      <w:szCs w:val="24"/>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qFormat/>
    <w:rsid w:val="00F94DDD"/>
    <w:pPr>
      <w:keepNext/>
      <w:spacing w:line="269" w:lineRule="auto"/>
    </w:pPr>
    <w:rPr>
      <w:rFonts w:ascii="Open Sans" w:eastAsia="Calibri" w:hAnsi="Open Sans" w:cs="Times New Roman"/>
      <w:b/>
      <w:bCs/>
      <w:szCs w:val="20"/>
      <w:lang w:val="en-GB"/>
    </w:rPr>
  </w:style>
  <w:style w:type="paragraph" w:customStyle="1" w:styleId="BodyText1">
    <w:name w:val="Body Text1"/>
    <w:basedOn w:val="Normal"/>
    <w:link w:val="BodytextChar0"/>
    <w:qFormat/>
    <w:rsid w:val="00F94DDD"/>
    <w:pPr>
      <w:tabs>
        <w:tab w:val="left" w:pos="0"/>
      </w:tabs>
    </w:pPr>
    <w:rPr>
      <w:rFonts w:ascii="Calibri" w:eastAsia="Calibri" w:hAnsi="Calibri" w:cs="Times New Roman"/>
      <w:sz w:val="20"/>
      <w:szCs w:val="20"/>
      <w:lang w:val="en-GB" w:eastAsia="en-GB"/>
    </w:rPr>
  </w:style>
  <w:style w:type="character" w:customStyle="1" w:styleId="BodytextChar0">
    <w:name w:val="Body text Char"/>
    <w:link w:val="BodyText1"/>
    <w:locked/>
    <w:rsid w:val="00F94DDD"/>
    <w:rPr>
      <w:rFonts w:ascii="Calibri" w:eastAsia="Calibri" w:hAnsi="Calibri" w:cs="Times New Roman"/>
      <w:sz w:val="20"/>
      <w:szCs w:val="20"/>
      <w:lang w:val="en-GB" w:eastAsia="en-GB"/>
    </w:rPr>
  </w:style>
  <w:style w:type="paragraph" w:styleId="Header">
    <w:name w:val="header"/>
    <w:basedOn w:val="Normal"/>
    <w:link w:val="HeaderChar"/>
    <w:uiPriority w:val="99"/>
    <w:unhideWhenUsed/>
    <w:rsid w:val="000C0175"/>
    <w:pPr>
      <w:tabs>
        <w:tab w:val="center" w:pos="4513"/>
        <w:tab w:val="right" w:pos="9026"/>
      </w:tabs>
    </w:pPr>
  </w:style>
  <w:style w:type="character" w:customStyle="1" w:styleId="HeaderChar">
    <w:name w:val="Header Char"/>
    <w:basedOn w:val="DefaultParagraphFont"/>
    <w:link w:val="Header"/>
    <w:uiPriority w:val="99"/>
    <w:qFormat/>
    <w:rsid w:val="000C0175"/>
    <w:rPr>
      <w:rFonts w:ascii="Calibri Light" w:eastAsia="Calibri Light" w:hAnsi="Calibri Light" w:cs="Calibri Light"/>
      <w:lang w:val="sq-AL"/>
    </w:rPr>
  </w:style>
  <w:style w:type="paragraph" w:styleId="Footer">
    <w:name w:val="footer"/>
    <w:basedOn w:val="Normal"/>
    <w:link w:val="FooterChar"/>
    <w:uiPriority w:val="99"/>
    <w:unhideWhenUsed/>
    <w:rsid w:val="000C0175"/>
    <w:pPr>
      <w:tabs>
        <w:tab w:val="center" w:pos="4513"/>
        <w:tab w:val="right" w:pos="9026"/>
      </w:tabs>
    </w:pPr>
  </w:style>
  <w:style w:type="character" w:customStyle="1" w:styleId="FooterChar">
    <w:name w:val="Footer Char"/>
    <w:basedOn w:val="DefaultParagraphFont"/>
    <w:link w:val="Footer"/>
    <w:uiPriority w:val="99"/>
    <w:rsid w:val="000C0175"/>
    <w:rPr>
      <w:rFonts w:ascii="Calibri Light" w:eastAsia="Calibri Light" w:hAnsi="Calibri Light" w:cs="Calibri Light"/>
      <w:lang w:val="sq-AL"/>
    </w:rPr>
  </w:style>
  <w:style w:type="table" w:customStyle="1" w:styleId="TableGrid1">
    <w:name w:val="Table Grid1"/>
    <w:basedOn w:val="TableNormal"/>
    <w:next w:val="TableGrid"/>
    <w:uiPriority w:val="39"/>
    <w:rsid w:val="000C0175"/>
    <w:rPr>
      <w:rFonts w:ascii="Calibri" w:eastAsia="Times New Roman" w:hAnsi="Calibri" w:cs="Times New Roman"/>
      <w:lang w:val="hr-HR"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1A259D"/>
    <w:rPr>
      <w:color w:val="605E5C"/>
      <w:shd w:val="clear" w:color="auto" w:fill="E1DFDD"/>
    </w:rPr>
  </w:style>
  <w:style w:type="table" w:customStyle="1" w:styleId="TableGrid2">
    <w:name w:val="Table Grid2"/>
    <w:basedOn w:val="TableNormal"/>
    <w:next w:val="TableGrid"/>
    <w:uiPriority w:val="39"/>
    <w:rsid w:val="0007734A"/>
    <w:pPr>
      <w:spacing w:before="0" w:after="0" w:line="240" w:lineRule="auto"/>
      <w:jc w:val="both"/>
    </w:pPr>
    <w:rPr>
      <w:rFonts w:ascii="Calibri" w:eastAsia="Calibri" w:hAnsi="Calibri" w:cs="Times New Roman"/>
      <w:sz w:val="24"/>
      <w:szCs w:val="24"/>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6A2987"/>
    <w:pPr>
      <w:spacing w:before="0" w:after="0" w:line="240" w:lineRule="auto"/>
    </w:pPr>
    <w:rPr>
      <w:rFonts w:eastAsia="Calibri Light" w:cs="Calibri Light"/>
      <w:sz w:val="24"/>
      <w:lang w:val="sq-AL"/>
    </w:rPr>
  </w:style>
  <w:style w:type="character" w:customStyle="1" w:styleId="UnresolvedMention2">
    <w:name w:val="Unresolved Mention2"/>
    <w:basedOn w:val="DefaultParagraphFont"/>
    <w:uiPriority w:val="99"/>
    <w:semiHidden/>
    <w:unhideWhenUsed/>
    <w:rsid w:val="007B5C34"/>
    <w:rPr>
      <w:color w:val="605E5C"/>
      <w:shd w:val="clear" w:color="auto" w:fill="E1DFDD"/>
    </w:rPr>
  </w:style>
  <w:style w:type="character" w:customStyle="1" w:styleId="UnresolvedMention3">
    <w:name w:val="Unresolved Mention3"/>
    <w:basedOn w:val="DefaultParagraphFont"/>
    <w:uiPriority w:val="99"/>
    <w:semiHidden/>
    <w:unhideWhenUsed/>
    <w:rsid w:val="000170E7"/>
    <w:rPr>
      <w:color w:val="605E5C"/>
      <w:shd w:val="clear" w:color="auto" w:fill="E1DFDD"/>
    </w:rPr>
  </w:style>
  <w:style w:type="character" w:customStyle="1" w:styleId="cf01">
    <w:name w:val="cf01"/>
    <w:basedOn w:val="DefaultParagraphFont"/>
    <w:rsid w:val="00042E7B"/>
    <w:rPr>
      <w:rFonts w:ascii="Segoe UI" w:hAnsi="Segoe UI" w:cs="Segoe UI" w:hint="default"/>
      <w:sz w:val="18"/>
      <w:szCs w:val="18"/>
    </w:rPr>
  </w:style>
  <w:style w:type="character" w:styleId="FollowedHyperlink">
    <w:name w:val="FollowedHyperlink"/>
    <w:basedOn w:val="DefaultParagraphFont"/>
    <w:uiPriority w:val="99"/>
    <w:semiHidden/>
    <w:unhideWhenUsed/>
    <w:rsid w:val="00042E7B"/>
    <w:rPr>
      <w:color w:val="800080" w:themeColor="followedHyperlink"/>
      <w:u w:val="single"/>
    </w:rPr>
  </w:style>
  <w:style w:type="paragraph" w:customStyle="1" w:styleId="pf0">
    <w:name w:val="pf0"/>
    <w:basedOn w:val="Normal"/>
    <w:rsid w:val="0043037F"/>
    <w:pPr>
      <w:spacing w:before="100" w:beforeAutospacing="1" w:after="100" w:afterAutospacing="1"/>
      <w:jc w:val="left"/>
    </w:pPr>
    <w:rPr>
      <w:rFonts w:ascii="Times New Roman" w:eastAsia="Times New Roman" w:hAnsi="Times New Roman" w:cs="Times New Roman"/>
      <w:szCs w:val="24"/>
      <w:lang w:eastAsia="sq-AL"/>
    </w:rPr>
  </w:style>
  <w:style w:type="table" w:styleId="GridTable6Colorful-Accent5">
    <w:name w:val="Grid Table 6 Colorful Accent 5"/>
    <w:basedOn w:val="TableNormal"/>
    <w:uiPriority w:val="51"/>
    <w:rsid w:val="008B79F6"/>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UnresolvedMention4">
    <w:name w:val="Unresolved Mention4"/>
    <w:basedOn w:val="DefaultParagraphFont"/>
    <w:uiPriority w:val="99"/>
    <w:semiHidden/>
    <w:unhideWhenUsed/>
    <w:rsid w:val="00F96FF8"/>
    <w:rPr>
      <w:color w:val="605E5C"/>
      <w:shd w:val="clear" w:color="auto" w:fill="E1DFDD"/>
    </w:rPr>
  </w:style>
  <w:style w:type="paragraph" w:customStyle="1" w:styleId="BVIfnrChar1Char">
    <w:name w:val="BVI fnr Char1 Char"/>
    <w:basedOn w:val="Normal"/>
    <w:next w:val="Normal"/>
    <w:uiPriority w:val="99"/>
    <w:rsid w:val="009D2573"/>
    <w:pPr>
      <w:spacing w:before="0" w:after="160" w:line="240" w:lineRule="exact"/>
      <w:jc w:val="left"/>
    </w:pPr>
    <w:rPr>
      <w:rFonts w:eastAsiaTheme="minorHAnsi" w:cstheme="minorBidi"/>
      <w:sz w:val="22"/>
      <w:vertAlign w:val="superscript"/>
      <w:lang w:val="en-US"/>
    </w:rPr>
  </w:style>
  <w:style w:type="paragraph" w:customStyle="1" w:styleId="TEKSTI">
    <w:name w:val="TEKSTI"/>
    <w:basedOn w:val="Normal"/>
    <w:qFormat/>
    <w:rsid w:val="009D2573"/>
    <w:pPr>
      <w:widowControl w:val="0"/>
      <w:autoSpaceDE w:val="0"/>
      <w:autoSpaceDN w:val="0"/>
      <w:adjustRightInd w:val="0"/>
      <w:spacing w:before="0" w:after="0"/>
      <w:ind w:firstLine="284"/>
    </w:pPr>
    <w:rPr>
      <w:rFonts w:ascii="Garamond" w:eastAsia="Calibri" w:hAnsi="Garamond" w:cs="Times New Roman"/>
      <w:szCs w:val="24"/>
    </w:rPr>
  </w:style>
  <w:style w:type="paragraph" w:customStyle="1" w:styleId="msonormal0">
    <w:name w:val="msonormal"/>
    <w:basedOn w:val="Normal"/>
    <w:rsid w:val="009D2573"/>
    <w:pPr>
      <w:spacing w:before="100" w:beforeAutospacing="1" w:after="100" w:afterAutospacing="1"/>
      <w:jc w:val="left"/>
    </w:pPr>
    <w:rPr>
      <w:rFonts w:ascii="Times New Roman" w:eastAsia="Times New Roman" w:hAnsi="Times New Roman" w:cs="Times New Roman"/>
      <w:szCs w:val="24"/>
      <w:lang w:val="en-US"/>
    </w:rPr>
  </w:style>
  <w:style w:type="paragraph" w:customStyle="1" w:styleId="font5">
    <w:name w:val="font5"/>
    <w:basedOn w:val="Normal"/>
    <w:rsid w:val="009D2573"/>
    <w:pPr>
      <w:spacing w:before="100" w:beforeAutospacing="1" w:after="100" w:afterAutospacing="1"/>
      <w:jc w:val="left"/>
    </w:pPr>
    <w:rPr>
      <w:rFonts w:ascii="Times New Roman" w:eastAsia="Times New Roman" w:hAnsi="Times New Roman" w:cs="Times New Roman"/>
      <w:color w:val="000000"/>
      <w:szCs w:val="24"/>
      <w:lang w:val="en-US"/>
    </w:rPr>
  </w:style>
  <w:style w:type="paragraph" w:customStyle="1" w:styleId="font6">
    <w:name w:val="font6"/>
    <w:basedOn w:val="Normal"/>
    <w:rsid w:val="009D2573"/>
    <w:pPr>
      <w:spacing w:before="100" w:beforeAutospacing="1" w:after="100" w:afterAutospacing="1"/>
      <w:jc w:val="left"/>
    </w:pPr>
    <w:rPr>
      <w:rFonts w:ascii="Times New Roman" w:eastAsia="Times New Roman" w:hAnsi="Times New Roman" w:cs="Times New Roman"/>
      <w:color w:val="000000"/>
      <w:szCs w:val="24"/>
      <w:lang w:val="en-US"/>
    </w:rPr>
  </w:style>
  <w:style w:type="paragraph" w:customStyle="1" w:styleId="font7">
    <w:name w:val="font7"/>
    <w:basedOn w:val="Normal"/>
    <w:rsid w:val="009D2573"/>
    <w:pPr>
      <w:spacing w:before="100" w:beforeAutospacing="1" w:after="100" w:afterAutospacing="1"/>
      <w:jc w:val="left"/>
    </w:pPr>
    <w:rPr>
      <w:rFonts w:ascii="Times New Roman" w:eastAsia="Times New Roman" w:hAnsi="Times New Roman" w:cs="Times New Roman"/>
      <w:color w:val="FF0000"/>
      <w:szCs w:val="24"/>
      <w:lang w:val="en-US"/>
    </w:rPr>
  </w:style>
  <w:style w:type="paragraph" w:customStyle="1" w:styleId="font8">
    <w:name w:val="font8"/>
    <w:basedOn w:val="Normal"/>
    <w:rsid w:val="009D2573"/>
    <w:pPr>
      <w:spacing w:before="100" w:beforeAutospacing="1" w:after="100" w:afterAutospacing="1"/>
      <w:jc w:val="left"/>
    </w:pPr>
    <w:rPr>
      <w:rFonts w:ascii="Times New Roman" w:eastAsia="Times New Roman" w:hAnsi="Times New Roman" w:cs="Times New Roman"/>
      <w:color w:val="00B0F0"/>
      <w:szCs w:val="24"/>
      <w:lang w:val="en-US"/>
    </w:rPr>
  </w:style>
  <w:style w:type="paragraph" w:customStyle="1" w:styleId="font9">
    <w:name w:val="font9"/>
    <w:basedOn w:val="Normal"/>
    <w:qFormat/>
    <w:rsid w:val="009D2573"/>
    <w:pPr>
      <w:spacing w:before="100" w:beforeAutospacing="1" w:after="100" w:afterAutospacing="1"/>
      <w:jc w:val="left"/>
    </w:pPr>
    <w:rPr>
      <w:rFonts w:ascii="Tahoma" w:eastAsia="Times New Roman" w:hAnsi="Tahoma" w:cs="Tahoma"/>
      <w:b/>
      <w:bCs/>
      <w:color w:val="000000"/>
      <w:sz w:val="18"/>
      <w:szCs w:val="18"/>
      <w:lang w:val="en-US"/>
    </w:rPr>
  </w:style>
  <w:style w:type="paragraph" w:customStyle="1" w:styleId="font10">
    <w:name w:val="font10"/>
    <w:basedOn w:val="Normal"/>
    <w:rsid w:val="009D2573"/>
    <w:pPr>
      <w:spacing w:before="100" w:beforeAutospacing="1" w:after="100" w:afterAutospacing="1"/>
      <w:jc w:val="left"/>
    </w:pPr>
    <w:rPr>
      <w:rFonts w:ascii="Tahoma" w:eastAsia="Times New Roman" w:hAnsi="Tahoma" w:cs="Tahoma"/>
      <w:color w:val="000000"/>
      <w:sz w:val="18"/>
      <w:szCs w:val="18"/>
      <w:lang w:val="en-US"/>
    </w:rPr>
  </w:style>
  <w:style w:type="paragraph" w:customStyle="1" w:styleId="font11">
    <w:name w:val="font11"/>
    <w:basedOn w:val="Normal"/>
    <w:rsid w:val="009D2573"/>
    <w:pPr>
      <w:spacing w:before="100" w:beforeAutospacing="1" w:after="100" w:afterAutospacing="1"/>
      <w:jc w:val="left"/>
    </w:pPr>
    <w:rPr>
      <w:rFonts w:ascii="Times New Roman" w:eastAsia="Times New Roman" w:hAnsi="Times New Roman" w:cs="Times New Roman"/>
      <w:b/>
      <w:bCs/>
      <w:color w:val="00B0F0"/>
      <w:szCs w:val="24"/>
      <w:lang w:val="en-US"/>
    </w:rPr>
  </w:style>
  <w:style w:type="paragraph" w:customStyle="1" w:styleId="xl66">
    <w:name w:val="xl66"/>
    <w:basedOn w:val="Normal"/>
    <w:rsid w:val="009D2573"/>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jc w:val="center"/>
      <w:textAlignment w:val="center"/>
    </w:pPr>
    <w:rPr>
      <w:rFonts w:ascii="Times New Roman" w:eastAsia="Times New Roman" w:hAnsi="Times New Roman" w:cs="Times New Roman"/>
      <w:b/>
      <w:bCs/>
      <w:color w:val="000000"/>
      <w:szCs w:val="24"/>
      <w:lang w:val="en-US"/>
    </w:rPr>
  </w:style>
  <w:style w:type="paragraph" w:customStyle="1" w:styleId="xl67">
    <w:name w:val="xl67"/>
    <w:basedOn w:val="Normal"/>
    <w:rsid w:val="009D2573"/>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jc w:val="center"/>
      <w:textAlignment w:val="center"/>
    </w:pPr>
    <w:rPr>
      <w:rFonts w:ascii="Times New Roman" w:eastAsia="Times New Roman" w:hAnsi="Times New Roman" w:cs="Times New Roman"/>
      <w:color w:val="000000"/>
      <w:szCs w:val="24"/>
      <w:lang w:val="en-US"/>
    </w:rPr>
  </w:style>
  <w:style w:type="paragraph" w:customStyle="1" w:styleId="xl68">
    <w:name w:val="xl68"/>
    <w:basedOn w:val="Normal"/>
    <w:qFormat/>
    <w:rsid w:val="009D2573"/>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jc w:val="left"/>
      <w:textAlignment w:val="center"/>
    </w:pPr>
    <w:rPr>
      <w:rFonts w:ascii="Times New Roman" w:eastAsia="Times New Roman" w:hAnsi="Times New Roman" w:cs="Times New Roman"/>
      <w:b/>
      <w:bCs/>
      <w:color w:val="000000"/>
      <w:szCs w:val="24"/>
      <w:lang w:val="en-US"/>
    </w:rPr>
  </w:style>
  <w:style w:type="paragraph" w:customStyle="1" w:styleId="xl69">
    <w:name w:val="xl69"/>
    <w:basedOn w:val="Normal"/>
    <w:qFormat/>
    <w:rsid w:val="009D2573"/>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jc w:val="center"/>
      <w:textAlignment w:val="center"/>
    </w:pPr>
    <w:rPr>
      <w:rFonts w:ascii="Times New Roman" w:eastAsia="Times New Roman" w:hAnsi="Times New Roman" w:cs="Times New Roman"/>
      <w:szCs w:val="24"/>
      <w:lang w:val="en-US"/>
    </w:rPr>
  </w:style>
  <w:style w:type="paragraph" w:customStyle="1" w:styleId="xl70">
    <w:name w:val="xl70"/>
    <w:basedOn w:val="Normal"/>
    <w:rsid w:val="009D2573"/>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center"/>
      <w:textAlignment w:val="center"/>
    </w:pPr>
    <w:rPr>
      <w:rFonts w:ascii="Times New Roman" w:eastAsia="Times New Roman" w:hAnsi="Times New Roman" w:cs="Times New Roman"/>
      <w:szCs w:val="24"/>
      <w:lang w:val="en-US"/>
    </w:rPr>
  </w:style>
  <w:style w:type="paragraph" w:customStyle="1" w:styleId="xl71">
    <w:name w:val="xl71"/>
    <w:basedOn w:val="Normal"/>
    <w:qFormat/>
    <w:rsid w:val="009D2573"/>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jc w:val="center"/>
      <w:textAlignment w:val="center"/>
    </w:pPr>
    <w:rPr>
      <w:rFonts w:ascii="Times New Roman" w:eastAsia="Times New Roman" w:hAnsi="Times New Roman" w:cs="Times New Roman"/>
      <w:color w:val="000000"/>
      <w:szCs w:val="24"/>
      <w:lang w:val="en-US"/>
    </w:rPr>
  </w:style>
  <w:style w:type="paragraph" w:customStyle="1" w:styleId="xl72">
    <w:name w:val="xl72"/>
    <w:basedOn w:val="Normal"/>
    <w:qFormat/>
    <w:rsid w:val="009D2573"/>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jc w:val="left"/>
      <w:textAlignment w:val="center"/>
    </w:pPr>
    <w:rPr>
      <w:rFonts w:ascii="Times New Roman" w:eastAsia="Times New Roman" w:hAnsi="Times New Roman" w:cs="Times New Roman"/>
      <w:b/>
      <w:bCs/>
      <w:szCs w:val="24"/>
      <w:lang w:val="en-US"/>
    </w:rPr>
  </w:style>
  <w:style w:type="paragraph" w:customStyle="1" w:styleId="xl73">
    <w:name w:val="xl73"/>
    <w:basedOn w:val="Normal"/>
    <w:qFormat/>
    <w:rsid w:val="009D2573"/>
    <w:pPr>
      <w:shd w:val="clear" w:color="000000" w:fill="9BC2E6"/>
      <w:spacing w:before="100" w:beforeAutospacing="1" w:after="100" w:afterAutospacing="1"/>
      <w:jc w:val="left"/>
      <w:textAlignment w:val="center"/>
    </w:pPr>
    <w:rPr>
      <w:rFonts w:ascii="Times New Roman" w:eastAsia="Times New Roman" w:hAnsi="Times New Roman" w:cs="Times New Roman"/>
      <w:b/>
      <w:bCs/>
      <w:color w:val="000000"/>
      <w:szCs w:val="24"/>
      <w:lang w:val="en-US"/>
    </w:rPr>
  </w:style>
  <w:style w:type="paragraph" w:customStyle="1" w:styleId="xl74">
    <w:name w:val="xl74"/>
    <w:basedOn w:val="Normal"/>
    <w:rsid w:val="009D2573"/>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center"/>
      <w:textAlignment w:val="center"/>
    </w:pPr>
    <w:rPr>
      <w:rFonts w:ascii="Times New Roman" w:eastAsia="Times New Roman" w:hAnsi="Times New Roman" w:cs="Times New Roman"/>
      <w:b/>
      <w:bCs/>
      <w:szCs w:val="24"/>
      <w:lang w:val="en-US"/>
    </w:rPr>
  </w:style>
  <w:style w:type="paragraph" w:customStyle="1" w:styleId="xl75">
    <w:name w:val="xl75"/>
    <w:basedOn w:val="Normal"/>
    <w:qFormat/>
    <w:rsid w:val="009D2573"/>
    <w:pPr>
      <w:pBdr>
        <w:top w:val="single" w:sz="4" w:space="0" w:color="000000"/>
        <w:left w:val="single" w:sz="4" w:space="0" w:color="000000"/>
        <w:bottom w:val="single" w:sz="4" w:space="0" w:color="000000"/>
        <w:right w:val="single" w:sz="4" w:space="0" w:color="000000"/>
      </w:pBdr>
      <w:shd w:val="clear" w:color="000000" w:fill="9BC2E6"/>
      <w:spacing w:before="100" w:beforeAutospacing="1" w:after="100" w:afterAutospacing="1"/>
      <w:jc w:val="left"/>
      <w:textAlignment w:val="center"/>
    </w:pPr>
    <w:rPr>
      <w:rFonts w:ascii="Times New Roman" w:eastAsia="Times New Roman" w:hAnsi="Times New Roman" w:cs="Times New Roman"/>
      <w:b/>
      <w:bCs/>
      <w:color w:val="000000"/>
      <w:szCs w:val="24"/>
      <w:lang w:val="en-US"/>
    </w:rPr>
  </w:style>
  <w:style w:type="paragraph" w:customStyle="1" w:styleId="xl76">
    <w:name w:val="xl76"/>
    <w:basedOn w:val="Normal"/>
    <w:qFormat/>
    <w:rsid w:val="009D2573"/>
    <w:pPr>
      <w:pBdr>
        <w:top w:val="single" w:sz="4" w:space="0" w:color="auto"/>
        <w:bottom w:val="single" w:sz="4" w:space="0" w:color="auto"/>
        <w:right w:val="single" w:sz="4" w:space="0" w:color="auto"/>
      </w:pBdr>
      <w:shd w:val="clear" w:color="000000" w:fill="9BC2E6"/>
      <w:spacing w:before="100" w:beforeAutospacing="1" w:after="100" w:afterAutospacing="1"/>
      <w:jc w:val="center"/>
      <w:textAlignment w:val="center"/>
    </w:pPr>
    <w:rPr>
      <w:rFonts w:ascii="Times New Roman" w:eastAsia="Times New Roman" w:hAnsi="Times New Roman" w:cs="Times New Roman"/>
      <w:b/>
      <w:bCs/>
      <w:szCs w:val="24"/>
      <w:lang w:val="en-US"/>
    </w:rPr>
  </w:style>
  <w:style w:type="paragraph" w:customStyle="1" w:styleId="xl77">
    <w:name w:val="xl77"/>
    <w:basedOn w:val="Normal"/>
    <w:rsid w:val="009D2573"/>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right"/>
      <w:textAlignment w:val="center"/>
    </w:pPr>
    <w:rPr>
      <w:rFonts w:ascii="Times New Roman" w:eastAsia="Times New Roman" w:hAnsi="Times New Roman" w:cs="Times New Roman"/>
      <w:b/>
      <w:bCs/>
      <w:szCs w:val="24"/>
      <w:lang w:val="en-US"/>
    </w:rPr>
  </w:style>
  <w:style w:type="paragraph" w:customStyle="1" w:styleId="xl78">
    <w:name w:val="xl78"/>
    <w:basedOn w:val="Normal"/>
    <w:rsid w:val="009D2573"/>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jc w:val="right"/>
      <w:textAlignment w:val="center"/>
    </w:pPr>
    <w:rPr>
      <w:rFonts w:ascii="Times New Roman" w:eastAsia="Times New Roman" w:hAnsi="Times New Roman" w:cs="Times New Roman"/>
      <w:b/>
      <w:bCs/>
      <w:color w:val="000000"/>
      <w:szCs w:val="24"/>
      <w:lang w:val="en-US"/>
    </w:rPr>
  </w:style>
  <w:style w:type="paragraph" w:customStyle="1" w:styleId="xl79">
    <w:name w:val="xl79"/>
    <w:basedOn w:val="Normal"/>
    <w:rsid w:val="009D2573"/>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right"/>
      <w:textAlignment w:val="center"/>
    </w:pPr>
    <w:rPr>
      <w:rFonts w:ascii="Times New Roman" w:eastAsia="Times New Roman" w:hAnsi="Times New Roman" w:cs="Times New Roman"/>
      <w:b/>
      <w:bCs/>
      <w:szCs w:val="24"/>
      <w:lang w:val="en-US"/>
    </w:rPr>
  </w:style>
  <w:style w:type="paragraph" w:customStyle="1" w:styleId="xl80">
    <w:name w:val="xl80"/>
    <w:basedOn w:val="Normal"/>
    <w:qFormat/>
    <w:rsid w:val="009D25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Cs w:val="24"/>
      <w:lang w:val="en-US"/>
    </w:rPr>
  </w:style>
  <w:style w:type="paragraph" w:customStyle="1" w:styleId="xl81">
    <w:name w:val="xl81"/>
    <w:basedOn w:val="Normal"/>
    <w:rsid w:val="009D257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b/>
      <w:bCs/>
      <w:color w:val="000000"/>
      <w:szCs w:val="24"/>
      <w:lang w:val="en-US"/>
    </w:rPr>
  </w:style>
  <w:style w:type="paragraph" w:customStyle="1" w:styleId="xl82">
    <w:name w:val="xl82"/>
    <w:basedOn w:val="Normal"/>
    <w:rsid w:val="009D2573"/>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jc w:val="left"/>
      <w:textAlignment w:val="center"/>
    </w:pPr>
    <w:rPr>
      <w:rFonts w:ascii="Times New Roman" w:eastAsia="Times New Roman" w:hAnsi="Times New Roman" w:cs="Times New Roman"/>
      <w:b/>
      <w:bCs/>
      <w:color w:val="000000"/>
      <w:szCs w:val="24"/>
      <w:lang w:val="en-US"/>
    </w:rPr>
  </w:style>
  <w:style w:type="paragraph" w:customStyle="1" w:styleId="xl83">
    <w:name w:val="xl83"/>
    <w:basedOn w:val="Normal"/>
    <w:qFormat/>
    <w:rsid w:val="009D2573"/>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jc w:val="center"/>
      <w:textAlignment w:val="center"/>
    </w:pPr>
    <w:rPr>
      <w:rFonts w:ascii="Times New Roman" w:eastAsia="Times New Roman" w:hAnsi="Times New Roman" w:cs="Times New Roman"/>
      <w:b/>
      <w:bCs/>
      <w:color w:val="000000"/>
      <w:szCs w:val="24"/>
      <w:lang w:val="en-US"/>
    </w:rPr>
  </w:style>
  <w:style w:type="paragraph" w:customStyle="1" w:styleId="xl84">
    <w:name w:val="xl84"/>
    <w:basedOn w:val="Normal"/>
    <w:qFormat/>
    <w:rsid w:val="009D2573"/>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center"/>
      <w:textAlignment w:val="center"/>
    </w:pPr>
    <w:rPr>
      <w:rFonts w:ascii="Times New Roman" w:eastAsia="Times New Roman" w:hAnsi="Times New Roman" w:cs="Times New Roman"/>
      <w:szCs w:val="24"/>
      <w:lang w:val="en-US"/>
    </w:rPr>
  </w:style>
  <w:style w:type="paragraph" w:customStyle="1" w:styleId="xl85">
    <w:name w:val="xl85"/>
    <w:basedOn w:val="Normal"/>
    <w:qFormat/>
    <w:rsid w:val="009D2573"/>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right"/>
      <w:textAlignment w:val="center"/>
    </w:pPr>
    <w:rPr>
      <w:rFonts w:ascii="Times New Roman" w:eastAsia="Times New Roman" w:hAnsi="Times New Roman" w:cs="Times New Roman"/>
      <w:szCs w:val="24"/>
      <w:lang w:val="en-US"/>
    </w:rPr>
  </w:style>
  <w:style w:type="paragraph" w:customStyle="1" w:styleId="xl86">
    <w:name w:val="xl86"/>
    <w:basedOn w:val="Normal"/>
    <w:qFormat/>
    <w:rsid w:val="009D2573"/>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center"/>
      <w:textAlignment w:val="center"/>
    </w:pPr>
    <w:rPr>
      <w:rFonts w:ascii="Times New Roman" w:eastAsia="Times New Roman" w:hAnsi="Times New Roman" w:cs="Times New Roman"/>
      <w:b/>
      <w:bCs/>
      <w:szCs w:val="24"/>
      <w:lang w:val="en-US"/>
    </w:rPr>
  </w:style>
  <w:style w:type="paragraph" w:customStyle="1" w:styleId="xl87">
    <w:name w:val="xl87"/>
    <w:basedOn w:val="Normal"/>
    <w:qFormat/>
    <w:rsid w:val="009D2573"/>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center"/>
      <w:textAlignment w:val="center"/>
    </w:pPr>
    <w:rPr>
      <w:rFonts w:ascii="Times New Roman" w:eastAsia="Times New Roman" w:hAnsi="Times New Roman" w:cs="Times New Roman"/>
      <w:szCs w:val="24"/>
      <w:lang w:val="en-US"/>
    </w:rPr>
  </w:style>
  <w:style w:type="paragraph" w:customStyle="1" w:styleId="xl88">
    <w:name w:val="xl88"/>
    <w:basedOn w:val="Normal"/>
    <w:rsid w:val="009D2573"/>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left"/>
      <w:textAlignment w:val="center"/>
    </w:pPr>
    <w:rPr>
      <w:rFonts w:ascii="Times New Roman" w:eastAsia="Times New Roman" w:hAnsi="Times New Roman" w:cs="Times New Roman"/>
      <w:b/>
      <w:bCs/>
      <w:szCs w:val="24"/>
      <w:lang w:val="en-US"/>
    </w:rPr>
  </w:style>
  <w:style w:type="paragraph" w:customStyle="1" w:styleId="xl89">
    <w:name w:val="xl89"/>
    <w:basedOn w:val="Normal"/>
    <w:rsid w:val="009D2573"/>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left"/>
      <w:textAlignment w:val="center"/>
    </w:pPr>
    <w:rPr>
      <w:rFonts w:ascii="Times New Roman" w:eastAsia="Times New Roman" w:hAnsi="Times New Roman" w:cs="Times New Roman"/>
      <w:b/>
      <w:bCs/>
      <w:szCs w:val="24"/>
      <w:lang w:val="en-US"/>
    </w:rPr>
  </w:style>
  <w:style w:type="paragraph" w:customStyle="1" w:styleId="xl90">
    <w:name w:val="xl90"/>
    <w:basedOn w:val="Normal"/>
    <w:qFormat/>
    <w:rsid w:val="009D2573"/>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jc w:val="left"/>
      <w:textAlignment w:val="center"/>
    </w:pPr>
    <w:rPr>
      <w:rFonts w:ascii="Times New Roman" w:eastAsia="Times New Roman" w:hAnsi="Times New Roman" w:cs="Times New Roman"/>
      <w:b/>
      <w:bCs/>
      <w:szCs w:val="24"/>
      <w:lang w:val="en-US"/>
    </w:rPr>
  </w:style>
  <w:style w:type="paragraph" w:customStyle="1" w:styleId="xl91">
    <w:name w:val="xl91"/>
    <w:basedOn w:val="Normal"/>
    <w:qFormat/>
    <w:rsid w:val="009D2573"/>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cs="Times New Roman"/>
      <w:szCs w:val="24"/>
      <w:lang w:val="en-US"/>
    </w:rPr>
  </w:style>
  <w:style w:type="paragraph" w:customStyle="1" w:styleId="xl92">
    <w:name w:val="xl92"/>
    <w:basedOn w:val="Normal"/>
    <w:rsid w:val="009D2573"/>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right"/>
      <w:textAlignment w:val="center"/>
    </w:pPr>
    <w:rPr>
      <w:rFonts w:ascii="Times New Roman" w:eastAsia="Times New Roman" w:hAnsi="Times New Roman" w:cs="Times New Roman"/>
      <w:szCs w:val="24"/>
      <w:lang w:val="en-US"/>
    </w:rPr>
  </w:style>
  <w:style w:type="paragraph" w:customStyle="1" w:styleId="xl93">
    <w:name w:val="xl93"/>
    <w:basedOn w:val="Normal"/>
    <w:qFormat/>
    <w:rsid w:val="009D2573"/>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cs="Times New Roman"/>
      <w:szCs w:val="24"/>
      <w:lang w:val="en-US"/>
    </w:rPr>
  </w:style>
  <w:style w:type="paragraph" w:customStyle="1" w:styleId="xl94">
    <w:name w:val="xl94"/>
    <w:basedOn w:val="Normal"/>
    <w:qFormat/>
    <w:rsid w:val="009D2573"/>
    <w:pPr>
      <w:pBdr>
        <w:top w:val="single" w:sz="4" w:space="0" w:color="000000"/>
        <w:left w:val="single" w:sz="4" w:space="0" w:color="000000"/>
        <w:bottom w:val="single" w:sz="4" w:space="0" w:color="000000"/>
        <w:right w:val="single" w:sz="4" w:space="0" w:color="000000"/>
      </w:pBdr>
      <w:shd w:val="clear" w:color="000000" w:fill="9BC2E6"/>
      <w:spacing w:before="100" w:beforeAutospacing="1" w:after="100" w:afterAutospacing="1"/>
      <w:jc w:val="left"/>
      <w:textAlignment w:val="center"/>
    </w:pPr>
    <w:rPr>
      <w:rFonts w:ascii="Times New Roman" w:eastAsia="Times New Roman" w:hAnsi="Times New Roman" w:cs="Times New Roman"/>
      <w:b/>
      <w:bCs/>
      <w:szCs w:val="24"/>
      <w:lang w:val="en-US"/>
    </w:rPr>
  </w:style>
  <w:style w:type="paragraph" w:customStyle="1" w:styleId="xl95">
    <w:name w:val="xl95"/>
    <w:basedOn w:val="Normal"/>
    <w:rsid w:val="009D2573"/>
    <w:pPr>
      <w:pBdr>
        <w:left w:val="single" w:sz="4" w:space="0" w:color="000000"/>
        <w:right w:val="single" w:sz="4" w:space="0" w:color="000000"/>
      </w:pBdr>
      <w:shd w:val="clear" w:color="000000" w:fill="9BC2E6"/>
      <w:spacing w:before="100" w:beforeAutospacing="1" w:after="100" w:afterAutospacing="1"/>
      <w:jc w:val="center"/>
      <w:textAlignment w:val="center"/>
    </w:pPr>
    <w:rPr>
      <w:rFonts w:ascii="Times New Roman" w:eastAsia="Times New Roman" w:hAnsi="Times New Roman" w:cs="Times New Roman"/>
      <w:b/>
      <w:bCs/>
      <w:color w:val="000000"/>
      <w:szCs w:val="24"/>
      <w:lang w:val="en-US"/>
    </w:rPr>
  </w:style>
  <w:style w:type="paragraph" w:customStyle="1" w:styleId="xl96">
    <w:name w:val="xl96"/>
    <w:basedOn w:val="Normal"/>
    <w:rsid w:val="009D2573"/>
    <w:pPr>
      <w:pBdr>
        <w:top w:val="single" w:sz="4" w:space="0" w:color="000000"/>
        <w:left w:val="single" w:sz="4" w:space="0" w:color="000000"/>
        <w:bottom w:val="single" w:sz="4" w:space="0" w:color="000000"/>
        <w:right w:val="single" w:sz="4" w:space="0" w:color="000000"/>
      </w:pBdr>
      <w:shd w:val="clear" w:color="000000" w:fill="9BC2E6"/>
      <w:spacing w:before="100" w:beforeAutospacing="1" w:after="100" w:afterAutospacing="1"/>
      <w:jc w:val="center"/>
      <w:textAlignment w:val="center"/>
    </w:pPr>
    <w:rPr>
      <w:rFonts w:ascii="Times New Roman" w:eastAsia="Times New Roman" w:hAnsi="Times New Roman" w:cs="Times New Roman"/>
      <w:b/>
      <w:bCs/>
      <w:color w:val="000000"/>
      <w:szCs w:val="24"/>
      <w:lang w:val="en-US"/>
    </w:rPr>
  </w:style>
  <w:style w:type="paragraph" w:customStyle="1" w:styleId="xl97">
    <w:name w:val="xl97"/>
    <w:basedOn w:val="Normal"/>
    <w:rsid w:val="009D2573"/>
    <w:pPr>
      <w:spacing w:before="100" w:beforeAutospacing="1" w:after="100" w:afterAutospacing="1"/>
      <w:jc w:val="center"/>
    </w:pPr>
    <w:rPr>
      <w:rFonts w:ascii="Times New Roman" w:eastAsia="Times New Roman" w:hAnsi="Times New Roman" w:cs="Times New Roman"/>
      <w:szCs w:val="24"/>
      <w:lang w:val="en-US"/>
    </w:rPr>
  </w:style>
  <w:style w:type="paragraph" w:customStyle="1" w:styleId="xl98">
    <w:name w:val="xl98"/>
    <w:basedOn w:val="Normal"/>
    <w:rsid w:val="009D2573"/>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cs="Times New Roman"/>
      <w:color w:val="000000"/>
      <w:szCs w:val="24"/>
      <w:lang w:val="en-US"/>
    </w:rPr>
  </w:style>
  <w:style w:type="paragraph" w:customStyle="1" w:styleId="xl99">
    <w:name w:val="xl99"/>
    <w:basedOn w:val="Normal"/>
    <w:qFormat/>
    <w:rsid w:val="009D2573"/>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cs="Times New Roman"/>
      <w:szCs w:val="24"/>
      <w:lang w:val="en-US"/>
    </w:rPr>
  </w:style>
  <w:style w:type="paragraph" w:customStyle="1" w:styleId="xl100">
    <w:name w:val="xl100"/>
    <w:basedOn w:val="Normal"/>
    <w:rsid w:val="009D2573"/>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cs="Times New Roman"/>
      <w:szCs w:val="24"/>
      <w:lang w:val="en-US"/>
    </w:rPr>
  </w:style>
  <w:style w:type="paragraph" w:customStyle="1" w:styleId="xl101">
    <w:name w:val="xl101"/>
    <w:basedOn w:val="Normal"/>
    <w:qFormat/>
    <w:rsid w:val="009D2573"/>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cs="Times New Roman"/>
      <w:b/>
      <w:bCs/>
      <w:szCs w:val="24"/>
      <w:lang w:val="en-US"/>
    </w:rPr>
  </w:style>
  <w:style w:type="paragraph" w:customStyle="1" w:styleId="xl102">
    <w:name w:val="xl102"/>
    <w:basedOn w:val="Normal"/>
    <w:rsid w:val="009D2573"/>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cs="Times New Roman"/>
      <w:szCs w:val="24"/>
      <w:lang w:val="en-US"/>
    </w:rPr>
  </w:style>
  <w:style w:type="paragraph" w:customStyle="1" w:styleId="xl103">
    <w:name w:val="xl103"/>
    <w:basedOn w:val="Normal"/>
    <w:rsid w:val="009D2573"/>
    <w:pPr>
      <w:pBdr>
        <w:left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cs="Times New Roman"/>
      <w:szCs w:val="24"/>
      <w:lang w:val="en-US"/>
    </w:rPr>
  </w:style>
  <w:style w:type="paragraph" w:customStyle="1" w:styleId="xl104">
    <w:name w:val="xl104"/>
    <w:basedOn w:val="Normal"/>
    <w:qFormat/>
    <w:rsid w:val="009D2573"/>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cs="Times New Roman"/>
      <w:b/>
      <w:bCs/>
      <w:szCs w:val="24"/>
      <w:lang w:val="en-US"/>
    </w:rPr>
  </w:style>
  <w:style w:type="paragraph" w:customStyle="1" w:styleId="xl105">
    <w:name w:val="xl105"/>
    <w:basedOn w:val="Normal"/>
    <w:rsid w:val="009D2573"/>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cs="Times New Roman"/>
      <w:color w:val="000000"/>
      <w:szCs w:val="24"/>
      <w:lang w:val="en-US"/>
    </w:rPr>
  </w:style>
  <w:style w:type="paragraph" w:customStyle="1" w:styleId="xl106">
    <w:name w:val="xl106"/>
    <w:basedOn w:val="Normal"/>
    <w:qFormat/>
    <w:rsid w:val="009D2573"/>
    <w:pPr>
      <w:pBdr>
        <w:top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cs="Times New Roman"/>
      <w:b/>
      <w:bCs/>
      <w:szCs w:val="24"/>
      <w:lang w:val="en-US"/>
    </w:rPr>
  </w:style>
  <w:style w:type="paragraph" w:customStyle="1" w:styleId="xl107">
    <w:name w:val="xl107"/>
    <w:basedOn w:val="Normal"/>
    <w:qFormat/>
    <w:rsid w:val="009D2573"/>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right"/>
      <w:textAlignment w:val="center"/>
    </w:pPr>
    <w:rPr>
      <w:rFonts w:ascii="Times New Roman" w:eastAsia="Times New Roman" w:hAnsi="Times New Roman" w:cs="Times New Roman"/>
      <w:b/>
      <w:bCs/>
      <w:szCs w:val="24"/>
      <w:lang w:val="en-US"/>
    </w:rPr>
  </w:style>
  <w:style w:type="paragraph" w:customStyle="1" w:styleId="xl108">
    <w:name w:val="xl108"/>
    <w:basedOn w:val="Normal"/>
    <w:qFormat/>
    <w:rsid w:val="009D2573"/>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right"/>
      <w:textAlignment w:val="center"/>
    </w:pPr>
    <w:rPr>
      <w:rFonts w:ascii="Times New Roman" w:eastAsia="Times New Roman" w:hAnsi="Times New Roman" w:cs="Times New Roman"/>
      <w:szCs w:val="24"/>
      <w:lang w:val="en-US"/>
    </w:rPr>
  </w:style>
  <w:style w:type="paragraph" w:customStyle="1" w:styleId="xl109">
    <w:name w:val="xl109"/>
    <w:basedOn w:val="Normal"/>
    <w:qFormat/>
    <w:rsid w:val="009D2573"/>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cs="Times New Roman"/>
      <w:color w:val="000000"/>
      <w:szCs w:val="24"/>
      <w:lang w:val="en-US"/>
    </w:rPr>
  </w:style>
  <w:style w:type="paragraph" w:customStyle="1" w:styleId="xl110">
    <w:name w:val="xl110"/>
    <w:basedOn w:val="Normal"/>
    <w:qFormat/>
    <w:rsid w:val="009D2573"/>
    <w:pPr>
      <w:pBdr>
        <w:top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cs="Times New Roman"/>
      <w:szCs w:val="24"/>
      <w:lang w:val="en-US"/>
    </w:rPr>
  </w:style>
  <w:style w:type="paragraph" w:customStyle="1" w:styleId="xl111">
    <w:name w:val="xl111"/>
    <w:basedOn w:val="Normal"/>
    <w:qFormat/>
    <w:rsid w:val="009D2573"/>
    <w:pPr>
      <w:pBdr>
        <w:bottom w:val="single" w:sz="4" w:space="0" w:color="auto"/>
        <w:right w:val="single" w:sz="4" w:space="0" w:color="auto"/>
      </w:pBdr>
      <w:shd w:val="clear" w:color="000000" w:fill="9BC2E6"/>
      <w:spacing w:before="100" w:beforeAutospacing="1" w:after="100" w:afterAutospacing="1"/>
      <w:jc w:val="center"/>
      <w:textAlignment w:val="center"/>
    </w:pPr>
    <w:rPr>
      <w:rFonts w:ascii="Times New Roman" w:eastAsia="Times New Roman" w:hAnsi="Times New Roman" w:cs="Times New Roman"/>
      <w:b/>
      <w:bCs/>
      <w:szCs w:val="24"/>
      <w:lang w:val="en-US"/>
    </w:rPr>
  </w:style>
  <w:style w:type="paragraph" w:customStyle="1" w:styleId="xl112">
    <w:name w:val="xl112"/>
    <w:basedOn w:val="Normal"/>
    <w:qFormat/>
    <w:rsid w:val="009D2573"/>
    <w:pPr>
      <w:pBdr>
        <w:left w:val="single" w:sz="4" w:space="0" w:color="auto"/>
        <w:bottom w:val="single" w:sz="4" w:space="0" w:color="auto"/>
        <w:right w:val="single" w:sz="4" w:space="0" w:color="auto"/>
      </w:pBdr>
      <w:shd w:val="clear" w:color="000000" w:fill="9BC2E6"/>
      <w:spacing w:before="100" w:beforeAutospacing="1" w:after="100" w:afterAutospacing="1"/>
      <w:jc w:val="center"/>
      <w:textAlignment w:val="center"/>
    </w:pPr>
    <w:rPr>
      <w:rFonts w:ascii="Times New Roman" w:eastAsia="Times New Roman" w:hAnsi="Times New Roman" w:cs="Times New Roman"/>
      <w:b/>
      <w:bCs/>
      <w:szCs w:val="24"/>
      <w:lang w:val="en-US"/>
    </w:rPr>
  </w:style>
  <w:style w:type="paragraph" w:customStyle="1" w:styleId="xl113">
    <w:name w:val="xl113"/>
    <w:basedOn w:val="Normal"/>
    <w:qFormat/>
    <w:rsid w:val="009D2573"/>
    <w:pPr>
      <w:pBdr>
        <w:left w:val="single" w:sz="4" w:space="0" w:color="auto"/>
        <w:bottom w:val="single" w:sz="4" w:space="0" w:color="auto"/>
        <w:right w:val="single" w:sz="4" w:space="0" w:color="auto"/>
      </w:pBdr>
      <w:shd w:val="clear" w:color="000000" w:fill="9BC2E6"/>
      <w:spacing w:before="100" w:beforeAutospacing="1" w:after="100" w:afterAutospacing="1"/>
      <w:jc w:val="right"/>
      <w:textAlignment w:val="center"/>
    </w:pPr>
    <w:rPr>
      <w:rFonts w:ascii="Times New Roman" w:eastAsia="Times New Roman" w:hAnsi="Times New Roman" w:cs="Times New Roman"/>
      <w:b/>
      <w:bCs/>
      <w:szCs w:val="24"/>
      <w:lang w:val="en-US"/>
    </w:rPr>
  </w:style>
  <w:style w:type="paragraph" w:customStyle="1" w:styleId="xl114">
    <w:name w:val="xl114"/>
    <w:basedOn w:val="Normal"/>
    <w:qFormat/>
    <w:rsid w:val="009D2573"/>
    <w:pPr>
      <w:pBdr>
        <w:top w:val="single" w:sz="4" w:space="0" w:color="auto"/>
        <w:left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cs="Times New Roman"/>
      <w:szCs w:val="24"/>
      <w:lang w:val="en-US"/>
    </w:rPr>
  </w:style>
  <w:style w:type="paragraph" w:customStyle="1" w:styleId="xl115">
    <w:name w:val="xl115"/>
    <w:basedOn w:val="Normal"/>
    <w:qFormat/>
    <w:rsid w:val="009D2573"/>
    <w:pPr>
      <w:pBdr>
        <w:top w:val="single" w:sz="4" w:space="0" w:color="auto"/>
        <w:left w:val="single" w:sz="4" w:space="0" w:color="auto"/>
        <w:bottom w:val="single" w:sz="4" w:space="0" w:color="auto"/>
        <w:right w:val="single" w:sz="4" w:space="0" w:color="auto"/>
      </w:pBdr>
      <w:shd w:val="clear" w:color="FFF2CC" w:fill="FFF2CC"/>
      <w:spacing w:before="100" w:beforeAutospacing="1" w:after="100" w:afterAutospacing="1"/>
      <w:jc w:val="center"/>
      <w:textAlignment w:val="center"/>
    </w:pPr>
    <w:rPr>
      <w:rFonts w:ascii="Times New Roman" w:eastAsia="Times New Roman" w:hAnsi="Times New Roman" w:cs="Times New Roman"/>
      <w:szCs w:val="24"/>
      <w:lang w:val="en-US"/>
    </w:rPr>
  </w:style>
  <w:style w:type="paragraph" w:customStyle="1" w:styleId="xl116">
    <w:name w:val="xl116"/>
    <w:basedOn w:val="Normal"/>
    <w:qFormat/>
    <w:rsid w:val="009D2573"/>
    <w:pPr>
      <w:pBdr>
        <w:top w:val="single" w:sz="4" w:space="0" w:color="000000"/>
        <w:left w:val="single" w:sz="4" w:space="0" w:color="000000"/>
        <w:bottom w:val="single" w:sz="4" w:space="0" w:color="000000"/>
        <w:right w:val="single" w:sz="4" w:space="0" w:color="000000"/>
      </w:pBdr>
      <w:shd w:val="clear" w:color="FFF2CC" w:fill="FFF2CC"/>
      <w:spacing w:before="100" w:beforeAutospacing="1" w:after="100" w:afterAutospacing="1"/>
      <w:jc w:val="center"/>
      <w:textAlignment w:val="center"/>
    </w:pPr>
    <w:rPr>
      <w:rFonts w:ascii="Times New Roman" w:eastAsia="Times New Roman" w:hAnsi="Times New Roman" w:cs="Times New Roman"/>
      <w:szCs w:val="24"/>
      <w:lang w:val="en-US"/>
    </w:rPr>
  </w:style>
  <w:style w:type="paragraph" w:customStyle="1" w:styleId="xl117">
    <w:name w:val="xl117"/>
    <w:basedOn w:val="Normal"/>
    <w:rsid w:val="009D2573"/>
    <w:pPr>
      <w:pBdr>
        <w:top w:val="single" w:sz="4" w:space="0" w:color="auto"/>
        <w:left w:val="single" w:sz="4" w:space="0" w:color="auto"/>
        <w:bottom w:val="single" w:sz="4" w:space="0" w:color="auto"/>
      </w:pBdr>
      <w:shd w:val="clear" w:color="000000" w:fill="9BC2E6"/>
      <w:spacing w:before="100" w:beforeAutospacing="1" w:after="100" w:afterAutospacing="1"/>
      <w:jc w:val="center"/>
      <w:textAlignment w:val="center"/>
    </w:pPr>
    <w:rPr>
      <w:rFonts w:ascii="Times New Roman" w:eastAsia="Times New Roman" w:hAnsi="Times New Roman" w:cs="Times New Roman"/>
      <w:b/>
      <w:bCs/>
      <w:szCs w:val="24"/>
      <w:lang w:val="en-US"/>
    </w:rPr>
  </w:style>
  <w:style w:type="paragraph" w:customStyle="1" w:styleId="xl118">
    <w:name w:val="xl118"/>
    <w:basedOn w:val="Normal"/>
    <w:rsid w:val="009D2573"/>
    <w:pPr>
      <w:pBdr>
        <w:top w:val="single" w:sz="4" w:space="0" w:color="auto"/>
        <w:left w:val="single" w:sz="4" w:space="0" w:color="auto"/>
        <w:bottom w:val="single" w:sz="4" w:space="0" w:color="auto"/>
        <w:right w:val="single" w:sz="4" w:space="0" w:color="auto"/>
      </w:pBdr>
      <w:shd w:val="clear" w:color="FFF2CC" w:fill="FFF2CC"/>
      <w:spacing w:before="100" w:beforeAutospacing="1" w:after="100" w:afterAutospacing="1"/>
      <w:jc w:val="left"/>
      <w:textAlignment w:val="center"/>
    </w:pPr>
    <w:rPr>
      <w:rFonts w:ascii="Times New Roman" w:eastAsia="Times New Roman" w:hAnsi="Times New Roman" w:cs="Times New Roman"/>
      <w:szCs w:val="24"/>
      <w:lang w:val="en-US"/>
    </w:rPr>
  </w:style>
  <w:style w:type="paragraph" w:customStyle="1" w:styleId="xl119">
    <w:name w:val="xl119"/>
    <w:basedOn w:val="Normal"/>
    <w:rsid w:val="009D2573"/>
    <w:pPr>
      <w:pBdr>
        <w:top w:val="single" w:sz="4" w:space="0" w:color="auto"/>
        <w:left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cs="Times New Roman"/>
      <w:b/>
      <w:bCs/>
      <w:szCs w:val="24"/>
      <w:lang w:val="en-US"/>
    </w:rPr>
  </w:style>
  <w:style w:type="paragraph" w:customStyle="1" w:styleId="xl120">
    <w:name w:val="xl120"/>
    <w:basedOn w:val="Normal"/>
    <w:rsid w:val="009D2573"/>
    <w:pPr>
      <w:pBdr>
        <w:top w:val="single" w:sz="4" w:space="0" w:color="auto"/>
        <w:left w:val="single" w:sz="4" w:space="0" w:color="auto"/>
        <w:bottom w:val="single" w:sz="4" w:space="0" w:color="auto"/>
        <w:right w:val="single" w:sz="4" w:space="0" w:color="auto"/>
      </w:pBdr>
      <w:shd w:val="clear" w:color="FFF2CC" w:fill="FFF2CC"/>
      <w:spacing w:before="100" w:beforeAutospacing="1" w:after="100" w:afterAutospacing="1"/>
      <w:jc w:val="left"/>
      <w:textAlignment w:val="center"/>
    </w:pPr>
    <w:rPr>
      <w:rFonts w:ascii="Times New Roman" w:eastAsia="Times New Roman" w:hAnsi="Times New Roman" w:cs="Times New Roman"/>
      <w:szCs w:val="24"/>
      <w:lang w:val="en-US"/>
    </w:rPr>
  </w:style>
  <w:style w:type="paragraph" w:customStyle="1" w:styleId="xl121">
    <w:name w:val="xl121"/>
    <w:basedOn w:val="Normal"/>
    <w:rsid w:val="009D2573"/>
    <w:pPr>
      <w:pBdr>
        <w:left w:val="single" w:sz="4" w:space="0" w:color="auto"/>
        <w:bottom w:val="single" w:sz="4" w:space="0" w:color="auto"/>
        <w:right w:val="single" w:sz="4" w:space="0" w:color="auto"/>
      </w:pBdr>
      <w:shd w:val="clear" w:color="000000" w:fill="9BC2E6"/>
      <w:spacing w:before="100" w:beforeAutospacing="1" w:after="100" w:afterAutospacing="1"/>
      <w:jc w:val="center"/>
      <w:textAlignment w:val="center"/>
    </w:pPr>
    <w:rPr>
      <w:rFonts w:ascii="Times New Roman" w:eastAsia="Times New Roman" w:hAnsi="Times New Roman" w:cs="Times New Roman"/>
      <w:szCs w:val="24"/>
      <w:lang w:val="en-US"/>
    </w:rPr>
  </w:style>
  <w:style w:type="paragraph" w:customStyle="1" w:styleId="xl122">
    <w:name w:val="xl122"/>
    <w:basedOn w:val="Normal"/>
    <w:rsid w:val="009D2573"/>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cs="Times New Roman"/>
      <w:szCs w:val="24"/>
      <w:lang w:val="en-US"/>
    </w:rPr>
  </w:style>
  <w:style w:type="paragraph" w:customStyle="1" w:styleId="xl123">
    <w:name w:val="xl123"/>
    <w:basedOn w:val="Normal"/>
    <w:rsid w:val="009D2573"/>
    <w:pPr>
      <w:pBdr>
        <w:top w:val="single" w:sz="4" w:space="0" w:color="auto"/>
        <w:left w:val="single" w:sz="4" w:space="0" w:color="auto"/>
        <w:bottom w:val="single" w:sz="4" w:space="0" w:color="auto"/>
        <w:right w:val="single" w:sz="4" w:space="0" w:color="auto"/>
      </w:pBdr>
      <w:shd w:val="clear" w:color="FFF2CC" w:fill="FFF2CC"/>
      <w:spacing w:before="100" w:beforeAutospacing="1" w:after="100" w:afterAutospacing="1"/>
      <w:jc w:val="center"/>
      <w:textAlignment w:val="center"/>
    </w:pPr>
    <w:rPr>
      <w:rFonts w:ascii="Times New Roman" w:eastAsia="Times New Roman" w:hAnsi="Times New Roman" w:cs="Times New Roman"/>
      <w:b/>
      <w:bCs/>
      <w:szCs w:val="24"/>
      <w:lang w:val="en-US"/>
    </w:rPr>
  </w:style>
  <w:style w:type="paragraph" w:customStyle="1" w:styleId="xl124">
    <w:name w:val="xl124"/>
    <w:basedOn w:val="Normal"/>
    <w:rsid w:val="009D2573"/>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cs="Times New Roman"/>
      <w:b/>
      <w:bCs/>
      <w:szCs w:val="24"/>
      <w:lang w:val="en-US"/>
    </w:rPr>
  </w:style>
  <w:style w:type="paragraph" w:customStyle="1" w:styleId="xl125">
    <w:name w:val="xl125"/>
    <w:basedOn w:val="Normal"/>
    <w:rsid w:val="009D2573"/>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cs="Times New Roman"/>
      <w:szCs w:val="24"/>
      <w:lang w:val="en-US"/>
    </w:rPr>
  </w:style>
  <w:style w:type="paragraph" w:customStyle="1" w:styleId="xl126">
    <w:name w:val="xl126"/>
    <w:basedOn w:val="Normal"/>
    <w:rsid w:val="009D2573"/>
    <w:pPr>
      <w:pBdr>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cs="Times New Roman"/>
      <w:color w:val="000000"/>
      <w:szCs w:val="24"/>
      <w:lang w:val="en-US"/>
    </w:rPr>
  </w:style>
  <w:style w:type="paragraph" w:customStyle="1" w:styleId="xl127">
    <w:name w:val="xl127"/>
    <w:basedOn w:val="Normal"/>
    <w:rsid w:val="009D2573"/>
    <w:pPr>
      <w:pBdr>
        <w:bottom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cs="Times New Roman"/>
      <w:b/>
      <w:bCs/>
      <w:szCs w:val="24"/>
      <w:lang w:val="en-US"/>
    </w:rPr>
  </w:style>
  <w:style w:type="paragraph" w:customStyle="1" w:styleId="xl128">
    <w:name w:val="xl128"/>
    <w:basedOn w:val="Normal"/>
    <w:rsid w:val="009D2573"/>
    <w:pPr>
      <w:pBdr>
        <w:left w:val="single" w:sz="4" w:space="0" w:color="auto"/>
        <w:bottom w:val="single" w:sz="4" w:space="0" w:color="auto"/>
        <w:right w:val="single" w:sz="4" w:space="0" w:color="auto"/>
      </w:pBdr>
      <w:shd w:val="clear" w:color="000000" w:fill="FFF2CC"/>
      <w:spacing w:before="100" w:beforeAutospacing="1" w:after="100" w:afterAutospacing="1"/>
      <w:jc w:val="right"/>
      <w:textAlignment w:val="center"/>
    </w:pPr>
    <w:rPr>
      <w:rFonts w:ascii="Times New Roman" w:eastAsia="Times New Roman" w:hAnsi="Times New Roman" w:cs="Times New Roman"/>
      <w:b/>
      <w:bCs/>
      <w:szCs w:val="24"/>
      <w:lang w:val="en-US"/>
    </w:rPr>
  </w:style>
  <w:style w:type="paragraph" w:customStyle="1" w:styleId="xl129">
    <w:name w:val="xl129"/>
    <w:basedOn w:val="Normal"/>
    <w:rsid w:val="009D2573"/>
    <w:pPr>
      <w:pBdr>
        <w:bottom w:val="single" w:sz="4" w:space="0" w:color="auto"/>
      </w:pBdr>
      <w:spacing w:before="100" w:beforeAutospacing="1" w:after="100" w:afterAutospacing="1"/>
      <w:jc w:val="left"/>
    </w:pPr>
    <w:rPr>
      <w:rFonts w:ascii="Times New Roman" w:eastAsia="Times New Roman" w:hAnsi="Times New Roman" w:cs="Times New Roman"/>
      <w:szCs w:val="24"/>
      <w:lang w:val="en-US"/>
    </w:rPr>
  </w:style>
  <w:style w:type="paragraph" w:customStyle="1" w:styleId="xl130">
    <w:name w:val="xl130"/>
    <w:basedOn w:val="Normal"/>
    <w:rsid w:val="009D2573"/>
    <w:pPr>
      <w:pBdr>
        <w:top w:val="single" w:sz="4" w:space="0" w:color="auto"/>
        <w:left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cs="Times New Roman"/>
      <w:color w:val="000000"/>
      <w:szCs w:val="24"/>
      <w:lang w:val="en-US"/>
    </w:rPr>
  </w:style>
  <w:style w:type="paragraph" w:customStyle="1" w:styleId="xl131">
    <w:name w:val="xl131"/>
    <w:basedOn w:val="Normal"/>
    <w:rsid w:val="009D2573"/>
    <w:pPr>
      <w:pBdr>
        <w:left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cs="Times New Roman"/>
      <w:color w:val="000000"/>
      <w:szCs w:val="24"/>
      <w:lang w:val="en-US"/>
    </w:rPr>
  </w:style>
  <w:style w:type="paragraph" w:customStyle="1" w:styleId="xl132">
    <w:name w:val="xl132"/>
    <w:basedOn w:val="Normal"/>
    <w:rsid w:val="009D2573"/>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cs="Times New Roman"/>
      <w:color w:val="000000"/>
      <w:szCs w:val="24"/>
      <w:lang w:val="en-US"/>
    </w:rPr>
  </w:style>
  <w:style w:type="paragraph" w:customStyle="1" w:styleId="xl133">
    <w:name w:val="xl133"/>
    <w:basedOn w:val="Normal"/>
    <w:rsid w:val="009D2573"/>
    <w:pPr>
      <w:pBdr>
        <w:left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cs="Times New Roman"/>
      <w:szCs w:val="24"/>
      <w:lang w:val="en-US"/>
    </w:rPr>
  </w:style>
  <w:style w:type="paragraph" w:customStyle="1" w:styleId="xl134">
    <w:name w:val="xl134"/>
    <w:basedOn w:val="Normal"/>
    <w:rsid w:val="009D2573"/>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cs="Times New Roman"/>
      <w:szCs w:val="24"/>
      <w:lang w:val="en-US"/>
    </w:rPr>
  </w:style>
  <w:style w:type="paragraph" w:customStyle="1" w:styleId="xl135">
    <w:name w:val="xl135"/>
    <w:basedOn w:val="Normal"/>
    <w:rsid w:val="009D257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Times New Roman" w:eastAsia="Times New Roman" w:hAnsi="Times New Roman" w:cs="Times New Roman"/>
      <w:b/>
      <w:bCs/>
      <w:color w:val="000000"/>
      <w:sz w:val="28"/>
      <w:szCs w:val="28"/>
      <w:lang w:val="en-US"/>
    </w:rPr>
  </w:style>
  <w:style w:type="paragraph" w:customStyle="1" w:styleId="xl136">
    <w:name w:val="xl136"/>
    <w:basedOn w:val="Normal"/>
    <w:rsid w:val="009D257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Times New Roman" w:eastAsia="Times New Roman" w:hAnsi="Times New Roman" w:cs="Times New Roman"/>
      <w:b/>
      <w:bCs/>
      <w:color w:val="000000"/>
      <w:szCs w:val="24"/>
      <w:lang w:val="en-US"/>
    </w:rPr>
  </w:style>
  <w:style w:type="paragraph" w:customStyle="1" w:styleId="xl137">
    <w:name w:val="xl137"/>
    <w:basedOn w:val="Normal"/>
    <w:rsid w:val="009D2573"/>
    <w:pPr>
      <w:pBdr>
        <w:top w:val="single" w:sz="4" w:space="0" w:color="auto"/>
        <w:left w:val="single" w:sz="4" w:space="0" w:color="auto"/>
        <w:bottom w:val="single" w:sz="4" w:space="0" w:color="auto"/>
        <w:right w:val="single" w:sz="4" w:space="0" w:color="auto"/>
      </w:pBdr>
      <w:shd w:val="clear" w:color="000000" w:fill="1F4E78"/>
      <w:spacing w:before="100" w:beforeAutospacing="1" w:after="100" w:afterAutospacing="1"/>
      <w:jc w:val="center"/>
      <w:textAlignment w:val="center"/>
    </w:pPr>
    <w:rPr>
      <w:rFonts w:ascii="Times New Roman" w:eastAsia="Times New Roman" w:hAnsi="Times New Roman" w:cs="Times New Roman"/>
      <w:b/>
      <w:bCs/>
      <w:color w:val="FFFFFF"/>
      <w:sz w:val="28"/>
      <w:szCs w:val="28"/>
      <w:lang w:val="en-US"/>
    </w:rPr>
  </w:style>
  <w:style w:type="paragraph" w:customStyle="1" w:styleId="xl138">
    <w:name w:val="xl138"/>
    <w:basedOn w:val="Normal"/>
    <w:rsid w:val="009D2573"/>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rFonts w:ascii="Times New Roman" w:eastAsia="Times New Roman" w:hAnsi="Times New Roman" w:cs="Times New Roman"/>
      <w:b/>
      <w:bCs/>
      <w:color w:val="000000"/>
      <w:szCs w:val="24"/>
      <w:lang w:val="en-US"/>
    </w:rPr>
  </w:style>
  <w:style w:type="paragraph" w:customStyle="1" w:styleId="xl139">
    <w:name w:val="xl139"/>
    <w:basedOn w:val="Normal"/>
    <w:rsid w:val="009D2573"/>
    <w:pPr>
      <w:pBdr>
        <w:top w:val="single" w:sz="4" w:space="0" w:color="000000"/>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cs="Times New Roman"/>
      <w:szCs w:val="24"/>
      <w:lang w:val="en-US"/>
    </w:rPr>
  </w:style>
  <w:style w:type="paragraph" w:customStyle="1" w:styleId="xl140">
    <w:name w:val="xl140"/>
    <w:basedOn w:val="Normal"/>
    <w:rsid w:val="009D2573"/>
    <w:pPr>
      <w:pBdr>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cs="Times New Roman"/>
      <w:szCs w:val="24"/>
      <w:lang w:val="en-US"/>
    </w:rPr>
  </w:style>
  <w:style w:type="paragraph" w:customStyle="1" w:styleId="xl141">
    <w:name w:val="xl141"/>
    <w:basedOn w:val="Normal"/>
    <w:rsid w:val="009D2573"/>
    <w:pPr>
      <w:pBdr>
        <w:bottom w:val="single" w:sz="4" w:space="0" w:color="000000"/>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cs="Times New Roman"/>
      <w:szCs w:val="24"/>
      <w:lang w:val="en-US"/>
    </w:rPr>
  </w:style>
  <w:style w:type="paragraph" w:customStyle="1" w:styleId="xl142">
    <w:name w:val="xl142"/>
    <w:basedOn w:val="Normal"/>
    <w:rsid w:val="009D2573"/>
    <w:pPr>
      <w:pBdr>
        <w:top w:val="single" w:sz="4" w:space="0" w:color="000000"/>
        <w:left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cs="Times New Roman"/>
      <w:szCs w:val="24"/>
      <w:lang w:val="en-US"/>
    </w:rPr>
  </w:style>
  <w:style w:type="paragraph" w:customStyle="1" w:styleId="xl143">
    <w:name w:val="xl143"/>
    <w:basedOn w:val="Normal"/>
    <w:rsid w:val="009D257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b/>
      <w:bCs/>
      <w:color w:val="000000"/>
      <w:szCs w:val="24"/>
      <w:lang w:val="en-US"/>
    </w:rPr>
  </w:style>
  <w:style w:type="paragraph" w:customStyle="1" w:styleId="xl144">
    <w:name w:val="xl144"/>
    <w:basedOn w:val="Normal"/>
    <w:rsid w:val="009D2573"/>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Cs w:val="24"/>
      <w:lang w:val="en-US"/>
    </w:rPr>
  </w:style>
  <w:style w:type="paragraph" w:customStyle="1" w:styleId="xl145">
    <w:name w:val="xl145"/>
    <w:basedOn w:val="Normal"/>
    <w:rsid w:val="009D2573"/>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Cs w:val="24"/>
      <w:lang w:val="en-US"/>
    </w:rPr>
  </w:style>
  <w:style w:type="paragraph" w:customStyle="1" w:styleId="xl146">
    <w:name w:val="xl146"/>
    <w:basedOn w:val="Normal"/>
    <w:rsid w:val="009D25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Cs w:val="24"/>
      <w:lang w:val="en-US"/>
    </w:rPr>
  </w:style>
  <w:style w:type="character" w:customStyle="1" w:styleId="FootnoteCharacters">
    <w:name w:val="Footnote Characters"/>
    <w:rsid w:val="009D2573"/>
  </w:style>
  <w:style w:type="paragraph" w:customStyle="1" w:styleId="FootnoteText1">
    <w:name w:val="Footnote Text1"/>
    <w:basedOn w:val="Normal"/>
    <w:rsid w:val="009D2573"/>
    <w:pPr>
      <w:suppressAutoHyphens/>
      <w:spacing w:before="0" w:after="0" w:line="100" w:lineRule="atLeast"/>
      <w:jc w:val="left"/>
    </w:pPr>
    <w:rPr>
      <w:rFonts w:ascii="Calibri" w:eastAsia="SimSun" w:hAnsi="Calibri" w:cs="font1236"/>
      <w:sz w:val="20"/>
      <w:szCs w:val="20"/>
      <w:lang w:eastAsia="ar-SA"/>
    </w:rPr>
  </w:style>
  <w:style w:type="paragraph" w:styleId="NoSpacing">
    <w:name w:val="No Spacing"/>
    <w:uiPriority w:val="1"/>
    <w:qFormat/>
    <w:rsid w:val="00773C1D"/>
    <w:pPr>
      <w:spacing w:before="0" w:after="0" w:line="240" w:lineRule="auto"/>
    </w:pPr>
    <w:rPr>
      <w:rFonts w:ascii="Calibri" w:hAnsi="Calibri" w:cs="Calibri"/>
    </w:rPr>
  </w:style>
  <w:style w:type="paragraph" w:customStyle="1" w:styleId="Default">
    <w:name w:val="Default"/>
    <w:rsid w:val="00773C1D"/>
    <w:pPr>
      <w:autoSpaceDE w:val="0"/>
      <w:autoSpaceDN w:val="0"/>
      <w:adjustRightInd w:val="0"/>
      <w:spacing w:before="0" w:after="0" w:line="240" w:lineRule="auto"/>
    </w:pPr>
    <w:rPr>
      <w:rFonts w:ascii="Times New Roman" w:hAnsi="Times New Roman" w:cs="Times New Roman"/>
      <w:color w:val="000000"/>
      <w:sz w:val="24"/>
      <w:szCs w:val="24"/>
    </w:rPr>
  </w:style>
  <w:style w:type="character" w:customStyle="1" w:styleId="contentpasted1">
    <w:name w:val="contentpasted1"/>
    <w:basedOn w:val="DefaultParagraphFont"/>
    <w:rsid w:val="00773C1D"/>
  </w:style>
  <w:style w:type="character" w:styleId="UnresolvedMention">
    <w:name w:val="Unresolved Mention"/>
    <w:basedOn w:val="DefaultParagraphFont"/>
    <w:uiPriority w:val="99"/>
    <w:semiHidden/>
    <w:unhideWhenUsed/>
    <w:rsid w:val="00E771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3053249">
      <w:bodyDiv w:val="1"/>
      <w:marLeft w:val="0"/>
      <w:marRight w:val="0"/>
      <w:marTop w:val="0"/>
      <w:marBottom w:val="0"/>
      <w:divBdr>
        <w:top w:val="none" w:sz="0" w:space="0" w:color="auto"/>
        <w:left w:val="none" w:sz="0" w:space="0" w:color="auto"/>
        <w:bottom w:val="none" w:sz="0" w:space="0" w:color="auto"/>
        <w:right w:val="none" w:sz="0" w:space="0" w:color="auto"/>
      </w:divBdr>
    </w:div>
    <w:div w:id="812141524">
      <w:bodyDiv w:val="1"/>
      <w:marLeft w:val="0"/>
      <w:marRight w:val="0"/>
      <w:marTop w:val="0"/>
      <w:marBottom w:val="0"/>
      <w:divBdr>
        <w:top w:val="none" w:sz="0" w:space="0" w:color="auto"/>
        <w:left w:val="none" w:sz="0" w:space="0" w:color="auto"/>
        <w:bottom w:val="none" w:sz="0" w:space="0" w:color="auto"/>
        <w:right w:val="none" w:sz="0" w:space="0" w:color="auto"/>
      </w:divBdr>
    </w:div>
    <w:div w:id="889464363">
      <w:bodyDiv w:val="1"/>
      <w:marLeft w:val="0"/>
      <w:marRight w:val="0"/>
      <w:marTop w:val="0"/>
      <w:marBottom w:val="0"/>
      <w:divBdr>
        <w:top w:val="none" w:sz="0" w:space="0" w:color="auto"/>
        <w:left w:val="none" w:sz="0" w:space="0" w:color="auto"/>
        <w:bottom w:val="none" w:sz="0" w:space="0" w:color="auto"/>
        <w:right w:val="none" w:sz="0" w:space="0" w:color="auto"/>
      </w:divBdr>
    </w:div>
    <w:div w:id="1319068592">
      <w:bodyDiv w:val="1"/>
      <w:marLeft w:val="0"/>
      <w:marRight w:val="0"/>
      <w:marTop w:val="0"/>
      <w:marBottom w:val="0"/>
      <w:divBdr>
        <w:top w:val="none" w:sz="0" w:space="0" w:color="auto"/>
        <w:left w:val="none" w:sz="0" w:space="0" w:color="auto"/>
        <w:bottom w:val="none" w:sz="0" w:space="0" w:color="auto"/>
        <w:right w:val="none" w:sz="0" w:space="0" w:color="auto"/>
      </w:divBdr>
    </w:div>
    <w:div w:id="1332489627">
      <w:bodyDiv w:val="1"/>
      <w:marLeft w:val="0"/>
      <w:marRight w:val="0"/>
      <w:marTop w:val="0"/>
      <w:marBottom w:val="0"/>
      <w:divBdr>
        <w:top w:val="none" w:sz="0" w:space="0" w:color="auto"/>
        <w:left w:val="none" w:sz="0" w:space="0" w:color="auto"/>
        <w:bottom w:val="none" w:sz="0" w:space="0" w:color="auto"/>
        <w:right w:val="none" w:sz="0" w:space="0" w:color="auto"/>
      </w:divBdr>
      <w:divsChild>
        <w:div w:id="2048408452">
          <w:marLeft w:val="547"/>
          <w:marRight w:val="0"/>
          <w:marTop w:val="0"/>
          <w:marBottom w:val="0"/>
          <w:divBdr>
            <w:top w:val="none" w:sz="0" w:space="0" w:color="auto"/>
            <w:left w:val="none" w:sz="0" w:space="0" w:color="auto"/>
            <w:bottom w:val="none" w:sz="0" w:space="0" w:color="auto"/>
            <w:right w:val="none" w:sz="0" w:space="0" w:color="auto"/>
          </w:divBdr>
        </w:div>
      </w:divsChild>
    </w:div>
    <w:div w:id="1692992931">
      <w:bodyDiv w:val="1"/>
      <w:marLeft w:val="0"/>
      <w:marRight w:val="0"/>
      <w:marTop w:val="0"/>
      <w:marBottom w:val="0"/>
      <w:divBdr>
        <w:top w:val="none" w:sz="0" w:space="0" w:color="auto"/>
        <w:left w:val="none" w:sz="0" w:space="0" w:color="auto"/>
        <w:bottom w:val="none" w:sz="0" w:space="0" w:color="auto"/>
        <w:right w:val="none" w:sz="0" w:space="0" w:color="auto"/>
      </w:divBdr>
    </w:div>
    <w:div w:id="1754935694">
      <w:bodyDiv w:val="1"/>
      <w:marLeft w:val="0"/>
      <w:marRight w:val="0"/>
      <w:marTop w:val="0"/>
      <w:marBottom w:val="0"/>
      <w:divBdr>
        <w:top w:val="none" w:sz="0" w:space="0" w:color="auto"/>
        <w:left w:val="none" w:sz="0" w:space="0" w:color="auto"/>
        <w:bottom w:val="none" w:sz="0" w:space="0" w:color="auto"/>
        <w:right w:val="none" w:sz="0" w:space="0" w:color="auto"/>
      </w:divBdr>
    </w:div>
    <w:div w:id="1937051625">
      <w:bodyDiv w:val="1"/>
      <w:marLeft w:val="0"/>
      <w:marRight w:val="0"/>
      <w:marTop w:val="0"/>
      <w:marBottom w:val="0"/>
      <w:divBdr>
        <w:top w:val="none" w:sz="0" w:space="0" w:color="auto"/>
        <w:left w:val="none" w:sz="0" w:space="0" w:color="auto"/>
        <w:bottom w:val="none" w:sz="0" w:space="0" w:color="auto"/>
        <w:right w:val="none" w:sz="0" w:space="0" w:color="auto"/>
      </w:divBdr>
    </w:div>
    <w:div w:id="20476775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diagramLayout" Target="diagrams/layout2.xml"/><Relationship Id="rId26" Type="http://schemas.microsoft.com/office/2007/relationships/diagramDrawing" Target="diagrams/drawing3.xml"/><Relationship Id="rId3" Type="http://schemas.openxmlformats.org/officeDocument/2006/relationships/customXml" Target="../customXml/item3.xml"/><Relationship Id="rId21" Type="http://schemas.microsoft.com/office/2007/relationships/diagramDrawing" Target="diagrams/drawing2.xml"/><Relationship Id="rId34" Type="http://schemas.openxmlformats.org/officeDocument/2006/relationships/image" Target="media/image4.jpeg"/><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diagramData" Target="diagrams/data2.xml"/><Relationship Id="rId25" Type="http://schemas.openxmlformats.org/officeDocument/2006/relationships/diagramColors" Target="diagrams/colors3.xml"/><Relationship Id="rId33" Type="http://schemas.openxmlformats.org/officeDocument/2006/relationships/image" Target="media/image3.jpeg"/><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diagramColors" Target="diagrams/colors2.xml"/><Relationship Id="rId29" Type="http://schemas.openxmlformats.org/officeDocument/2006/relationships/diagramQuickStyle" Target="diagrams/quickStyle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diagramQuickStyle" Target="diagrams/quickStyle3.xml"/><Relationship Id="rId32"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diagramColors" Target="diagrams/colors1.xml"/><Relationship Id="rId23" Type="http://schemas.openxmlformats.org/officeDocument/2006/relationships/diagramLayout" Target="diagrams/layout3.xml"/><Relationship Id="rId28" Type="http://schemas.openxmlformats.org/officeDocument/2006/relationships/diagramLayout" Target="diagrams/layout4.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diagramQuickStyle" Target="diagrams/quickStyle2.xml"/><Relationship Id="rId31" Type="http://schemas.microsoft.com/office/2007/relationships/diagramDrawing" Target="diagrams/drawing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 Id="rId22" Type="http://schemas.openxmlformats.org/officeDocument/2006/relationships/diagramData" Target="diagrams/data3.xml"/><Relationship Id="rId27" Type="http://schemas.openxmlformats.org/officeDocument/2006/relationships/diagramData" Target="diagrams/data4.xml"/><Relationship Id="rId30" Type="http://schemas.openxmlformats.org/officeDocument/2006/relationships/diagramColors" Target="diagrams/colors4.xml"/><Relationship Id="rId35" Type="http://schemas.openxmlformats.org/officeDocument/2006/relationships/fontTable" Target="fontTable.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albania.iom.int/sites/g/files/tmzbdl1401/files/documents/2023-03/IOM%20Albania%20Infosheet.pdf" TargetMode="External"/><Relationship Id="rId13" Type="http://schemas.openxmlformats.org/officeDocument/2006/relationships/hyperlink" Target="https://tradingeconomics.com/albania/youth-unemployment-rate" TargetMode="External"/><Relationship Id="rId18" Type="http://schemas.openxmlformats.org/officeDocument/2006/relationships/hyperlink" Target="https://www.pragueprocess.eu/en/about" TargetMode="External"/><Relationship Id="rId3" Type="http://schemas.openxmlformats.org/officeDocument/2006/relationships/hyperlink" Target="https://neighbourhood-enlargement.ec.europa.eu/system/files/2023" TargetMode="External"/><Relationship Id="rId21" Type="http://schemas.openxmlformats.org/officeDocument/2006/relationships/hyperlink" Target="https://bih.iom.int/sites/g/files/tmzbdl1076/files/documents/2023-06/sarajevo-migration-dialogue-2023-action-plan-final.pdf" TargetMode="External"/><Relationship Id="rId7" Type="http://schemas.openxmlformats.org/officeDocument/2006/relationships/hyperlink" Target="https://www.instat.gov.al/al/temat/treguesit-demografik%C3%AB-dhe-social%C3%AB/migracioni-dhe-integrimi-i-migrant%C3%ABve/" TargetMode="External"/><Relationship Id="rId12" Type="http://schemas.openxmlformats.org/officeDocument/2006/relationships/hyperlink" Target="https://qbz.gov.al/eli/vendim/2020/03/12/222" TargetMode="External"/><Relationship Id="rId17" Type="http://schemas.openxmlformats.org/officeDocument/2006/relationships/hyperlink" Target="https://www.pragueprocess.eu/en/migration-observatory/publications/34-briefs/178-the-10th-anniversary-of-the-prague-process/download" TargetMode="External"/><Relationship Id="rId2" Type="http://schemas.openxmlformats.org/officeDocument/2006/relationships/hyperlink" Target="https://globalcompactrefugees.org/sites/default/files/2019-12/Global%20compact%20on%20refugees%20EN.pdf" TargetMode="External"/><Relationship Id="rId16" Type="http://schemas.openxmlformats.org/officeDocument/2006/relationships/hyperlink" Target="https://www.consilium.europa.eu/media/60568/tirana-declaration-en.pdf" TargetMode="External"/><Relationship Id="rId20" Type="http://schemas.openxmlformats.org/officeDocument/2006/relationships/hyperlink" Target="https://north-macedonia.iom.int/sites/g/files/tmzbdl2301/files/documents/Skopje%20Declaration.pdf" TargetMode="External"/><Relationship Id="rId1" Type="http://schemas.openxmlformats.org/officeDocument/2006/relationships/hyperlink" Target="https://integrimi-ne-be.punetejashtme.gov.al/wp-content/uploads/2022/02/NPEI_2022-2024_EN-.pdf" TargetMode="External"/><Relationship Id="rId6" Type="http://schemas.openxmlformats.org/officeDocument/2006/relationships/hyperlink" Target="https://www.instat.gov.al/al/temat/treguesit-demografik%C3%AB-dhe-social%C3%AB/migracioni-dhe-integrimi-i-migrant%C3%ABve/" TargetMode="External"/><Relationship Id="rId11" Type="http://schemas.openxmlformats.org/officeDocument/2006/relationships/hyperlink" Target="https://migrationnetwork.un.org/system/files/docs/Albania%20-%20Voluntary%20Review%20Report%20to%20IMRF.pdf" TargetMode="External"/><Relationship Id="rId5" Type="http://schemas.openxmlformats.org/officeDocument/2006/relationships/hyperlink" Target="https://www.instat.gov.al/al/temat/treguesit-demografik%C3%AB-dhe-social%C3%AB/migracioni-dhe-integrimi-i-migrant%C3%ABve/" TargetMode="External"/><Relationship Id="rId15" Type="http://schemas.openxmlformats.org/officeDocument/2006/relationships/hyperlink" Target="https://www.giz.de/en/downloads_els/The_Berlin_Process.pdf" TargetMode="External"/><Relationship Id="rId23" Type="http://schemas.openxmlformats.org/officeDocument/2006/relationships/hyperlink" Target="https://www.bankofalbania.org/rc/doc/Revista_Ekonimike_6M2_2020_Shqip_19286.pdf" TargetMode="External"/><Relationship Id="rId10" Type="http://schemas.openxmlformats.org/officeDocument/2006/relationships/hyperlink" Target="https://www.unhcr.org/refugee-statistics/do&#235;nload/?url=tKZ2A3" TargetMode="External"/><Relationship Id="rId19" Type="http://schemas.openxmlformats.org/officeDocument/2006/relationships/hyperlink" Target="https://www.pragueprocess.eu/en/resources/repository/46-programme-documents/365-prague-process-action-plan-2023-2027/download" TargetMode="External"/><Relationship Id="rId4" Type="http://schemas.openxmlformats.org/officeDocument/2006/relationships/hyperlink" Target="https://eur-lex.europa.eu/legal-content/EN/TXT/?uri=CELEX%3A52021DC0120&amp;qid=1632401748181" TargetMode="External"/><Relationship Id="rId9" Type="http://schemas.openxmlformats.org/officeDocument/2006/relationships/hyperlink" Target="https://ec.europa.eu/eurostat/databrowser/view/MIGR_RESVAS__custom_6568453/default/table?lang=en" TargetMode="External"/><Relationship Id="rId14" Type="http://schemas.openxmlformats.org/officeDocument/2006/relationships/hyperlink" Target="https://cefta.int/wp-content/uploads/2022/07/CEFTA-Leaflet-ENG_digital-LINK-kor.pdf" TargetMode="External"/><Relationship Id="rId22" Type="http://schemas.openxmlformats.org/officeDocument/2006/relationships/hyperlink" Target="https://www.instat.gov.al/media/10081/anketa-tremujore-e-forcave-t%C3%AB-pun%C3%ABs-t1-2022.pdf"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7B15F9-6E0D-324B-A5CB-494E56D76996}" type="doc">
      <dgm:prSet loTypeId="urn:microsoft.com/office/officeart/2005/8/layout/vList3" loCatId="" qsTypeId="urn:microsoft.com/office/officeart/2005/8/quickstyle/simple1" qsCatId="simple" csTypeId="urn:microsoft.com/office/officeart/2005/8/colors/accent1_2" csCatId="accent1" phldr="1"/>
      <dgm:spPr/>
    </dgm:pt>
    <dgm:pt modelId="{2B8CBC3E-E7A6-CC40-8FE8-A86F9E6F7877}">
      <dgm:prSet phldrT="[Text]"/>
      <dgm:spPr>
        <a:xfrm rot="10800000">
          <a:off x="916100" y="738"/>
          <a:ext cx="3279556" cy="360188"/>
        </a:xfrm>
        <a:prstGeom prst="homePlat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Qeverisja e migracionit në Shqipëri nëpërmjet përmirësimit të kuadrit ligjor dhe institucional</a:t>
          </a:r>
          <a:endParaRPr lang="en-GB">
            <a:solidFill>
              <a:sysClr val="window" lastClr="FFFFFF"/>
            </a:solidFill>
            <a:latin typeface="Calibri" panose="020F0502020204030204"/>
            <a:ea typeface="+mn-ea"/>
            <a:cs typeface="+mn-cs"/>
          </a:endParaRPr>
        </a:p>
      </dgm:t>
    </dgm:pt>
    <dgm:pt modelId="{0C823347-FF65-BA4D-B17D-B5AA66C7EE08}" type="parTrans" cxnId="{54051E2C-F1FA-214B-BD92-2DE796C9CEAF}">
      <dgm:prSet/>
      <dgm:spPr/>
      <dgm:t>
        <a:bodyPr/>
        <a:lstStyle/>
        <a:p>
          <a:endParaRPr lang="en-GB"/>
        </a:p>
      </dgm:t>
    </dgm:pt>
    <dgm:pt modelId="{A8B7AECB-7D83-3F4A-87C5-02493FEE1703}" type="sibTrans" cxnId="{54051E2C-F1FA-214B-BD92-2DE796C9CEAF}">
      <dgm:prSet/>
      <dgm:spPr/>
      <dgm:t>
        <a:bodyPr/>
        <a:lstStyle/>
        <a:p>
          <a:endParaRPr lang="en-GB"/>
        </a:p>
      </dgm:t>
    </dgm:pt>
    <dgm:pt modelId="{92C3535C-DC37-C44E-8A39-F28EF050E0B9}">
      <dgm:prSet phldrT="[Text]"/>
      <dgm:spPr>
        <a:xfrm rot="10800000">
          <a:off x="916100" y="454900"/>
          <a:ext cx="3279556" cy="360188"/>
        </a:xfrm>
        <a:prstGeom prst="homePlat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Hartimi dhe rishikimi i politikave të migracionit bazuar në të dhëna të sakta dhe të koordinuara</a:t>
          </a:r>
          <a:endParaRPr lang="en-GB">
            <a:solidFill>
              <a:sysClr val="window" lastClr="FFFFFF"/>
            </a:solidFill>
            <a:latin typeface="Calibri" panose="020F0502020204030204"/>
            <a:ea typeface="+mn-ea"/>
            <a:cs typeface="+mn-cs"/>
          </a:endParaRPr>
        </a:p>
      </dgm:t>
    </dgm:pt>
    <dgm:pt modelId="{ABD7A5E2-FABB-184B-A11D-DF4EF764AD8E}" type="parTrans" cxnId="{824F441C-FB29-E444-BEEC-C7B5FE142C61}">
      <dgm:prSet/>
      <dgm:spPr/>
      <dgm:t>
        <a:bodyPr/>
        <a:lstStyle/>
        <a:p>
          <a:endParaRPr lang="en-GB"/>
        </a:p>
      </dgm:t>
    </dgm:pt>
    <dgm:pt modelId="{AF41B499-84F4-7047-A3E8-EF6F0CC4675E}" type="sibTrans" cxnId="{824F441C-FB29-E444-BEEC-C7B5FE142C61}">
      <dgm:prSet/>
      <dgm:spPr/>
      <dgm:t>
        <a:bodyPr/>
        <a:lstStyle/>
        <a:p>
          <a:endParaRPr lang="en-GB"/>
        </a:p>
      </dgm:t>
    </dgm:pt>
    <dgm:pt modelId="{977B5AA4-E371-F445-AB23-D2BDF23DC081}">
      <dgm:prSet phldrT="[Text]"/>
      <dgm:spPr>
        <a:xfrm rot="10800000">
          <a:off x="916100" y="909062"/>
          <a:ext cx="3279556" cy="360188"/>
        </a:xfrm>
        <a:prstGeom prst="homePlat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Forcimi i bashkëpunimit ndërkombëtar dhe partneriteteve për migrim të sigurt dhe të rregullt</a:t>
          </a:r>
          <a:endParaRPr lang="en-GB">
            <a:solidFill>
              <a:sysClr val="window" lastClr="FFFFFF"/>
            </a:solidFill>
            <a:latin typeface="Calibri" panose="020F0502020204030204"/>
            <a:ea typeface="+mn-ea"/>
            <a:cs typeface="+mn-cs"/>
          </a:endParaRPr>
        </a:p>
      </dgm:t>
    </dgm:pt>
    <dgm:pt modelId="{977FBF2F-98AC-5C4E-AB88-41D984900202}" type="parTrans" cxnId="{15F90C32-DB98-8B46-B63F-24B0BF1545F0}">
      <dgm:prSet/>
      <dgm:spPr/>
      <dgm:t>
        <a:bodyPr/>
        <a:lstStyle/>
        <a:p>
          <a:endParaRPr lang="en-GB"/>
        </a:p>
      </dgm:t>
    </dgm:pt>
    <dgm:pt modelId="{C35F1ED0-038E-6D4D-A82F-C03F2BAB5F40}" type="sibTrans" cxnId="{15F90C32-DB98-8B46-B63F-24B0BF1545F0}">
      <dgm:prSet/>
      <dgm:spPr/>
      <dgm:t>
        <a:bodyPr/>
        <a:lstStyle/>
        <a:p>
          <a:endParaRPr lang="en-GB"/>
        </a:p>
      </dgm:t>
    </dgm:pt>
    <dgm:pt modelId="{31298FB4-E0C6-6C45-A432-265D8A4D4764}">
      <dgm:prSet/>
      <dgm:spPr>
        <a:xfrm rot="10800000">
          <a:off x="916100" y="1363225"/>
          <a:ext cx="3279556" cy="360188"/>
        </a:xfrm>
        <a:prstGeom prst="homePlat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Parandalimi i migrimit të parregullt drejt dhe nga Shqipëria</a:t>
          </a:r>
          <a:endParaRPr lang="en-GB">
            <a:solidFill>
              <a:sysClr val="window" lastClr="FFFFFF"/>
            </a:solidFill>
            <a:latin typeface="Calibri" panose="020F0502020204030204"/>
            <a:ea typeface="+mn-ea"/>
            <a:cs typeface="+mn-cs"/>
          </a:endParaRPr>
        </a:p>
      </dgm:t>
    </dgm:pt>
    <dgm:pt modelId="{0813BBD3-BAA0-9A46-A50C-CAB60149D80B}" type="parTrans" cxnId="{D3215827-7E42-A343-B71D-AA3E828E9034}">
      <dgm:prSet/>
      <dgm:spPr/>
      <dgm:t>
        <a:bodyPr/>
        <a:lstStyle/>
        <a:p>
          <a:endParaRPr lang="en-US"/>
        </a:p>
      </dgm:t>
    </dgm:pt>
    <dgm:pt modelId="{2E083581-3D97-9B4F-ACA9-E552C434CE71}" type="sibTrans" cxnId="{D3215827-7E42-A343-B71D-AA3E828E9034}">
      <dgm:prSet/>
      <dgm:spPr/>
      <dgm:t>
        <a:bodyPr/>
        <a:lstStyle/>
        <a:p>
          <a:endParaRPr lang="en-US"/>
        </a:p>
      </dgm:t>
    </dgm:pt>
    <dgm:pt modelId="{D91FD971-2A3D-5148-BDD7-FF69B99CD6FC}" type="pres">
      <dgm:prSet presAssocID="{007B15F9-6E0D-324B-A5CB-494E56D76996}" presName="linearFlow" presStyleCnt="0">
        <dgm:presLayoutVars>
          <dgm:dir/>
          <dgm:resizeHandles val="exact"/>
        </dgm:presLayoutVars>
      </dgm:prSet>
      <dgm:spPr/>
    </dgm:pt>
    <dgm:pt modelId="{AADF7BEB-AF17-3142-9AF2-3442DB92AB40}" type="pres">
      <dgm:prSet presAssocID="{2B8CBC3E-E7A6-CC40-8FE8-A86F9E6F7877}" presName="composite" presStyleCnt="0"/>
      <dgm:spPr/>
    </dgm:pt>
    <dgm:pt modelId="{8AC2A2C8-D66D-4548-94FD-34E057992793}" type="pres">
      <dgm:prSet presAssocID="{2B8CBC3E-E7A6-CC40-8FE8-A86F9E6F7877}" presName="imgShp" presStyleLbl="fgImgPlace1" presStyleIdx="0" presStyleCnt="4"/>
      <dgm:spPr>
        <a:xfrm>
          <a:off x="736006" y="738"/>
          <a:ext cx="360188" cy="360188"/>
        </a:xfrm>
        <a:prstGeom prst="ellipse">
          <a:avLst/>
        </a:prstGeom>
        <a:noFill/>
        <a:ln w="12700" cap="flat" cmpd="sng" algn="ctr">
          <a:noFill/>
          <a:prstDash val="solid"/>
          <a:miter lim="800000"/>
        </a:ln>
        <a:effectLst/>
      </dgm:spPr>
    </dgm:pt>
    <dgm:pt modelId="{9942E9AF-526C-4846-885B-6A512A5B8998}" type="pres">
      <dgm:prSet presAssocID="{2B8CBC3E-E7A6-CC40-8FE8-A86F9E6F7877}" presName="txShp" presStyleLbl="node1" presStyleIdx="0" presStyleCnt="4">
        <dgm:presLayoutVars>
          <dgm:bulletEnabled val="1"/>
        </dgm:presLayoutVars>
      </dgm:prSet>
      <dgm:spPr/>
    </dgm:pt>
    <dgm:pt modelId="{B5D495F9-62C5-9E4A-AC3E-2F48AB2CF46C}" type="pres">
      <dgm:prSet presAssocID="{A8B7AECB-7D83-3F4A-87C5-02493FEE1703}" presName="spacing" presStyleCnt="0"/>
      <dgm:spPr/>
    </dgm:pt>
    <dgm:pt modelId="{B5A27164-B678-424C-83DB-740CF835E01F}" type="pres">
      <dgm:prSet presAssocID="{92C3535C-DC37-C44E-8A39-F28EF050E0B9}" presName="composite" presStyleCnt="0"/>
      <dgm:spPr/>
    </dgm:pt>
    <dgm:pt modelId="{4DFFEF4E-059C-E348-B720-43870C318C6D}" type="pres">
      <dgm:prSet presAssocID="{92C3535C-DC37-C44E-8A39-F28EF050E0B9}" presName="imgShp" presStyleLbl="fgImgPlace1" presStyleIdx="1" presStyleCnt="4"/>
      <dgm:spPr>
        <a:xfrm>
          <a:off x="736006" y="454900"/>
          <a:ext cx="360188" cy="360188"/>
        </a:xfrm>
        <a:prstGeom prst="ellipse">
          <a:avLst/>
        </a:prstGeom>
        <a:noFill/>
        <a:ln w="12700" cap="flat" cmpd="sng" algn="ctr">
          <a:noFill/>
          <a:prstDash val="solid"/>
          <a:miter lim="800000"/>
        </a:ln>
        <a:effectLst/>
      </dgm:spPr>
    </dgm:pt>
    <dgm:pt modelId="{8D749915-99AF-AF4D-B7B4-C4FFE7B06C8B}" type="pres">
      <dgm:prSet presAssocID="{92C3535C-DC37-C44E-8A39-F28EF050E0B9}" presName="txShp" presStyleLbl="node1" presStyleIdx="1" presStyleCnt="4">
        <dgm:presLayoutVars>
          <dgm:bulletEnabled val="1"/>
        </dgm:presLayoutVars>
      </dgm:prSet>
      <dgm:spPr/>
    </dgm:pt>
    <dgm:pt modelId="{DB52FA75-9636-384F-8A49-EDFBB21D4B91}" type="pres">
      <dgm:prSet presAssocID="{AF41B499-84F4-7047-A3E8-EF6F0CC4675E}" presName="spacing" presStyleCnt="0"/>
      <dgm:spPr/>
    </dgm:pt>
    <dgm:pt modelId="{0BF51208-547C-5641-9BC0-0B11C9A65611}" type="pres">
      <dgm:prSet presAssocID="{977B5AA4-E371-F445-AB23-D2BDF23DC081}" presName="composite" presStyleCnt="0"/>
      <dgm:spPr/>
    </dgm:pt>
    <dgm:pt modelId="{10DCF8C1-EE51-C345-825C-4920C3095677}" type="pres">
      <dgm:prSet presAssocID="{977B5AA4-E371-F445-AB23-D2BDF23DC081}" presName="imgShp" presStyleLbl="fgImgPlace1" presStyleIdx="2" presStyleCnt="4"/>
      <dgm:spPr>
        <a:xfrm>
          <a:off x="736006" y="909062"/>
          <a:ext cx="360188" cy="360188"/>
        </a:xfrm>
        <a:prstGeom prst="ellipse">
          <a:avLst/>
        </a:prstGeom>
        <a:noFill/>
        <a:ln w="12700" cap="flat" cmpd="sng" algn="ctr">
          <a:noFill/>
          <a:prstDash val="solid"/>
          <a:miter lim="800000"/>
        </a:ln>
        <a:effectLst/>
      </dgm:spPr>
    </dgm:pt>
    <dgm:pt modelId="{2ECA5889-651E-5743-B729-F6C62A37CC01}" type="pres">
      <dgm:prSet presAssocID="{977B5AA4-E371-F445-AB23-D2BDF23DC081}" presName="txShp" presStyleLbl="node1" presStyleIdx="2" presStyleCnt="4">
        <dgm:presLayoutVars>
          <dgm:bulletEnabled val="1"/>
        </dgm:presLayoutVars>
      </dgm:prSet>
      <dgm:spPr/>
    </dgm:pt>
    <dgm:pt modelId="{CBAFBCFD-65D5-5F45-9B04-0F2089123382}" type="pres">
      <dgm:prSet presAssocID="{C35F1ED0-038E-6D4D-A82F-C03F2BAB5F40}" presName="spacing" presStyleCnt="0"/>
      <dgm:spPr/>
    </dgm:pt>
    <dgm:pt modelId="{FBEAD7E1-9063-5A4E-B116-B3489186F843}" type="pres">
      <dgm:prSet presAssocID="{31298FB4-E0C6-6C45-A432-265D8A4D4764}" presName="composite" presStyleCnt="0"/>
      <dgm:spPr/>
    </dgm:pt>
    <dgm:pt modelId="{6BE6D62E-C04B-0A4E-840B-59DEE73D934E}" type="pres">
      <dgm:prSet presAssocID="{31298FB4-E0C6-6C45-A432-265D8A4D4764}" presName="imgShp" presStyleLbl="fgImgPlace1" presStyleIdx="3" presStyleCnt="4"/>
      <dgm:spPr>
        <a:xfrm>
          <a:off x="736006" y="1363225"/>
          <a:ext cx="360188" cy="360188"/>
        </a:xfrm>
        <a:prstGeom prst="ellipse">
          <a:avLst/>
        </a:prstGeom>
        <a:noFill/>
        <a:ln w="12700" cap="flat" cmpd="sng" algn="ctr">
          <a:noFill/>
          <a:prstDash val="solid"/>
          <a:miter lim="800000"/>
        </a:ln>
        <a:effectLst/>
      </dgm:spPr>
    </dgm:pt>
    <dgm:pt modelId="{F6D4C3EF-5BFD-B54B-A3AE-3A7D1AE746A4}" type="pres">
      <dgm:prSet presAssocID="{31298FB4-E0C6-6C45-A432-265D8A4D4764}" presName="txShp" presStyleLbl="node1" presStyleIdx="3" presStyleCnt="4">
        <dgm:presLayoutVars>
          <dgm:bulletEnabled val="1"/>
        </dgm:presLayoutVars>
      </dgm:prSet>
      <dgm:spPr/>
    </dgm:pt>
  </dgm:ptLst>
  <dgm:cxnLst>
    <dgm:cxn modelId="{824F441C-FB29-E444-BEEC-C7B5FE142C61}" srcId="{007B15F9-6E0D-324B-A5CB-494E56D76996}" destId="{92C3535C-DC37-C44E-8A39-F28EF050E0B9}" srcOrd="1" destOrd="0" parTransId="{ABD7A5E2-FABB-184B-A11D-DF4EF764AD8E}" sibTransId="{AF41B499-84F4-7047-A3E8-EF6F0CC4675E}"/>
    <dgm:cxn modelId="{D3215827-7E42-A343-B71D-AA3E828E9034}" srcId="{007B15F9-6E0D-324B-A5CB-494E56D76996}" destId="{31298FB4-E0C6-6C45-A432-265D8A4D4764}" srcOrd="3" destOrd="0" parTransId="{0813BBD3-BAA0-9A46-A50C-CAB60149D80B}" sibTransId="{2E083581-3D97-9B4F-ACA9-E552C434CE71}"/>
    <dgm:cxn modelId="{54051E2C-F1FA-214B-BD92-2DE796C9CEAF}" srcId="{007B15F9-6E0D-324B-A5CB-494E56D76996}" destId="{2B8CBC3E-E7A6-CC40-8FE8-A86F9E6F7877}" srcOrd="0" destOrd="0" parTransId="{0C823347-FF65-BA4D-B17D-B5AA66C7EE08}" sibTransId="{A8B7AECB-7D83-3F4A-87C5-02493FEE1703}"/>
    <dgm:cxn modelId="{15F90C32-DB98-8B46-B63F-24B0BF1545F0}" srcId="{007B15F9-6E0D-324B-A5CB-494E56D76996}" destId="{977B5AA4-E371-F445-AB23-D2BDF23DC081}" srcOrd="2" destOrd="0" parTransId="{977FBF2F-98AC-5C4E-AB88-41D984900202}" sibTransId="{C35F1ED0-038E-6D4D-A82F-C03F2BAB5F40}"/>
    <dgm:cxn modelId="{4D530E5E-85E5-7E44-9FD3-311AABBE3E53}" type="presOf" srcId="{92C3535C-DC37-C44E-8A39-F28EF050E0B9}" destId="{8D749915-99AF-AF4D-B7B4-C4FFE7B06C8B}" srcOrd="0" destOrd="0" presId="urn:microsoft.com/office/officeart/2005/8/layout/vList3"/>
    <dgm:cxn modelId="{8D222565-5246-8A43-8720-4AF7D35AB78A}" type="presOf" srcId="{977B5AA4-E371-F445-AB23-D2BDF23DC081}" destId="{2ECA5889-651E-5743-B729-F6C62A37CC01}" srcOrd="0" destOrd="0" presId="urn:microsoft.com/office/officeart/2005/8/layout/vList3"/>
    <dgm:cxn modelId="{B65D666E-075A-E44F-90CE-7B3300347B9D}" type="presOf" srcId="{007B15F9-6E0D-324B-A5CB-494E56D76996}" destId="{D91FD971-2A3D-5148-BDD7-FF69B99CD6FC}" srcOrd="0" destOrd="0" presId="urn:microsoft.com/office/officeart/2005/8/layout/vList3"/>
    <dgm:cxn modelId="{FDE3A39A-4D7D-E344-8FC0-4AB71CE2766D}" type="presOf" srcId="{31298FB4-E0C6-6C45-A432-265D8A4D4764}" destId="{F6D4C3EF-5BFD-B54B-A3AE-3A7D1AE746A4}" srcOrd="0" destOrd="0" presId="urn:microsoft.com/office/officeart/2005/8/layout/vList3"/>
    <dgm:cxn modelId="{FA695ED5-E447-584F-BF47-DFC476D53404}" type="presOf" srcId="{2B8CBC3E-E7A6-CC40-8FE8-A86F9E6F7877}" destId="{9942E9AF-526C-4846-885B-6A512A5B8998}" srcOrd="0" destOrd="0" presId="urn:microsoft.com/office/officeart/2005/8/layout/vList3"/>
    <dgm:cxn modelId="{1E23DD31-CF03-FE40-9755-570A0EF008F4}" type="presParOf" srcId="{D91FD971-2A3D-5148-BDD7-FF69B99CD6FC}" destId="{AADF7BEB-AF17-3142-9AF2-3442DB92AB40}" srcOrd="0" destOrd="0" presId="urn:microsoft.com/office/officeart/2005/8/layout/vList3"/>
    <dgm:cxn modelId="{5D39C95A-329E-7F40-888F-B45F142EA611}" type="presParOf" srcId="{AADF7BEB-AF17-3142-9AF2-3442DB92AB40}" destId="{8AC2A2C8-D66D-4548-94FD-34E057992793}" srcOrd="0" destOrd="0" presId="urn:microsoft.com/office/officeart/2005/8/layout/vList3"/>
    <dgm:cxn modelId="{41787E80-48B8-D242-BC0A-B5E95618D41E}" type="presParOf" srcId="{AADF7BEB-AF17-3142-9AF2-3442DB92AB40}" destId="{9942E9AF-526C-4846-885B-6A512A5B8998}" srcOrd="1" destOrd="0" presId="urn:microsoft.com/office/officeart/2005/8/layout/vList3"/>
    <dgm:cxn modelId="{CA8F9E33-B320-F34F-B0B5-D271AF9BF1EE}" type="presParOf" srcId="{D91FD971-2A3D-5148-BDD7-FF69B99CD6FC}" destId="{B5D495F9-62C5-9E4A-AC3E-2F48AB2CF46C}" srcOrd="1" destOrd="0" presId="urn:microsoft.com/office/officeart/2005/8/layout/vList3"/>
    <dgm:cxn modelId="{2AE4E50F-5DDE-6B4E-9ABE-B58315CF9710}" type="presParOf" srcId="{D91FD971-2A3D-5148-BDD7-FF69B99CD6FC}" destId="{B5A27164-B678-424C-83DB-740CF835E01F}" srcOrd="2" destOrd="0" presId="urn:microsoft.com/office/officeart/2005/8/layout/vList3"/>
    <dgm:cxn modelId="{4A055855-6D56-1341-AF69-F195F65C2942}" type="presParOf" srcId="{B5A27164-B678-424C-83DB-740CF835E01F}" destId="{4DFFEF4E-059C-E348-B720-43870C318C6D}" srcOrd="0" destOrd="0" presId="urn:microsoft.com/office/officeart/2005/8/layout/vList3"/>
    <dgm:cxn modelId="{022936C5-CF0E-254D-9AC4-1C281609CC57}" type="presParOf" srcId="{B5A27164-B678-424C-83DB-740CF835E01F}" destId="{8D749915-99AF-AF4D-B7B4-C4FFE7B06C8B}" srcOrd="1" destOrd="0" presId="urn:microsoft.com/office/officeart/2005/8/layout/vList3"/>
    <dgm:cxn modelId="{689955B5-225B-A940-9B36-FD67D8BA4722}" type="presParOf" srcId="{D91FD971-2A3D-5148-BDD7-FF69B99CD6FC}" destId="{DB52FA75-9636-384F-8A49-EDFBB21D4B91}" srcOrd="3" destOrd="0" presId="urn:microsoft.com/office/officeart/2005/8/layout/vList3"/>
    <dgm:cxn modelId="{73BD7919-3666-6946-8C54-47E6C0492466}" type="presParOf" srcId="{D91FD971-2A3D-5148-BDD7-FF69B99CD6FC}" destId="{0BF51208-547C-5641-9BC0-0B11C9A65611}" srcOrd="4" destOrd="0" presId="urn:microsoft.com/office/officeart/2005/8/layout/vList3"/>
    <dgm:cxn modelId="{7770E1C6-70D9-6445-92EC-AF48F28F61E3}" type="presParOf" srcId="{0BF51208-547C-5641-9BC0-0B11C9A65611}" destId="{10DCF8C1-EE51-C345-825C-4920C3095677}" srcOrd="0" destOrd="0" presId="urn:microsoft.com/office/officeart/2005/8/layout/vList3"/>
    <dgm:cxn modelId="{8F672A41-C5E3-3542-B831-6F8DB89DF855}" type="presParOf" srcId="{0BF51208-547C-5641-9BC0-0B11C9A65611}" destId="{2ECA5889-651E-5743-B729-F6C62A37CC01}" srcOrd="1" destOrd="0" presId="urn:microsoft.com/office/officeart/2005/8/layout/vList3"/>
    <dgm:cxn modelId="{C5A788AA-A3BD-E24F-B2EF-51E293D96DDF}" type="presParOf" srcId="{D91FD971-2A3D-5148-BDD7-FF69B99CD6FC}" destId="{CBAFBCFD-65D5-5F45-9B04-0F2089123382}" srcOrd="5" destOrd="0" presId="urn:microsoft.com/office/officeart/2005/8/layout/vList3"/>
    <dgm:cxn modelId="{E7073049-1B3D-5A46-ADB3-2B877179302D}" type="presParOf" srcId="{D91FD971-2A3D-5148-BDD7-FF69B99CD6FC}" destId="{FBEAD7E1-9063-5A4E-B116-B3489186F843}" srcOrd="6" destOrd="0" presId="urn:microsoft.com/office/officeart/2005/8/layout/vList3"/>
    <dgm:cxn modelId="{47510DA0-2403-AD46-BD7B-A16503F97563}" type="presParOf" srcId="{FBEAD7E1-9063-5A4E-B116-B3489186F843}" destId="{6BE6D62E-C04B-0A4E-840B-59DEE73D934E}" srcOrd="0" destOrd="0" presId="urn:microsoft.com/office/officeart/2005/8/layout/vList3"/>
    <dgm:cxn modelId="{91DD8BDA-59F3-8346-B458-F6D8E5D905D6}" type="presParOf" srcId="{FBEAD7E1-9063-5A4E-B116-B3489186F843}" destId="{F6D4C3EF-5BFD-B54B-A3AE-3A7D1AE746A4}" srcOrd="1" destOrd="0" presId="urn:microsoft.com/office/officeart/2005/8/layout/vList3"/>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07B15F9-6E0D-324B-A5CB-494E56D76996}" type="doc">
      <dgm:prSet loTypeId="urn:microsoft.com/office/officeart/2005/8/layout/vList3" loCatId="" qsTypeId="urn:microsoft.com/office/officeart/2005/8/quickstyle/simple1" qsCatId="simple" csTypeId="urn:microsoft.com/office/officeart/2005/8/colors/accent1_2" csCatId="accent1" phldr="1"/>
      <dgm:spPr/>
    </dgm:pt>
    <dgm:pt modelId="{2B8CBC3E-E7A6-CC40-8FE8-A86F9E6F7877}">
      <dgm:prSet phldrT="[Text]"/>
      <dgm:spPr>
        <a:xfrm rot="10800000">
          <a:off x="971653" y="1271"/>
          <a:ext cx="3336310" cy="525218"/>
        </a:xfrm>
        <a:prstGeom prst="homePlat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Krijimi i mundësive ligjore dhe institucionale për migracionin e punës në dhe nga Shqipëria </a:t>
          </a:r>
          <a:endParaRPr lang="en-GB">
            <a:solidFill>
              <a:sysClr val="window" lastClr="FFFFFF"/>
            </a:solidFill>
            <a:latin typeface="Calibri" panose="020F0502020204030204"/>
            <a:ea typeface="+mn-ea"/>
            <a:cs typeface="+mn-cs"/>
          </a:endParaRPr>
        </a:p>
      </dgm:t>
    </dgm:pt>
    <dgm:pt modelId="{0C823347-FF65-BA4D-B17D-B5AA66C7EE08}" type="parTrans" cxnId="{54051E2C-F1FA-214B-BD92-2DE796C9CEAF}">
      <dgm:prSet/>
      <dgm:spPr/>
      <dgm:t>
        <a:bodyPr/>
        <a:lstStyle/>
        <a:p>
          <a:endParaRPr lang="en-GB"/>
        </a:p>
      </dgm:t>
    </dgm:pt>
    <dgm:pt modelId="{A8B7AECB-7D83-3F4A-87C5-02493FEE1703}" type="sibTrans" cxnId="{54051E2C-F1FA-214B-BD92-2DE796C9CEAF}">
      <dgm:prSet/>
      <dgm:spPr/>
      <dgm:t>
        <a:bodyPr/>
        <a:lstStyle/>
        <a:p>
          <a:endParaRPr lang="en-GB"/>
        </a:p>
      </dgm:t>
    </dgm:pt>
    <dgm:pt modelId="{92C3535C-DC37-C44E-8A39-F28EF050E0B9}">
      <dgm:prSet phldrT="[Text]"/>
      <dgm:spPr>
        <a:xfrm rot="10800000">
          <a:off x="971653" y="672618"/>
          <a:ext cx="3336310" cy="525218"/>
        </a:xfrm>
        <a:prstGeom prst="homePlat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Krijimi i mundësive dhe stimujve për emigrantët që të kontribuojnë në zhvillimin e qëndrueshëm </a:t>
          </a:r>
          <a:endParaRPr lang="en-GB">
            <a:solidFill>
              <a:sysClr val="window" lastClr="FFFFFF"/>
            </a:solidFill>
            <a:latin typeface="Calibri" panose="020F0502020204030204"/>
            <a:ea typeface="+mn-ea"/>
            <a:cs typeface="+mn-cs"/>
          </a:endParaRPr>
        </a:p>
      </dgm:t>
    </dgm:pt>
    <dgm:pt modelId="{ABD7A5E2-FABB-184B-A11D-DF4EF764AD8E}" type="parTrans" cxnId="{824F441C-FB29-E444-BEEC-C7B5FE142C61}">
      <dgm:prSet/>
      <dgm:spPr/>
      <dgm:t>
        <a:bodyPr/>
        <a:lstStyle/>
        <a:p>
          <a:endParaRPr lang="en-GB"/>
        </a:p>
      </dgm:t>
    </dgm:pt>
    <dgm:pt modelId="{AF41B499-84F4-7047-A3E8-EF6F0CC4675E}" type="sibTrans" cxnId="{824F441C-FB29-E444-BEEC-C7B5FE142C61}">
      <dgm:prSet/>
      <dgm:spPr/>
      <dgm:t>
        <a:bodyPr/>
        <a:lstStyle/>
        <a:p>
          <a:endParaRPr lang="en-GB"/>
        </a:p>
      </dgm:t>
    </dgm:pt>
    <dgm:pt modelId="{977B5AA4-E371-F445-AB23-D2BDF23DC081}">
      <dgm:prSet phldrT="[Text]"/>
      <dgm:spPr>
        <a:xfrm rot="10800000">
          <a:off x="971653" y="1343966"/>
          <a:ext cx="3336310" cy="525218"/>
        </a:xfrm>
        <a:prstGeom prst="homePlat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Garantimi i integrimit të qëndrueshëm të shtetasve shqiptarë të rikthyer nga emigracioni</a:t>
          </a:r>
          <a:endParaRPr lang="en-GB">
            <a:solidFill>
              <a:sysClr val="window" lastClr="FFFFFF"/>
            </a:solidFill>
            <a:latin typeface="Calibri" panose="020F0502020204030204"/>
            <a:ea typeface="+mn-ea"/>
            <a:cs typeface="+mn-cs"/>
          </a:endParaRPr>
        </a:p>
      </dgm:t>
    </dgm:pt>
    <dgm:pt modelId="{977FBF2F-98AC-5C4E-AB88-41D984900202}" type="parTrans" cxnId="{15F90C32-DB98-8B46-B63F-24B0BF1545F0}">
      <dgm:prSet/>
      <dgm:spPr/>
      <dgm:t>
        <a:bodyPr/>
        <a:lstStyle/>
        <a:p>
          <a:endParaRPr lang="en-GB"/>
        </a:p>
      </dgm:t>
    </dgm:pt>
    <dgm:pt modelId="{C35F1ED0-038E-6D4D-A82F-C03F2BAB5F40}" type="sibTrans" cxnId="{15F90C32-DB98-8B46-B63F-24B0BF1545F0}">
      <dgm:prSet/>
      <dgm:spPr/>
      <dgm:t>
        <a:bodyPr/>
        <a:lstStyle/>
        <a:p>
          <a:endParaRPr lang="en-GB"/>
        </a:p>
      </dgm:t>
    </dgm:pt>
    <dgm:pt modelId="{D91FD971-2A3D-5148-BDD7-FF69B99CD6FC}" type="pres">
      <dgm:prSet presAssocID="{007B15F9-6E0D-324B-A5CB-494E56D76996}" presName="linearFlow" presStyleCnt="0">
        <dgm:presLayoutVars>
          <dgm:dir/>
          <dgm:resizeHandles val="exact"/>
        </dgm:presLayoutVars>
      </dgm:prSet>
      <dgm:spPr/>
    </dgm:pt>
    <dgm:pt modelId="{AADF7BEB-AF17-3142-9AF2-3442DB92AB40}" type="pres">
      <dgm:prSet presAssocID="{2B8CBC3E-E7A6-CC40-8FE8-A86F9E6F7877}" presName="composite" presStyleCnt="0"/>
      <dgm:spPr/>
    </dgm:pt>
    <dgm:pt modelId="{8AC2A2C8-D66D-4548-94FD-34E057992793}" type="pres">
      <dgm:prSet presAssocID="{2B8CBC3E-E7A6-CC40-8FE8-A86F9E6F7877}" presName="imgShp" presStyleLbl="fgImgPlace1" presStyleIdx="0" presStyleCnt="3"/>
      <dgm:spPr>
        <a:xfrm>
          <a:off x="709044" y="1271"/>
          <a:ext cx="525218" cy="525218"/>
        </a:xfrm>
        <a:prstGeom prst="ellipse">
          <a:avLst/>
        </a:prstGeom>
        <a:noFill/>
        <a:ln w="12700" cap="flat" cmpd="sng" algn="ctr">
          <a:noFill/>
          <a:prstDash val="solid"/>
          <a:miter lim="800000"/>
        </a:ln>
        <a:effectLst/>
      </dgm:spPr>
    </dgm:pt>
    <dgm:pt modelId="{9942E9AF-526C-4846-885B-6A512A5B8998}" type="pres">
      <dgm:prSet presAssocID="{2B8CBC3E-E7A6-CC40-8FE8-A86F9E6F7877}" presName="txShp" presStyleLbl="node1" presStyleIdx="0" presStyleCnt="3">
        <dgm:presLayoutVars>
          <dgm:bulletEnabled val="1"/>
        </dgm:presLayoutVars>
      </dgm:prSet>
      <dgm:spPr/>
    </dgm:pt>
    <dgm:pt modelId="{B5D495F9-62C5-9E4A-AC3E-2F48AB2CF46C}" type="pres">
      <dgm:prSet presAssocID="{A8B7AECB-7D83-3F4A-87C5-02493FEE1703}" presName="spacing" presStyleCnt="0"/>
      <dgm:spPr/>
    </dgm:pt>
    <dgm:pt modelId="{B5A27164-B678-424C-83DB-740CF835E01F}" type="pres">
      <dgm:prSet presAssocID="{92C3535C-DC37-C44E-8A39-F28EF050E0B9}" presName="composite" presStyleCnt="0"/>
      <dgm:spPr/>
    </dgm:pt>
    <dgm:pt modelId="{4DFFEF4E-059C-E348-B720-43870C318C6D}" type="pres">
      <dgm:prSet presAssocID="{92C3535C-DC37-C44E-8A39-F28EF050E0B9}" presName="imgShp" presStyleLbl="fgImgPlace1" presStyleIdx="1" presStyleCnt="3"/>
      <dgm:spPr>
        <a:xfrm>
          <a:off x="709044" y="672618"/>
          <a:ext cx="525218" cy="525218"/>
        </a:xfrm>
        <a:prstGeom prst="ellipse">
          <a:avLst/>
        </a:prstGeom>
        <a:noFill/>
        <a:ln w="12700" cap="flat" cmpd="sng" algn="ctr">
          <a:noFill/>
          <a:prstDash val="solid"/>
          <a:miter lim="800000"/>
        </a:ln>
        <a:effectLst/>
      </dgm:spPr>
    </dgm:pt>
    <dgm:pt modelId="{8D749915-99AF-AF4D-B7B4-C4FFE7B06C8B}" type="pres">
      <dgm:prSet presAssocID="{92C3535C-DC37-C44E-8A39-F28EF050E0B9}" presName="txShp" presStyleLbl="node1" presStyleIdx="1" presStyleCnt="3">
        <dgm:presLayoutVars>
          <dgm:bulletEnabled val="1"/>
        </dgm:presLayoutVars>
      </dgm:prSet>
      <dgm:spPr/>
    </dgm:pt>
    <dgm:pt modelId="{DB52FA75-9636-384F-8A49-EDFBB21D4B91}" type="pres">
      <dgm:prSet presAssocID="{AF41B499-84F4-7047-A3E8-EF6F0CC4675E}" presName="spacing" presStyleCnt="0"/>
      <dgm:spPr/>
    </dgm:pt>
    <dgm:pt modelId="{0BF51208-547C-5641-9BC0-0B11C9A65611}" type="pres">
      <dgm:prSet presAssocID="{977B5AA4-E371-F445-AB23-D2BDF23DC081}" presName="composite" presStyleCnt="0"/>
      <dgm:spPr/>
    </dgm:pt>
    <dgm:pt modelId="{10DCF8C1-EE51-C345-825C-4920C3095677}" type="pres">
      <dgm:prSet presAssocID="{977B5AA4-E371-F445-AB23-D2BDF23DC081}" presName="imgShp" presStyleLbl="fgImgPlace1" presStyleIdx="2" presStyleCnt="3"/>
      <dgm:spPr>
        <a:xfrm>
          <a:off x="709044" y="1343966"/>
          <a:ext cx="525218" cy="525218"/>
        </a:xfrm>
        <a:prstGeom prst="ellipse">
          <a:avLst/>
        </a:prstGeom>
        <a:noFill/>
        <a:ln w="12700" cap="flat" cmpd="sng" algn="ctr">
          <a:noFill/>
          <a:prstDash val="solid"/>
          <a:miter lim="800000"/>
        </a:ln>
        <a:effectLst/>
      </dgm:spPr>
    </dgm:pt>
    <dgm:pt modelId="{2ECA5889-651E-5743-B729-F6C62A37CC01}" type="pres">
      <dgm:prSet presAssocID="{977B5AA4-E371-F445-AB23-D2BDF23DC081}" presName="txShp" presStyleLbl="node1" presStyleIdx="2" presStyleCnt="3">
        <dgm:presLayoutVars>
          <dgm:bulletEnabled val="1"/>
        </dgm:presLayoutVars>
      </dgm:prSet>
      <dgm:spPr/>
    </dgm:pt>
  </dgm:ptLst>
  <dgm:cxnLst>
    <dgm:cxn modelId="{824F441C-FB29-E444-BEEC-C7B5FE142C61}" srcId="{007B15F9-6E0D-324B-A5CB-494E56D76996}" destId="{92C3535C-DC37-C44E-8A39-F28EF050E0B9}" srcOrd="1" destOrd="0" parTransId="{ABD7A5E2-FABB-184B-A11D-DF4EF764AD8E}" sibTransId="{AF41B499-84F4-7047-A3E8-EF6F0CC4675E}"/>
    <dgm:cxn modelId="{54051E2C-F1FA-214B-BD92-2DE796C9CEAF}" srcId="{007B15F9-6E0D-324B-A5CB-494E56D76996}" destId="{2B8CBC3E-E7A6-CC40-8FE8-A86F9E6F7877}" srcOrd="0" destOrd="0" parTransId="{0C823347-FF65-BA4D-B17D-B5AA66C7EE08}" sibTransId="{A8B7AECB-7D83-3F4A-87C5-02493FEE1703}"/>
    <dgm:cxn modelId="{15F90C32-DB98-8B46-B63F-24B0BF1545F0}" srcId="{007B15F9-6E0D-324B-A5CB-494E56D76996}" destId="{977B5AA4-E371-F445-AB23-D2BDF23DC081}" srcOrd="2" destOrd="0" parTransId="{977FBF2F-98AC-5C4E-AB88-41D984900202}" sibTransId="{C35F1ED0-038E-6D4D-A82F-C03F2BAB5F40}"/>
    <dgm:cxn modelId="{4D530E5E-85E5-7E44-9FD3-311AABBE3E53}" type="presOf" srcId="{92C3535C-DC37-C44E-8A39-F28EF050E0B9}" destId="{8D749915-99AF-AF4D-B7B4-C4FFE7B06C8B}" srcOrd="0" destOrd="0" presId="urn:microsoft.com/office/officeart/2005/8/layout/vList3"/>
    <dgm:cxn modelId="{8D222565-5246-8A43-8720-4AF7D35AB78A}" type="presOf" srcId="{977B5AA4-E371-F445-AB23-D2BDF23DC081}" destId="{2ECA5889-651E-5743-B729-F6C62A37CC01}" srcOrd="0" destOrd="0" presId="urn:microsoft.com/office/officeart/2005/8/layout/vList3"/>
    <dgm:cxn modelId="{B65D666E-075A-E44F-90CE-7B3300347B9D}" type="presOf" srcId="{007B15F9-6E0D-324B-A5CB-494E56D76996}" destId="{D91FD971-2A3D-5148-BDD7-FF69B99CD6FC}" srcOrd="0" destOrd="0" presId="urn:microsoft.com/office/officeart/2005/8/layout/vList3"/>
    <dgm:cxn modelId="{FA695ED5-E447-584F-BF47-DFC476D53404}" type="presOf" srcId="{2B8CBC3E-E7A6-CC40-8FE8-A86F9E6F7877}" destId="{9942E9AF-526C-4846-885B-6A512A5B8998}" srcOrd="0" destOrd="0" presId="urn:microsoft.com/office/officeart/2005/8/layout/vList3"/>
    <dgm:cxn modelId="{1E23DD31-CF03-FE40-9755-570A0EF008F4}" type="presParOf" srcId="{D91FD971-2A3D-5148-BDD7-FF69B99CD6FC}" destId="{AADF7BEB-AF17-3142-9AF2-3442DB92AB40}" srcOrd="0" destOrd="0" presId="urn:microsoft.com/office/officeart/2005/8/layout/vList3"/>
    <dgm:cxn modelId="{5D39C95A-329E-7F40-888F-B45F142EA611}" type="presParOf" srcId="{AADF7BEB-AF17-3142-9AF2-3442DB92AB40}" destId="{8AC2A2C8-D66D-4548-94FD-34E057992793}" srcOrd="0" destOrd="0" presId="urn:microsoft.com/office/officeart/2005/8/layout/vList3"/>
    <dgm:cxn modelId="{41787E80-48B8-D242-BC0A-B5E95618D41E}" type="presParOf" srcId="{AADF7BEB-AF17-3142-9AF2-3442DB92AB40}" destId="{9942E9AF-526C-4846-885B-6A512A5B8998}" srcOrd="1" destOrd="0" presId="urn:microsoft.com/office/officeart/2005/8/layout/vList3"/>
    <dgm:cxn modelId="{CA8F9E33-B320-F34F-B0B5-D271AF9BF1EE}" type="presParOf" srcId="{D91FD971-2A3D-5148-BDD7-FF69B99CD6FC}" destId="{B5D495F9-62C5-9E4A-AC3E-2F48AB2CF46C}" srcOrd="1" destOrd="0" presId="urn:microsoft.com/office/officeart/2005/8/layout/vList3"/>
    <dgm:cxn modelId="{2AE4E50F-5DDE-6B4E-9ABE-B58315CF9710}" type="presParOf" srcId="{D91FD971-2A3D-5148-BDD7-FF69B99CD6FC}" destId="{B5A27164-B678-424C-83DB-740CF835E01F}" srcOrd="2" destOrd="0" presId="urn:microsoft.com/office/officeart/2005/8/layout/vList3"/>
    <dgm:cxn modelId="{4A055855-6D56-1341-AF69-F195F65C2942}" type="presParOf" srcId="{B5A27164-B678-424C-83DB-740CF835E01F}" destId="{4DFFEF4E-059C-E348-B720-43870C318C6D}" srcOrd="0" destOrd="0" presId="urn:microsoft.com/office/officeart/2005/8/layout/vList3"/>
    <dgm:cxn modelId="{022936C5-CF0E-254D-9AC4-1C281609CC57}" type="presParOf" srcId="{B5A27164-B678-424C-83DB-740CF835E01F}" destId="{8D749915-99AF-AF4D-B7B4-C4FFE7B06C8B}" srcOrd="1" destOrd="0" presId="urn:microsoft.com/office/officeart/2005/8/layout/vList3"/>
    <dgm:cxn modelId="{689955B5-225B-A940-9B36-FD67D8BA4722}" type="presParOf" srcId="{D91FD971-2A3D-5148-BDD7-FF69B99CD6FC}" destId="{DB52FA75-9636-384F-8A49-EDFBB21D4B91}" srcOrd="3" destOrd="0" presId="urn:microsoft.com/office/officeart/2005/8/layout/vList3"/>
    <dgm:cxn modelId="{73BD7919-3666-6946-8C54-47E6C0492466}" type="presParOf" srcId="{D91FD971-2A3D-5148-BDD7-FF69B99CD6FC}" destId="{0BF51208-547C-5641-9BC0-0B11C9A65611}" srcOrd="4" destOrd="0" presId="urn:microsoft.com/office/officeart/2005/8/layout/vList3"/>
    <dgm:cxn modelId="{7770E1C6-70D9-6445-92EC-AF48F28F61E3}" type="presParOf" srcId="{0BF51208-547C-5641-9BC0-0B11C9A65611}" destId="{10DCF8C1-EE51-C345-825C-4920C3095677}" srcOrd="0" destOrd="0" presId="urn:microsoft.com/office/officeart/2005/8/layout/vList3"/>
    <dgm:cxn modelId="{8F672A41-C5E3-3542-B831-6F8DB89DF855}" type="presParOf" srcId="{0BF51208-547C-5641-9BC0-0B11C9A65611}" destId="{2ECA5889-651E-5743-B729-F6C62A37CC01}" srcOrd="1" destOrd="0" presId="urn:microsoft.com/office/officeart/2005/8/layout/vList3"/>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07B15F9-6E0D-324B-A5CB-494E56D76996}" type="doc">
      <dgm:prSet loTypeId="urn:microsoft.com/office/officeart/2005/8/layout/vList3" loCatId="" qsTypeId="urn:microsoft.com/office/officeart/2005/8/quickstyle/simple1" qsCatId="simple" csTypeId="urn:microsoft.com/office/officeart/2005/8/colors/accent1_2" csCatId="accent1" phldr="1"/>
      <dgm:spPr/>
    </dgm:pt>
    <dgm:pt modelId="{2CB9E627-1AAE-4EFE-B2AD-99D7B4772EB4}">
      <dgm:prSet/>
      <dgm:spPr>
        <a:xfrm rot="10800000">
          <a:off x="1176794" y="10807"/>
          <a:ext cx="3114700" cy="1569059"/>
        </a:xfrm>
        <a:prstGeom prst="homePlat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Times New Roman" panose="02020603050405020304" pitchFamily="18" charset="0"/>
              <a:ea typeface="+mn-ea"/>
              <a:cs typeface="Times New Roman" panose="02020603050405020304" pitchFamily="18" charset="0"/>
            </a:rPr>
            <a:t>Mbrojtja e të drejtave të migrantëve dhe integrimi i tyre në shoqërinë shqiptare</a:t>
          </a:r>
        </a:p>
      </dgm:t>
    </dgm:pt>
    <dgm:pt modelId="{F348D5E4-60BC-4193-9BAA-2DF4A2EBD45A}" type="parTrans" cxnId="{33F80038-7FC8-4CB9-9DCD-3A1BFF81550B}">
      <dgm:prSet/>
      <dgm:spPr/>
      <dgm:t>
        <a:bodyPr/>
        <a:lstStyle/>
        <a:p>
          <a:endParaRPr lang="en-US"/>
        </a:p>
      </dgm:t>
    </dgm:pt>
    <dgm:pt modelId="{BBCDFC7A-B9B1-4628-8664-953653AA7478}" type="sibTrans" cxnId="{33F80038-7FC8-4CB9-9DCD-3A1BFF81550B}">
      <dgm:prSet/>
      <dgm:spPr/>
      <dgm:t>
        <a:bodyPr/>
        <a:lstStyle/>
        <a:p>
          <a:endParaRPr lang="en-US"/>
        </a:p>
      </dgm:t>
    </dgm:pt>
    <dgm:pt modelId="{D91FD971-2A3D-5148-BDD7-FF69B99CD6FC}" type="pres">
      <dgm:prSet presAssocID="{007B15F9-6E0D-324B-A5CB-494E56D76996}" presName="linearFlow" presStyleCnt="0">
        <dgm:presLayoutVars>
          <dgm:dir/>
          <dgm:resizeHandles val="exact"/>
        </dgm:presLayoutVars>
      </dgm:prSet>
      <dgm:spPr/>
    </dgm:pt>
    <dgm:pt modelId="{CBD38E46-5075-4F2E-8808-B508695397CE}" type="pres">
      <dgm:prSet presAssocID="{2CB9E627-1AAE-4EFE-B2AD-99D7B4772EB4}" presName="composite" presStyleCnt="0"/>
      <dgm:spPr/>
    </dgm:pt>
    <dgm:pt modelId="{D80D895B-5EFD-4C38-A0D5-7AAE05A89328}" type="pres">
      <dgm:prSet presAssocID="{2CB9E627-1AAE-4EFE-B2AD-99D7B4772EB4}" presName="imgShp" presStyleLbl="fgImgPlace1" presStyleIdx="0" presStyleCnt="1"/>
      <dgm:spPr>
        <a:xfrm>
          <a:off x="392264" y="10807"/>
          <a:ext cx="1569059" cy="1569059"/>
        </a:xfrm>
        <a:prstGeom prst="ellipse">
          <a:avLst/>
        </a:prstGeom>
        <a:noFill/>
        <a:ln w="25400" cap="flat" cmpd="sng" algn="ctr">
          <a:noFill/>
          <a:prstDash val="solid"/>
        </a:ln>
        <a:effectLst/>
      </dgm:spPr>
    </dgm:pt>
    <dgm:pt modelId="{517899E8-9021-476F-807A-51B620816554}" type="pres">
      <dgm:prSet presAssocID="{2CB9E627-1AAE-4EFE-B2AD-99D7B4772EB4}" presName="txShp" presStyleLbl="node1" presStyleIdx="0" presStyleCnt="1">
        <dgm:presLayoutVars>
          <dgm:bulletEnabled val="1"/>
        </dgm:presLayoutVars>
      </dgm:prSet>
      <dgm:spPr/>
    </dgm:pt>
  </dgm:ptLst>
  <dgm:cxnLst>
    <dgm:cxn modelId="{A3A7D506-289E-C641-B292-233F5BBBBD18}" type="presOf" srcId="{007B15F9-6E0D-324B-A5CB-494E56D76996}" destId="{D91FD971-2A3D-5148-BDD7-FF69B99CD6FC}" srcOrd="0" destOrd="0" presId="urn:microsoft.com/office/officeart/2005/8/layout/vList3"/>
    <dgm:cxn modelId="{33F80038-7FC8-4CB9-9DCD-3A1BFF81550B}" srcId="{007B15F9-6E0D-324B-A5CB-494E56D76996}" destId="{2CB9E627-1AAE-4EFE-B2AD-99D7B4772EB4}" srcOrd="0" destOrd="0" parTransId="{F348D5E4-60BC-4193-9BAA-2DF4A2EBD45A}" sibTransId="{BBCDFC7A-B9B1-4628-8664-953653AA7478}"/>
    <dgm:cxn modelId="{814CBBD1-0309-9848-A76E-50622D8970BC}" type="presOf" srcId="{2CB9E627-1AAE-4EFE-B2AD-99D7B4772EB4}" destId="{517899E8-9021-476F-807A-51B620816554}" srcOrd="0" destOrd="0" presId="urn:microsoft.com/office/officeart/2005/8/layout/vList3"/>
    <dgm:cxn modelId="{B4358380-A2F8-E242-986C-2C55E6AA6E62}" type="presParOf" srcId="{D91FD971-2A3D-5148-BDD7-FF69B99CD6FC}" destId="{CBD38E46-5075-4F2E-8808-B508695397CE}" srcOrd="0" destOrd="0" presId="urn:microsoft.com/office/officeart/2005/8/layout/vList3"/>
    <dgm:cxn modelId="{269E985C-0340-A54E-B60A-9E0121C36EE8}" type="presParOf" srcId="{CBD38E46-5075-4F2E-8808-B508695397CE}" destId="{D80D895B-5EFD-4C38-A0D5-7AAE05A89328}" srcOrd="0" destOrd="0" presId="urn:microsoft.com/office/officeart/2005/8/layout/vList3"/>
    <dgm:cxn modelId="{F865D741-E264-EE4B-9D66-8FBB22A760D0}" type="presParOf" srcId="{CBD38E46-5075-4F2E-8808-B508695397CE}" destId="{517899E8-9021-476F-807A-51B620816554}" srcOrd="1" destOrd="0" presId="urn:microsoft.com/office/officeart/2005/8/layout/vList3"/>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007B15F9-6E0D-324B-A5CB-494E56D76996}" type="doc">
      <dgm:prSet loTypeId="urn:microsoft.com/office/officeart/2005/8/layout/vList3" loCatId="" qsTypeId="urn:microsoft.com/office/officeart/2005/8/quickstyle/simple1" qsCatId="simple" csTypeId="urn:microsoft.com/office/officeart/2005/8/colors/accent1_2" csCatId="accent1" phldr="1"/>
      <dgm:spPr/>
    </dgm:pt>
    <dgm:pt modelId="{2B8CBC3E-E7A6-CC40-8FE8-A86F9E6F7877}">
      <dgm:prSet phldrT="[Text]" custT="1"/>
      <dgm:spPr>
        <a:xfrm rot="10800000">
          <a:off x="1163960" y="19"/>
          <a:ext cx="3948271" cy="677884"/>
        </a:xfrm>
        <a:prstGeom prst="homePlat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nl-NL" sz="1200">
              <a:solidFill>
                <a:sysClr val="window" lastClr="FFFFFF"/>
              </a:solidFill>
              <a:latin typeface="Times New Roman" panose="02020603050405020304" pitchFamily="18" charset="0"/>
              <a:ea typeface="+mn-ea"/>
              <a:cs typeface="Times New Roman" panose="02020603050405020304" pitchFamily="18" charset="0"/>
            </a:rPr>
            <a:t>Përmirësimi i efikasitetit, aksesit dhe apelimit në procedurën e azilit</a:t>
          </a:r>
          <a:endParaRPr lang="en-GB" sz="1200">
            <a:solidFill>
              <a:sysClr val="window" lastClr="FFFFFF"/>
            </a:solidFill>
            <a:latin typeface="Times New Roman" panose="02020603050405020304" pitchFamily="18" charset="0"/>
            <a:ea typeface="+mn-ea"/>
            <a:cs typeface="Times New Roman" panose="02020603050405020304" pitchFamily="18" charset="0"/>
          </a:endParaRPr>
        </a:p>
      </dgm:t>
    </dgm:pt>
    <dgm:pt modelId="{0C823347-FF65-BA4D-B17D-B5AA66C7EE08}" type="parTrans" cxnId="{54051E2C-F1FA-214B-BD92-2DE796C9CEAF}">
      <dgm:prSet/>
      <dgm:spPr/>
      <dgm:t>
        <a:bodyPr/>
        <a:lstStyle/>
        <a:p>
          <a:endParaRPr lang="en-GB"/>
        </a:p>
      </dgm:t>
    </dgm:pt>
    <dgm:pt modelId="{A8B7AECB-7D83-3F4A-87C5-02493FEE1703}" type="sibTrans" cxnId="{54051E2C-F1FA-214B-BD92-2DE796C9CEAF}">
      <dgm:prSet/>
      <dgm:spPr/>
      <dgm:t>
        <a:bodyPr/>
        <a:lstStyle/>
        <a:p>
          <a:endParaRPr lang="en-GB"/>
        </a:p>
      </dgm:t>
    </dgm:pt>
    <dgm:pt modelId="{92C3535C-DC37-C44E-8A39-F28EF050E0B9}">
      <dgm:prSet phldrT="[Text]" custT="1"/>
      <dgm:spPr>
        <a:xfrm rot="10800000">
          <a:off x="1163960" y="880257"/>
          <a:ext cx="3948271" cy="677884"/>
        </a:xfrm>
        <a:prstGeom prst="homePlat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just"/>
          <a:r>
            <a:rPr lang="nl-NL" sz="1200">
              <a:solidFill>
                <a:sysClr val="window" lastClr="FFFFFF"/>
              </a:solidFill>
              <a:latin typeface="Times New Roman" panose="02020603050405020304" pitchFamily="18" charset="0"/>
              <a:ea typeface="+mn-ea"/>
              <a:cs typeface="Times New Roman" panose="02020603050405020304" pitchFamily="18" charset="0"/>
            </a:rPr>
            <a:t>Sigurimi i identifikimit, mbrojtjes dhe pritjes, në përputhje me standardet ndërkombëtare për personat me nevoja të vecanta </a:t>
          </a:r>
          <a:endParaRPr lang="en-GB" sz="1200">
            <a:solidFill>
              <a:sysClr val="window" lastClr="FFFFFF"/>
            </a:solidFill>
            <a:latin typeface="Times New Roman" panose="02020603050405020304" pitchFamily="18" charset="0"/>
            <a:ea typeface="+mn-ea"/>
            <a:cs typeface="Times New Roman" panose="02020603050405020304" pitchFamily="18" charset="0"/>
          </a:endParaRPr>
        </a:p>
      </dgm:t>
    </dgm:pt>
    <dgm:pt modelId="{ABD7A5E2-FABB-184B-A11D-DF4EF764AD8E}" type="parTrans" cxnId="{824F441C-FB29-E444-BEEC-C7B5FE142C61}">
      <dgm:prSet/>
      <dgm:spPr/>
      <dgm:t>
        <a:bodyPr/>
        <a:lstStyle/>
        <a:p>
          <a:endParaRPr lang="en-GB"/>
        </a:p>
      </dgm:t>
    </dgm:pt>
    <dgm:pt modelId="{AF41B499-84F4-7047-A3E8-EF6F0CC4675E}" type="sibTrans" cxnId="{824F441C-FB29-E444-BEEC-C7B5FE142C61}">
      <dgm:prSet/>
      <dgm:spPr/>
      <dgm:t>
        <a:bodyPr/>
        <a:lstStyle/>
        <a:p>
          <a:endParaRPr lang="en-GB"/>
        </a:p>
      </dgm:t>
    </dgm:pt>
    <dgm:pt modelId="{31298FB4-E0C6-6C45-A432-265D8A4D4764}">
      <dgm:prSet custT="1"/>
      <dgm:spPr>
        <a:xfrm rot="10800000">
          <a:off x="1163960" y="1760495"/>
          <a:ext cx="3948271" cy="677884"/>
        </a:xfrm>
        <a:prstGeom prst="homePlat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just"/>
          <a:r>
            <a:rPr lang="hu-HU" sz="1200">
              <a:solidFill>
                <a:sysClr val="window" lastClr="FFFFFF"/>
              </a:solidFill>
              <a:latin typeface="Times New Roman" panose="02020603050405020304" pitchFamily="18" charset="0"/>
              <a:ea typeface="+mn-ea"/>
              <a:cs typeface="Times New Roman" panose="02020603050405020304" pitchFamily="18" charset="0"/>
            </a:rPr>
            <a:t>Integrimi social</a:t>
          </a:r>
          <a:r>
            <a:rPr lang="en-US" sz="1200">
              <a:solidFill>
                <a:sysClr val="window" lastClr="FFFFFF"/>
              </a:solidFill>
              <a:latin typeface="Times New Roman" panose="02020603050405020304" pitchFamily="18" charset="0"/>
              <a:ea typeface="+mn-ea"/>
              <a:cs typeface="Times New Roman" panose="02020603050405020304" pitchFamily="18" charset="0"/>
            </a:rPr>
            <a:t>-</a:t>
          </a:r>
          <a:r>
            <a:rPr lang="hu-HU" sz="1200">
              <a:solidFill>
                <a:sysClr val="window" lastClr="FFFFFF"/>
              </a:solidFill>
              <a:latin typeface="Times New Roman" panose="02020603050405020304" pitchFamily="18" charset="0"/>
              <a:ea typeface="+mn-ea"/>
              <a:cs typeface="Times New Roman" panose="02020603050405020304" pitchFamily="18" charset="0"/>
            </a:rPr>
            <a:t>ekonomik </a:t>
          </a:r>
          <a:r>
            <a:rPr lang="en-US" sz="1200">
              <a:solidFill>
                <a:sysClr val="window" lastClr="FFFFFF"/>
              </a:solidFill>
              <a:latin typeface="Times New Roman" panose="02020603050405020304" pitchFamily="18" charset="0"/>
              <a:ea typeface="+mn-ea"/>
              <a:cs typeface="Times New Roman" panose="02020603050405020304" pitchFamily="18" charset="0"/>
            </a:rPr>
            <a:t>i</a:t>
          </a:r>
          <a:r>
            <a:rPr lang="hu-HU" sz="1200">
              <a:solidFill>
                <a:sysClr val="window" lastClr="FFFFFF"/>
              </a:solidFill>
              <a:latin typeface="Times New Roman" panose="02020603050405020304" pitchFamily="18" charset="0"/>
              <a:ea typeface="+mn-ea"/>
              <a:cs typeface="Times New Roman" panose="02020603050405020304" pitchFamily="18" charset="0"/>
            </a:rPr>
            <a:t> refugjat</a:t>
          </a:r>
          <a:r>
            <a:rPr lang="en-US" sz="1200">
              <a:solidFill>
                <a:sysClr val="window" lastClr="FFFFFF"/>
              </a:solidFill>
              <a:latin typeface="Times New Roman" panose="02020603050405020304" pitchFamily="18" charset="0"/>
              <a:ea typeface="+mn-ea"/>
              <a:cs typeface="Times New Roman" panose="02020603050405020304" pitchFamily="18" charset="0"/>
            </a:rPr>
            <a:t>ë</a:t>
          </a:r>
          <a:r>
            <a:rPr lang="hu-HU" sz="1200">
              <a:solidFill>
                <a:sysClr val="window" lastClr="FFFFFF"/>
              </a:solidFill>
              <a:latin typeface="Times New Roman" panose="02020603050405020304" pitchFamily="18" charset="0"/>
              <a:ea typeface="+mn-ea"/>
              <a:cs typeface="Times New Roman" panose="02020603050405020304" pitchFamily="18" charset="0"/>
            </a:rPr>
            <a:t>ve dhe azilkërkuesve</a:t>
          </a:r>
          <a:endParaRPr lang="en-GB" sz="1200">
            <a:solidFill>
              <a:sysClr val="window" lastClr="FFFFFF"/>
            </a:solidFill>
            <a:latin typeface="Times New Roman" panose="02020603050405020304" pitchFamily="18" charset="0"/>
            <a:ea typeface="+mn-ea"/>
            <a:cs typeface="Times New Roman" panose="02020603050405020304" pitchFamily="18" charset="0"/>
          </a:endParaRPr>
        </a:p>
      </dgm:t>
    </dgm:pt>
    <dgm:pt modelId="{0813BBD3-BAA0-9A46-A50C-CAB60149D80B}" type="parTrans" cxnId="{D3215827-7E42-A343-B71D-AA3E828E9034}">
      <dgm:prSet/>
      <dgm:spPr/>
      <dgm:t>
        <a:bodyPr/>
        <a:lstStyle/>
        <a:p>
          <a:endParaRPr lang="en-US"/>
        </a:p>
      </dgm:t>
    </dgm:pt>
    <dgm:pt modelId="{2E083581-3D97-9B4F-ACA9-E552C434CE71}" type="sibTrans" cxnId="{D3215827-7E42-A343-B71D-AA3E828E9034}">
      <dgm:prSet/>
      <dgm:spPr/>
      <dgm:t>
        <a:bodyPr/>
        <a:lstStyle/>
        <a:p>
          <a:endParaRPr lang="en-US"/>
        </a:p>
      </dgm:t>
    </dgm:pt>
    <dgm:pt modelId="{D91FD971-2A3D-5148-BDD7-FF69B99CD6FC}" type="pres">
      <dgm:prSet presAssocID="{007B15F9-6E0D-324B-A5CB-494E56D76996}" presName="linearFlow" presStyleCnt="0">
        <dgm:presLayoutVars>
          <dgm:dir/>
          <dgm:resizeHandles val="exact"/>
        </dgm:presLayoutVars>
      </dgm:prSet>
      <dgm:spPr/>
    </dgm:pt>
    <dgm:pt modelId="{AADF7BEB-AF17-3142-9AF2-3442DB92AB40}" type="pres">
      <dgm:prSet presAssocID="{2B8CBC3E-E7A6-CC40-8FE8-A86F9E6F7877}" presName="composite" presStyleCnt="0"/>
      <dgm:spPr/>
    </dgm:pt>
    <dgm:pt modelId="{8AC2A2C8-D66D-4548-94FD-34E057992793}" type="pres">
      <dgm:prSet presAssocID="{2B8CBC3E-E7A6-CC40-8FE8-A86F9E6F7877}" presName="imgShp" presStyleLbl="fgImgPlace1" presStyleIdx="0" presStyleCnt="3"/>
      <dgm:spPr>
        <a:xfrm>
          <a:off x="825018" y="19"/>
          <a:ext cx="677884" cy="677884"/>
        </a:xfrm>
        <a:prstGeom prst="ellipse">
          <a:avLst/>
        </a:prstGeom>
        <a:noFill/>
        <a:ln w="12700" cap="flat" cmpd="sng" algn="ctr">
          <a:noFill/>
          <a:prstDash val="solid"/>
          <a:miter lim="800000"/>
        </a:ln>
        <a:effectLst/>
      </dgm:spPr>
    </dgm:pt>
    <dgm:pt modelId="{9942E9AF-526C-4846-885B-6A512A5B8998}" type="pres">
      <dgm:prSet presAssocID="{2B8CBC3E-E7A6-CC40-8FE8-A86F9E6F7877}" presName="txShp" presStyleLbl="node1" presStyleIdx="0" presStyleCnt="3">
        <dgm:presLayoutVars>
          <dgm:bulletEnabled val="1"/>
        </dgm:presLayoutVars>
      </dgm:prSet>
      <dgm:spPr>
        <a:prstGeom prst="homePlate">
          <a:avLst/>
        </a:prstGeom>
      </dgm:spPr>
    </dgm:pt>
    <dgm:pt modelId="{B5D495F9-62C5-9E4A-AC3E-2F48AB2CF46C}" type="pres">
      <dgm:prSet presAssocID="{A8B7AECB-7D83-3F4A-87C5-02493FEE1703}" presName="spacing" presStyleCnt="0"/>
      <dgm:spPr/>
    </dgm:pt>
    <dgm:pt modelId="{B5A27164-B678-424C-83DB-740CF835E01F}" type="pres">
      <dgm:prSet presAssocID="{92C3535C-DC37-C44E-8A39-F28EF050E0B9}" presName="composite" presStyleCnt="0"/>
      <dgm:spPr/>
    </dgm:pt>
    <dgm:pt modelId="{4DFFEF4E-059C-E348-B720-43870C318C6D}" type="pres">
      <dgm:prSet presAssocID="{92C3535C-DC37-C44E-8A39-F28EF050E0B9}" presName="imgShp" presStyleLbl="fgImgPlace1" presStyleIdx="1" presStyleCnt="3"/>
      <dgm:spPr>
        <a:xfrm>
          <a:off x="825018" y="880257"/>
          <a:ext cx="677884" cy="677884"/>
        </a:xfrm>
        <a:prstGeom prst="ellipse">
          <a:avLst/>
        </a:prstGeom>
        <a:noFill/>
        <a:ln w="12700" cap="flat" cmpd="sng" algn="ctr">
          <a:noFill/>
          <a:prstDash val="solid"/>
          <a:miter lim="800000"/>
        </a:ln>
        <a:effectLst/>
      </dgm:spPr>
    </dgm:pt>
    <dgm:pt modelId="{8D749915-99AF-AF4D-B7B4-C4FFE7B06C8B}" type="pres">
      <dgm:prSet presAssocID="{92C3535C-DC37-C44E-8A39-F28EF050E0B9}" presName="txShp" presStyleLbl="node1" presStyleIdx="1" presStyleCnt="3">
        <dgm:presLayoutVars>
          <dgm:bulletEnabled val="1"/>
        </dgm:presLayoutVars>
      </dgm:prSet>
      <dgm:spPr>
        <a:prstGeom prst="homePlate">
          <a:avLst/>
        </a:prstGeom>
      </dgm:spPr>
    </dgm:pt>
    <dgm:pt modelId="{DB52FA75-9636-384F-8A49-EDFBB21D4B91}" type="pres">
      <dgm:prSet presAssocID="{AF41B499-84F4-7047-A3E8-EF6F0CC4675E}" presName="spacing" presStyleCnt="0"/>
      <dgm:spPr/>
    </dgm:pt>
    <dgm:pt modelId="{FBEAD7E1-9063-5A4E-B116-B3489186F843}" type="pres">
      <dgm:prSet presAssocID="{31298FB4-E0C6-6C45-A432-265D8A4D4764}" presName="composite" presStyleCnt="0"/>
      <dgm:spPr/>
    </dgm:pt>
    <dgm:pt modelId="{6BE6D62E-C04B-0A4E-840B-59DEE73D934E}" type="pres">
      <dgm:prSet presAssocID="{31298FB4-E0C6-6C45-A432-265D8A4D4764}" presName="imgShp" presStyleLbl="fgImgPlace1" presStyleIdx="2" presStyleCnt="3"/>
      <dgm:spPr>
        <a:xfrm>
          <a:off x="825018" y="1760495"/>
          <a:ext cx="677884" cy="677884"/>
        </a:xfrm>
        <a:prstGeom prst="ellipse">
          <a:avLst/>
        </a:prstGeom>
        <a:noFill/>
        <a:ln w="12700" cap="flat" cmpd="sng" algn="ctr">
          <a:noFill/>
          <a:prstDash val="solid"/>
          <a:miter lim="800000"/>
        </a:ln>
        <a:effectLst/>
      </dgm:spPr>
    </dgm:pt>
    <dgm:pt modelId="{F6D4C3EF-5BFD-B54B-A3AE-3A7D1AE746A4}" type="pres">
      <dgm:prSet presAssocID="{31298FB4-E0C6-6C45-A432-265D8A4D4764}" presName="txShp" presStyleLbl="node1" presStyleIdx="2" presStyleCnt="3" custScaleY="91172">
        <dgm:presLayoutVars>
          <dgm:bulletEnabled val="1"/>
        </dgm:presLayoutVars>
      </dgm:prSet>
      <dgm:spPr>
        <a:prstGeom prst="homePlate">
          <a:avLst/>
        </a:prstGeom>
      </dgm:spPr>
    </dgm:pt>
  </dgm:ptLst>
  <dgm:cxnLst>
    <dgm:cxn modelId="{56B73B17-4B55-F44C-955D-07821DAD79FD}" type="presOf" srcId="{007B15F9-6E0D-324B-A5CB-494E56D76996}" destId="{D91FD971-2A3D-5148-BDD7-FF69B99CD6FC}" srcOrd="0" destOrd="0" presId="urn:microsoft.com/office/officeart/2005/8/layout/vList3"/>
    <dgm:cxn modelId="{824F441C-FB29-E444-BEEC-C7B5FE142C61}" srcId="{007B15F9-6E0D-324B-A5CB-494E56D76996}" destId="{92C3535C-DC37-C44E-8A39-F28EF050E0B9}" srcOrd="1" destOrd="0" parTransId="{ABD7A5E2-FABB-184B-A11D-DF4EF764AD8E}" sibTransId="{AF41B499-84F4-7047-A3E8-EF6F0CC4675E}"/>
    <dgm:cxn modelId="{D3215827-7E42-A343-B71D-AA3E828E9034}" srcId="{007B15F9-6E0D-324B-A5CB-494E56D76996}" destId="{31298FB4-E0C6-6C45-A432-265D8A4D4764}" srcOrd="2" destOrd="0" parTransId="{0813BBD3-BAA0-9A46-A50C-CAB60149D80B}" sibTransId="{2E083581-3D97-9B4F-ACA9-E552C434CE71}"/>
    <dgm:cxn modelId="{54051E2C-F1FA-214B-BD92-2DE796C9CEAF}" srcId="{007B15F9-6E0D-324B-A5CB-494E56D76996}" destId="{2B8CBC3E-E7A6-CC40-8FE8-A86F9E6F7877}" srcOrd="0" destOrd="0" parTransId="{0C823347-FF65-BA4D-B17D-B5AA66C7EE08}" sibTransId="{A8B7AECB-7D83-3F4A-87C5-02493FEE1703}"/>
    <dgm:cxn modelId="{8A13C834-E19B-F34C-9694-44B35A5D9F85}" type="presOf" srcId="{2B8CBC3E-E7A6-CC40-8FE8-A86F9E6F7877}" destId="{9942E9AF-526C-4846-885B-6A512A5B8998}" srcOrd="0" destOrd="0" presId="urn:microsoft.com/office/officeart/2005/8/layout/vList3"/>
    <dgm:cxn modelId="{FF48B56A-86BA-2240-A662-0316754A63CB}" type="presOf" srcId="{92C3535C-DC37-C44E-8A39-F28EF050E0B9}" destId="{8D749915-99AF-AF4D-B7B4-C4FFE7B06C8B}" srcOrd="0" destOrd="0" presId="urn:microsoft.com/office/officeart/2005/8/layout/vList3"/>
    <dgm:cxn modelId="{A9754AEE-45A3-5745-9AE8-A797A4A0E18A}" type="presOf" srcId="{31298FB4-E0C6-6C45-A432-265D8A4D4764}" destId="{F6D4C3EF-5BFD-B54B-A3AE-3A7D1AE746A4}" srcOrd="0" destOrd="0" presId="urn:microsoft.com/office/officeart/2005/8/layout/vList3"/>
    <dgm:cxn modelId="{1CE2C3AA-9CF9-5B42-A272-0B1376A68C75}" type="presParOf" srcId="{D91FD971-2A3D-5148-BDD7-FF69B99CD6FC}" destId="{AADF7BEB-AF17-3142-9AF2-3442DB92AB40}" srcOrd="0" destOrd="0" presId="urn:microsoft.com/office/officeart/2005/8/layout/vList3"/>
    <dgm:cxn modelId="{A85CB61B-BF8B-8242-B065-40B73821E762}" type="presParOf" srcId="{AADF7BEB-AF17-3142-9AF2-3442DB92AB40}" destId="{8AC2A2C8-D66D-4548-94FD-34E057992793}" srcOrd="0" destOrd="0" presId="urn:microsoft.com/office/officeart/2005/8/layout/vList3"/>
    <dgm:cxn modelId="{4CFE7595-4491-1149-B84F-581EAD151070}" type="presParOf" srcId="{AADF7BEB-AF17-3142-9AF2-3442DB92AB40}" destId="{9942E9AF-526C-4846-885B-6A512A5B8998}" srcOrd="1" destOrd="0" presId="urn:microsoft.com/office/officeart/2005/8/layout/vList3"/>
    <dgm:cxn modelId="{3EA5CA08-FD1B-EA47-96E2-C8A98BFA2EAC}" type="presParOf" srcId="{D91FD971-2A3D-5148-BDD7-FF69B99CD6FC}" destId="{B5D495F9-62C5-9E4A-AC3E-2F48AB2CF46C}" srcOrd="1" destOrd="0" presId="urn:microsoft.com/office/officeart/2005/8/layout/vList3"/>
    <dgm:cxn modelId="{35C34496-BE67-7A4F-8A19-A2DB186AB79C}" type="presParOf" srcId="{D91FD971-2A3D-5148-BDD7-FF69B99CD6FC}" destId="{B5A27164-B678-424C-83DB-740CF835E01F}" srcOrd="2" destOrd="0" presId="urn:microsoft.com/office/officeart/2005/8/layout/vList3"/>
    <dgm:cxn modelId="{E1AECD1B-A365-9D4D-B89A-3A132C48B1B6}" type="presParOf" srcId="{B5A27164-B678-424C-83DB-740CF835E01F}" destId="{4DFFEF4E-059C-E348-B720-43870C318C6D}" srcOrd="0" destOrd="0" presId="urn:microsoft.com/office/officeart/2005/8/layout/vList3"/>
    <dgm:cxn modelId="{A4714736-5392-B14F-81A8-A848A61F1B7C}" type="presParOf" srcId="{B5A27164-B678-424C-83DB-740CF835E01F}" destId="{8D749915-99AF-AF4D-B7B4-C4FFE7B06C8B}" srcOrd="1" destOrd="0" presId="urn:microsoft.com/office/officeart/2005/8/layout/vList3"/>
    <dgm:cxn modelId="{BC412712-1BBD-F646-86F7-3FEF87E76B64}" type="presParOf" srcId="{D91FD971-2A3D-5148-BDD7-FF69B99CD6FC}" destId="{DB52FA75-9636-384F-8A49-EDFBB21D4B91}" srcOrd="3" destOrd="0" presId="urn:microsoft.com/office/officeart/2005/8/layout/vList3"/>
    <dgm:cxn modelId="{FB5BE6AC-BBCF-C64B-A5C5-5E2531C04BC6}" type="presParOf" srcId="{D91FD971-2A3D-5148-BDD7-FF69B99CD6FC}" destId="{FBEAD7E1-9063-5A4E-B116-B3489186F843}" srcOrd="4" destOrd="0" presId="urn:microsoft.com/office/officeart/2005/8/layout/vList3"/>
    <dgm:cxn modelId="{99468488-6B99-384C-9EA2-FF4599270313}" type="presParOf" srcId="{FBEAD7E1-9063-5A4E-B116-B3489186F843}" destId="{6BE6D62E-C04B-0A4E-840B-59DEE73D934E}" srcOrd="0" destOrd="0" presId="urn:microsoft.com/office/officeart/2005/8/layout/vList3"/>
    <dgm:cxn modelId="{CCEA2E4D-FA49-FF49-A7A4-41E17C0385C4}" type="presParOf" srcId="{FBEAD7E1-9063-5A4E-B116-B3489186F843}" destId="{F6D4C3EF-5BFD-B54B-A3AE-3A7D1AE746A4}" srcOrd="1" destOrd="0" presId="urn:microsoft.com/office/officeart/2005/8/layout/vList3"/>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942E9AF-526C-4846-885B-6A512A5B8998}">
      <dsp:nvSpPr>
        <dsp:cNvPr id="0" name=""/>
        <dsp:cNvSpPr/>
      </dsp:nvSpPr>
      <dsp:spPr>
        <a:xfrm rot="10800000">
          <a:off x="916100" y="738"/>
          <a:ext cx="3279556" cy="360188"/>
        </a:xfrm>
        <a:prstGeom prst="homePlat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8833" tIns="38100" rIns="71120" bIns="3810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 lastClr="FFFFFF"/>
              </a:solidFill>
              <a:latin typeface="Calibri" panose="020F0502020204030204"/>
              <a:ea typeface="+mn-ea"/>
              <a:cs typeface="+mn-cs"/>
            </a:rPr>
            <a:t>Qeverisja e migracionit në Shqipëri nëpërmjet përmirësimit të kuadrit ligjor dhe institucional</a:t>
          </a:r>
          <a:endParaRPr lang="en-GB" sz="1000" kern="1200">
            <a:solidFill>
              <a:sysClr val="window" lastClr="FFFFFF"/>
            </a:solidFill>
            <a:latin typeface="Calibri" panose="020F0502020204030204"/>
            <a:ea typeface="+mn-ea"/>
            <a:cs typeface="+mn-cs"/>
          </a:endParaRPr>
        </a:p>
      </dsp:txBody>
      <dsp:txXfrm rot="10800000">
        <a:off x="1006147" y="738"/>
        <a:ext cx="3189509" cy="360188"/>
      </dsp:txXfrm>
    </dsp:sp>
    <dsp:sp modelId="{8AC2A2C8-D66D-4548-94FD-34E057992793}">
      <dsp:nvSpPr>
        <dsp:cNvPr id="0" name=""/>
        <dsp:cNvSpPr/>
      </dsp:nvSpPr>
      <dsp:spPr>
        <a:xfrm>
          <a:off x="736006" y="738"/>
          <a:ext cx="360188" cy="360188"/>
        </a:xfrm>
        <a:prstGeom prst="ellipse">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sp>
    <dsp:sp modelId="{8D749915-99AF-AF4D-B7B4-C4FFE7B06C8B}">
      <dsp:nvSpPr>
        <dsp:cNvPr id="0" name=""/>
        <dsp:cNvSpPr/>
      </dsp:nvSpPr>
      <dsp:spPr>
        <a:xfrm rot="10800000">
          <a:off x="916100" y="454900"/>
          <a:ext cx="3279556" cy="360188"/>
        </a:xfrm>
        <a:prstGeom prst="homePlat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8833" tIns="38100" rIns="71120" bIns="3810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 lastClr="FFFFFF"/>
              </a:solidFill>
              <a:latin typeface="Calibri" panose="020F0502020204030204"/>
              <a:ea typeface="+mn-ea"/>
              <a:cs typeface="+mn-cs"/>
            </a:rPr>
            <a:t>Hartimi dhe rishikimi i politikave të migracionit bazuar në të dhëna të sakta dhe të koordinuara</a:t>
          </a:r>
          <a:endParaRPr lang="en-GB" sz="1000" kern="1200">
            <a:solidFill>
              <a:sysClr val="window" lastClr="FFFFFF"/>
            </a:solidFill>
            <a:latin typeface="Calibri" panose="020F0502020204030204"/>
            <a:ea typeface="+mn-ea"/>
            <a:cs typeface="+mn-cs"/>
          </a:endParaRPr>
        </a:p>
      </dsp:txBody>
      <dsp:txXfrm rot="10800000">
        <a:off x="1006147" y="454900"/>
        <a:ext cx="3189509" cy="360188"/>
      </dsp:txXfrm>
    </dsp:sp>
    <dsp:sp modelId="{4DFFEF4E-059C-E348-B720-43870C318C6D}">
      <dsp:nvSpPr>
        <dsp:cNvPr id="0" name=""/>
        <dsp:cNvSpPr/>
      </dsp:nvSpPr>
      <dsp:spPr>
        <a:xfrm>
          <a:off x="736006" y="454900"/>
          <a:ext cx="360188" cy="360188"/>
        </a:xfrm>
        <a:prstGeom prst="ellipse">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sp>
    <dsp:sp modelId="{2ECA5889-651E-5743-B729-F6C62A37CC01}">
      <dsp:nvSpPr>
        <dsp:cNvPr id="0" name=""/>
        <dsp:cNvSpPr/>
      </dsp:nvSpPr>
      <dsp:spPr>
        <a:xfrm rot="10800000">
          <a:off x="916100" y="909062"/>
          <a:ext cx="3279556" cy="360188"/>
        </a:xfrm>
        <a:prstGeom prst="homePlat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8833" tIns="38100" rIns="71120" bIns="3810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 lastClr="FFFFFF"/>
              </a:solidFill>
              <a:latin typeface="Calibri" panose="020F0502020204030204"/>
              <a:ea typeface="+mn-ea"/>
              <a:cs typeface="+mn-cs"/>
            </a:rPr>
            <a:t>Forcimi i bashkëpunimit ndërkombëtar dhe partneriteteve për migrim të sigurt dhe të rregullt</a:t>
          </a:r>
          <a:endParaRPr lang="en-GB" sz="1000" kern="1200">
            <a:solidFill>
              <a:sysClr val="window" lastClr="FFFFFF"/>
            </a:solidFill>
            <a:latin typeface="Calibri" panose="020F0502020204030204"/>
            <a:ea typeface="+mn-ea"/>
            <a:cs typeface="+mn-cs"/>
          </a:endParaRPr>
        </a:p>
      </dsp:txBody>
      <dsp:txXfrm rot="10800000">
        <a:off x="1006147" y="909062"/>
        <a:ext cx="3189509" cy="360188"/>
      </dsp:txXfrm>
    </dsp:sp>
    <dsp:sp modelId="{10DCF8C1-EE51-C345-825C-4920C3095677}">
      <dsp:nvSpPr>
        <dsp:cNvPr id="0" name=""/>
        <dsp:cNvSpPr/>
      </dsp:nvSpPr>
      <dsp:spPr>
        <a:xfrm>
          <a:off x="736006" y="909062"/>
          <a:ext cx="360188" cy="360188"/>
        </a:xfrm>
        <a:prstGeom prst="ellipse">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sp>
    <dsp:sp modelId="{F6D4C3EF-5BFD-B54B-A3AE-3A7D1AE746A4}">
      <dsp:nvSpPr>
        <dsp:cNvPr id="0" name=""/>
        <dsp:cNvSpPr/>
      </dsp:nvSpPr>
      <dsp:spPr>
        <a:xfrm rot="10800000">
          <a:off x="916100" y="1363225"/>
          <a:ext cx="3279556" cy="360188"/>
        </a:xfrm>
        <a:prstGeom prst="homePlat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8833" tIns="38100" rIns="71120" bIns="3810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 lastClr="FFFFFF"/>
              </a:solidFill>
              <a:latin typeface="Calibri" panose="020F0502020204030204"/>
              <a:ea typeface="+mn-ea"/>
              <a:cs typeface="+mn-cs"/>
            </a:rPr>
            <a:t>Parandalimi i migrimit të parregullt drejt dhe nga Shqipëria</a:t>
          </a:r>
          <a:endParaRPr lang="en-GB" sz="1000" kern="1200">
            <a:solidFill>
              <a:sysClr val="window" lastClr="FFFFFF"/>
            </a:solidFill>
            <a:latin typeface="Calibri" panose="020F0502020204030204"/>
            <a:ea typeface="+mn-ea"/>
            <a:cs typeface="+mn-cs"/>
          </a:endParaRPr>
        </a:p>
      </dsp:txBody>
      <dsp:txXfrm rot="10800000">
        <a:off x="1006147" y="1363225"/>
        <a:ext cx="3189509" cy="360188"/>
      </dsp:txXfrm>
    </dsp:sp>
    <dsp:sp modelId="{6BE6D62E-C04B-0A4E-840B-59DEE73D934E}">
      <dsp:nvSpPr>
        <dsp:cNvPr id="0" name=""/>
        <dsp:cNvSpPr/>
      </dsp:nvSpPr>
      <dsp:spPr>
        <a:xfrm>
          <a:off x="736006" y="1363225"/>
          <a:ext cx="360188" cy="360188"/>
        </a:xfrm>
        <a:prstGeom prst="ellipse">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942E9AF-526C-4846-885B-6A512A5B8998}">
      <dsp:nvSpPr>
        <dsp:cNvPr id="0" name=""/>
        <dsp:cNvSpPr/>
      </dsp:nvSpPr>
      <dsp:spPr>
        <a:xfrm rot="10800000">
          <a:off x="971653" y="1271"/>
          <a:ext cx="3336310" cy="525218"/>
        </a:xfrm>
        <a:prstGeom prst="homePlat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31607" tIns="41910" rIns="78232" bIns="41910" numCol="1" spcCol="1270" anchor="ctr" anchorCtr="0">
          <a:noAutofit/>
        </a:bodyPr>
        <a:lstStyle/>
        <a:p>
          <a:pPr marL="0" lvl="0" indent="0" algn="ctr" defTabSz="488950">
            <a:lnSpc>
              <a:spcPct val="90000"/>
            </a:lnSpc>
            <a:spcBef>
              <a:spcPct val="0"/>
            </a:spcBef>
            <a:spcAft>
              <a:spcPct val="35000"/>
            </a:spcAft>
            <a:buNone/>
          </a:pPr>
          <a:r>
            <a:rPr lang="en-US" sz="1100" kern="1200">
              <a:solidFill>
                <a:sysClr val="window" lastClr="FFFFFF"/>
              </a:solidFill>
              <a:latin typeface="Calibri" panose="020F0502020204030204"/>
              <a:ea typeface="+mn-ea"/>
              <a:cs typeface="+mn-cs"/>
            </a:rPr>
            <a:t>Krijimi i mundësive ligjore dhe institucionale për migracionin e punës në dhe nga Shqipëria </a:t>
          </a:r>
          <a:endParaRPr lang="en-GB" sz="1100" kern="1200">
            <a:solidFill>
              <a:sysClr val="window" lastClr="FFFFFF"/>
            </a:solidFill>
            <a:latin typeface="Calibri" panose="020F0502020204030204"/>
            <a:ea typeface="+mn-ea"/>
            <a:cs typeface="+mn-cs"/>
          </a:endParaRPr>
        </a:p>
      </dsp:txBody>
      <dsp:txXfrm rot="10800000">
        <a:off x="1102957" y="1271"/>
        <a:ext cx="3205006" cy="525218"/>
      </dsp:txXfrm>
    </dsp:sp>
    <dsp:sp modelId="{8AC2A2C8-D66D-4548-94FD-34E057992793}">
      <dsp:nvSpPr>
        <dsp:cNvPr id="0" name=""/>
        <dsp:cNvSpPr/>
      </dsp:nvSpPr>
      <dsp:spPr>
        <a:xfrm>
          <a:off x="709044" y="1271"/>
          <a:ext cx="525218" cy="525218"/>
        </a:xfrm>
        <a:prstGeom prst="ellipse">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sp>
    <dsp:sp modelId="{8D749915-99AF-AF4D-B7B4-C4FFE7B06C8B}">
      <dsp:nvSpPr>
        <dsp:cNvPr id="0" name=""/>
        <dsp:cNvSpPr/>
      </dsp:nvSpPr>
      <dsp:spPr>
        <a:xfrm rot="10800000">
          <a:off x="971653" y="672618"/>
          <a:ext cx="3336310" cy="525218"/>
        </a:xfrm>
        <a:prstGeom prst="homePlat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31607" tIns="41910" rIns="78232" bIns="41910" numCol="1" spcCol="1270" anchor="ctr" anchorCtr="0">
          <a:noAutofit/>
        </a:bodyPr>
        <a:lstStyle/>
        <a:p>
          <a:pPr marL="0" lvl="0" indent="0" algn="ctr" defTabSz="488950">
            <a:lnSpc>
              <a:spcPct val="90000"/>
            </a:lnSpc>
            <a:spcBef>
              <a:spcPct val="0"/>
            </a:spcBef>
            <a:spcAft>
              <a:spcPct val="35000"/>
            </a:spcAft>
            <a:buNone/>
          </a:pPr>
          <a:r>
            <a:rPr lang="en-US" sz="1100" kern="1200">
              <a:solidFill>
                <a:sysClr val="window" lastClr="FFFFFF"/>
              </a:solidFill>
              <a:latin typeface="Calibri" panose="020F0502020204030204"/>
              <a:ea typeface="+mn-ea"/>
              <a:cs typeface="+mn-cs"/>
            </a:rPr>
            <a:t>Krijimi i mundësive dhe stimujve për emigrantët që të kontribuojnë në zhvillimin e qëndrueshëm </a:t>
          </a:r>
          <a:endParaRPr lang="en-GB" sz="1100" kern="1200">
            <a:solidFill>
              <a:sysClr val="window" lastClr="FFFFFF"/>
            </a:solidFill>
            <a:latin typeface="Calibri" panose="020F0502020204030204"/>
            <a:ea typeface="+mn-ea"/>
            <a:cs typeface="+mn-cs"/>
          </a:endParaRPr>
        </a:p>
      </dsp:txBody>
      <dsp:txXfrm rot="10800000">
        <a:off x="1102957" y="672618"/>
        <a:ext cx="3205006" cy="525218"/>
      </dsp:txXfrm>
    </dsp:sp>
    <dsp:sp modelId="{4DFFEF4E-059C-E348-B720-43870C318C6D}">
      <dsp:nvSpPr>
        <dsp:cNvPr id="0" name=""/>
        <dsp:cNvSpPr/>
      </dsp:nvSpPr>
      <dsp:spPr>
        <a:xfrm>
          <a:off x="709044" y="672618"/>
          <a:ext cx="525218" cy="525218"/>
        </a:xfrm>
        <a:prstGeom prst="ellipse">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sp>
    <dsp:sp modelId="{2ECA5889-651E-5743-B729-F6C62A37CC01}">
      <dsp:nvSpPr>
        <dsp:cNvPr id="0" name=""/>
        <dsp:cNvSpPr/>
      </dsp:nvSpPr>
      <dsp:spPr>
        <a:xfrm rot="10800000">
          <a:off x="971653" y="1343966"/>
          <a:ext cx="3336310" cy="525218"/>
        </a:xfrm>
        <a:prstGeom prst="homePlat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31607" tIns="41910" rIns="78232" bIns="41910" numCol="1" spcCol="1270" anchor="ctr" anchorCtr="0">
          <a:noAutofit/>
        </a:bodyPr>
        <a:lstStyle/>
        <a:p>
          <a:pPr marL="0" lvl="0" indent="0" algn="ctr" defTabSz="488950">
            <a:lnSpc>
              <a:spcPct val="90000"/>
            </a:lnSpc>
            <a:spcBef>
              <a:spcPct val="0"/>
            </a:spcBef>
            <a:spcAft>
              <a:spcPct val="35000"/>
            </a:spcAft>
            <a:buNone/>
          </a:pPr>
          <a:r>
            <a:rPr lang="en-US" sz="1100" kern="1200">
              <a:solidFill>
                <a:sysClr val="window" lastClr="FFFFFF"/>
              </a:solidFill>
              <a:latin typeface="Calibri" panose="020F0502020204030204"/>
              <a:ea typeface="+mn-ea"/>
              <a:cs typeface="+mn-cs"/>
            </a:rPr>
            <a:t>Garantimi i integrimit të qëndrueshëm të shtetasve shqiptarë të rikthyer nga emigracioni</a:t>
          </a:r>
          <a:endParaRPr lang="en-GB" sz="1100" kern="1200">
            <a:solidFill>
              <a:sysClr val="window" lastClr="FFFFFF"/>
            </a:solidFill>
            <a:latin typeface="Calibri" panose="020F0502020204030204"/>
            <a:ea typeface="+mn-ea"/>
            <a:cs typeface="+mn-cs"/>
          </a:endParaRPr>
        </a:p>
      </dsp:txBody>
      <dsp:txXfrm rot="10800000">
        <a:off x="1102957" y="1343966"/>
        <a:ext cx="3205006" cy="525218"/>
      </dsp:txXfrm>
    </dsp:sp>
    <dsp:sp modelId="{10DCF8C1-EE51-C345-825C-4920C3095677}">
      <dsp:nvSpPr>
        <dsp:cNvPr id="0" name=""/>
        <dsp:cNvSpPr/>
      </dsp:nvSpPr>
      <dsp:spPr>
        <a:xfrm>
          <a:off x="709044" y="1343966"/>
          <a:ext cx="525218" cy="525218"/>
        </a:xfrm>
        <a:prstGeom prst="ellipse">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17899E8-9021-476F-807A-51B620816554}">
      <dsp:nvSpPr>
        <dsp:cNvPr id="0" name=""/>
        <dsp:cNvSpPr/>
      </dsp:nvSpPr>
      <dsp:spPr>
        <a:xfrm rot="10800000">
          <a:off x="926771" y="0"/>
          <a:ext cx="3116389" cy="567266"/>
        </a:xfrm>
        <a:prstGeom prst="homePlat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0149" tIns="45720" rIns="85344" bIns="457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 lastClr="FFFFFF"/>
              </a:solidFill>
              <a:latin typeface="Times New Roman" panose="02020603050405020304" pitchFamily="18" charset="0"/>
              <a:ea typeface="+mn-ea"/>
              <a:cs typeface="Times New Roman" panose="02020603050405020304" pitchFamily="18" charset="0"/>
            </a:rPr>
            <a:t>Mbrojtja e të drejtave të migrantëve dhe integrimi i tyre në shoqërinë shqiptare</a:t>
          </a:r>
        </a:p>
      </dsp:txBody>
      <dsp:txXfrm rot="10800000">
        <a:off x="1068587" y="0"/>
        <a:ext cx="2974573" cy="567266"/>
      </dsp:txXfrm>
    </dsp:sp>
    <dsp:sp modelId="{D80D895B-5EFD-4C38-A0D5-7AAE05A89328}">
      <dsp:nvSpPr>
        <dsp:cNvPr id="0" name=""/>
        <dsp:cNvSpPr/>
      </dsp:nvSpPr>
      <dsp:spPr>
        <a:xfrm>
          <a:off x="643138" y="0"/>
          <a:ext cx="567266" cy="567266"/>
        </a:xfrm>
        <a:prstGeom prst="ellipse">
          <a:avLst/>
        </a:prstGeom>
        <a:noFill/>
        <a:ln w="25400" cap="flat" cmpd="sng" algn="ctr">
          <a:noFill/>
          <a:prstDash val="solid"/>
        </a:ln>
        <a:effectLst/>
      </dsp:spPr>
      <dsp:style>
        <a:lnRef idx="2">
          <a:scrgbClr r="0" g="0" b="0"/>
        </a:lnRef>
        <a:fillRef idx="1">
          <a:scrgbClr r="0" g="0" b="0"/>
        </a:fillRef>
        <a:effectRef idx="0">
          <a:scrgbClr r="0" g="0" b="0"/>
        </a:effectRef>
        <a:fontRef idx="minor"/>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942E9AF-526C-4846-885B-6A512A5B8998}">
      <dsp:nvSpPr>
        <dsp:cNvPr id="0" name=""/>
        <dsp:cNvSpPr/>
      </dsp:nvSpPr>
      <dsp:spPr>
        <a:xfrm rot="10800000">
          <a:off x="1138100" y="181"/>
          <a:ext cx="3946159" cy="576573"/>
        </a:xfrm>
        <a:prstGeom prst="homePlat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253" tIns="45720" rIns="85344" bIns="45720" numCol="1" spcCol="1270" anchor="ctr" anchorCtr="0">
          <a:noAutofit/>
        </a:bodyPr>
        <a:lstStyle/>
        <a:p>
          <a:pPr marL="0" lvl="0" indent="0" algn="ctr" defTabSz="533400">
            <a:lnSpc>
              <a:spcPct val="90000"/>
            </a:lnSpc>
            <a:spcBef>
              <a:spcPct val="0"/>
            </a:spcBef>
            <a:spcAft>
              <a:spcPct val="35000"/>
            </a:spcAft>
            <a:buNone/>
          </a:pPr>
          <a:r>
            <a:rPr lang="nl-NL" sz="1200" kern="1200">
              <a:solidFill>
                <a:sysClr val="window" lastClr="FFFFFF"/>
              </a:solidFill>
              <a:latin typeface="Times New Roman" panose="02020603050405020304" pitchFamily="18" charset="0"/>
              <a:ea typeface="+mn-ea"/>
              <a:cs typeface="Times New Roman" panose="02020603050405020304" pitchFamily="18" charset="0"/>
            </a:rPr>
            <a:t>Përmirësimi i efikasitetit, aksesit dhe apelimit në procedurën e azilit</a:t>
          </a:r>
          <a:endParaRPr lang="en-GB" sz="1200" kern="1200">
            <a:solidFill>
              <a:sysClr val="window" lastClr="FFFFFF"/>
            </a:solidFill>
            <a:latin typeface="Times New Roman" panose="02020603050405020304" pitchFamily="18" charset="0"/>
            <a:ea typeface="+mn-ea"/>
            <a:cs typeface="Times New Roman" panose="02020603050405020304" pitchFamily="18" charset="0"/>
          </a:endParaRPr>
        </a:p>
      </dsp:txBody>
      <dsp:txXfrm rot="10800000">
        <a:off x="1282243" y="181"/>
        <a:ext cx="3802016" cy="576573"/>
      </dsp:txXfrm>
    </dsp:sp>
    <dsp:sp modelId="{8AC2A2C8-D66D-4548-94FD-34E057992793}">
      <dsp:nvSpPr>
        <dsp:cNvPr id="0" name=""/>
        <dsp:cNvSpPr/>
      </dsp:nvSpPr>
      <dsp:spPr>
        <a:xfrm>
          <a:off x="849814" y="181"/>
          <a:ext cx="576573" cy="576573"/>
        </a:xfrm>
        <a:prstGeom prst="ellipse">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sp>
    <dsp:sp modelId="{8D749915-99AF-AF4D-B7B4-C4FFE7B06C8B}">
      <dsp:nvSpPr>
        <dsp:cNvPr id="0" name=""/>
        <dsp:cNvSpPr/>
      </dsp:nvSpPr>
      <dsp:spPr>
        <a:xfrm rot="10800000">
          <a:off x="1138100" y="723479"/>
          <a:ext cx="3946159" cy="576573"/>
        </a:xfrm>
        <a:prstGeom prst="homePlat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253" tIns="45720" rIns="85344" bIns="45720" numCol="1" spcCol="1270" anchor="ctr" anchorCtr="0">
          <a:noAutofit/>
        </a:bodyPr>
        <a:lstStyle/>
        <a:p>
          <a:pPr marL="0" lvl="0" indent="0" algn="just" defTabSz="533400">
            <a:lnSpc>
              <a:spcPct val="90000"/>
            </a:lnSpc>
            <a:spcBef>
              <a:spcPct val="0"/>
            </a:spcBef>
            <a:spcAft>
              <a:spcPct val="35000"/>
            </a:spcAft>
            <a:buNone/>
          </a:pPr>
          <a:r>
            <a:rPr lang="nl-NL" sz="1200" kern="1200">
              <a:solidFill>
                <a:sysClr val="window" lastClr="FFFFFF"/>
              </a:solidFill>
              <a:latin typeface="Times New Roman" panose="02020603050405020304" pitchFamily="18" charset="0"/>
              <a:ea typeface="+mn-ea"/>
              <a:cs typeface="Times New Roman" panose="02020603050405020304" pitchFamily="18" charset="0"/>
            </a:rPr>
            <a:t>Sigurimi i identifikimit, mbrojtjes dhe pritjes, në përputhje me standardet ndërkombëtare për personat me nevoja të vecanta </a:t>
          </a:r>
          <a:endParaRPr lang="en-GB" sz="1200" kern="1200">
            <a:solidFill>
              <a:sysClr val="window" lastClr="FFFFFF"/>
            </a:solidFill>
            <a:latin typeface="Times New Roman" panose="02020603050405020304" pitchFamily="18" charset="0"/>
            <a:ea typeface="+mn-ea"/>
            <a:cs typeface="Times New Roman" panose="02020603050405020304" pitchFamily="18" charset="0"/>
          </a:endParaRPr>
        </a:p>
      </dsp:txBody>
      <dsp:txXfrm rot="10800000">
        <a:off x="1282243" y="723479"/>
        <a:ext cx="3802016" cy="576573"/>
      </dsp:txXfrm>
    </dsp:sp>
    <dsp:sp modelId="{4DFFEF4E-059C-E348-B720-43870C318C6D}">
      <dsp:nvSpPr>
        <dsp:cNvPr id="0" name=""/>
        <dsp:cNvSpPr/>
      </dsp:nvSpPr>
      <dsp:spPr>
        <a:xfrm>
          <a:off x="849814" y="723479"/>
          <a:ext cx="576573" cy="576573"/>
        </a:xfrm>
        <a:prstGeom prst="ellipse">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sp>
    <dsp:sp modelId="{F6D4C3EF-5BFD-B54B-A3AE-3A7D1AE746A4}">
      <dsp:nvSpPr>
        <dsp:cNvPr id="0" name=""/>
        <dsp:cNvSpPr/>
      </dsp:nvSpPr>
      <dsp:spPr>
        <a:xfrm rot="10800000">
          <a:off x="1138100" y="1472228"/>
          <a:ext cx="3946159" cy="525673"/>
        </a:xfrm>
        <a:prstGeom prst="homePlat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253" tIns="45720" rIns="85344" bIns="45720" numCol="1" spcCol="1270" anchor="ctr" anchorCtr="0">
          <a:noAutofit/>
        </a:bodyPr>
        <a:lstStyle/>
        <a:p>
          <a:pPr marL="0" lvl="0" indent="0" algn="just" defTabSz="533400">
            <a:lnSpc>
              <a:spcPct val="90000"/>
            </a:lnSpc>
            <a:spcBef>
              <a:spcPct val="0"/>
            </a:spcBef>
            <a:spcAft>
              <a:spcPct val="35000"/>
            </a:spcAft>
            <a:buNone/>
          </a:pPr>
          <a:r>
            <a:rPr lang="hu-HU" sz="1200" kern="1200">
              <a:solidFill>
                <a:sysClr val="window" lastClr="FFFFFF"/>
              </a:solidFill>
              <a:latin typeface="Times New Roman" panose="02020603050405020304" pitchFamily="18" charset="0"/>
              <a:ea typeface="+mn-ea"/>
              <a:cs typeface="Times New Roman" panose="02020603050405020304" pitchFamily="18" charset="0"/>
            </a:rPr>
            <a:t>Integrimi social</a:t>
          </a:r>
          <a:r>
            <a:rPr lang="en-US" sz="1200" kern="1200">
              <a:solidFill>
                <a:sysClr val="window" lastClr="FFFFFF"/>
              </a:solidFill>
              <a:latin typeface="Times New Roman" panose="02020603050405020304" pitchFamily="18" charset="0"/>
              <a:ea typeface="+mn-ea"/>
              <a:cs typeface="Times New Roman" panose="02020603050405020304" pitchFamily="18" charset="0"/>
            </a:rPr>
            <a:t>-</a:t>
          </a:r>
          <a:r>
            <a:rPr lang="hu-HU" sz="1200" kern="1200">
              <a:solidFill>
                <a:sysClr val="window" lastClr="FFFFFF"/>
              </a:solidFill>
              <a:latin typeface="Times New Roman" panose="02020603050405020304" pitchFamily="18" charset="0"/>
              <a:ea typeface="+mn-ea"/>
              <a:cs typeface="Times New Roman" panose="02020603050405020304" pitchFamily="18" charset="0"/>
            </a:rPr>
            <a:t>ekonomik </a:t>
          </a:r>
          <a:r>
            <a:rPr lang="en-US" sz="1200" kern="1200">
              <a:solidFill>
                <a:sysClr val="window" lastClr="FFFFFF"/>
              </a:solidFill>
              <a:latin typeface="Times New Roman" panose="02020603050405020304" pitchFamily="18" charset="0"/>
              <a:ea typeface="+mn-ea"/>
              <a:cs typeface="Times New Roman" panose="02020603050405020304" pitchFamily="18" charset="0"/>
            </a:rPr>
            <a:t>i</a:t>
          </a:r>
          <a:r>
            <a:rPr lang="hu-HU" sz="1200" kern="1200">
              <a:solidFill>
                <a:sysClr val="window" lastClr="FFFFFF"/>
              </a:solidFill>
              <a:latin typeface="Times New Roman" panose="02020603050405020304" pitchFamily="18" charset="0"/>
              <a:ea typeface="+mn-ea"/>
              <a:cs typeface="Times New Roman" panose="02020603050405020304" pitchFamily="18" charset="0"/>
            </a:rPr>
            <a:t> refugjat</a:t>
          </a:r>
          <a:r>
            <a:rPr lang="en-US" sz="1200" kern="1200">
              <a:solidFill>
                <a:sysClr val="window" lastClr="FFFFFF"/>
              </a:solidFill>
              <a:latin typeface="Times New Roman" panose="02020603050405020304" pitchFamily="18" charset="0"/>
              <a:ea typeface="+mn-ea"/>
              <a:cs typeface="Times New Roman" panose="02020603050405020304" pitchFamily="18" charset="0"/>
            </a:rPr>
            <a:t>ë</a:t>
          </a:r>
          <a:r>
            <a:rPr lang="hu-HU" sz="1200" kern="1200">
              <a:solidFill>
                <a:sysClr val="window" lastClr="FFFFFF"/>
              </a:solidFill>
              <a:latin typeface="Times New Roman" panose="02020603050405020304" pitchFamily="18" charset="0"/>
              <a:ea typeface="+mn-ea"/>
              <a:cs typeface="Times New Roman" panose="02020603050405020304" pitchFamily="18" charset="0"/>
            </a:rPr>
            <a:t>ve dhe azilkërkuesve</a:t>
          </a:r>
          <a:endParaRPr lang="en-GB" sz="1200" kern="1200">
            <a:solidFill>
              <a:sysClr val="window" lastClr="FFFFFF"/>
            </a:solidFill>
            <a:latin typeface="Times New Roman" panose="02020603050405020304" pitchFamily="18" charset="0"/>
            <a:ea typeface="+mn-ea"/>
            <a:cs typeface="Times New Roman" panose="02020603050405020304" pitchFamily="18" charset="0"/>
          </a:endParaRPr>
        </a:p>
      </dsp:txBody>
      <dsp:txXfrm rot="10800000">
        <a:off x="1269518" y="1472228"/>
        <a:ext cx="3814741" cy="525673"/>
      </dsp:txXfrm>
    </dsp:sp>
    <dsp:sp modelId="{6BE6D62E-C04B-0A4E-840B-59DEE73D934E}">
      <dsp:nvSpPr>
        <dsp:cNvPr id="0" name=""/>
        <dsp:cNvSpPr/>
      </dsp:nvSpPr>
      <dsp:spPr>
        <a:xfrm>
          <a:off x="849814" y="1446778"/>
          <a:ext cx="576573" cy="576573"/>
        </a:xfrm>
        <a:prstGeom prst="ellipse">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271</Nr_x002e__x0020_akti>
    <Data_x0020_e_x0020_Krijimit xmlns="0e656187-b300-4fb0-8bf4-3a50f872073c">2024-05-07T09:50:48Z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2024-05-03T00:00:00Z</Date_x0020_protokolli>
    <Titulli xmlns="0e656187-b300-4fb0-8bf4-3a50f872073c">Për miratimin e Strategjisë Kombëtare për Migracionin 2024-2030 dhe të planit të saj të veprimit 2024–2026</Titulli>
    <Modifikuesi xmlns="0e656187-b300-4fb0-8bf4-3a50f872073c">Amarilda.Muja</Modifikuesi>
    <Nr_x002e__x0020_prot_x0020_QBZ xmlns="0e656187-b300-4fb0-8bf4-3a50f872073c">7</Nr_x002e__x0020_prot_x0020_QBZ>
    <Data_x0020_e_x0020_Modifikimit xmlns="0e656187-b300-4fb0-8bf4-3a50f872073c">2024-05-10T11:01:58Z</Data_x0020_e_x0020_Modifikimit>
    <Dekretuar xmlns="0e656187-b300-4fb0-8bf4-3a50f872073c">false</Dekretuar>
    <Data xmlns="0e656187-b300-4fb0-8bf4-3a50f872073c">2024-05-02T00:00:00Z</Data>
    <Nr_x002e__x0020_protokolli_x0020_i_x0020_aktit xmlns="0e656187-b300-4fb0-8bf4-3a50f872073c">2412/1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1A30E69359D4FB48C187DBA8285715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4495F3-E368-47A3-89BC-E00D6721379F}">
  <ds:schemaRefs>
    <ds:schemaRef ds:uri="0e656187-b300-4fb0-8bf4-3a50f872073c"/>
    <ds:schemaRef ds:uri="http://purl.org/dc/elements/1.1/"/>
    <ds:schemaRef ds:uri="http://schemas.microsoft.com/office/2006/documentManagement/types"/>
    <ds:schemaRef ds:uri="http://schemas.openxmlformats.org/package/2006/metadata/core-properties"/>
    <ds:schemaRef ds:uri="http://www.w3.org/XML/1998/namespace"/>
    <ds:schemaRef ds:uri="http://schemas.microsoft.com/office/2006/metadata/properties"/>
    <ds:schemaRef ds:uri="http://purl.org/dc/dcmitype/"/>
    <ds:schemaRef ds:uri="http://purl.org/dc/terms/"/>
  </ds:schemaRefs>
</ds:datastoreItem>
</file>

<file path=customXml/itemProps2.xml><?xml version="1.0" encoding="utf-8"?>
<ds:datastoreItem xmlns:ds="http://schemas.openxmlformats.org/officeDocument/2006/customXml" ds:itemID="{B826C3CE-DA7F-47EA-839E-05933C1EBE76}">
  <ds:schemaRefs>
    <ds:schemaRef ds:uri="http://schemas.microsoft.com/sharepoint/v3/contenttype/forms"/>
  </ds:schemaRefs>
</ds:datastoreItem>
</file>

<file path=customXml/itemProps3.xml><?xml version="1.0" encoding="utf-8"?>
<ds:datastoreItem xmlns:ds="http://schemas.openxmlformats.org/officeDocument/2006/customXml" ds:itemID="{C8F6C6F8-B3FE-4045-A000-65853D847C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CC6A60A-6B07-4DFD-B0B7-233902377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66</Pages>
  <Words>48432</Words>
  <Characters>276064</Characters>
  <Application>Microsoft Office Word</Application>
  <DocSecurity>0</DocSecurity>
  <Lines>2300</Lines>
  <Paragraphs>647</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Për miratimin e Strategjisë Kombëtare për Migracionin 2024-2030 dhe të planit të saj të veprimit 2024–2026</vt:lpstr>
      <vt:lpstr/>
    </vt:vector>
  </TitlesOfParts>
  <Company/>
  <LinksUpToDate>false</LinksUpToDate>
  <CharactersWithSpaces>323849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Kombëtare për Migracionin 2024-2030 dhe të planit të saj të veprimit 2024–2026</dc:title>
  <cp:lastModifiedBy/>
  <cp:revision>1</cp:revision>
  <dcterms:created xsi:type="dcterms:W3CDTF">2024-05-07T12:26:00Z</dcterms:created>
  <dcterms:modified xsi:type="dcterms:W3CDTF">2024-05-10T10:11:00Z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059aa38-f392-4105-be92-628035578272_Enabled">
    <vt:lpwstr>true</vt:lpwstr>
  </property>
  <property fmtid="{D5CDD505-2E9C-101B-9397-08002B2CF9AE}" pid="3" name="MSIP_Label_2059aa38-f392-4105-be92-628035578272_SetDate">
    <vt:lpwstr>2023-11-01T10:32:31Z</vt:lpwstr>
  </property>
  <property fmtid="{D5CDD505-2E9C-101B-9397-08002B2CF9AE}" pid="4" name="MSIP_Label_2059aa38-f392-4105-be92-628035578272_Method">
    <vt:lpwstr>Standard</vt:lpwstr>
  </property>
  <property fmtid="{D5CDD505-2E9C-101B-9397-08002B2CF9AE}" pid="5" name="MSIP_Label_2059aa38-f392-4105-be92-628035578272_Name">
    <vt:lpwstr>IOMLb0020IN123173</vt:lpwstr>
  </property>
  <property fmtid="{D5CDD505-2E9C-101B-9397-08002B2CF9AE}" pid="6" name="MSIP_Label_2059aa38-f392-4105-be92-628035578272_SiteId">
    <vt:lpwstr>1588262d-23fb-43b4-bd6e-bce49c8e6186</vt:lpwstr>
  </property>
  <property fmtid="{D5CDD505-2E9C-101B-9397-08002B2CF9AE}" pid="7" name="MSIP_Label_2059aa38-f392-4105-be92-628035578272_ActionId">
    <vt:lpwstr>f046239c-c746-4775-852d-b581bf2b2215</vt:lpwstr>
  </property>
  <property fmtid="{D5CDD505-2E9C-101B-9397-08002B2CF9AE}" pid="8" name="MSIP_Label_2059aa38-f392-4105-be92-628035578272_ContentBits">
    <vt:lpwstr>0</vt:lpwstr>
  </property>
</Properties>
</file>